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8AA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36"/>
          <w:szCs w:val="36"/>
          <w:highlight w:val="none"/>
        </w:rPr>
      </w:pPr>
      <w:r>
        <w:rPr>
          <w:rFonts w:hint="default" w:ascii="Times New Roman" w:hAnsi="Times New Roman" w:cs="Times New Roman"/>
          <w:b/>
          <w:bCs/>
          <w:color w:val="auto"/>
          <w:sz w:val="36"/>
          <w:szCs w:val="36"/>
          <w:highlight w:val="none"/>
        </w:rPr>
        <w:t>Spatiotemporal Evolution of the Coupling Coordination Degree between Financial Agglomeration and Green Technology Innovation in China</w:t>
      </w:r>
    </w:p>
    <w:p w14:paraId="3BBA6B86">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center"/>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rPr>
        <w:t/>
      </w:r>
      <w:r>
        <w:rPr>
          <w:rFonts w:hint="default" w:ascii="Times New Roman" w:hAnsi="Times New Roman" w:eastAsia="宋体" w:cs="Times New Roman"/>
          <w:b/>
          <w:bCs/>
          <w:color w:val="auto"/>
          <w:sz w:val="24"/>
          <w:szCs w:val="24"/>
          <w:highlight w:val="none"/>
          <w:vertAlign w:val="baseline"/>
        </w:rPr>
        <w:t/>
      </w:r>
      <w:r>
        <w:rPr>
          <w:rFonts w:hint="default" w:ascii="Times New Roman" w:hAnsi="Times New Roman" w:cs="Times New Roman"/>
          <w:b/>
          <w:bCs/>
          <w:color w:val="auto"/>
          <w:sz w:val="24"/>
          <w:szCs w:val="24"/>
          <w:highlight w:val="none"/>
          <w:vertAlign w:val="superscript"/>
          <w:lang w:val="en-US" w:eastAsia="zh-CN"/>
        </w:rPr>
        <w:t/>
      </w:r>
      <w:r>
        <w:rPr>
          <w:rFonts w:hint="default" w:ascii="Times New Roman" w:hAnsi="Times New Roman" w:cs="Times New Roman"/>
          <w:b/>
          <w:bCs/>
          <w:color w:val="auto"/>
          <w:sz w:val="24"/>
          <w:szCs w:val="24"/>
          <w:highlight w:val="none"/>
          <w:vertAlign w:val="baseline"/>
          <w:lang w:val="en-US" w:eastAsia="zh-CN"/>
        </w:rPr>
        <w:t xml:space="preserve"/>
      </w:r>
      <w:r>
        <w:rPr>
          <w:rFonts w:hint="default" w:ascii="Times New Roman" w:hAnsi="Times New Roman" w:eastAsia="宋体" w:cs="Times New Roman"/>
          <w:b/>
          <w:bCs/>
          <w:color w:val="auto"/>
          <w:sz w:val="24"/>
          <w:szCs w:val="24"/>
          <w:highlight w:val="none"/>
          <w:vertAlign w:val="baseline"/>
          <w:lang w:val="en-US" w:eastAsia="zh-CN"/>
        </w:rPr>
        <w:t/>
      </w:r>
      <w:r>
        <w:rPr>
          <w:rFonts w:hint="default" w:ascii="Times New Roman" w:hAnsi="Times New Roman" w:cs="Times New Roman"/>
          <w:b/>
          <w:bCs/>
          <w:color w:val="auto"/>
          <w:sz w:val="24"/>
          <w:szCs w:val="24"/>
          <w:highlight w:val="none"/>
          <w:vertAlign w:val="superscript"/>
          <w:lang w:val="en-US" w:eastAsia="zh-CN"/>
        </w:rPr>
        <w:t/>
      </w:r>
      <w:r>
        <w:rPr>
          <w:rFonts w:hint="default" w:ascii="Times New Roman" w:hAnsi="Times New Roman" w:cs="Times New Roman"/>
          <w:b/>
          <w:bCs/>
          <w:color w:val="auto"/>
          <w:sz w:val="24"/>
          <w:szCs w:val="24"/>
          <w:highlight w:val="none"/>
          <w:vertAlign w:val="baseline"/>
          <w:lang w:val="en-US" w:eastAsia="zh-CN"/>
        </w:rPr>
        <w:t/>
      </w:r>
      <w:r>
        <w:rPr>
          <w:rFonts w:hint="default" w:ascii="Times New Roman" w:hAnsi="Times New Roman" w:eastAsia="宋体" w:cs="Times New Roman"/>
          <w:b/>
          <w:bCs/>
          <w:color w:val="auto"/>
          <w:sz w:val="24"/>
          <w:szCs w:val="24"/>
          <w:highlight w:val="none"/>
          <w:vertAlign w:val="baseline"/>
          <w:lang w:val="en-US" w:eastAsia="zh-CN"/>
        </w:rPr>
        <w:t/>
      </w:r>
      <w:r>
        <w:rPr>
          <w:rFonts w:hint="default" w:ascii="Times New Roman" w:hAnsi="Times New Roman" w:cs="Times New Roman"/>
          <w:b/>
          <w:bCs/>
          <w:color w:val="auto"/>
          <w:sz w:val="24"/>
          <w:szCs w:val="24"/>
          <w:highlight w:val="none"/>
          <w:vertAlign w:val="superscript"/>
          <w:lang w:val="en-US" w:eastAsia="zh-CN"/>
        </w:rPr>
        <w:t/>
      </w:r>
    </w:p>
    <w:p w14:paraId="312C9F4C">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vertAlign w:val="superscript"/>
          <w:lang w:val="en-US" w:eastAsia="zh-CN"/>
        </w:rPr>
        <w:t/>
      </w:r>
      <w:r>
        <w:rPr>
          <w:rFonts w:hint="default" w:ascii="Times New Roman" w:hAnsi="Times New Roman" w:eastAsia="宋体" w:cs="Times New Roman"/>
          <w:b w:val="0"/>
          <w:bCs w:val="0"/>
          <w:color w:val="auto"/>
          <w:sz w:val="24"/>
          <w:szCs w:val="24"/>
          <w:highlight w:val="none"/>
          <w:vertAlign w:val="baseline"/>
          <w:lang w:val="en-US" w:eastAsia="zh-CN"/>
        </w:rPr>
        <w:t/>
      </w:r>
    </w:p>
    <w:p w14:paraId="68F619CC">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 xml:space="preserve"/>
      </w:r>
      <w:r>
        <w:rPr>
          <w:rFonts w:hint="default" w:ascii="Times New Roman" w:hAnsi="Times New Roman" w:cs="Times New Roman"/>
          <w:b w:val="0"/>
          <w:bCs w:val="0"/>
          <w:color w:val="auto"/>
          <w:sz w:val="24"/>
          <w:szCs w:val="24"/>
          <w:highlight w:val="none"/>
          <w:vertAlign w:val="superscript"/>
          <w:lang w:val="en-US" w:eastAsia="zh-CN"/>
        </w:rPr>
        <w:t/>
      </w:r>
      <w:r>
        <w:rPr>
          <w:rFonts w:hint="default" w:ascii="Times New Roman" w:hAnsi="Times New Roman" w:eastAsia="宋体" w:cs="Times New Roman"/>
          <w:b w:val="0"/>
          <w:bCs w:val="0"/>
          <w:color w:val="auto"/>
          <w:sz w:val="24"/>
          <w:szCs w:val="24"/>
          <w:highlight w:val="none"/>
          <w:vertAlign w:val="baseline"/>
          <w:lang w:val="en-US" w:eastAsia="zh-CN"/>
        </w:rPr>
        <w:t/>
      </w:r>
    </w:p>
    <w:p w14:paraId="01526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p>
    <w:p w14:paraId="0458BE2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sz w:val="28"/>
          <w:szCs w:val="28"/>
          <w:highlight w:val="none"/>
          <w:vertAlign w:val="baseline"/>
          <w:lang w:val="en-US" w:eastAsia="zh-CN"/>
        </w:rPr>
      </w:pPr>
      <w:r>
        <w:rPr>
          <w:rFonts w:hint="default" w:ascii="Times New Roman" w:hAnsi="Times New Roman" w:eastAsia="宋体" w:cs="Times New Roman"/>
          <w:b/>
          <w:bCs/>
          <w:color w:val="auto"/>
          <w:sz w:val="28"/>
          <w:szCs w:val="28"/>
          <w:highlight w:val="none"/>
          <w:vertAlign w:val="baseline"/>
          <w:lang w:val="en-US" w:eastAsia="zh-CN"/>
        </w:rPr>
        <w:t>ABSTRACT</w:t>
      </w:r>
    </w:p>
    <w:p w14:paraId="5F1BAEB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 xml:space="preserve">With China's transition toward high-quality development, financial agglomeration and green technology innovation have gradually become important driving factors in green transition and sustainable development. However, research on the coordinated development of both </w:t>
      </w:r>
      <w:r>
        <w:rPr>
          <w:rFonts w:hint="default" w:ascii="Times New Roman" w:hAnsi="Times New Roman" w:cs="Times New Roman"/>
          <w:b w:val="0"/>
          <w:bCs w:val="0"/>
          <w:color w:val="auto"/>
          <w:sz w:val="24"/>
          <w:szCs w:val="24"/>
          <w:highlight w:val="none"/>
          <w:vertAlign w:val="baseline"/>
          <w:lang w:val="en-US" w:eastAsia="zh-CN"/>
        </w:rPr>
        <w:t xml:space="preserve">subsystems </w:t>
      </w:r>
      <w:r>
        <w:rPr>
          <w:rFonts w:hint="default" w:ascii="Times New Roman" w:hAnsi="Times New Roman" w:eastAsia="宋体" w:cs="Times New Roman"/>
          <w:b w:val="0"/>
          <w:bCs w:val="0"/>
          <w:color w:val="auto"/>
          <w:sz w:val="24"/>
          <w:szCs w:val="24"/>
          <w:highlight w:val="none"/>
          <w:vertAlign w:val="baseline"/>
          <w:lang w:val="en-US" w:eastAsia="zh-CN"/>
        </w:rPr>
        <w:t>is inadequate. This study uses the data of 30 Chinese provinces from 2007 to 2022 to construct the assessment index system for both financ</w:t>
      </w:r>
      <w:r>
        <w:rPr>
          <w:rFonts w:hint="default" w:ascii="Times New Roman" w:hAnsi="Times New Roman" w:cs="Times New Roman"/>
          <w:b w:val="0"/>
          <w:bCs w:val="0"/>
          <w:color w:val="auto"/>
          <w:sz w:val="24"/>
          <w:szCs w:val="24"/>
          <w:highlight w:val="none"/>
          <w:vertAlign w:val="baseline"/>
          <w:lang w:val="en-US" w:eastAsia="zh-CN"/>
        </w:rPr>
        <w:t>ial</w:t>
      </w:r>
      <w:r>
        <w:rPr>
          <w:rFonts w:hint="default" w:ascii="Times New Roman" w:hAnsi="Times New Roman" w:eastAsia="宋体" w:cs="Times New Roman"/>
          <w:b w:val="0"/>
          <w:bCs w:val="0"/>
          <w:color w:val="auto"/>
          <w:sz w:val="24"/>
          <w:szCs w:val="24"/>
          <w:highlight w:val="none"/>
          <w:vertAlign w:val="baseline"/>
          <w:lang w:val="en-US" w:eastAsia="zh-CN"/>
        </w:rPr>
        <w:t xml:space="preserve"> agglomeration and green technology innovation and explore the spatiotemporal evolution characteristics of the coupling coordination degree of both </w:t>
      </w:r>
      <w:r>
        <w:rPr>
          <w:rFonts w:hint="default" w:ascii="Times New Roman" w:hAnsi="Times New Roman" w:cs="Times New Roman"/>
          <w:b w:val="0"/>
          <w:bCs w:val="0"/>
          <w:color w:val="auto"/>
          <w:sz w:val="24"/>
          <w:szCs w:val="24"/>
          <w:highlight w:val="none"/>
          <w:vertAlign w:val="baseline"/>
          <w:lang w:val="en-US" w:eastAsia="zh-CN"/>
        </w:rPr>
        <w:t xml:space="preserve">subsystems </w:t>
      </w:r>
      <w:r>
        <w:rPr>
          <w:rFonts w:hint="default" w:ascii="Times New Roman" w:hAnsi="Times New Roman" w:eastAsia="宋体" w:cs="Times New Roman"/>
          <w:b w:val="0"/>
          <w:bCs w:val="0"/>
          <w:color w:val="auto"/>
          <w:sz w:val="24"/>
          <w:szCs w:val="24"/>
          <w:highlight w:val="none"/>
          <w:vertAlign w:val="baseline"/>
          <w:lang w:val="en-US" w:eastAsia="zh-CN"/>
        </w:rPr>
        <w:t xml:space="preserve">through coupling coordination model, data </w:t>
      </w:r>
      <w:r>
        <w:rPr>
          <w:rFonts w:hint="default" w:ascii="Times New Roman" w:hAnsi="Times New Roman" w:cs="Times New Roman"/>
          <w:b w:val="0"/>
          <w:bCs w:val="0"/>
          <w:color w:val="auto"/>
          <w:sz w:val="24"/>
          <w:szCs w:val="24"/>
          <w:highlight w:val="none"/>
          <w:vertAlign w:val="baseline"/>
          <w:lang w:val="en-US" w:eastAsia="zh-CN"/>
        </w:rPr>
        <w:t>visualisation</w:t>
      </w:r>
      <w:r>
        <w:rPr>
          <w:rFonts w:hint="default" w:ascii="Times New Roman" w:hAnsi="Times New Roman" w:eastAsia="宋体" w:cs="Times New Roman"/>
          <w:b w:val="0"/>
          <w:bCs w:val="0"/>
          <w:color w:val="auto"/>
          <w:sz w:val="24"/>
          <w:szCs w:val="24"/>
          <w:highlight w:val="none"/>
          <w:vertAlign w:val="baseline"/>
          <w:lang w:val="en-US" w:eastAsia="zh-CN"/>
        </w:rPr>
        <w:t xml:space="preserve"> techniques</w:t>
      </w:r>
      <w:r>
        <w:rPr>
          <w:rFonts w:hint="default" w:ascii="Times New Roman" w:hAnsi="Times New Roman" w:cs="Times New Roman"/>
          <w:b w:val="0"/>
          <w:bCs w:val="0"/>
          <w:color w:val="auto"/>
          <w:sz w:val="24"/>
          <w:szCs w:val="24"/>
          <w:highlight w:val="none"/>
          <w:vertAlign w:val="baseline"/>
          <w:lang w:val="en-US" w:eastAsia="zh-CN"/>
        </w:rPr>
        <w:t xml:space="preserve">, </w:t>
      </w:r>
      <w:r>
        <w:rPr>
          <w:rFonts w:hint="default" w:ascii="Times New Roman" w:hAnsi="Times New Roman" w:eastAsia="宋体" w:cs="Times New Roman"/>
          <w:b w:val="0"/>
          <w:bCs w:val="0"/>
          <w:color w:val="auto"/>
          <w:sz w:val="24"/>
          <w:szCs w:val="24"/>
          <w:highlight w:val="none"/>
          <w:vertAlign w:val="baseline"/>
          <w:lang w:val="en-US" w:eastAsia="zh-CN"/>
        </w:rPr>
        <w:t xml:space="preserve">Moran’s I Index and spatial </w:t>
      </w:r>
      <w:r>
        <w:rPr>
          <w:rFonts w:hint="default" w:ascii="Times New Roman" w:hAnsi="Times New Roman" w:cs="Times New Roman"/>
          <w:b w:val="0"/>
          <w:bCs w:val="0"/>
          <w:color w:val="auto"/>
          <w:sz w:val="24"/>
          <w:szCs w:val="24"/>
          <w:highlight w:val="none"/>
          <w:vertAlign w:val="baseline"/>
          <w:lang w:val="en-US" w:eastAsia="zh-CN"/>
        </w:rPr>
        <w:t>visualisation</w:t>
      </w:r>
      <w:r>
        <w:rPr>
          <w:rFonts w:hint="default" w:ascii="Times New Roman" w:hAnsi="Times New Roman" w:eastAsia="宋体" w:cs="Times New Roman"/>
          <w:b w:val="0"/>
          <w:bCs w:val="0"/>
          <w:color w:val="auto"/>
          <w:sz w:val="24"/>
          <w:szCs w:val="24"/>
          <w:highlight w:val="none"/>
          <w:vertAlign w:val="baseline"/>
          <w:lang w:val="en-US" w:eastAsia="zh-CN"/>
        </w:rPr>
        <w:t xml:space="preserve"> methods. The results indicate that the coupling coordination degree of the two </w:t>
      </w:r>
      <w:r>
        <w:rPr>
          <w:rFonts w:hint="default" w:ascii="Times New Roman" w:hAnsi="Times New Roman" w:cs="Times New Roman"/>
          <w:b w:val="0"/>
          <w:bCs w:val="0"/>
          <w:color w:val="auto"/>
          <w:sz w:val="24"/>
          <w:szCs w:val="24"/>
          <w:highlight w:val="none"/>
          <w:vertAlign w:val="baseline"/>
          <w:lang w:val="en-US" w:eastAsia="zh-CN"/>
        </w:rPr>
        <w:t xml:space="preserve">subsystems </w:t>
      </w:r>
      <w:r>
        <w:rPr>
          <w:rFonts w:hint="default" w:ascii="Times New Roman" w:hAnsi="Times New Roman" w:eastAsia="宋体" w:cs="Times New Roman"/>
          <w:b w:val="0"/>
          <w:bCs w:val="0"/>
          <w:color w:val="auto"/>
          <w:sz w:val="24"/>
          <w:szCs w:val="24"/>
          <w:highlight w:val="none"/>
          <w:vertAlign w:val="baseline"/>
          <w:lang w:val="en-US" w:eastAsia="zh-CN"/>
        </w:rPr>
        <w:t xml:space="preserve">rises steadily during the period of this study, while the coordination level remains relatively low. Regional disparity appears significantly, where Eastern China performs better than the other three regions. In the analysis of development types of the coupling coordination development, we can find that the green technology innovation plays a more important role as the restrictive factor than the financial agglomeration. In the spatial autocorrelation analysis, we can see the positive spatial autocorrelation, with High–High mainly in Eastern China and Low–Low mainly in Western and Northeastern China. Therefore, it can be concluded that the coordinated development of the two </w:t>
      </w:r>
      <w:r>
        <w:rPr>
          <w:rFonts w:hint="default" w:ascii="Times New Roman" w:hAnsi="Times New Roman" w:cs="Times New Roman"/>
          <w:b w:val="0"/>
          <w:bCs w:val="0"/>
          <w:color w:val="auto"/>
          <w:sz w:val="24"/>
          <w:szCs w:val="24"/>
          <w:highlight w:val="none"/>
          <w:vertAlign w:val="baseline"/>
          <w:lang w:val="en-US" w:eastAsia="zh-CN"/>
        </w:rPr>
        <w:t>subsystems</w:t>
      </w:r>
      <w:r>
        <w:rPr>
          <w:rFonts w:hint="default" w:ascii="Times New Roman" w:hAnsi="Times New Roman" w:eastAsia="宋体" w:cs="Times New Roman"/>
          <w:b w:val="0"/>
          <w:bCs w:val="0"/>
          <w:color w:val="auto"/>
          <w:sz w:val="24"/>
          <w:szCs w:val="24"/>
          <w:highlight w:val="none"/>
          <w:vertAlign w:val="baseline"/>
          <w:lang w:val="en-US" w:eastAsia="zh-CN"/>
        </w:rPr>
        <w:t>is remains uneven across regions with significant characteristics of spatial clustering. Strengthening the integration of financial and innovation resources and adopting differentiated regional development strategies are important for promoting balanced regional development and high-quality economic growth.</w:t>
      </w:r>
    </w:p>
    <w:p w14:paraId="67536F3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p>
    <w:p w14:paraId="46E1885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Keywords:</w:t>
      </w:r>
      <w:r>
        <w:rPr>
          <w:rFonts w:hint="default" w:ascii="Times New Roman" w:hAnsi="Times New Roman" w:eastAsia="宋体" w:cs="Times New Roman"/>
          <w:b w:val="0"/>
          <w:bCs w:val="0"/>
          <w:color w:val="auto"/>
          <w:sz w:val="24"/>
          <w:szCs w:val="24"/>
          <w:highlight w:val="none"/>
          <w:vertAlign w:val="baseline"/>
          <w:lang w:val="en-US" w:eastAsia="zh-CN"/>
        </w:rPr>
        <w:t xml:space="preserve"> Financial Agglomeration; </w:t>
      </w:r>
      <w:r>
        <w:rPr>
          <w:rFonts w:hint="default" w:ascii="Times New Roman" w:hAnsi="Times New Roman" w:cs="Times New Roman"/>
          <w:b w:val="0"/>
          <w:bCs w:val="0"/>
          <w:color w:val="auto"/>
          <w:sz w:val="24"/>
          <w:szCs w:val="24"/>
          <w:highlight w:val="none"/>
          <w:vertAlign w:val="baseline"/>
          <w:lang w:val="en-US" w:eastAsia="zh-CN"/>
        </w:rPr>
        <w:t>G</w:t>
      </w:r>
      <w:r>
        <w:rPr>
          <w:rFonts w:hint="default" w:ascii="Times New Roman" w:hAnsi="Times New Roman" w:eastAsia="宋体" w:cs="Times New Roman"/>
          <w:b w:val="0"/>
          <w:bCs w:val="0"/>
          <w:color w:val="auto"/>
          <w:sz w:val="24"/>
          <w:szCs w:val="24"/>
          <w:highlight w:val="none"/>
          <w:vertAlign w:val="baseline"/>
          <w:lang w:val="en-US" w:eastAsia="zh-CN"/>
        </w:rPr>
        <w:t xml:space="preserve">reen </w:t>
      </w:r>
      <w:r>
        <w:rPr>
          <w:rFonts w:hint="default" w:ascii="Times New Roman" w:hAnsi="Times New Roman" w:cs="Times New Roman"/>
          <w:b w:val="0"/>
          <w:bCs w:val="0"/>
          <w:color w:val="auto"/>
          <w:sz w:val="24"/>
          <w:szCs w:val="24"/>
          <w:highlight w:val="none"/>
          <w:vertAlign w:val="baseline"/>
          <w:lang w:val="en-US" w:eastAsia="zh-CN"/>
        </w:rPr>
        <w:t>T</w:t>
      </w:r>
      <w:r>
        <w:rPr>
          <w:rFonts w:hint="default" w:ascii="Times New Roman" w:hAnsi="Times New Roman" w:eastAsia="宋体" w:cs="Times New Roman"/>
          <w:b w:val="0"/>
          <w:bCs w:val="0"/>
          <w:color w:val="auto"/>
          <w:sz w:val="24"/>
          <w:szCs w:val="24"/>
          <w:highlight w:val="none"/>
          <w:vertAlign w:val="baseline"/>
          <w:lang w:val="en-US" w:eastAsia="zh-CN"/>
        </w:rPr>
        <w:t>echnolog</w:t>
      </w:r>
      <w:r>
        <w:rPr>
          <w:rFonts w:hint="default" w:ascii="Times New Roman" w:hAnsi="Times New Roman" w:cs="Times New Roman"/>
          <w:b w:val="0"/>
          <w:bCs w:val="0"/>
          <w:color w:val="auto"/>
          <w:sz w:val="24"/>
          <w:szCs w:val="24"/>
          <w:highlight w:val="none"/>
          <w:vertAlign w:val="baseline"/>
          <w:lang w:val="en-US" w:eastAsia="zh-CN"/>
        </w:rPr>
        <w:t>y</w:t>
      </w:r>
      <w:r>
        <w:rPr>
          <w:rFonts w:hint="default" w:ascii="Times New Roman" w:hAnsi="Times New Roman" w:eastAsia="宋体" w:cs="Times New Roman"/>
          <w:b w:val="0"/>
          <w:bCs w:val="0"/>
          <w:color w:val="auto"/>
          <w:sz w:val="24"/>
          <w:szCs w:val="24"/>
          <w:highlight w:val="none"/>
          <w:vertAlign w:val="baseline"/>
          <w:lang w:val="en-US" w:eastAsia="zh-CN"/>
        </w:rPr>
        <w:t xml:space="preserve"> </w:t>
      </w:r>
      <w:r>
        <w:rPr>
          <w:rFonts w:hint="default" w:ascii="Times New Roman" w:hAnsi="Times New Roman" w:cs="Times New Roman"/>
          <w:b w:val="0"/>
          <w:bCs w:val="0"/>
          <w:color w:val="auto"/>
          <w:sz w:val="24"/>
          <w:szCs w:val="24"/>
          <w:highlight w:val="none"/>
          <w:vertAlign w:val="baseline"/>
          <w:lang w:val="en-US" w:eastAsia="zh-CN"/>
        </w:rPr>
        <w:t>I</w:t>
      </w:r>
      <w:r>
        <w:rPr>
          <w:rFonts w:hint="default" w:ascii="Times New Roman" w:hAnsi="Times New Roman" w:eastAsia="宋体" w:cs="Times New Roman"/>
          <w:b w:val="0"/>
          <w:bCs w:val="0"/>
          <w:color w:val="auto"/>
          <w:sz w:val="24"/>
          <w:szCs w:val="24"/>
          <w:highlight w:val="none"/>
          <w:vertAlign w:val="baseline"/>
          <w:lang w:val="en-US" w:eastAsia="zh-CN"/>
        </w:rPr>
        <w:t>nnovation</w:t>
      </w:r>
      <w:r>
        <w:rPr>
          <w:rFonts w:hint="default" w:ascii="Times New Roman" w:hAnsi="Times New Roman" w:cs="Times New Roman"/>
          <w:b w:val="0"/>
          <w:bCs w:val="0"/>
          <w:color w:val="auto"/>
          <w:sz w:val="24"/>
          <w:szCs w:val="24"/>
          <w:highlight w:val="none"/>
          <w:vertAlign w:val="baseline"/>
          <w:lang w:val="en-US" w:eastAsia="zh-CN"/>
        </w:rPr>
        <w:t>; C</w:t>
      </w:r>
      <w:r>
        <w:rPr>
          <w:rFonts w:hint="default" w:ascii="Times New Roman" w:hAnsi="Times New Roman" w:eastAsia="宋体" w:cs="Times New Roman"/>
          <w:b w:val="0"/>
          <w:bCs w:val="0"/>
          <w:color w:val="auto"/>
          <w:sz w:val="24"/>
          <w:szCs w:val="24"/>
          <w:highlight w:val="none"/>
          <w:vertAlign w:val="baseline"/>
          <w:lang w:val="en-US" w:eastAsia="zh-CN"/>
        </w:rPr>
        <w:t xml:space="preserve">oupling </w:t>
      </w:r>
      <w:r>
        <w:rPr>
          <w:rFonts w:hint="default" w:ascii="Times New Roman" w:hAnsi="Times New Roman" w:cs="Times New Roman"/>
          <w:b w:val="0"/>
          <w:bCs w:val="0"/>
          <w:color w:val="auto"/>
          <w:sz w:val="24"/>
          <w:szCs w:val="24"/>
          <w:highlight w:val="none"/>
          <w:vertAlign w:val="baseline"/>
          <w:lang w:val="en-US" w:eastAsia="zh-CN"/>
        </w:rPr>
        <w:t>C</w:t>
      </w:r>
      <w:r>
        <w:rPr>
          <w:rFonts w:hint="default" w:ascii="Times New Roman" w:hAnsi="Times New Roman" w:eastAsia="宋体" w:cs="Times New Roman"/>
          <w:b w:val="0"/>
          <w:bCs w:val="0"/>
          <w:color w:val="auto"/>
          <w:sz w:val="24"/>
          <w:szCs w:val="24"/>
          <w:highlight w:val="none"/>
          <w:vertAlign w:val="baseline"/>
          <w:lang w:val="en-US" w:eastAsia="zh-CN"/>
        </w:rPr>
        <w:t xml:space="preserve">oordination </w:t>
      </w:r>
      <w:r>
        <w:rPr>
          <w:rFonts w:hint="default" w:ascii="Times New Roman" w:hAnsi="Times New Roman" w:cs="Times New Roman"/>
          <w:b w:val="0"/>
          <w:bCs w:val="0"/>
          <w:color w:val="auto"/>
          <w:sz w:val="24"/>
          <w:szCs w:val="24"/>
          <w:highlight w:val="none"/>
          <w:vertAlign w:val="baseline"/>
          <w:lang w:val="en-US" w:eastAsia="zh-CN"/>
        </w:rPr>
        <w:t>D</w:t>
      </w:r>
      <w:r>
        <w:rPr>
          <w:rFonts w:hint="default" w:ascii="Times New Roman" w:hAnsi="Times New Roman" w:eastAsia="宋体" w:cs="Times New Roman"/>
          <w:b w:val="0"/>
          <w:bCs w:val="0"/>
          <w:color w:val="auto"/>
          <w:sz w:val="24"/>
          <w:szCs w:val="24"/>
          <w:highlight w:val="none"/>
          <w:vertAlign w:val="baseline"/>
          <w:lang w:val="en-US" w:eastAsia="zh-CN"/>
        </w:rPr>
        <w:t xml:space="preserve">egree; </w:t>
      </w:r>
      <w:r>
        <w:rPr>
          <w:rFonts w:hint="default" w:ascii="Times New Roman" w:hAnsi="Times New Roman" w:cs="Times New Roman"/>
          <w:b w:val="0"/>
          <w:bCs w:val="0"/>
          <w:color w:val="auto"/>
          <w:sz w:val="24"/>
          <w:szCs w:val="24"/>
          <w:highlight w:val="none"/>
          <w:vertAlign w:val="baseline"/>
          <w:lang w:val="en-US" w:eastAsia="zh-CN"/>
        </w:rPr>
        <w:t>S</w:t>
      </w:r>
      <w:r>
        <w:rPr>
          <w:rFonts w:hint="default" w:ascii="Times New Roman" w:hAnsi="Times New Roman" w:eastAsia="宋体" w:cs="Times New Roman"/>
          <w:b w:val="0"/>
          <w:bCs w:val="0"/>
          <w:color w:val="auto"/>
          <w:sz w:val="24"/>
          <w:szCs w:val="24"/>
          <w:highlight w:val="none"/>
          <w:vertAlign w:val="baseline"/>
          <w:lang w:val="en-US" w:eastAsia="zh-CN"/>
        </w:rPr>
        <w:t xml:space="preserve">patiotemporal </w:t>
      </w:r>
      <w:r>
        <w:rPr>
          <w:rFonts w:hint="default" w:ascii="Times New Roman" w:hAnsi="Times New Roman" w:cs="Times New Roman"/>
          <w:b w:val="0"/>
          <w:bCs w:val="0"/>
          <w:color w:val="auto"/>
          <w:sz w:val="24"/>
          <w:szCs w:val="24"/>
          <w:highlight w:val="none"/>
          <w:vertAlign w:val="baseline"/>
          <w:lang w:val="en-US" w:eastAsia="zh-CN"/>
        </w:rPr>
        <w:t>E</w:t>
      </w:r>
      <w:r>
        <w:rPr>
          <w:rFonts w:hint="default" w:ascii="Times New Roman" w:hAnsi="Times New Roman" w:eastAsia="宋体" w:cs="Times New Roman"/>
          <w:b w:val="0"/>
          <w:bCs w:val="0"/>
          <w:color w:val="auto"/>
          <w:sz w:val="24"/>
          <w:szCs w:val="24"/>
          <w:highlight w:val="none"/>
          <w:vertAlign w:val="baseline"/>
          <w:lang w:val="en-US" w:eastAsia="zh-CN"/>
        </w:rPr>
        <w:t>volution</w:t>
      </w:r>
      <w:r>
        <w:rPr>
          <w:rFonts w:hint="default" w:ascii="Times New Roman" w:hAnsi="Times New Roman" w:cs="Times New Roman"/>
          <w:b w:val="0"/>
          <w:bCs w:val="0"/>
          <w:color w:val="auto"/>
          <w:sz w:val="24"/>
          <w:szCs w:val="24"/>
          <w:highlight w:val="none"/>
          <w:vertAlign w:val="baseline"/>
          <w:lang w:val="en-US" w:eastAsia="zh-CN"/>
        </w:rPr>
        <w:t>.</w:t>
      </w:r>
    </w:p>
    <w:p w14:paraId="4CEAA6C3">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left"/>
        <w:textAlignment w:val="auto"/>
        <w:rPr>
          <w:rFonts w:hint="default" w:ascii="Times New Roman" w:hAnsi="Times New Roman" w:eastAsia="宋体" w:cs="Times New Roman"/>
          <w:b/>
          <w:bCs/>
          <w:color w:val="auto"/>
          <w:sz w:val="28"/>
          <w:szCs w:val="28"/>
          <w:highlight w:val="none"/>
          <w:vertAlign w:val="baseline"/>
          <w:lang w:val="en-US" w:eastAsia="zh-CN"/>
        </w:rPr>
      </w:pPr>
      <w:r>
        <w:rPr>
          <w:rFonts w:hint="default" w:ascii="Times New Roman" w:hAnsi="Times New Roman" w:eastAsia="宋体" w:cs="Times New Roman"/>
          <w:b/>
          <w:bCs/>
          <w:color w:val="auto"/>
          <w:sz w:val="28"/>
          <w:szCs w:val="28"/>
          <w:highlight w:val="none"/>
          <w:vertAlign w:val="baseline"/>
          <w:lang w:val="en-US" w:eastAsia="zh-CN"/>
        </w:rPr>
        <w:t>INTRODUCTION</w:t>
      </w:r>
    </w:p>
    <w:p w14:paraId="12656319">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At present, China's economy has developed from an era of rapid development into an era of high-quality development. With the increasing resource and environment constraints and the ongoing progress of dual carbon objectives, how to integrate economic growth and ecological protection well becomes an important problem to promote high-quality development. Financial development and technological innovation are the two major engines of economic growth and can play a pivotal role in improving the allocation of resources, upgrading industrial structures, and developing greenly.</w:t>
      </w:r>
    </w:p>
    <w:p w14:paraId="1EEF1692">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 xml:space="preserve">On the one hand, financial resources have been increasingly inclined to concentrate in particular geographic locations in recent years, and hence, financial agglomeration (FA) becomes a more and more important phenomenon affecting the development of regional economy. On the other hand, green technology innovation (GTI), which is one of the most important paths of green transformation and plays a vital role in realizing low-carbon economy, directly impacts the sustainable development ability of a region. Theoretically, FA may promote </w:t>
      </w:r>
      <w:r>
        <w:rPr>
          <w:rFonts w:hint="default" w:ascii="Times New Roman" w:hAnsi="Times New Roman" w:cs="Times New Roman"/>
          <w:b w:val="0"/>
          <w:bCs w:val="0"/>
          <w:color w:val="auto"/>
          <w:sz w:val="24"/>
          <w:szCs w:val="24"/>
          <w:highlight w:val="none"/>
          <w:vertAlign w:val="baseline"/>
          <w:lang w:val="en-US" w:eastAsia="zh-CN"/>
        </w:rPr>
        <w:t>GTI</w:t>
      </w:r>
      <w:r>
        <w:rPr>
          <w:rFonts w:hint="default" w:ascii="Times New Roman" w:hAnsi="Times New Roman" w:eastAsia="宋体" w:cs="Times New Roman"/>
          <w:b w:val="0"/>
          <w:bCs w:val="0"/>
          <w:color w:val="auto"/>
          <w:sz w:val="24"/>
          <w:szCs w:val="24"/>
          <w:highlight w:val="none"/>
          <w:vertAlign w:val="baseline"/>
          <w:lang w:val="en-US" w:eastAsia="zh-CN"/>
        </w:rPr>
        <w:t xml:space="preserve"> by means of capital supply, knowledge spillover effects, and talent agglomeration, etc., and in turn, the progress of GTI creates new demand for finance and improves the efficiency of financial resource allocation.</w:t>
      </w:r>
    </w:p>
    <w:p w14:paraId="6CEF579F">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 xml:space="preserve">Prior studies have mainly concentrated on the linkages among financial development and technology innovation, financial development and economic growth, and </w:t>
      </w:r>
      <w:r>
        <w:rPr>
          <w:rFonts w:hint="default" w:ascii="Times New Roman" w:hAnsi="Times New Roman" w:cs="Times New Roman"/>
          <w:b w:val="0"/>
          <w:bCs w:val="0"/>
          <w:color w:val="auto"/>
          <w:sz w:val="24"/>
          <w:szCs w:val="24"/>
          <w:highlight w:val="none"/>
          <w:vertAlign w:val="baseline"/>
          <w:lang w:val="en-US" w:eastAsia="zh-CN"/>
        </w:rPr>
        <w:t>GTI</w:t>
      </w:r>
      <w:r>
        <w:rPr>
          <w:rFonts w:hint="default" w:ascii="Times New Roman" w:hAnsi="Times New Roman" w:eastAsia="宋体" w:cs="Times New Roman"/>
          <w:b w:val="0"/>
          <w:bCs w:val="0"/>
          <w:color w:val="auto"/>
          <w:sz w:val="24"/>
          <w:szCs w:val="24"/>
          <w:highlight w:val="none"/>
          <w:vertAlign w:val="baseline"/>
          <w:lang w:val="en-US" w:eastAsia="zh-CN"/>
        </w:rPr>
        <w:t xml:space="preserve"> and economic development. In comparison, the literature on coordinated development between FA and GTI is still relatively limited. Even more rare are those studies that explore their coupled coordination from the perspective of interaction and evolution over space and time.</w:t>
      </w:r>
      <w:r>
        <w:rPr>
          <w:rFonts w:hint="default" w:ascii="Times New Roman" w:hAnsi="Times New Roman" w:cs="Times New Roman"/>
          <w:b w:val="0"/>
          <w:bCs w:val="0"/>
          <w:color w:val="auto"/>
          <w:sz w:val="24"/>
          <w:szCs w:val="24"/>
          <w:highlight w:val="none"/>
          <w:vertAlign w:val="baseline"/>
          <w:lang w:val="en-US" w:eastAsia="zh-CN"/>
        </w:rPr>
        <w:t xml:space="preserve"> </w:t>
      </w:r>
      <w:r>
        <w:rPr>
          <w:rFonts w:hint="default" w:ascii="Times New Roman" w:hAnsi="Times New Roman" w:eastAsia="宋体" w:cs="Times New Roman"/>
          <w:b w:val="0"/>
          <w:bCs w:val="0"/>
          <w:color w:val="auto"/>
          <w:sz w:val="24"/>
          <w:szCs w:val="24"/>
          <w:highlight w:val="none"/>
          <w:vertAlign w:val="baseline"/>
          <w:lang w:val="en-US" w:eastAsia="zh-CN"/>
        </w:rPr>
        <w:t xml:space="preserve">Moreover, significant disparities exist among China's regions in terms of financial development levels and innovation capabilities, which may lead to marked spatial heterogeneity in the coordinated development of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and </w:t>
      </w:r>
      <w:r>
        <w:rPr>
          <w:rFonts w:hint="default" w:ascii="Times New Roman" w:hAnsi="Times New Roman" w:cs="Times New Roman"/>
          <w:b w:val="0"/>
          <w:bCs w:val="0"/>
          <w:color w:val="auto"/>
          <w:sz w:val="24"/>
          <w:szCs w:val="24"/>
          <w:highlight w:val="none"/>
          <w:vertAlign w:val="baseline"/>
          <w:lang w:val="en-US" w:eastAsia="zh-CN"/>
        </w:rPr>
        <w:t>GTI</w:t>
      </w:r>
      <w:r>
        <w:rPr>
          <w:rFonts w:hint="default" w:ascii="Times New Roman" w:hAnsi="Times New Roman" w:eastAsia="宋体" w:cs="Times New Roman"/>
          <w:b w:val="0"/>
          <w:bCs w:val="0"/>
          <w:color w:val="auto"/>
          <w:sz w:val="24"/>
          <w:szCs w:val="24"/>
          <w:highlight w:val="none"/>
          <w:vertAlign w:val="baseline"/>
          <w:lang w:val="en-US" w:eastAsia="zh-CN"/>
        </w:rPr>
        <w:t xml:space="preserve">—a topic that has yet to receive sufficient attention. </w:t>
      </w:r>
    </w:p>
    <w:p w14:paraId="5906C187">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 xml:space="preserve">To address these gaps, this study investigates the spatiotemporal evolution of the coupling coordination degree </w:t>
      </w:r>
      <w:r>
        <w:rPr>
          <w:rFonts w:hint="default" w:ascii="Times New Roman" w:hAnsi="Times New Roman" w:cs="Times New Roman"/>
          <w:b w:val="0"/>
          <w:bCs w:val="0"/>
          <w:color w:val="auto"/>
          <w:sz w:val="24"/>
          <w:szCs w:val="24"/>
          <w:highlight w:val="none"/>
          <w:vertAlign w:val="baseline"/>
          <w:lang w:val="en-US" w:eastAsia="zh-CN"/>
        </w:rPr>
        <w:t xml:space="preserve">(CCD) </w:t>
      </w:r>
      <w:r>
        <w:rPr>
          <w:rFonts w:hint="default" w:ascii="Times New Roman" w:hAnsi="Times New Roman" w:eastAsia="宋体" w:cs="Times New Roman"/>
          <w:b w:val="0"/>
          <w:bCs w:val="0"/>
          <w:color w:val="auto"/>
          <w:sz w:val="24"/>
          <w:szCs w:val="24"/>
          <w:highlight w:val="none"/>
          <w:vertAlign w:val="baseline"/>
          <w:lang w:val="en-US" w:eastAsia="zh-CN"/>
        </w:rPr>
        <w:t xml:space="preserve">between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and </w:t>
      </w:r>
      <w:r>
        <w:rPr>
          <w:rFonts w:hint="default" w:ascii="Times New Roman" w:hAnsi="Times New Roman" w:cs="Times New Roman"/>
          <w:b w:val="0"/>
          <w:bCs w:val="0"/>
          <w:color w:val="auto"/>
          <w:sz w:val="24"/>
          <w:szCs w:val="24"/>
          <w:highlight w:val="none"/>
          <w:vertAlign w:val="baseline"/>
          <w:lang w:val="en-US" w:eastAsia="zh-CN"/>
        </w:rPr>
        <w:t>GTI</w:t>
      </w:r>
      <w:r>
        <w:rPr>
          <w:rFonts w:hint="default" w:ascii="Times New Roman" w:hAnsi="Times New Roman" w:eastAsia="宋体" w:cs="Times New Roman"/>
          <w:b w:val="0"/>
          <w:bCs w:val="0"/>
          <w:color w:val="auto"/>
          <w:sz w:val="24"/>
          <w:szCs w:val="24"/>
          <w:highlight w:val="none"/>
          <w:vertAlign w:val="baseline"/>
          <w:lang w:val="en-US" w:eastAsia="zh-CN"/>
        </w:rPr>
        <w:t xml:space="preserve"> in China, with particular attention to its temporal evolution, development types, and spatial distribution characteristics.</w:t>
      </w:r>
    </w:p>
    <w:p w14:paraId="60074588">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both"/>
        <w:textAlignment w:val="auto"/>
        <w:rPr>
          <w:rFonts w:hint="default" w:ascii="Times New Roman" w:hAnsi="Times New Roman" w:eastAsia="宋体" w:cs="Times New Roman"/>
          <w:b/>
          <w:bCs/>
          <w:color w:val="auto"/>
          <w:sz w:val="28"/>
          <w:szCs w:val="28"/>
          <w:highlight w:val="none"/>
          <w:vertAlign w:val="baseline"/>
          <w:lang w:val="en-US" w:eastAsia="zh-CN"/>
        </w:rPr>
      </w:pPr>
      <w:r>
        <w:rPr>
          <w:rFonts w:hint="default" w:ascii="Times New Roman" w:hAnsi="Times New Roman" w:eastAsia="宋体" w:cs="Times New Roman"/>
          <w:b/>
          <w:bCs/>
          <w:color w:val="auto"/>
          <w:sz w:val="28"/>
          <w:szCs w:val="28"/>
          <w:highlight w:val="none"/>
          <w:vertAlign w:val="baseline"/>
          <w:lang w:val="en-US" w:eastAsia="zh-CN"/>
        </w:rPr>
        <w:t>LITERATURE REVIEW</w:t>
      </w:r>
    </w:p>
    <w:p w14:paraId="47E55F4E">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Connotation and Measurement of Financial Agglomeration</w:t>
      </w:r>
    </w:p>
    <w:p w14:paraId="512579B5">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 xml:space="preserve">When financial development reaches a certain level, the characteristics of the financial industry itself will drive all kinds of financial resources to tend to cluster in a certain area, thus forming the phenomenon of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Regarding the connotation of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there are mainly two different ways to define it. One is to define the connotation of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from the dynamic or process level.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is the formation process or development dynamic of the cluster that financial activities or financial institutions create and maintain through some kind of circular logic (Krugman, 1991; Pandit et al.,2001). The other is to define the connotation of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from the static or result level.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is a special industrial structure in which interconnected financial institutions, including financial regulatory authorities, financial enterprises and financial intermediaries, are geographically concentrated in a specific region and have close links with other industries (Kindleberger, 1978; Porter, 1998; Buera et al., 2008).</w:t>
      </w:r>
    </w:p>
    <w:p w14:paraId="72B6F6DC">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 xml:space="preserve">Regarding the measurement of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existing studies primarily employ two approaches: single-indicator methods and comprehensive indicator systems. Single-indicator methods mainly include metrics such as the Herfindahl index (Herfindahl, 1997), spatial Gini coefficient (Krugman, 1991), and location entropy (Haggett, 1965;</w:t>
      </w:r>
      <w:r>
        <w:rPr>
          <w:rFonts w:hint="default" w:ascii="Times New Roman" w:hAnsi="Times New Roman" w:cs="Times New Roman"/>
          <w:b w:val="0"/>
          <w:bCs w:val="0"/>
          <w:color w:val="auto"/>
          <w:sz w:val="24"/>
          <w:szCs w:val="24"/>
          <w:highlight w:val="none"/>
          <w:vertAlign w:val="baseline"/>
          <w:lang w:val="en-US" w:eastAsia="zh-CN"/>
        </w:rPr>
        <w:t xml:space="preserve"> </w:t>
      </w:r>
      <w:r>
        <w:rPr>
          <w:rFonts w:hint="default" w:ascii="Times New Roman" w:hAnsi="Times New Roman" w:eastAsia="宋体" w:cs="Times New Roman"/>
          <w:b w:val="0"/>
          <w:bCs w:val="0"/>
          <w:color w:val="auto"/>
          <w:sz w:val="24"/>
          <w:szCs w:val="24"/>
          <w:highlight w:val="none"/>
          <w:vertAlign w:val="baseline"/>
          <w:lang w:val="en-US" w:eastAsia="zh-CN"/>
        </w:rPr>
        <w:t xml:space="preserve">Zhang et al., 2019), which assess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from perspectives including industrial concentration, spatial distribution, and specialization. Nevertheless, there is a limit to single indicators' ability to reflect the multifaceted essence of FA. To address the problem, scholars have increasingly turned to comprehensive indicator systems for the construction of FA evaluation framework according to factors including the scale of finance, the efficiency of finance, financial markets, and financial environment. In the course of measuring the level of FA, these FA evaluation frameworks have applied approaches such as principal component analysis (Ding et al., 2009), factor analysis (Li &amp; Bai, 2014), and entropy approach (Wen et al., 2023). In comparison with single indicators, comprehensive indicators better reflect the development of regional FA.</w:t>
      </w:r>
    </w:p>
    <w:p w14:paraId="2AF7C6AC">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Connotation and Measurement of Green Technology Innovation</w:t>
      </w:r>
    </w:p>
    <w:p w14:paraId="760995D1">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cs="Times New Roman"/>
          <w:b w:val="0"/>
          <w:bCs w:val="0"/>
          <w:color w:val="auto"/>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vertAlign w:val="baseline"/>
          <w:lang w:val="en-US" w:eastAsia="zh-CN"/>
        </w:rPr>
        <w:t>GTI is a kind of innovative activities in which the targets of resource saving and environment protection are integrated into the conventional technological innovation. It was introduced in the 1990s due to the prevalence of green development concept. For the first time, the idea of green technology was put forward by Braun and Wield (1994), and they claimed that green technology is a kind of technological innovation activities which not only satisfy the requirement of economic development but also consider the requirements of environment protection. According to Beise and Rennings (2005) and Horbach et al. (2012), GTI involves innovative products, process, organization, and marketing modes which can help reduce environmental pollution and resource consumption. From China's "Guidelines for Building a Market-Oriented Green Technological Innovation System" (2019), we learn that GTI is an innovative activity which focuses on energy conservation, emission reduction, pollution control and ecological improvement, and it plays an important role in pushing economy toward green transformation and high-quality development.</w:t>
      </w:r>
    </w:p>
    <w:p w14:paraId="5D16CE0D">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vertAlign w:val="baseline"/>
          <w:lang w:val="en-US" w:eastAsia="zh-CN"/>
        </w:rPr>
        <w:t>In terms of measuring GTI, the current researches mainly use two kinds of methods, which are single indicator method and comprehensive index system method.</w:t>
      </w:r>
      <w:r>
        <w:rPr>
          <w:rFonts w:hint="default" w:ascii="Times New Roman" w:hAnsi="Times New Roman" w:eastAsia="宋体" w:cs="Times New Roman"/>
          <w:b w:val="0"/>
          <w:bCs w:val="0"/>
          <w:color w:val="auto"/>
          <w:sz w:val="24"/>
          <w:szCs w:val="24"/>
          <w:highlight w:val="none"/>
          <w:vertAlign w:val="baseline"/>
          <w:lang w:val="en-US" w:eastAsia="zh-CN"/>
        </w:rPr>
        <w:t xml:space="preserve"> The single indicator method typically selects indicators such as the number of green patent applications (Zheng et al., 2026), the number of green patent authorizations (Faber &amp; Frenken, 2009), and R&amp;D investment (Hall &amp; Helmers, 2013) to measure the level of </w:t>
      </w:r>
      <w:r>
        <w:rPr>
          <w:rFonts w:hint="default" w:ascii="Times New Roman" w:hAnsi="Times New Roman" w:cs="Times New Roman"/>
          <w:b w:val="0"/>
          <w:bCs w:val="0"/>
          <w:color w:val="auto"/>
          <w:sz w:val="24"/>
          <w:szCs w:val="24"/>
          <w:highlight w:val="none"/>
          <w:vertAlign w:val="baseline"/>
          <w:lang w:val="en-US" w:eastAsia="zh-CN"/>
        </w:rPr>
        <w:t>GTI</w:t>
      </w:r>
      <w:r>
        <w:rPr>
          <w:rFonts w:hint="default" w:ascii="Times New Roman" w:hAnsi="Times New Roman" w:eastAsia="宋体" w:cs="Times New Roman"/>
          <w:b w:val="0"/>
          <w:bCs w:val="0"/>
          <w:color w:val="auto"/>
          <w:sz w:val="24"/>
          <w:szCs w:val="24"/>
          <w:highlight w:val="none"/>
          <w:vertAlign w:val="baseline"/>
          <w:lang w:val="en-US" w:eastAsia="zh-CN"/>
        </w:rPr>
        <w:t xml:space="preserve">. However, </w:t>
      </w:r>
      <w:r>
        <w:rPr>
          <w:rFonts w:hint="default" w:ascii="Times New Roman" w:hAnsi="Times New Roman" w:cs="Times New Roman"/>
          <w:b w:val="0"/>
          <w:bCs w:val="0"/>
          <w:color w:val="auto"/>
          <w:sz w:val="24"/>
          <w:szCs w:val="24"/>
          <w:highlight w:val="none"/>
          <w:vertAlign w:val="baseline"/>
          <w:lang w:val="en-US" w:eastAsia="zh-CN"/>
        </w:rPr>
        <w:t>GTI</w:t>
      </w:r>
      <w:r>
        <w:rPr>
          <w:rFonts w:hint="default" w:ascii="Times New Roman" w:hAnsi="Times New Roman" w:eastAsia="宋体" w:cs="Times New Roman"/>
          <w:b w:val="0"/>
          <w:bCs w:val="0"/>
          <w:color w:val="auto"/>
          <w:sz w:val="24"/>
          <w:szCs w:val="24"/>
          <w:highlight w:val="none"/>
          <w:vertAlign w:val="baseline"/>
          <w:lang w:val="en-US" w:eastAsia="zh-CN"/>
        </w:rPr>
        <w:t xml:space="preserve"> has dual attributes of economic benefits and environmental benefits, and a single indicator is unable to comprehensively reflect its development status. Therefore, more and more scholars have adopted comprehensive index system methods, constructing evaluation systems from dimensions such as innovation foundation, innovation input, and innovation output, and using methods such as principal component analysis (Xu &amp; Wang, 2017) and entropy method (Miao et al., 2021) to calculate the level of </w:t>
      </w:r>
      <w:r>
        <w:rPr>
          <w:rFonts w:hint="default" w:ascii="Times New Roman" w:hAnsi="Times New Roman" w:cs="Times New Roman"/>
          <w:b w:val="0"/>
          <w:bCs w:val="0"/>
          <w:color w:val="auto"/>
          <w:sz w:val="24"/>
          <w:szCs w:val="24"/>
          <w:highlight w:val="none"/>
          <w:vertAlign w:val="baseline"/>
          <w:lang w:val="en-US" w:eastAsia="zh-CN"/>
        </w:rPr>
        <w:t>GTI</w:t>
      </w:r>
      <w:r>
        <w:rPr>
          <w:rFonts w:hint="default" w:ascii="Times New Roman" w:hAnsi="Times New Roman" w:eastAsia="宋体" w:cs="Times New Roman"/>
          <w:b w:val="0"/>
          <w:bCs w:val="0"/>
          <w:color w:val="auto"/>
          <w:sz w:val="24"/>
          <w:szCs w:val="24"/>
          <w:highlight w:val="none"/>
          <w:vertAlign w:val="baseline"/>
          <w:lang w:val="en-US" w:eastAsia="zh-CN"/>
        </w:rPr>
        <w:t xml:space="preserve">. Compared with the single indicator method, the comprehensive evaluation method can more comprehensively reflect the development level of regional </w:t>
      </w:r>
      <w:r>
        <w:rPr>
          <w:rFonts w:hint="default" w:ascii="Times New Roman" w:hAnsi="Times New Roman" w:cs="Times New Roman"/>
          <w:b w:val="0"/>
          <w:bCs w:val="0"/>
          <w:color w:val="auto"/>
          <w:sz w:val="24"/>
          <w:szCs w:val="24"/>
          <w:highlight w:val="none"/>
          <w:vertAlign w:val="baseline"/>
          <w:lang w:val="en-US" w:eastAsia="zh-CN"/>
        </w:rPr>
        <w:t>GTI</w:t>
      </w:r>
      <w:r>
        <w:rPr>
          <w:rFonts w:hint="default" w:ascii="Times New Roman" w:hAnsi="Times New Roman" w:eastAsia="宋体" w:cs="Times New Roman"/>
          <w:b w:val="0"/>
          <w:bCs w:val="0"/>
          <w:color w:val="auto"/>
          <w:sz w:val="24"/>
          <w:szCs w:val="24"/>
          <w:highlight w:val="none"/>
          <w:vertAlign w:val="baseline"/>
          <w:lang w:val="en-US" w:eastAsia="zh-CN"/>
        </w:rPr>
        <w:t xml:space="preserve"> and has become the mainstream choice in current research.</w:t>
      </w:r>
    </w:p>
    <w:p w14:paraId="782CB880">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Relationship between Financial Agglomeration and Green Technology Innovation</w:t>
      </w:r>
    </w:p>
    <w:p w14:paraId="6E34F780">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 xml:space="preserve">In the evolution of research on the relationship between FA and GTI, early studies primarily focused on the effects of financial development on technological innovation (Schumpeter, 1934; Levine, 1997), the influence of technological innovation on financial development (Berger, 2003), and their bidirectional interactions (Yu, 2013). In addition, some scholars specifically examined the relationship between financial development and GTI (Ye &amp; Cheng, 2019). Since then, more research has been conducted to evaluate the influence of FA on technology innovation (Li &amp; Hu, 2017), the impact of technology innovation on FA (Luo, 2012), and the spillover effects between them (Wen et al., 2023). </w:t>
      </w:r>
    </w:p>
    <w:p w14:paraId="57642253">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According to a literature review, there are not many pieces of research that examine the association between FA and GTI, and those that do, show ambiguous results. According to Lu (2021), FA has a substantial positive effect on regional green innovation efficiency</w:t>
      </w:r>
      <w:r>
        <w:rPr>
          <w:rFonts w:hint="default" w:ascii="Times New Roman" w:hAnsi="Times New Roman" w:cs="Times New Roman"/>
          <w:b w:val="0"/>
          <w:bCs w:val="0"/>
          <w:color w:val="auto"/>
          <w:sz w:val="24"/>
          <w:szCs w:val="24"/>
          <w:highlight w:val="none"/>
          <w:vertAlign w:val="baseline"/>
          <w:lang w:val="en-US" w:eastAsia="zh-CN"/>
        </w:rPr>
        <w:t xml:space="preserve">. </w:t>
      </w:r>
      <w:r>
        <w:rPr>
          <w:rFonts w:hint="default" w:ascii="Times New Roman" w:hAnsi="Times New Roman" w:eastAsia="宋体" w:cs="Times New Roman"/>
          <w:b w:val="0"/>
          <w:bCs w:val="0"/>
          <w:color w:val="auto"/>
          <w:sz w:val="24"/>
          <w:szCs w:val="24"/>
          <w:highlight w:val="none"/>
          <w:vertAlign w:val="baseline"/>
          <w:lang w:val="en-US" w:eastAsia="zh-CN"/>
        </w:rPr>
        <w:t>Zhang and Wang (2021) reported that FA has no significant impact on GTI efficiency at the technology commercialisation stage, but significantly enhances GTI efficiency during the research and development stage. Feng (2022) suggested that FA influences green economic efficiency through the mediating role of GTI.</w:t>
      </w:r>
    </w:p>
    <w:p w14:paraId="307159EF">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Some studies have emphasised the mediating role of FA in facilitating GTI. In the context of the digital economy promoting GTI (Jiang &amp; Chen, 2023) and big data driving innovation processes (Jin et al., 2021), FA has been shown to play a significant mediating role. FA enhances GTI capacity through synergistic interactions with environmental regulations and exhibits significant spatial spillover effects. This enhancement effect varies across cities with differing levels of economic development and regional characteristics (Yao &amp; Wang, 2022).</w:t>
      </w:r>
    </w:p>
    <w:p w14:paraId="6AE79492">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 xml:space="preserve">In summary, current research generally agrees that there is a mutually reinforcing relationship between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and </w:t>
      </w:r>
      <w:r>
        <w:rPr>
          <w:rFonts w:hint="default" w:ascii="Times New Roman" w:hAnsi="Times New Roman" w:cs="Times New Roman"/>
          <w:b w:val="0"/>
          <w:bCs w:val="0"/>
          <w:color w:val="auto"/>
          <w:sz w:val="24"/>
          <w:szCs w:val="24"/>
          <w:highlight w:val="none"/>
          <w:vertAlign w:val="baseline"/>
          <w:lang w:val="en-US" w:eastAsia="zh-CN"/>
        </w:rPr>
        <w:t>GTI</w:t>
      </w:r>
      <w:r>
        <w:rPr>
          <w:rFonts w:hint="default" w:ascii="Times New Roman" w:hAnsi="Times New Roman" w:eastAsia="宋体" w:cs="Times New Roman"/>
          <w:b w:val="0"/>
          <w:bCs w:val="0"/>
          <w:color w:val="auto"/>
          <w:sz w:val="24"/>
          <w:szCs w:val="24"/>
          <w:highlight w:val="none"/>
          <w:vertAlign w:val="baseline"/>
          <w:lang w:val="en-US" w:eastAsia="zh-CN"/>
        </w:rPr>
        <w:t xml:space="preserve">. However, most of the studies focus on the analysis of the impact effects and the mechanism of action, and pay relatively less attention to the collaborative development relationship of the two as two separate systems. Especially, studies that examine the interactive relationship between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and </w:t>
      </w:r>
      <w:r>
        <w:rPr>
          <w:rFonts w:hint="default" w:ascii="Times New Roman" w:hAnsi="Times New Roman" w:cs="Times New Roman"/>
          <w:b w:val="0"/>
          <w:bCs w:val="0"/>
          <w:color w:val="auto"/>
          <w:sz w:val="24"/>
          <w:szCs w:val="24"/>
          <w:highlight w:val="none"/>
          <w:vertAlign w:val="baseline"/>
          <w:lang w:val="en-US" w:eastAsia="zh-CN"/>
        </w:rPr>
        <w:t>GTI</w:t>
      </w:r>
      <w:r>
        <w:rPr>
          <w:rFonts w:hint="default" w:ascii="Times New Roman" w:hAnsi="Times New Roman" w:eastAsia="宋体" w:cs="Times New Roman"/>
          <w:b w:val="0"/>
          <w:bCs w:val="0"/>
          <w:color w:val="auto"/>
          <w:sz w:val="24"/>
          <w:szCs w:val="24"/>
          <w:highlight w:val="none"/>
          <w:vertAlign w:val="baseline"/>
          <w:lang w:val="en-US" w:eastAsia="zh-CN"/>
        </w:rPr>
        <w:t xml:space="preserve"> from the perspective of coupling coordination, and further analyze its spatio-temporal evolution characteristics </w:t>
      </w:r>
      <w:r>
        <w:rPr>
          <w:rFonts w:hint="default" w:ascii="Times New Roman" w:hAnsi="Times New Roman" w:cs="Times New Roman"/>
          <w:b w:val="0"/>
          <w:bCs w:val="0"/>
          <w:color w:val="auto"/>
          <w:sz w:val="24"/>
          <w:szCs w:val="24"/>
          <w:highlight w:val="none"/>
          <w:vertAlign w:val="baseline"/>
          <w:lang w:val="en-US" w:eastAsia="zh-CN"/>
        </w:rPr>
        <w:t>is</w:t>
      </w:r>
      <w:r>
        <w:rPr>
          <w:rFonts w:hint="default" w:ascii="Times New Roman" w:hAnsi="Times New Roman" w:eastAsia="宋体" w:cs="Times New Roman"/>
          <w:b w:val="0"/>
          <w:bCs w:val="0"/>
          <w:color w:val="auto"/>
          <w:sz w:val="24"/>
          <w:szCs w:val="24"/>
          <w:highlight w:val="none"/>
          <w:vertAlign w:val="baseline"/>
          <w:lang w:val="en-US" w:eastAsia="zh-CN"/>
        </w:rPr>
        <w:t xml:space="preserve"> still relatively scarce. This provides an entry point for our research.</w:t>
      </w:r>
    </w:p>
    <w:p w14:paraId="0376815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Coupling Coordination Theory</w:t>
      </w:r>
    </w:p>
    <w:p w14:paraId="4CCE896C">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sz w:val="24"/>
          <w:szCs w:val="24"/>
          <w:highlight w:val="none"/>
          <w:shd w:val="clear" w:color="auto" w:fill="FFFFFF" w:themeFill="background1"/>
        </w:rPr>
        <w:t xml:space="preserve">Coupling coordination theory is a systems-based theoretical framework that emphasises the interdependence and interactive mechanisms among multiple subsystems, examining how individual elements, through synergistic effects, contribute to the orderly and stable development of the system during dynamic evolution </w:t>
      </w:r>
      <w:r>
        <w:rPr>
          <w:rFonts w:hint="default" w:ascii="Times New Roman" w:hAnsi="Times New Roman"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ADDIN ZOTERO_ITEM CSL_CITATION {"citationID":"R2tbyTDd","properties":{"formattedCitation":"(T. Lin et al., 2024a)","plainCitation":"(T. Lin et al., 2024a)","dontUpdate":true,"noteIndex":0},"citationItems":[{"id":4297,"uris":["http://zotero.org/users/11391010/items/UQT6S4KM"],"itemData":{"id":4297,"type":"article-journal","abstract":"The coordinated development of green finance (GF) and the renewable energy industry (REI) is crucial for accelerating energy transition and mitigating climate change. However, the existing literature has overlooked the bidirectional relationship between GF and REI. Using provincial data from 2007 to 2019, this study investigates the coupling coordination degree of GF and REI (GRCC) and its spatiotemporal distribution characteristics and driving factors. The findings indicate that both GF and REI experienced stable growth during the study period, but REI lagged behind GF, and their spatial distribution displayed asymmetrical characteristics. Although GRCC exhibited a stable growth trend and slight coordination at both national and regional levels, it displayed large interprovincial differences and spatial agglomeration characteristics. Notably, high GRCC values were primarily concentrated in a few provinces in southwest and south-central regions, spreading to the east. Furthermore, financial development, renewable energy endowment, economy scale, technological innovation, environmental regulation, and fiscal expenditure were identified as the main drivers of GRCC. This study provides a Chinese case study for global energy transition and introduces new ideas for synergy between REI and GF policies.","call-number":"1","citation-key":"linCouplingCoordinatedDevelopment2024","container-title":"Renewable Energy","DOI":"10.1016/j.renene.2024.121255","ISSN":"09601481","journalAbbreviation":"Renewable Energy","language":"en","page":"121255","source":"9.1","title":"Coupling and coordinated development of green finance and renewable energy industry in China: spatiotemporal differentiation and driving factors","title-short":"Coupling and coordinated development of green finance and renewable energy industry in China","volume":"235","author":[{"family":"Lin","given":"Tao"},{"family":"Zhang","given":"Ling"},{"family":"Li","given":"Jianglong"}],"issued":{"date-parts":[["2024",11]]}}}],"schema":"https://github.com/citation-style-language/schema/raw/master/csl-citation.json"} </w:instrText>
      </w:r>
      <w:r>
        <w:rPr>
          <w:rFonts w:hint="default" w:ascii="Times New Roman" w:hAnsi="Times New Roman"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rPr>
        <w:t>(Lin et al., 2024)</w:t>
      </w:r>
      <w:r>
        <w:rPr>
          <w:rFonts w:hint="default" w:ascii="Times New Roman" w:hAnsi="Times New Roman" w:cs="Times New Roman"/>
          <w:color w:val="auto"/>
          <w:sz w:val="24"/>
          <w:szCs w:val="24"/>
          <w:highlight w:val="none"/>
          <w:shd w:val="clear" w:color="auto" w:fill="FFFFFF" w:themeFill="background1"/>
        </w:rPr>
        <w:fldChar w:fldCharType="end"/>
      </w:r>
      <w:r>
        <w:rPr>
          <w:rFonts w:hint="default" w:ascii="Times New Roman" w:hAnsi="Times New Roman" w:cs="Times New Roman"/>
          <w:color w:val="auto"/>
          <w:sz w:val="24"/>
          <w:szCs w:val="24"/>
          <w:highlight w:val="none"/>
          <w:shd w:val="clear" w:color="auto" w:fill="FFFFFF" w:themeFill="background1"/>
        </w:rPr>
        <w:t>.</w:t>
      </w:r>
      <w:r>
        <w:rPr>
          <w:rFonts w:hint="default" w:ascii="Times New Roman" w:hAnsi="Times New Roman" w:cs="Times New Roman"/>
          <w:color w:val="auto"/>
          <w:sz w:val="24"/>
          <w:szCs w:val="24"/>
          <w:highlight w:val="none"/>
          <w:shd w:val="clear" w:color="auto" w:fill="FFFFFF" w:themeFill="background1"/>
          <w:lang w:val="en-US" w:eastAsia="zh-CN"/>
        </w:rPr>
        <w:t xml:space="preserve"> </w:t>
      </w:r>
      <w:r>
        <w:rPr>
          <w:rFonts w:hint="default" w:ascii="Times New Roman" w:hAnsi="Times New Roman" w:cs="Times New Roman"/>
          <w:color w:val="auto"/>
          <w:sz w:val="24"/>
          <w:szCs w:val="24"/>
          <w:highlight w:val="none"/>
          <w:shd w:val="clear" w:color="auto" w:fill="FFFFFF" w:themeFill="background1"/>
        </w:rPr>
        <w:t>The concepts underlying coupling coordination theory have been applied across various fields, including economics, the social sciences, and the natural sciences, thereby establishing it as an interdisciplinary analytical approach (Wang et al., 2021).</w:t>
      </w:r>
    </w:p>
    <w:p w14:paraId="6B20383B">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sz w:val="24"/>
          <w:szCs w:val="24"/>
          <w:highlight w:val="none"/>
          <w:shd w:val="clear" w:color="auto" w:fill="FFFFFF" w:themeFill="background1"/>
        </w:rPr>
        <w:t xml:space="preserve">The concept of "coupling" originated from physics and is used to describe the phenomenon where two or more systems form an interrelated relationship through mutual connection and interaction. This refers to the </w:t>
      </w:r>
      <w:r>
        <w:rPr>
          <w:rFonts w:hint="default" w:ascii="Times New Roman" w:hAnsi="Times New Roman" w:cs="Times New Roman"/>
          <w:color w:val="auto"/>
          <w:sz w:val="24"/>
          <w:szCs w:val="24"/>
          <w:highlight w:val="none"/>
          <w:shd w:val="clear" w:color="auto" w:fill="FFFFFF" w:themeFill="background1"/>
          <w:lang w:val="en-US" w:eastAsia="zh-CN"/>
        </w:rPr>
        <w:t>interaction</w:t>
      </w:r>
      <w:r>
        <w:rPr>
          <w:rFonts w:hint="default" w:ascii="Times New Roman" w:hAnsi="Times New Roman" w:cs="Times New Roman"/>
          <w:color w:val="auto"/>
          <w:sz w:val="24"/>
          <w:szCs w:val="24"/>
          <w:highlight w:val="none"/>
          <w:shd w:val="clear" w:color="auto" w:fill="FFFFFF" w:themeFill="background1"/>
        </w:rPr>
        <w:t xml:space="preserve"> process in which a system transforms from an unorganized condition to an organized one (Glassman, 1973).</w:t>
      </w:r>
      <w:r>
        <w:rPr>
          <w:rFonts w:hint="eastAsia" w:cs="Times New Roman"/>
          <w:color w:val="auto"/>
          <w:sz w:val="24"/>
          <w:szCs w:val="24"/>
          <w:highlight w:val="none"/>
          <w:shd w:val="clear" w:color="auto" w:fill="FFFFFF" w:themeFill="background1"/>
          <w:lang w:val="en-US" w:eastAsia="zh-CN"/>
        </w:rPr>
        <w:t xml:space="preserve"> </w:t>
      </w:r>
      <w:r>
        <w:rPr>
          <w:rFonts w:hint="default" w:ascii="Times New Roman" w:hAnsi="Times New Roman" w:cs="Times New Roman"/>
          <w:color w:val="auto"/>
          <w:sz w:val="24"/>
          <w:szCs w:val="24"/>
          <w:highlight w:val="none"/>
          <w:shd w:val="clear" w:color="auto" w:fill="FFFFFF" w:themeFill="background1"/>
        </w:rPr>
        <w:t>“Coordination” mainly emphasizes the situation in which different subsystems can have mutual promotion, interaction, and coordination during their development process, showing the orderliness and stability in the development of the entire system.</w:t>
      </w:r>
    </w:p>
    <w:p w14:paraId="6918D7A5">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sz w:val="24"/>
          <w:szCs w:val="24"/>
          <w:highlight w:val="none"/>
          <w:shd w:val="clear" w:color="auto" w:fill="FFFFFF" w:themeFill="background1"/>
        </w:rPr>
        <w:t>The coupling degree only can be used in reflecting the degree of interdependence and the extent of interaction between systems; meanwhile, it cannot reflect the coordinated development degree of these systems. To address such a problem, the notion of coupling coordination degree (CCD) was proposed. The higher the CCD value is, the more coordinated development can take place in these subsystems in terms of resource sharing, functional complementarity and coordination development; conversely, the lower the CCD value is, the development imbalance and mutual constraint exist among systems, which will make it hard to create synergic effects.</w:t>
      </w:r>
    </w:p>
    <w:p w14:paraId="611988C7">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sz w:val="24"/>
          <w:szCs w:val="24"/>
          <w:highlight w:val="none"/>
          <w:shd w:val="clear" w:color="auto" w:fill="FFFFFF" w:themeFill="background1"/>
        </w:rPr>
        <w:t>FA and GTI are specific states of the financial system and innovation system respectively, and there is a clear two-way interaction relationship between FA and GTI.</w:t>
      </w:r>
      <w:r>
        <w:rPr>
          <w:rFonts w:hint="eastAsia" w:cs="Times New Roman"/>
          <w:color w:val="auto"/>
          <w:sz w:val="24"/>
          <w:szCs w:val="24"/>
          <w:highlight w:val="none"/>
          <w:shd w:val="clear" w:color="auto" w:fill="FFFFFF" w:themeFill="background1"/>
          <w:lang w:val="en-US" w:eastAsia="zh-CN"/>
        </w:rPr>
        <w:t xml:space="preserve"> </w:t>
      </w:r>
      <w:r>
        <w:rPr>
          <w:rFonts w:hint="default" w:ascii="Times New Roman" w:hAnsi="Times New Roman" w:cs="Times New Roman"/>
          <w:color w:val="auto"/>
          <w:sz w:val="24"/>
          <w:szCs w:val="24"/>
          <w:highlight w:val="none"/>
          <w:shd w:val="clear" w:color="auto" w:fill="FFFFFF" w:themeFill="background1"/>
        </w:rPr>
        <w:t xml:space="preserve">On one hand, </w:t>
      </w:r>
      <w:r>
        <w:rPr>
          <w:rFonts w:hint="default" w:ascii="Times New Roman" w:hAnsi="Times New Roman" w:cs="Times New Roman"/>
          <w:color w:val="auto"/>
          <w:sz w:val="24"/>
          <w:szCs w:val="24"/>
          <w:highlight w:val="none"/>
          <w:shd w:val="clear" w:color="auto" w:fill="FFFFFF" w:themeFill="background1"/>
          <w:lang w:eastAsia="zh-CN"/>
        </w:rPr>
        <w:t>FA</w:t>
      </w:r>
      <w:r>
        <w:rPr>
          <w:rFonts w:hint="default" w:ascii="Times New Roman" w:hAnsi="Times New Roman" w:cs="Times New Roman"/>
          <w:color w:val="auto"/>
          <w:sz w:val="24"/>
          <w:szCs w:val="24"/>
          <w:highlight w:val="none"/>
          <w:shd w:val="clear" w:color="auto" w:fill="FFFFFF" w:themeFill="background1"/>
        </w:rPr>
        <w:t xml:space="preserve"> provides financial support and an innovative environment for </w:t>
      </w:r>
      <w:r>
        <w:rPr>
          <w:rFonts w:hint="default" w:ascii="Times New Roman" w:hAnsi="Times New Roman" w:cs="Times New Roman"/>
          <w:color w:val="auto"/>
          <w:sz w:val="24"/>
          <w:szCs w:val="24"/>
          <w:highlight w:val="none"/>
          <w:shd w:val="clear" w:color="auto" w:fill="FFFFFF" w:themeFill="background1"/>
          <w:lang w:eastAsia="zh-CN"/>
        </w:rPr>
        <w:t>GTI</w:t>
      </w:r>
      <w:r>
        <w:rPr>
          <w:rFonts w:hint="default" w:ascii="Times New Roman" w:hAnsi="Times New Roman" w:cs="Times New Roman"/>
          <w:color w:val="auto"/>
          <w:sz w:val="24"/>
          <w:szCs w:val="24"/>
          <w:highlight w:val="none"/>
          <w:shd w:val="clear" w:color="auto" w:fill="FFFFFF" w:themeFill="background1"/>
        </w:rPr>
        <w:t xml:space="preserve"> through mechanisms such as capital agglomeration, optimized resource allocation, knowledge spillover, and specialized division of labor. On the other hand, the development of </w:t>
      </w:r>
      <w:r>
        <w:rPr>
          <w:rFonts w:hint="default" w:ascii="Times New Roman" w:hAnsi="Times New Roman" w:cs="Times New Roman"/>
          <w:color w:val="auto"/>
          <w:sz w:val="24"/>
          <w:szCs w:val="24"/>
          <w:highlight w:val="none"/>
          <w:shd w:val="clear" w:color="auto" w:fill="FFFFFF" w:themeFill="background1"/>
          <w:lang w:eastAsia="zh-CN"/>
        </w:rPr>
        <w:t>GTI</w:t>
      </w:r>
      <w:r>
        <w:rPr>
          <w:rFonts w:hint="default" w:ascii="Times New Roman" w:hAnsi="Times New Roman" w:cs="Times New Roman"/>
          <w:color w:val="auto"/>
          <w:sz w:val="24"/>
          <w:szCs w:val="24"/>
          <w:highlight w:val="none"/>
          <w:shd w:val="clear" w:color="auto" w:fill="FFFFFF" w:themeFill="background1"/>
        </w:rPr>
        <w:t xml:space="preserve"> creates new financing demands, improves capital allocation efficiency, and attracts further financial resource agglomeration. The two form a mutually reinforcing and coordinated development relationship through factor flow, resource sharing, and functional complementarity.</w:t>
      </w:r>
    </w:p>
    <w:p w14:paraId="71E69737">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both"/>
        <w:textAlignment w:val="auto"/>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sz w:val="24"/>
          <w:szCs w:val="24"/>
          <w:highlight w:val="none"/>
          <w:shd w:val="clear" w:color="auto" w:fill="FFFFFF" w:themeFill="background1"/>
        </w:rPr>
        <w:t xml:space="preserve">Based on the coupling coordination theory, </w:t>
      </w:r>
      <w:r>
        <w:rPr>
          <w:rFonts w:hint="default" w:ascii="Times New Roman" w:hAnsi="Times New Roman" w:cs="Times New Roman"/>
          <w:color w:val="auto"/>
          <w:sz w:val="24"/>
          <w:szCs w:val="24"/>
          <w:highlight w:val="none"/>
          <w:shd w:val="clear" w:color="auto" w:fill="FFFFFF" w:themeFill="background1"/>
          <w:lang w:eastAsia="zh-CN"/>
        </w:rPr>
        <w:t>FA</w:t>
      </w:r>
      <w:r>
        <w:rPr>
          <w:rFonts w:hint="default" w:ascii="Times New Roman" w:hAnsi="Times New Roman" w:cs="Times New Roman"/>
          <w:color w:val="auto"/>
          <w:sz w:val="24"/>
          <w:szCs w:val="24"/>
          <w:highlight w:val="none"/>
          <w:shd w:val="clear" w:color="auto" w:fill="FFFFFF" w:themeFill="background1"/>
        </w:rPr>
        <w:t xml:space="preserve"> and </w:t>
      </w:r>
      <w:r>
        <w:rPr>
          <w:rFonts w:hint="default" w:ascii="Times New Roman" w:hAnsi="Times New Roman" w:cs="Times New Roman"/>
          <w:color w:val="auto"/>
          <w:sz w:val="24"/>
          <w:szCs w:val="24"/>
          <w:highlight w:val="none"/>
          <w:shd w:val="clear" w:color="auto" w:fill="FFFFFF" w:themeFill="background1"/>
          <w:lang w:eastAsia="zh-CN"/>
        </w:rPr>
        <w:t>GTI</w:t>
      </w:r>
      <w:r>
        <w:rPr>
          <w:rFonts w:hint="default" w:ascii="Times New Roman" w:hAnsi="Times New Roman" w:cs="Times New Roman"/>
          <w:color w:val="auto"/>
          <w:sz w:val="24"/>
          <w:szCs w:val="24"/>
          <w:highlight w:val="none"/>
          <w:shd w:val="clear" w:color="auto" w:fill="FFFFFF" w:themeFill="background1"/>
        </w:rPr>
        <w:t xml:space="preserve"> can be regarded as two interrelated subsystems. The development of both is not only dependent on their own development levels but also influenced by their interactive relationship. Therefore, using the </w:t>
      </w:r>
      <w:r>
        <w:rPr>
          <w:rFonts w:hint="default" w:ascii="Times New Roman" w:hAnsi="Times New Roman" w:cs="Times New Roman"/>
          <w:color w:val="auto"/>
          <w:sz w:val="24"/>
          <w:szCs w:val="24"/>
          <w:highlight w:val="none"/>
          <w:shd w:val="clear" w:color="auto" w:fill="FFFFFF" w:themeFill="background1"/>
          <w:lang w:eastAsia="zh-CN"/>
        </w:rPr>
        <w:t>CCD</w:t>
      </w:r>
      <w:r>
        <w:rPr>
          <w:rFonts w:hint="default" w:ascii="Times New Roman" w:hAnsi="Times New Roman" w:cs="Times New Roman"/>
          <w:color w:val="auto"/>
          <w:sz w:val="24"/>
          <w:szCs w:val="24"/>
          <w:highlight w:val="none"/>
          <w:shd w:val="clear" w:color="auto" w:fill="FFFFFF" w:themeFill="background1"/>
          <w:lang w:val="en-US" w:eastAsia="zh-CN"/>
        </w:rPr>
        <w:t xml:space="preserve"> </w:t>
      </w:r>
      <w:r>
        <w:rPr>
          <w:rFonts w:hint="default" w:ascii="Times New Roman" w:hAnsi="Times New Roman" w:cs="Times New Roman"/>
          <w:color w:val="auto"/>
          <w:sz w:val="24"/>
          <w:szCs w:val="24"/>
          <w:highlight w:val="none"/>
          <w:shd w:val="clear" w:color="auto" w:fill="FFFFFF" w:themeFill="background1"/>
        </w:rPr>
        <w:t xml:space="preserve">model to examine the coordinated development level of </w:t>
      </w:r>
      <w:r>
        <w:rPr>
          <w:rFonts w:hint="default" w:ascii="Times New Roman" w:hAnsi="Times New Roman" w:cs="Times New Roman"/>
          <w:color w:val="auto"/>
          <w:sz w:val="24"/>
          <w:szCs w:val="24"/>
          <w:highlight w:val="none"/>
          <w:shd w:val="clear" w:color="auto" w:fill="FFFFFF" w:themeFill="background1"/>
          <w:lang w:eastAsia="zh-CN"/>
        </w:rPr>
        <w:t>FA</w:t>
      </w:r>
      <w:r>
        <w:rPr>
          <w:rFonts w:hint="default" w:ascii="Times New Roman" w:hAnsi="Times New Roman" w:cs="Times New Roman"/>
          <w:color w:val="auto"/>
          <w:sz w:val="24"/>
          <w:szCs w:val="24"/>
          <w:highlight w:val="none"/>
          <w:shd w:val="clear" w:color="auto" w:fill="FFFFFF" w:themeFill="background1"/>
        </w:rPr>
        <w:t xml:space="preserve"> and </w:t>
      </w:r>
      <w:r>
        <w:rPr>
          <w:rFonts w:hint="default" w:ascii="Times New Roman" w:hAnsi="Times New Roman" w:cs="Times New Roman"/>
          <w:color w:val="auto"/>
          <w:sz w:val="24"/>
          <w:szCs w:val="24"/>
          <w:highlight w:val="none"/>
          <w:shd w:val="clear" w:color="auto" w:fill="FFFFFF" w:themeFill="background1"/>
          <w:lang w:eastAsia="zh-CN"/>
        </w:rPr>
        <w:t>GTI</w:t>
      </w:r>
      <w:r>
        <w:rPr>
          <w:rFonts w:hint="default" w:ascii="Times New Roman" w:hAnsi="Times New Roman" w:cs="Times New Roman"/>
          <w:color w:val="auto"/>
          <w:sz w:val="24"/>
          <w:szCs w:val="24"/>
          <w:highlight w:val="none"/>
          <w:shd w:val="clear" w:color="auto" w:fill="FFFFFF" w:themeFill="background1"/>
        </w:rPr>
        <w:t xml:space="preserve"> can more comprehensively reveal the characteristics of their coordinated evolution and regional differences, providing a theoretical basis for promoting high-quality regional development.</w:t>
      </w:r>
    </w:p>
    <w:p w14:paraId="1221D972">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left"/>
        <w:textAlignment w:val="auto"/>
        <w:rPr>
          <w:rFonts w:hint="default" w:ascii="Times New Roman" w:hAnsi="Times New Roman" w:eastAsia="宋体" w:cs="Times New Roman"/>
          <w:b/>
          <w:bCs/>
          <w:color w:val="auto"/>
          <w:sz w:val="28"/>
          <w:szCs w:val="28"/>
          <w:highlight w:val="none"/>
          <w:vertAlign w:val="baseline"/>
          <w:lang w:val="en-US" w:eastAsia="zh-CN"/>
        </w:rPr>
      </w:pPr>
      <w:r>
        <w:rPr>
          <w:rFonts w:hint="default" w:ascii="Times New Roman" w:hAnsi="Times New Roman" w:eastAsia="宋体" w:cs="Times New Roman"/>
          <w:b/>
          <w:bCs/>
          <w:color w:val="auto"/>
          <w:sz w:val="28"/>
          <w:szCs w:val="28"/>
          <w:highlight w:val="none"/>
          <w:vertAlign w:val="baseline"/>
          <w:lang w:val="en-US" w:eastAsia="zh-CN"/>
        </w:rPr>
        <w:t>RESEARCH METHODOLOGY</w:t>
      </w:r>
    </w:p>
    <w:p w14:paraId="6083A3BB">
      <w:pPr>
        <w:keepNext w:val="0"/>
        <w:keepLines w:val="0"/>
        <w:pageBreakBefore w:val="0"/>
        <w:widowControl w:val="0"/>
        <w:kinsoku/>
        <w:wordWrap/>
        <w:overflowPunct/>
        <w:topLinePunct w:val="0"/>
        <w:autoSpaceDE/>
        <w:autoSpaceDN/>
        <w:bidi w:val="0"/>
        <w:adjustRightInd/>
        <w:snapToGrid/>
        <w:spacing w:before="240" w:line="240" w:lineRule="auto"/>
        <w:ind w:firstLine="0" w:firstLineChars="0"/>
        <w:jc w:val="left"/>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For the systematic exploration of the CCD between FA and GTI and their evolution characters in terms of space-time dimensions, th</w:t>
      </w:r>
      <w:r>
        <w:rPr>
          <w:rFonts w:hint="default" w:ascii="Times New Roman" w:hAnsi="Times New Roman" w:cs="Times New Roman"/>
          <w:b w:val="0"/>
          <w:bCs w:val="0"/>
          <w:color w:val="auto"/>
          <w:sz w:val="24"/>
          <w:szCs w:val="24"/>
          <w:highlight w:val="none"/>
          <w:vertAlign w:val="baseline"/>
          <w:lang w:val="en-US" w:eastAsia="zh-CN"/>
        </w:rPr>
        <w:t>is</w:t>
      </w:r>
      <w:r>
        <w:rPr>
          <w:rFonts w:hint="default" w:ascii="Times New Roman" w:hAnsi="Times New Roman" w:eastAsia="宋体" w:cs="Times New Roman"/>
          <w:b w:val="0"/>
          <w:bCs w:val="0"/>
          <w:color w:val="auto"/>
          <w:sz w:val="24"/>
          <w:szCs w:val="24"/>
          <w:highlight w:val="none"/>
          <w:vertAlign w:val="baseline"/>
          <w:lang w:val="en-US" w:eastAsia="zh-CN"/>
        </w:rPr>
        <w:t xml:space="preserve"> paper builds a research framework and carries out this research from </w:t>
      </w:r>
      <w:r>
        <w:rPr>
          <w:rFonts w:hint="default" w:ascii="Times New Roman" w:hAnsi="Times New Roman" w:cs="Times New Roman"/>
          <w:b w:val="0"/>
          <w:bCs w:val="0"/>
          <w:color w:val="auto"/>
          <w:sz w:val="24"/>
          <w:szCs w:val="24"/>
          <w:highlight w:val="none"/>
          <w:vertAlign w:val="baseline"/>
          <w:lang w:val="en-US" w:eastAsia="zh-CN"/>
        </w:rPr>
        <w:t xml:space="preserve">three </w:t>
      </w:r>
      <w:r>
        <w:rPr>
          <w:rFonts w:hint="default" w:ascii="Times New Roman" w:hAnsi="Times New Roman" w:eastAsia="宋体" w:cs="Times New Roman"/>
          <w:b w:val="0"/>
          <w:bCs w:val="0"/>
          <w:color w:val="auto"/>
          <w:sz w:val="24"/>
          <w:szCs w:val="24"/>
          <w:highlight w:val="none"/>
          <w:vertAlign w:val="baseline"/>
          <w:lang w:val="en-US" w:eastAsia="zh-CN"/>
        </w:rPr>
        <w:t>aspects: development level measurement, temporal evolution study, and spatial differentiation study. The research framework of the whole study is presented in Figure 1.</w:t>
      </w:r>
    </w:p>
    <w:p w14:paraId="0F095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5" o:spt="75" type="#_x0000_t75" style="height:292.15pt;width:455.15pt;" o:ole="t" filled="f" o:preferrelative="t" stroked="f" coordsize="21600,21600">
            <v:path/>
            <v:fill on="f" focussize="0,0"/>
            <v:stroke on="f"/>
            <v:imagedata r:id="rId7" o:title=""/>
            <o:lock v:ext="edit" aspectratio="f"/>
            <w10:wrap type="none"/>
            <w10:anchorlock/>
          </v:shape>
          <o:OLEObject Type="Embed" ProgID="Visio.Drawing.15" ShapeID="_x0000_i1025" DrawAspect="Content" ObjectID="_1468075725" r:id="rId6">
            <o:LockedField>false</o:LockedField>
          </o:OLEObject>
        </w:object>
      </w:r>
    </w:p>
    <w:p w14:paraId="51E168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Figure 1</w:t>
      </w:r>
      <w:r>
        <w:rPr>
          <w:rFonts w:hint="default" w:ascii="Times New Roman" w:hAnsi="Times New Roman" w:cs="Times New Roman"/>
          <w:b/>
          <w:bCs/>
          <w:color w:val="auto"/>
          <w:sz w:val="24"/>
          <w:szCs w:val="24"/>
          <w:highlight w:val="none"/>
          <w:vertAlign w:val="baseline"/>
          <w:lang w:val="en-US" w:eastAsia="zh-CN"/>
        </w:rPr>
        <w:t>:</w:t>
      </w:r>
      <w:r>
        <w:rPr>
          <w:rFonts w:hint="default" w:ascii="Times New Roman" w:hAnsi="Times New Roman" w:eastAsia="宋体" w:cs="Times New Roman"/>
          <w:b/>
          <w:bCs/>
          <w:color w:val="auto"/>
          <w:sz w:val="24"/>
          <w:szCs w:val="24"/>
          <w:highlight w:val="none"/>
          <w:vertAlign w:val="baseline"/>
          <w:lang w:val="en-US" w:eastAsia="zh-CN"/>
        </w:rPr>
        <w:t xml:space="preserve"> Research Framework</w:t>
      </w:r>
    </w:p>
    <w:p w14:paraId="7AF38A19">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 xml:space="preserve">Data </w:t>
      </w:r>
      <w:r>
        <w:rPr>
          <w:rFonts w:hint="default" w:ascii="Times New Roman" w:hAnsi="Times New Roman" w:eastAsia="宋体" w:cs="Times New Roman"/>
          <w:b/>
          <w:bCs/>
          <w:color w:val="auto"/>
          <w:sz w:val="24"/>
          <w:szCs w:val="24"/>
          <w:highlight w:val="none"/>
          <w:lang w:val="en-US" w:eastAsia="zh-CN"/>
        </w:rPr>
        <w:t>S</w:t>
      </w:r>
      <w:r>
        <w:rPr>
          <w:rFonts w:hint="default" w:ascii="Times New Roman" w:hAnsi="Times New Roman" w:eastAsia="宋体" w:cs="Times New Roman"/>
          <w:b/>
          <w:bCs/>
          <w:color w:val="auto"/>
          <w:sz w:val="24"/>
          <w:szCs w:val="24"/>
          <w:highlight w:val="none"/>
        </w:rPr>
        <w:t>ource</w:t>
      </w:r>
    </w:p>
    <w:p w14:paraId="7DCE9CBC">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The sample of this research includes 30 provincial-level administrative regions in China (excluding Tibet, Hong Kong, Maca</w:t>
      </w:r>
      <w:r>
        <w:rPr>
          <w:rFonts w:hint="default" w:ascii="Times New Roman" w:hAnsi="Times New Roman"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rPr>
        <w:t>, and Taiwan), with the use of panel data for the period between 2007 and 2022. The information is mainly collected from such sources as China Statistical Yearbook, China Statistical Yearbook on Science and Technology, China Energy Statistical Yearbook, China Labour Statistical Yearbook, Almanac of China's Finance and Banking, various provincial statistical yearbooks, as well as the databases of National Bureau of Statistics of China and China National Intellectual Property Administration. Some indexes have been additionally calculated on the basis of the initial data.</w:t>
      </w:r>
    </w:p>
    <w:p w14:paraId="4F2F8535">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In order to better analy</w:t>
      </w:r>
      <w:r>
        <w:rPr>
          <w:rFonts w:hint="default" w:ascii="Times New Roman" w:hAnsi="Times New Roman"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e regional disparities, the research is conducted according to the classification criteria that were adopted by the National Bureau of Statistics of China in June 2011 and identifies four main economic regions among 30 provincial-level administrative regions in China: eastern, central, western, and northeastern regions.</w:t>
      </w:r>
    </w:p>
    <w:p w14:paraId="58595E49">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left"/>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Construction of the Coupling Coordination Indicator System for Financial Agglomeration and Green Technology Innovation</w:t>
      </w:r>
    </w:p>
    <w:p w14:paraId="0B4DE076">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vertAlign w:val="baseline"/>
          <w:lang w:val="en-US" w:eastAsia="zh-CN"/>
        </w:rPr>
        <w:t>T</w:t>
      </w:r>
      <w:r>
        <w:rPr>
          <w:rFonts w:hint="default" w:ascii="Times New Roman" w:hAnsi="Times New Roman" w:eastAsia="宋体" w:cs="Times New Roman"/>
          <w:b w:val="0"/>
          <w:bCs w:val="0"/>
          <w:color w:val="auto"/>
          <w:sz w:val="24"/>
          <w:szCs w:val="24"/>
          <w:highlight w:val="none"/>
          <w:vertAlign w:val="baseline"/>
          <w:lang w:val="en-US" w:eastAsia="zh-CN"/>
        </w:rPr>
        <w:t>he coupling coordination model is a tool used to analyse the interaction intensity and level of coordinated development among multiple subsystems. To comprehensively, systematically, and quantitatively reflect the status of each subsystem and their interactions intensity, and to scientifically assess their degree of coordinated development, it is essential to construct an coupling coordination indicator system.</w:t>
      </w:r>
    </w:p>
    <w:p w14:paraId="60EF78E4">
      <w:pPr>
        <w:keepNext w:val="0"/>
        <w:keepLines w:val="0"/>
        <w:pageBreakBefore w:val="0"/>
        <w:widowControl w:val="0"/>
        <w:kinsoku/>
        <w:wordWrap/>
        <w:overflowPunct/>
        <w:topLinePunct w:val="0"/>
        <w:autoSpaceDE/>
        <w:autoSpaceDN/>
        <w:bidi w:val="0"/>
        <w:adjustRightInd/>
        <w:snapToGrid/>
        <w:spacing w:before="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 xml:space="preserve">This study constructs a </w:t>
      </w:r>
      <w:r>
        <w:rPr>
          <w:rFonts w:hint="default" w:ascii="Times New Roman" w:hAnsi="Times New Roman" w:cs="Times New Roman"/>
          <w:b w:val="0"/>
          <w:bCs w:val="0"/>
          <w:color w:val="auto"/>
          <w:sz w:val="24"/>
          <w:szCs w:val="24"/>
          <w:highlight w:val="none"/>
          <w:vertAlign w:val="baseline"/>
          <w:lang w:val="en-US" w:eastAsia="zh-CN"/>
        </w:rPr>
        <w:t>FA</w:t>
      </w:r>
      <w:r>
        <w:rPr>
          <w:rFonts w:hint="default" w:ascii="Times New Roman" w:hAnsi="Times New Roman" w:eastAsia="宋体" w:cs="Times New Roman"/>
          <w:b w:val="0"/>
          <w:bCs w:val="0"/>
          <w:color w:val="auto"/>
          <w:sz w:val="24"/>
          <w:szCs w:val="24"/>
          <w:highlight w:val="none"/>
          <w:vertAlign w:val="baseline"/>
          <w:lang w:val="en-US" w:eastAsia="zh-CN"/>
        </w:rPr>
        <w:t xml:space="preserve"> evaluation ind</w:t>
      </w:r>
      <w:r>
        <w:rPr>
          <w:rFonts w:hint="default" w:ascii="Times New Roman" w:hAnsi="Times New Roman" w:cs="Times New Roman"/>
          <w:b w:val="0"/>
          <w:bCs w:val="0"/>
          <w:color w:val="auto"/>
          <w:sz w:val="24"/>
          <w:szCs w:val="24"/>
          <w:highlight w:val="none"/>
          <w:vertAlign w:val="baseline"/>
          <w:lang w:val="en-US" w:eastAsia="zh-CN"/>
        </w:rPr>
        <w:t>icator</w:t>
      </w:r>
      <w:r>
        <w:rPr>
          <w:rFonts w:hint="default" w:ascii="Times New Roman" w:hAnsi="Times New Roman" w:eastAsia="宋体" w:cs="Times New Roman"/>
          <w:b w:val="0"/>
          <w:bCs w:val="0"/>
          <w:color w:val="auto"/>
          <w:sz w:val="24"/>
          <w:szCs w:val="24"/>
          <w:highlight w:val="none"/>
          <w:vertAlign w:val="baseline"/>
          <w:lang w:val="en-US" w:eastAsia="zh-CN"/>
        </w:rPr>
        <w:t xml:space="preserve"> system from two dimensions: financial scale and financial efficiency.</w:t>
      </w:r>
      <w:r>
        <w:rPr>
          <w:rFonts w:hint="default" w:ascii="Times New Roman" w:hAnsi="Times New Roman" w:cs="Times New Roman"/>
          <w:b w:val="0"/>
          <w:bCs w:val="0"/>
          <w:color w:val="auto"/>
          <w:sz w:val="24"/>
          <w:szCs w:val="24"/>
          <w:highlight w:val="none"/>
          <w:vertAlign w:val="baseline"/>
          <w:lang w:val="en-US" w:eastAsia="zh-CN"/>
        </w:rPr>
        <w:t xml:space="preserve"> </w:t>
      </w:r>
      <w:r>
        <w:rPr>
          <w:rFonts w:hint="default" w:ascii="Times New Roman" w:hAnsi="Times New Roman" w:eastAsia="宋体" w:cs="Times New Roman"/>
          <w:b w:val="0"/>
          <w:bCs w:val="0"/>
          <w:color w:val="auto"/>
          <w:sz w:val="24"/>
          <w:szCs w:val="24"/>
          <w:highlight w:val="none"/>
          <w:vertAlign w:val="baseline"/>
          <w:lang w:val="en-US" w:eastAsia="zh-CN"/>
        </w:rPr>
        <w:t xml:space="preserve">Financial scale primarily reflects the degree of concentration of regional financial resources. In addition to the location quotient of the financial </w:t>
      </w:r>
      <w:r>
        <w:rPr>
          <w:rFonts w:hint="default" w:ascii="Times New Roman" w:hAnsi="Times New Roman" w:cs="Times New Roman"/>
          <w:b w:val="0"/>
          <w:bCs w:val="0"/>
          <w:color w:val="auto"/>
          <w:sz w:val="24"/>
          <w:szCs w:val="24"/>
          <w:highlight w:val="none"/>
          <w:vertAlign w:val="baseline"/>
          <w:lang w:val="en-US" w:eastAsia="zh-CN"/>
        </w:rPr>
        <w:t>sector (X1)</w:t>
      </w:r>
      <w:r>
        <w:rPr>
          <w:rFonts w:hint="default" w:ascii="Times New Roman" w:hAnsi="Times New Roman" w:eastAsia="宋体" w:cs="Times New Roman"/>
          <w:b w:val="0"/>
          <w:bCs w:val="0"/>
          <w:color w:val="auto"/>
          <w:sz w:val="24"/>
          <w:szCs w:val="24"/>
          <w:highlight w:val="none"/>
          <w:vertAlign w:val="baseline"/>
          <w:lang w:val="en-US" w:eastAsia="zh-CN"/>
        </w:rPr>
        <w:t>, this study selects indicators including value added of the financial sector</w:t>
      </w:r>
      <w:r>
        <w:rPr>
          <w:rFonts w:hint="default" w:ascii="Times New Roman" w:hAnsi="Times New Roman" w:cs="Times New Roman"/>
          <w:b w:val="0"/>
          <w:bCs w:val="0"/>
          <w:color w:val="auto"/>
          <w:sz w:val="24"/>
          <w:szCs w:val="24"/>
          <w:highlight w:val="none"/>
          <w:vertAlign w:val="baseline"/>
          <w:lang w:val="en-US" w:eastAsia="zh-CN"/>
        </w:rPr>
        <w:t xml:space="preserve"> (X2)</w:t>
      </w:r>
      <w:r>
        <w:rPr>
          <w:rFonts w:hint="default" w:ascii="Times New Roman" w:hAnsi="Times New Roman" w:eastAsia="宋体" w:cs="Times New Roman"/>
          <w:b w:val="0"/>
          <w:bCs w:val="0"/>
          <w:color w:val="auto"/>
          <w:sz w:val="24"/>
          <w:szCs w:val="24"/>
          <w:highlight w:val="none"/>
          <w:vertAlign w:val="baseline"/>
          <w:lang w:val="en-US" w:eastAsia="zh-CN"/>
        </w:rPr>
        <w:t xml:space="preserve">, number of employees in the financial </w:t>
      </w:r>
      <w:r>
        <w:rPr>
          <w:rFonts w:hint="default" w:ascii="Times New Roman" w:hAnsi="Times New Roman" w:cs="Times New Roman"/>
          <w:b w:val="0"/>
          <w:bCs w:val="0"/>
          <w:color w:val="auto"/>
          <w:sz w:val="24"/>
          <w:szCs w:val="24"/>
          <w:highlight w:val="none"/>
          <w:vertAlign w:val="baseline"/>
          <w:lang w:val="en-US" w:eastAsia="zh-CN"/>
        </w:rPr>
        <w:t>sector (X3)</w:t>
      </w:r>
      <w:r>
        <w:rPr>
          <w:rFonts w:hint="default" w:ascii="Times New Roman" w:hAnsi="Times New Roman" w:eastAsia="宋体" w:cs="Times New Roman"/>
          <w:b w:val="0"/>
          <w:bCs w:val="0"/>
          <w:color w:val="auto"/>
          <w:sz w:val="24"/>
          <w:szCs w:val="24"/>
          <w:highlight w:val="none"/>
          <w:vertAlign w:val="baseline"/>
          <w:lang w:val="en-US" w:eastAsia="zh-CN"/>
        </w:rPr>
        <w:t>, deposit balance of financial institutions</w:t>
      </w:r>
      <w:r>
        <w:rPr>
          <w:rFonts w:hint="default" w:ascii="Times New Roman" w:hAnsi="Times New Roman" w:cs="Times New Roman"/>
          <w:b w:val="0"/>
          <w:bCs w:val="0"/>
          <w:color w:val="auto"/>
          <w:sz w:val="24"/>
          <w:szCs w:val="24"/>
          <w:highlight w:val="none"/>
          <w:vertAlign w:val="baseline"/>
          <w:lang w:val="en-US" w:eastAsia="zh-CN"/>
        </w:rPr>
        <w:t xml:space="preserve"> (X4)</w:t>
      </w:r>
      <w:r>
        <w:rPr>
          <w:rFonts w:hint="default" w:ascii="Times New Roman" w:hAnsi="Times New Roman" w:eastAsia="宋体" w:cs="Times New Roman"/>
          <w:b w:val="0"/>
          <w:bCs w:val="0"/>
          <w:color w:val="auto"/>
          <w:sz w:val="24"/>
          <w:szCs w:val="24"/>
          <w:highlight w:val="none"/>
          <w:vertAlign w:val="baseline"/>
          <w:lang w:val="en-US" w:eastAsia="zh-CN"/>
        </w:rPr>
        <w:t>, loan balance of financial institutions</w:t>
      </w:r>
      <w:r>
        <w:rPr>
          <w:rFonts w:hint="default" w:ascii="Times New Roman" w:hAnsi="Times New Roman" w:cs="Times New Roman"/>
          <w:b w:val="0"/>
          <w:bCs w:val="0"/>
          <w:color w:val="auto"/>
          <w:sz w:val="24"/>
          <w:szCs w:val="24"/>
          <w:highlight w:val="none"/>
          <w:vertAlign w:val="baseline"/>
          <w:lang w:val="en-US" w:eastAsia="zh-CN"/>
        </w:rPr>
        <w:t xml:space="preserve"> (X5)</w:t>
      </w:r>
      <w:r>
        <w:rPr>
          <w:rFonts w:hint="default" w:ascii="Times New Roman" w:hAnsi="Times New Roman" w:eastAsia="宋体" w:cs="Times New Roman"/>
          <w:b w:val="0"/>
          <w:bCs w:val="0"/>
          <w:color w:val="auto"/>
          <w:sz w:val="24"/>
          <w:szCs w:val="24"/>
          <w:highlight w:val="none"/>
          <w:vertAlign w:val="baseline"/>
          <w:lang w:val="en-US" w:eastAsia="zh-CN"/>
        </w:rPr>
        <w:t xml:space="preserve">, </w:t>
      </w:r>
      <w:r>
        <w:rPr>
          <w:rFonts w:hint="default" w:ascii="Times New Roman" w:hAnsi="Times New Roman" w:cs="Times New Roman"/>
          <w:b w:val="0"/>
          <w:bCs w:val="0"/>
          <w:color w:val="auto"/>
          <w:sz w:val="24"/>
          <w:szCs w:val="24"/>
          <w:highlight w:val="none"/>
          <w:vertAlign w:val="baseline"/>
          <w:lang w:val="en-US" w:eastAsia="zh-CN"/>
        </w:rPr>
        <w:t xml:space="preserve">trading values in the </w:t>
      </w:r>
      <w:r>
        <w:rPr>
          <w:rFonts w:hint="default" w:ascii="Times New Roman" w:hAnsi="Times New Roman" w:eastAsia="宋体" w:cs="Times New Roman"/>
          <w:b w:val="0"/>
          <w:bCs w:val="0"/>
          <w:color w:val="auto"/>
          <w:sz w:val="24"/>
          <w:szCs w:val="24"/>
          <w:highlight w:val="none"/>
          <w:vertAlign w:val="baseline"/>
          <w:lang w:val="en-US" w:eastAsia="zh-CN"/>
        </w:rPr>
        <w:t xml:space="preserve">securities </w:t>
      </w:r>
      <w:r>
        <w:rPr>
          <w:rFonts w:hint="default" w:ascii="Times New Roman" w:hAnsi="Times New Roman" w:cs="Times New Roman"/>
          <w:b w:val="0"/>
          <w:bCs w:val="0"/>
          <w:color w:val="auto"/>
          <w:sz w:val="24"/>
          <w:szCs w:val="24"/>
          <w:highlight w:val="none"/>
          <w:vertAlign w:val="baseline"/>
          <w:lang w:val="en-US" w:eastAsia="zh-CN"/>
        </w:rPr>
        <w:t>(X6)</w:t>
      </w:r>
      <w:r>
        <w:rPr>
          <w:rFonts w:hint="default" w:ascii="Times New Roman" w:hAnsi="Times New Roman" w:eastAsia="宋体" w:cs="Times New Roman"/>
          <w:b w:val="0"/>
          <w:bCs w:val="0"/>
          <w:color w:val="auto"/>
          <w:sz w:val="24"/>
          <w:szCs w:val="24"/>
          <w:highlight w:val="none"/>
          <w:vertAlign w:val="baseline"/>
          <w:lang w:val="en-US" w:eastAsia="zh-CN"/>
        </w:rPr>
        <w:t xml:space="preserve">, and </w:t>
      </w:r>
      <w:r>
        <w:rPr>
          <w:rFonts w:hint="default" w:ascii="Times New Roman" w:hAnsi="Times New Roman" w:cs="Times New Roman"/>
          <w:b w:val="0"/>
          <w:bCs w:val="0"/>
          <w:color w:val="auto"/>
          <w:sz w:val="24"/>
          <w:szCs w:val="24"/>
          <w:highlight w:val="none"/>
          <w:vertAlign w:val="baseline"/>
          <w:lang w:val="en-US" w:eastAsia="zh-CN"/>
        </w:rPr>
        <w:t>p</w:t>
      </w:r>
      <w:r>
        <w:rPr>
          <w:rFonts w:hint="default" w:ascii="Times New Roman" w:hAnsi="Times New Roman" w:eastAsia="宋体" w:cs="Times New Roman"/>
          <w:b w:val="0"/>
          <w:bCs w:val="0"/>
          <w:color w:val="auto"/>
          <w:sz w:val="24"/>
          <w:szCs w:val="24"/>
          <w:highlight w:val="none"/>
          <w:vertAlign w:val="baseline"/>
          <w:lang w:val="en-US" w:eastAsia="zh-CN"/>
        </w:rPr>
        <w:t xml:space="preserve">rimary </w:t>
      </w:r>
      <w:r>
        <w:rPr>
          <w:rFonts w:hint="default" w:ascii="Times New Roman" w:hAnsi="Times New Roman" w:cs="Times New Roman"/>
          <w:b w:val="0"/>
          <w:bCs w:val="0"/>
          <w:color w:val="auto"/>
          <w:sz w:val="24"/>
          <w:szCs w:val="24"/>
          <w:highlight w:val="none"/>
          <w:vertAlign w:val="baseline"/>
          <w:lang w:val="en-US" w:eastAsia="zh-CN"/>
        </w:rPr>
        <w:t>i</w:t>
      </w:r>
      <w:r>
        <w:rPr>
          <w:rFonts w:hint="default" w:ascii="Times New Roman" w:hAnsi="Times New Roman" w:eastAsia="宋体" w:cs="Times New Roman"/>
          <w:b w:val="0"/>
          <w:bCs w:val="0"/>
          <w:color w:val="auto"/>
          <w:sz w:val="24"/>
          <w:szCs w:val="24"/>
          <w:highlight w:val="none"/>
          <w:vertAlign w:val="baseline"/>
          <w:lang w:val="en-US" w:eastAsia="zh-CN"/>
        </w:rPr>
        <w:t xml:space="preserve">nsurance </w:t>
      </w:r>
      <w:r>
        <w:rPr>
          <w:rFonts w:hint="default" w:ascii="Times New Roman" w:hAnsi="Times New Roman" w:cs="Times New Roman"/>
          <w:b w:val="0"/>
          <w:bCs w:val="0"/>
          <w:color w:val="auto"/>
          <w:sz w:val="24"/>
          <w:szCs w:val="24"/>
          <w:highlight w:val="none"/>
          <w:vertAlign w:val="baseline"/>
          <w:lang w:val="en-US" w:eastAsia="zh-CN"/>
        </w:rPr>
        <w:t>p</w:t>
      </w:r>
      <w:r>
        <w:rPr>
          <w:rFonts w:hint="default" w:ascii="Times New Roman" w:hAnsi="Times New Roman" w:eastAsia="宋体" w:cs="Times New Roman"/>
          <w:b w:val="0"/>
          <w:bCs w:val="0"/>
          <w:color w:val="auto"/>
          <w:sz w:val="24"/>
          <w:szCs w:val="24"/>
          <w:highlight w:val="none"/>
          <w:vertAlign w:val="baseline"/>
          <w:lang w:val="en-US" w:eastAsia="zh-CN"/>
        </w:rPr>
        <w:t>remiums</w:t>
      </w:r>
      <w:r>
        <w:rPr>
          <w:rFonts w:hint="default" w:ascii="Times New Roman" w:hAnsi="Times New Roman" w:cs="Times New Roman"/>
          <w:b w:val="0"/>
          <w:bCs w:val="0"/>
          <w:color w:val="auto"/>
          <w:sz w:val="24"/>
          <w:szCs w:val="24"/>
          <w:highlight w:val="none"/>
          <w:vertAlign w:val="baseline"/>
          <w:lang w:val="en-US" w:eastAsia="zh-CN"/>
        </w:rPr>
        <w:t xml:space="preserve"> (X7)</w:t>
      </w:r>
      <w:r>
        <w:rPr>
          <w:rFonts w:hint="default" w:ascii="Times New Roman" w:hAnsi="Times New Roman" w:eastAsia="宋体" w:cs="Times New Roman"/>
          <w:b w:val="0"/>
          <w:bCs w:val="0"/>
          <w:color w:val="auto"/>
          <w:sz w:val="24"/>
          <w:szCs w:val="24"/>
          <w:highlight w:val="none"/>
          <w:vertAlign w:val="baseline"/>
          <w:lang w:val="en-US" w:eastAsia="zh-CN"/>
        </w:rPr>
        <w:t>. These indicators measure the agglomeration level of financial resources from the perspectives of overall financial scale as well as the banking, securities, and insurance sectors.</w:t>
      </w:r>
      <w:r>
        <w:rPr>
          <w:rFonts w:hint="default" w:ascii="Times New Roman" w:hAnsi="Times New Roman" w:cs="Times New Roman"/>
          <w:b w:val="0"/>
          <w:bCs w:val="0"/>
          <w:color w:val="auto"/>
          <w:sz w:val="24"/>
          <w:szCs w:val="24"/>
          <w:highlight w:val="none"/>
          <w:vertAlign w:val="baseline"/>
          <w:lang w:val="en-US" w:eastAsia="zh-CN"/>
        </w:rPr>
        <w:t xml:space="preserve"> </w:t>
      </w:r>
      <w:r>
        <w:rPr>
          <w:rFonts w:hint="default" w:ascii="Times New Roman" w:hAnsi="Times New Roman" w:eastAsia="宋体" w:cs="Times New Roman"/>
          <w:b w:val="0"/>
          <w:bCs w:val="0"/>
          <w:color w:val="auto"/>
          <w:sz w:val="24"/>
          <w:szCs w:val="24"/>
          <w:highlight w:val="none"/>
          <w:vertAlign w:val="baseline"/>
          <w:lang w:val="en-US" w:eastAsia="zh-CN"/>
        </w:rPr>
        <w:t xml:space="preserve">Following the approaches adopted by Quan and Quan (2023) and Lei et al. (2023), the location quotient (LQ) of the financial </w:t>
      </w:r>
      <w:r>
        <w:rPr>
          <w:rFonts w:hint="default" w:ascii="Times New Roman" w:hAnsi="Times New Roman" w:cs="Times New Roman"/>
          <w:b w:val="0"/>
          <w:bCs w:val="0"/>
          <w:color w:val="auto"/>
          <w:sz w:val="24"/>
          <w:szCs w:val="24"/>
          <w:highlight w:val="none"/>
          <w:vertAlign w:val="baseline"/>
          <w:lang w:val="en-US" w:eastAsia="zh-CN"/>
        </w:rPr>
        <w:t>sector</w:t>
      </w:r>
      <w:r>
        <w:rPr>
          <w:rFonts w:hint="default" w:ascii="Times New Roman" w:hAnsi="Times New Roman" w:eastAsia="宋体" w:cs="Times New Roman"/>
          <w:b w:val="0"/>
          <w:bCs w:val="0"/>
          <w:color w:val="auto"/>
          <w:sz w:val="24"/>
          <w:szCs w:val="24"/>
          <w:highlight w:val="none"/>
          <w:vertAlign w:val="baseline"/>
          <w:lang w:val="en-US" w:eastAsia="zh-CN"/>
        </w:rPr>
        <w:t xml:space="preserve"> is measured as follows:</w:t>
      </w:r>
    </w:p>
    <w:p w14:paraId="409BFC1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cs="Times New Roman"/>
          <w:b w:val="0"/>
          <w:bCs w:val="0"/>
          <w:color w:val="auto"/>
          <w:sz w:val="24"/>
          <w:szCs w:val="24"/>
          <w:highlight w:val="none"/>
          <w:vertAlign w:val="baseline"/>
          <w:lang w:val="en-US" w:eastAsia="zh-CN"/>
        </w:rPr>
      </w:pPr>
      <w:r>
        <w:rPr>
          <w:rFonts w:hint="default" w:ascii="Times New Roman" w:hAnsi="Times New Roman" w:cs="Times New Roman"/>
          <w:b w:val="0"/>
          <w:bCs w:val="0"/>
          <w:color w:val="auto"/>
          <w:position w:val="-30"/>
          <w:sz w:val="24"/>
          <w:szCs w:val="24"/>
          <w:highlight w:val="none"/>
          <w:vertAlign w:val="baseline"/>
          <w:lang w:val="en-US" w:eastAsia="zh-CN"/>
        </w:rPr>
        <w:object>
          <v:shape id="_x0000_i1026" o:spt="75" type="#_x0000_t75" style="height:34pt;width:96.95pt;" o:ole="t" filled="f" o:preferrelative="t" stroked="f" coordsize="21600,21600">
            <v:path/>
            <v:fill on="f" focussize="0,0"/>
            <v:stroke on="f"/>
            <v:imagedata r:id="rId9" o:title=""/>
            <o:lock v:ext="edit" aspectratio="t"/>
            <w10:wrap type="none"/>
            <w10:anchorlock/>
          </v:shape>
          <o:OLEObject Type="Embed" ProgID="Equation.DSMT4" ShapeID="_x0000_i1026" DrawAspect="Content" ObjectID="_1468075726" r:id="rId8">
            <o:LockedField>false</o:LockedField>
          </o:OLEObject>
        </w:object>
      </w:r>
      <w:r>
        <w:rPr>
          <w:rFonts w:hint="default" w:ascii="Times New Roman" w:hAnsi="Times New Roman" w:cs="Times New Roman"/>
          <w:b w:val="0"/>
          <w:bCs w:val="0"/>
          <w:color w:val="auto"/>
          <w:sz w:val="24"/>
          <w:szCs w:val="24"/>
          <w:highlight w:val="none"/>
          <w:vertAlign w:val="baseline"/>
          <w:lang w:val="en-US" w:eastAsia="zh-CN"/>
        </w:rPr>
        <w:t xml:space="preserve">                                                                （1）</w:t>
      </w:r>
    </w:p>
    <w:p w14:paraId="030EBE5E">
      <w:pPr>
        <w:keepNext w:val="0"/>
        <w:keepLines w:val="0"/>
        <w:pageBreakBefore w:val="0"/>
        <w:widowControl w:val="0"/>
        <w:kinsoku/>
        <w:wordWrap/>
        <w:overflowPunct/>
        <w:topLinePunct w:val="0"/>
        <w:autoSpaceDE/>
        <w:autoSpaceDN/>
        <w:bidi w:val="0"/>
        <w:adjustRightInd w:val="0"/>
        <w:snapToGrid w:val="0"/>
        <w:spacing w:after="240" w:line="240" w:lineRule="auto"/>
        <w:ind w:firstLine="0" w:firstLineChars="0"/>
        <w:jc w:val="both"/>
        <w:textAlignment w:val="auto"/>
        <w:rPr>
          <w:rFonts w:hint="default" w:ascii="Times New Roman" w:hAnsi="Times New Roman" w:cs="Times New Roman"/>
          <w:b w:val="0"/>
          <w:bCs w:val="0"/>
          <w:color w:val="auto"/>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vertAlign w:val="baseline"/>
          <w:lang w:val="en-US" w:eastAsia="zh-CN"/>
        </w:rPr>
        <w:t xml:space="preserve">Where </w:t>
      </w:r>
      <w:r>
        <w:rPr>
          <w:rFonts w:hint="default" w:ascii="Times New Roman" w:hAnsi="Times New Roman" w:cs="Times New Roman"/>
          <w:color w:val="auto"/>
          <w:position w:val="-12"/>
          <w:sz w:val="24"/>
          <w:szCs w:val="24"/>
          <w:highlight w:val="none"/>
        </w:rPr>
        <w:object>
          <v:shape id="_x0000_i1027" o:spt="75" type="#_x0000_t75" style="height:18.75pt;width:23.1pt;" o:ole="t" filled="f" o:preferrelative="t" stroked="f" coordsize="21600,21600">
            <v:path/>
            <v:fill on="f" focussize="0,0"/>
            <v:stroke on="f"/>
            <v:imagedata r:id="rId11" o:title=""/>
            <o:lock v:ext="edit" aspectratio="t"/>
            <w10:wrap type="none"/>
            <w10:anchorlock/>
          </v:shape>
          <o:OLEObject Type="Embed" ProgID="Equation.DSMT4" ShapeID="_x0000_i1027" DrawAspect="Content" ObjectID="_1468075727" r:id="rId10">
            <o:LockedField>false</o:LockedField>
          </o:OLEObject>
        </w:object>
      </w:r>
      <w:r>
        <w:rPr>
          <w:rFonts w:hint="default" w:ascii="Times New Roman" w:hAnsi="Times New Roman" w:cs="Times New Roman"/>
          <w:b w:val="0"/>
          <w:bCs w:val="0"/>
          <w:color w:val="auto"/>
          <w:sz w:val="24"/>
          <w:szCs w:val="24"/>
          <w:highlight w:val="none"/>
          <w:vertAlign w:val="baseline"/>
          <w:lang w:val="en-US" w:eastAsia="zh-CN"/>
        </w:rPr>
        <w:t xml:space="preserve"> represents the location quotient (LQ) of the financial sector in region </w:t>
      </w:r>
      <w:r>
        <w:rPr>
          <w:rFonts w:hint="default" w:ascii="Times New Roman" w:hAnsi="Times New Roman" w:cs="Times New Roman"/>
          <w:b w:val="0"/>
          <w:bCs w:val="0"/>
          <w:i/>
          <w:iCs/>
          <w:color w:val="auto"/>
          <w:sz w:val="24"/>
          <w:szCs w:val="24"/>
          <w:highlight w:val="none"/>
          <w:vertAlign w:val="baseline"/>
          <w:lang w:val="en-US" w:eastAsia="zh-CN"/>
        </w:rPr>
        <w:t>i</w:t>
      </w:r>
      <w:r>
        <w:rPr>
          <w:rFonts w:hint="default" w:ascii="Times New Roman" w:hAnsi="Times New Roman" w:cs="Times New Roman"/>
          <w:b w:val="0"/>
          <w:bCs w:val="0"/>
          <w:color w:val="auto"/>
          <w:sz w:val="24"/>
          <w:szCs w:val="24"/>
          <w:highlight w:val="none"/>
          <w:vertAlign w:val="baseline"/>
          <w:lang w:val="en-US" w:eastAsia="zh-CN"/>
        </w:rPr>
        <w:t xml:space="preserve"> in year </w:t>
      </w:r>
      <w:r>
        <w:rPr>
          <w:rFonts w:hint="default" w:ascii="Times New Roman" w:hAnsi="Times New Roman" w:cs="Times New Roman"/>
          <w:b w:val="0"/>
          <w:bCs w:val="0"/>
          <w:i/>
          <w:iCs/>
          <w:color w:val="auto"/>
          <w:sz w:val="24"/>
          <w:szCs w:val="24"/>
          <w:highlight w:val="none"/>
          <w:vertAlign w:val="baseline"/>
          <w:lang w:val="en-US" w:eastAsia="zh-CN"/>
        </w:rPr>
        <w:t>t</w:t>
      </w:r>
      <w:r>
        <w:rPr>
          <w:rFonts w:hint="default" w:ascii="Times New Roman" w:hAnsi="Times New Roman" w:cs="Times New Roman"/>
          <w:b w:val="0"/>
          <w:bCs w:val="0"/>
          <w:color w:val="auto"/>
          <w:sz w:val="24"/>
          <w:szCs w:val="24"/>
          <w:highlight w:val="none"/>
          <w:vertAlign w:val="baseline"/>
          <w:lang w:val="en-US" w:eastAsia="zh-CN"/>
        </w:rPr>
        <w:t xml:space="preserve">; </w:t>
      </w:r>
      <w:r>
        <w:rPr>
          <w:rFonts w:hint="default" w:ascii="Times New Roman" w:hAnsi="Times New Roman" w:cs="Times New Roman"/>
          <w:color w:val="auto"/>
          <w:position w:val="-12"/>
          <w:sz w:val="24"/>
          <w:szCs w:val="24"/>
          <w:highlight w:val="none"/>
        </w:rPr>
        <w:object>
          <v:shape id="_x0000_i1028" o:spt="75" type="#_x0000_t75" style="height:18.6pt;width:24.9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represents the value added of the financial sector in region </w:t>
      </w:r>
      <w:r>
        <w:rPr>
          <w:rFonts w:hint="default" w:ascii="Times New Roman" w:hAnsi="Times New Roman" w:cs="Times New Roman"/>
          <w:color w:val="auto"/>
          <w:position w:val="-6"/>
          <w:sz w:val="24"/>
          <w:szCs w:val="24"/>
          <w:highlight w:val="none"/>
        </w:rPr>
        <w:object>
          <v:shape id="_x0000_i1029" o:spt="75" type="#_x0000_t75" style="height:13.35pt;width:6.9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in year </w:t>
      </w:r>
      <w:r>
        <w:rPr>
          <w:rFonts w:hint="default" w:ascii="Times New Roman" w:hAnsi="Times New Roman" w:cs="Times New Roman"/>
          <w:color w:val="auto"/>
          <w:position w:val="-6"/>
          <w:sz w:val="24"/>
          <w:szCs w:val="24"/>
          <w:highlight w:val="none"/>
        </w:rPr>
        <w:object>
          <v:shape id="_x0000_i1030" o:spt="75" type="#_x0000_t75" style="height:12.2pt;width:6.95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and </w:t>
      </w:r>
      <w:r>
        <w:rPr>
          <w:rFonts w:hint="default" w:ascii="Times New Roman" w:hAnsi="Times New Roman" w:cs="Times New Roman"/>
          <w:color w:val="auto"/>
          <w:position w:val="-12"/>
          <w:sz w:val="24"/>
          <w:szCs w:val="24"/>
          <w:highlight w:val="none"/>
        </w:rPr>
        <w:object>
          <v:shape id="_x0000_i1031" o:spt="75" type="#_x0000_t75" style="height:18.6pt;width:24.9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denotes the regional GDP of region </w:t>
      </w:r>
      <w:r>
        <w:rPr>
          <w:rFonts w:hint="default" w:ascii="Times New Roman" w:hAnsi="Times New Roman" w:cs="Times New Roman"/>
          <w:color w:val="auto"/>
          <w:position w:val="-6"/>
          <w:sz w:val="24"/>
          <w:szCs w:val="24"/>
          <w:highlight w:val="none"/>
        </w:rPr>
        <w:object>
          <v:shape id="_x0000_i1032" o:spt="75" type="#_x0000_t75" style="height:13.35pt;width:6.95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in year </w:t>
      </w:r>
      <w:r>
        <w:rPr>
          <w:rFonts w:hint="default" w:ascii="Times New Roman" w:hAnsi="Times New Roman" w:cs="Times New Roman"/>
          <w:color w:val="auto"/>
          <w:position w:val="-6"/>
          <w:sz w:val="24"/>
          <w:szCs w:val="24"/>
          <w:highlight w:val="none"/>
        </w:rPr>
        <w:object>
          <v:shape id="_x0000_i1033" o:spt="75" type="#_x0000_t75" style="height:12.2pt;width:6.95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position w:val="-12"/>
          <w:sz w:val="24"/>
          <w:szCs w:val="24"/>
          <w:highlight w:val="none"/>
        </w:rPr>
        <w:object>
          <v:shape id="_x0000_i1034" o:spt="75" type="#_x0000_t75" style="height:18.6pt;width:30.2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shd w:val="clear" w:color="auto" w:fill="FFFFFF" w:themeFill="background1"/>
        </w:rPr>
        <w:t xml:space="preserve">represents the national value added of the financial sector in China in year </w:t>
      </w:r>
      <w:r>
        <w:rPr>
          <w:rFonts w:hint="default" w:ascii="Times New Roman" w:hAnsi="Times New Roman" w:cs="Times New Roman"/>
          <w:color w:val="auto"/>
          <w:position w:val="-6"/>
          <w:sz w:val="24"/>
          <w:szCs w:val="24"/>
          <w:highlight w:val="none"/>
        </w:rPr>
        <w:object>
          <v:shape id="_x0000_i1035" o:spt="75" type="#_x0000_t75" style="height:12.2pt;width:6.95pt;" o:ole="t" filled="f" o:preferrelative="t" stroked="f" coordsize="21600,21600">
            <v:path/>
            <v:fill on="f" focussize="0,0"/>
            <v:stroke on="f" joinstyle="miter"/>
            <v:imagedata r:id="rId27" o:title=""/>
            <o:lock v:ext="edit" aspectratio="t"/>
            <w10:wrap type="none"/>
            <w10:anchorlock/>
          </v:shape>
          <o:OLEObject Type="Embed" ProgID="Equation.DSMT4" ShapeID="_x0000_i1035" DrawAspect="Content" ObjectID="_1468075735" r:id="rId26">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while </w:t>
      </w:r>
      <w:r>
        <w:rPr>
          <w:rFonts w:hint="default" w:ascii="Times New Roman" w:hAnsi="Times New Roman" w:cs="Times New Roman"/>
          <w:color w:val="auto"/>
          <w:position w:val="-12"/>
          <w:sz w:val="24"/>
          <w:szCs w:val="24"/>
          <w:highlight w:val="none"/>
        </w:rPr>
        <w:object>
          <v:shape id="_x0000_i1036" o:spt="75" type="#_x0000_t75" style="height:18.6pt;width:28.45pt;" o:ole="t" filled="f" o:preferrelative="t" stroked="f" coordsize="21600,21600">
            <v:path/>
            <v:fill on="f" focussize="0,0"/>
            <v:stroke on="f" joinstyle="miter"/>
            <v:imagedata r:id="rId29" o:title=""/>
            <o:lock v:ext="edit" aspectratio="t"/>
            <w10:wrap type="none"/>
            <w10:anchorlock/>
          </v:shape>
          <o:OLEObject Type="Embed" ProgID="Equation.DSMT4" ShapeID="_x0000_i1036" DrawAspect="Content" ObjectID="_1468075736" r:id="rId28">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denotes the national GDP of China in year </w:t>
      </w:r>
      <w:r>
        <w:rPr>
          <w:rFonts w:hint="default" w:ascii="Times New Roman" w:hAnsi="Times New Roman" w:cs="Times New Roman"/>
          <w:color w:val="auto"/>
          <w:position w:val="-6"/>
          <w:sz w:val="24"/>
          <w:szCs w:val="24"/>
          <w:highlight w:val="none"/>
        </w:rPr>
        <w:object>
          <v:shape id="_x0000_i1037" o:spt="75" type="#_x0000_t75" style="height:12.2pt;width:6.95pt;" o:ole="t" filled="f" o:preferrelative="t" stroked="f" coordsize="21600,21600">
            <v:path/>
            <v:fill on="f" focussize="0,0"/>
            <v:stroke on="f" joinstyle="miter"/>
            <v:imagedata r:id="rId31" o:title=""/>
            <o:lock v:ext="edit" aspectratio="t"/>
            <w10:wrap type="none"/>
            <w10:anchorlock/>
          </v:shape>
          <o:OLEObject Type="Embed" ProgID="Equation.DSMT4" ShapeID="_x0000_i1037" DrawAspect="Content" ObjectID="_1468075737" r:id="rId30">
            <o:LockedField>false</o:LockedField>
          </o:OLEObject>
        </w:object>
      </w:r>
      <w:r>
        <w:rPr>
          <w:rFonts w:hint="default" w:ascii="Times New Roman" w:hAnsi="Times New Roman" w:cs="Times New Roman"/>
          <w:color w:val="auto"/>
          <w:sz w:val="24"/>
          <w:szCs w:val="24"/>
          <w:highlight w:val="none"/>
          <w:shd w:val="clear" w:color="auto" w:fill="FFFFFF" w:themeFill="background1"/>
        </w:rPr>
        <w:t>.</w:t>
      </w:r>
    </w:p>
    <w:p w14:paraId="66C5EE7D">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Financial efficiency mainly reflects the allocation and utilization efficiency of financial resources. Drawing on previous studies, this study adopts the financial interrelations ratio (</w:t>
      </w:r>
      <w:r>
        <w:rPr>
          <w:rFonts w:hint="default" w:ascii="Times New Roman" w:hAnsi="Times New Roman" w:cs="Times New Roman"/>
          <w:b w:val="0"/>
          <w:bCs w:val="0"/>
          <w:color w:val="auto"/>
          <w:sz w:val="24"/>
          <w:szCs w:val="24"/>
          <w:highlight w:val="none"/>
          <w:vertAlign w:val="baseline"/>
          <w:lang w:val="en-US" w:eastAsia="zh-CN"/>
        </w:rPr>
        <w:t>X8</w:t>
      </w:r>
      <w:r>
        <w:rPr>
          <w:rFonts w:hint="default" w:ascii="Times New Roman" w:hAnsi="Times New Roman" w:eastAsia="宋体" w:cs="Times New Roman"/>
          <w:b w:val="0"/>
          <w:bCs w:val="0"/>
          <w:color w:val="auto"/>
          <w:sz w:val="24"/>
          <w:szCs w:val="24"/>
          <w:highlight w:val="none"/>
          <w:vertAlign w:val="baseline"/>
          <w:lang w:val="en-US" w:eastAsia="zh-CN"/>
        </w:rPr>
        <w:t xml:space="preserve">), </w:t>
      </w:r>
      <w:r>
        <w:rPr>
          <w:rFonts w:hint="default" w:ascii="Times New Roman" w:hAnsi="Times New Roman" w:cs="Times New Roman"/>
          <w:b w:val="0"/>
          <w:bCs w:val="0"/>
          <w:color w:val="auto"/>
          <w:sz w:val="24"/>
          <w:szCs w:val="24"/>
          <w:highlight w:val="none"/>
          <w:vertAlign w:val="baseline"/>
          <w:lang w:val="en-US" w:eastAsia="zh-CN"/>
        </w:rPr>
        <w:t>d</w:t>
      </w:r>
      <w:r>
        <w:rPr>
          <w:rFonts w:hint="default" w:ascii="Times New Roman" w:hAnsi="Times New Roman" w:eastAsia="宋体" w:cs="Times New Roman"/>
          <w:b w:val="0"/>
          <w:bCs w:val="0"/>
          <w:color w:val="auto"/>
          <w:sz w:val="24"/>
          <w:szCs w:val="24"/>
          <w:highlight w:val="none"/>
          <w:vertAlign w:val="baseline"/>
          <w:lang w:val="en-US" w:eastAsia="zh-CN"/>
        </w:rPr>
        <w:t>eposit-to-</w:t>
      </w:r>
      <w:r>
        <w:rPr>
          <w:rFonts w:hint="default" w:ascii="Times New Roman" w:hAnsi="Times New Roman" w:cs="Times New Roman"/>
          <w:b w:val="0"/>
          <w:bCs w:val="0"/>
          <w:color w:val="auto"/>
          <w:sz w:val="24"/>
          <w:szCs w:val="24"/>
          <w:highlight w:val="none"/>
          <w:vertAlign w:val="baseline"/>
          <w:lang w:val="en-US" w:eastAsia="zh-CN"/>
        </w:rPr>
        <w:t>l</w:t>
      </w:r>
      <w:r>
        <w:rPr>
          <w:rFonts w:hint="default" w:ascii="Times New Roman" w:hAnsi="Times New Roman" w:eastAsia="宋体" w:cs="Times New Roman"/>
          <w:b w:val="0"/>
          <w:bCs w:val="0"/>
          <w:color w:val="auto"/>
          <w:sz w:val="24"/>
          <w:szCs w:val="24"/>
          <w:highlight w:val="none"/>
          <w:vertAlign w:val="baseline"/>
          <w:lang w:val="en-US" w:eastAsia="zh-CN"/>
        </w:rPr>
        <w:t>oan ratio</w:t>
      </w:r>
      <w:r>
        <w:rPr>
          <w:rFonts w:hint="default" w:ascii="Times New Roman" w:hAnsi="Times New Roman" w:cs="Times New Roman"/>
          <w:b w:val="0"/>
          <w:bCs w:val="0"/>
          <w:color w:val="auto"/>
          <w:sz w:val="24"/>
          <w:szCs w:val="24"/>
          <w:highlight w:val="none"/>
          <w:vertAlign w:val="baseline"/>
          <w:lang w:val="en-US" w:eastAsia="zh-CN"/>
        </w:rPr>
        <w:t xml:space="preserve"> (X9)</w:t>
      </w:r>
      <w:r>
        <w:rPr>
          <w:rFonts w:hint="default" w:ascii="Times New Roman" w:hAnsi="Times New Roman" w:eastAsia="宋体" w:cs="Times New Roman"/>
          <w:b w:val="0"/>
          <w:bCs w:val="0"/>
          <w:color w:val="auto"/>
          <w:sz w:val="24"/>
          <w:szCs w:val="24"/>
          <w:highlight w:val="none"/>
          <w:vertAlign w:val="baseline"/>
          <w:lang w:val="en-US" w:eastAsia="zh-CN"/>
        </w:rPr>
        <w:t xml:space="preserve">, insurance </w:t>
      </w:r>
      <w:r>
        <w:rPr>
          <w:rFonts w:hint="default" w:ascii="Times New Roman" w:hAnsi="Times New Roman" w:cs="Times New Roman"/>
          <w:b w:val="0"/>
          <w:bCs w:val="0"/>
          <w:color w:val="auto"/>
          <w:sz w:val="24"/>
          <w:szCs w:val="24"/>
          <w:highlight w:val="none"/>
          <w:vertAlign w:val="baseline"/>
          <w:lang w:val="en-US" w:eastAsia="zh-CN"/>
        </w:rPr>
        <w:t>p</w:t>
      </w:r>
      <w:r>
        <w:rPr>
          <w:rFonts w:hint="default" w:ascii="Times New Roman" w:hAnsi="Times New Roman" w:eastAsia="宋体" w:cs="Times New Roman"/>
          <w:b w:val="0"/>
          <w:bCs w:val="0"/>
          <w:color w:val="auto"/>
          <w:sz w:val="24"/>
          <w:szCs w:val="24"/>
          <w:highlight w:val="none"/>
          <w:vertAlign w:val="baseline"/>
          <w:lang w:val="en-US" w:eastAsia="zh-CN"/>
        </w:rPr>
        <w:t>enetration</w:t>
      </w:r>
      <w:r>
        <w:rPr>
          <w:rFonts w:hint="default" w:ascii="Times New Roman" w:hAnsi="Times New Roman" w:cs="Times New Roman"/>
          <w:b w:val="0"/>
          <w:bCs w:val="0"/>
          <w:color w:val="auto"/>
          <w:sz w:val="24"/>
          <w:szCs w:val="24"/>
          <w:highlight w:val="none"/>
          <w:vertAlign w:val="baseline"/>
          <w:lang w:val="en-US" w:eastAsia="zh-CN"/>
        </w:rPr>
        <w:t xml:space="preserve"> (X10)</w:t>
      </w:r>
      <w:r>
        <w:rPr>
          <w:rFonts w:hint="default" w:ascii="Times New Roman" w:hAnsi="Times New Roman" w:eastAsia="宋体" w:cs="Times New Roman"/>
          <w:b w:val="0"/>
          <w:bCs w:val="0"/>
          <w:color w:val="auto"/>
          <w:sz w:val="24"/>
          <w:szCs w:val="24"/>
          <w:highlight w:val="none"/>
          <w:vertAlign w:val="baseline"/>
          <w:lang w:val="en-US" w:eastAsia="zh-CN"/>
        </w:rPr>
        <w:t>, and insurance density</w:t>
      </w:r>
      <w:r>
        <w:rPr>
          <w:rFonts w:hint="default" w:ascii="Times New Roman" w:hAnsi="Times New Roman" w:cs="Times New Roman"/>
          <w:b w:val="0"/>
          <w:bCs w:val="0"/>
          <w:color w:val="auto"/>
          <w:sz w:val="24"/>
          <w:szCs w:val="24"/>
          <w:highlight w:val="none"/>
          <w:vertAlign w:val="baseline"/>
          <w:lang w:val="en-US" w:eastAsia="zh-CN"/>
        </w:rPr>
        <w:t xml:space="preserve"> (X11)</w:t>
      </w:r>
      <w:r>
        <w:rPr>
          <w:rFonts w:hint="default" w:ascii="Times New Roman" w:hAnsi="Times New Roman" w:eastAsia="宋体" w:cs="Times New Roman"/>
          <w:b w:val="0"/>
          <w:bCs w:val="0"/>
          <w:color w:val="auto"/>
          <w:sz w:val="24"/>
          <w:szCs w:val="24"/>
          <w:highlight w:val="none"/>
          <w:vertAlign w:val="baseline"/>
          <w:lang w:val="en-US" w:eastAsia="zh-CN"/>
        </w:rPr>
        <w:t xml:space="preserve"> as measurement indicators. Specifically, the financial interrelations ratio reflects the degree of association between financial development and economic development; the loan-to-deposit ratio measures the ability of financial institutions to transform deposits into loans; insurance depth indicates the penetration level of the insurance industry within the regional economy; and insurance density reflects the development level and popularity of the insurance market.</w:t>
      </w:r>
      <w:r>
        <w:rPr>
          <w:rFonts w:hint="default" w:ascii="Times New Roman" w:hAnsi="Times New Roman" w:cs="Times New Roman"/>
          <w:b w:val="0"/>
          <w:bCs w:val="0"/>
          <w:color w:val="auto"/>
          <w:sz w:val="24"/>
          <w:szCs w:val="24"/>
          <w:highlight w:val="none"/>
          <w:vertAlign w:val="baseline"/>
          <w:lang w:val="en-US" w:eastAsia="zh-CN"/>
        </w:rPr>
        <w:t xml:space="preserve"> The FA indicator system is shown in Table 1.</w:t>
      </w:r>
    </w:p>
    <w:p w14:paraId="2278DE2F">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 xml:space="preserve">Table </w:t>
      </w:r>
      <w:r>
        <w:rPr>
          <w:rFonts w:hint="default" w:ascii="Times New Roman" w:hAnsi="Times New Roman" w:cs="Times New Roman"/>
          <w:b/>
          <w:bCs/>
          <w:color w:val="auto"/>
          <w:sz w:val="24"/>
          <w:szCs w:val="24"/>
          <w:highlight w:val="none"/>
          <w:vertAlign w:val="baseline"/>
          <w:lang w:val="en-US" w:eastAsia="zh-CN"/>
        </w:rPr>
        <w:t>1:</w:t>
      </w:r>
      <w:r>
        <w:rPr>
          <w:rFonts w:hint="default" w:ascii="Times New Roman" w:hAnsi="Times New Roman" w:eastAsia="宋体" w:cs="Times New Roman"/>
          <w:b/>
          <w:bCs/>
          <w:color w:val="auto"/>
          <w:sz w:val="24"/>
          <w:szCs w:val="24"/>
          <w:highlight w:val="none"/>
          <w:vertAlign w:val="baseline"/>
          <w:lang w:val="en-US" w:eastAsia="zh-CN"/>
        </w:rPr>
        <w:t xml:space="preserve"> Indicator </w:t>
      </w:r>
      <w:r>
        <w:rPr>
          <w:rFonts w:hint="default" w:ascii="Times New Roman" w:hAnsi="Times New Roman" w:cs="Times New Roman"/>
          <w:b/>
          <w:bCs/>
          <w:color w:val="auto"/>
          <w:sz w:val="24"/>
          <w:szCs w:val="24"/>
          <w:highlight w:val="none"/>
          <w:vertAlign w:val="baseline"/>
          <w:lang w:val="en-US" w:eastAsia="zh-CN"/>
        </w:rPr>
        <w:t>S</w:t>
      </w:r>
      <w:r>
        <w:rPr>
          <w:rFonts w:hint="default" w:ascii="Times New Roman" w:hAnsi="Times New Roman" w:eastAsia="宋体" w:cs="Times New Roman"/>
          <w:b/>
          <w:bCs/>
          <w:color w:val="auto"/>
          <w:sz w:val="24"/>
          <w:szCs w:val="24"/>
          <w:highlight w:val="none"/>
          <w:vertAlign w:val="baseline"/>
          <w:lang w:val="en-US" w:eastAsia="zh-CN"/>
        </w:rPr>
        <w:t xml:space="preserve">ystem for </w:t>
      </w:r>
      <w:r>
        <w:rPr>
          <w:rFonts w:hint="default" w:ascii="Times New Roman" w:hAnsi="Times New Roman" w:cs="Times New Roman"/>
          <w:b/>
          <w:bCs/>
          <w:color w:val="auto"/>
          <w:sz w:val="24"/>
          <w:szCs w:val="24"/>
          <w:highlight w:val="none"/>
          <w:vertAlign w:val="baseline"/>
          <w:lang w:val="en-US" w:eastAsia="zh-CN"/>
        </w:rPr>
        <w:t>FA</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200"/>
        <w:gridCol w:w="1571"/>
        <w:gridCol w:w="4593"/>
        <w:gridCol w:w="1247"/>
        <w:gridCol w:w="963"/>
      </w:tblGrid>
      <w:tr w14:paraId="416F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Align w:val="center"/>
          </w:tcPr>
          <w:p w14:paraId="28BA8F5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bCs/>
                <w:color w:val="auto"/>
                <w:sz w:val="20"/>
                <w:szCs w:val="20"/>
                <w:highlight w:val="none"/>
                <w:shd w:val="clear" w:color="auto" w:fill="FFFFFF" w:themeFill="background1"/>
              </w:rPr>
            </w:pPr>
            <w:r>
              <w:rPr>
                <w:rFonts w:hint="default" w:ascii="Times New Roman" w:hAnsi="Times New Roman" w:cs="Times New Roman"/>
                <w:b/>
                <w:bCs/>
                <w:color w:val="auto"/>
                <w:sz w:val="20"/>
                <w:szCs w:val="20"/>
                <w:highlight w:val="none"/>
                <w:shd w:val="clear" w:color="auto" w:fill="FFFFFF" w:themeFill="background1"/>
              </w:rPr>
              <w:t>Dimension</w:t>
            </w:r>
          </w:p>
        </w:tc>
        <w:tc>
          <w:tcPr>
            <w:tcW w:w="549" w:type="pct"/>
            <w:vAlign w:val="center"/>
          </w:tcPr>
          <w:p w14:paraId="28BA8F5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bCs/>
                <w:color w:val="auto"/>
                <w:sz w:val="20"/>
                <w:szCs w:val="20"/>
                <w:highlight w:val="none"/>
                <w:shd w:val="clear" w:color="auto" w:fill="FFFFFF" w:themeFill="background1"/>
              </w:rPr>
            </w:pPr>
            <w:r>
              <w:rPr>
                <w:rFonts w:hint="default" w:ascii="Times New Roman" w:hAnsi="Times New Roman" w:cs="Times New Roman"/>
                <w:b/>
                <w:bCs/>
                <w:color w:val="auto"/>
                <w:sz w:val="20"/>
                <w:szCs w:val="20"/>
                <w:highlight w:val="none"/>
                <w:shd w:val="clear" w:color="auto" w:fill="FFFFFF" w:themeFill="background1"/>
              </w:rPr>
              <w:t>Indicator</w:t>
            </w:r>
          </w:p>
        </w:tc>
        <w:tc>
          <w:tcPr>
            <w:tcW w:w="719" w:type="pct"/>
            <w:vAlign w:val="center"/>
          </w:tcPr>
          <w:p w14:paraId="28BA8F5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bCs/>
                <w:color w:val="auto"/>
                <w:sz w:val="20"/>
                <w:szCs w:val="20"/>
                <w:highlight w:val="none"/>
                <w:shd w:val="clear" w:color="auto" w:fill="FFFFFF" w:themeFill="background1"/>
              </w:rPr>
            </w:pPr>
            <w:r>
              <w:rPr>
                <w:rFonts w:hint="default" w:ascii="Times New Roman" w:hAnsi="Times New Roman" w:cs="Times New Roman"/>
                <w:b/>
                <w:bCs/>
                <w:color w:val="auto"/>
                <w:sz w:val="20"/>
                <w:szCs w:val="20"/>
                <w:highlight w:val="none"/>
                <w:shd w:val="clear" w:color="auto" w:fill="FFFFFF" w:themeFill="background1"/>
              </w:rPr>
              <w:t>Unit</w:t>
            </w:r>
          </w:p>
        </w:tc>
        <w:tc>
          <w:tcPr>
            <w:tcW w:w="2104" w:type="pct"/>
            <w:vAlign w:val="center"/>
          </w:tcPr>
          <w:p w14:paraId="28BA8F5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bCs/>
                <w:color w:val="auto"/>
                <w:sz w:val="20"/>
                <w:szCs w:val="20"/>
                <w:highlight w:val="none"/>
                <w:shd w:val="clear" w:color="auto" w:fill="FFFFFF" w:themeFill="background1"/>
              </w:rPr>
            </w:pPr>
            <w:r>
              <w:rPr>
                <w:rFonts w:hint="default" w:ascii="Times New Roman" w:hAnsi="Times New Roman" w:cs="Times New Roman"/>
                <w:b/>
                <w:bCs/>
                <w:color w:val="auto"/>
                <w:sz w:val="20"/>
                <w:szCs w:val="20"/>
                <w:highlight w:val="none"/>
                <w:shd w:val="clear" w:color="auto" w:fill="FFFFFF" w:themeFill="background1"/>
              </w:rPr>
              <w:t>Data Source or Calculation Method</w:t>
            </w:r>
          </w:p>
        </w:tc>
        <w:tc>
          <w:tcPr>
            <w:tcW w:w="571" w:type="pct"/>
            <w:vAlign w:val="center"/>
          </w:tcPr>
          <w:p w14:paraId="28BA8F5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bCs/>
                <w:color w:val="auto"/>
                <w:sz w:val="20"/>
                <w:szCs w:val="20"/>
                <w:highlight w:val="none"/>
                <w:shd w:val="clear" w:color="auto" w:fill="FFFFFF" w:themeFill="background1"/>
              </w:rPr>
            </w:pPr>
            <w:r>
              <w:rPr>
                <w:rFonts w:hint="default" w:ascii="Times New Roman" w:hAnsi="Times New Roman" w:cs="Times New Roman"/>
                <w:b/>
                <w:bCs/>
                <w:color w:val="auto"/>
                <w:sz w:val="20"/>
                <w:szCs w:val="20"/>
                <w:highlight w:val="none"/>
                <w:shd w:val="clear" w:color="auto" w:fill="FFFFFF" w:themeFill="background1"/>
              </w:rPr>
              <w:t>Attribute</w:t>
            </w:r>
          </w:p>
        </w:tc>
        <w:tc>
          <w:tcPr>
            <w:tcW w:w="441" w:type="pct"/>
            <w:vAlign w:val="center"/>
          </w:tcPr>
          <w:p w14:paraId="427C15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auto"/>
                <w:sz w:val="20"/>
                <w:szCs w:val="20"/>
                <w:highlight w:val="none"/>
                <w:shd w:val="clear" w:color="auto" w:fill="FFFFFF" w:themeFill="background1"/>
              </w:rPr>
            </w:pPr>
            <w:r>
              <w:rPr>
                <w:rFonts w:hint="default" w:ascii="Times New Roman" w:hAnsi="Times New Roman" w:cs="Times New Roman"/>
                <w:b/>
                <w:bCs/>
                <w:color w:val="auto"/>
                <w:sz w:val="20"/>
                <w:szCs w:val="20"/>
                <w:highlight w:val="none"/>
                <w:shd w:val="clear" w:color="auto" w:fill="FFFFFF" w:themeFill="background1"/>
              </w:rPr>
              <w:t>Weight</w:t>
            </w:r>
          </w:p>
        </w:tc>
      </w:tr>
      <w:tr w14:paraId="5DBB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restart"/>
          </w:tcPr>
          <w:p w14:paraId="28BA8F5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Financial Scale</w:t>
            </w:r>
          </w:p>
        </w:tc>
        <w:tc>
          <w:tcPr>
            <w:tcW w:w="549" w:type="pct"/>
            <w:vAlign w:val="center"/>
          </w:tcPr>
          <w:p w14:paraId="28BA8F6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X1</w:t>
            </w:r>
          </w:p>
        </w:tc>
        <w:tc>
          <w:tcPr>
            <w:tcW w:w="719" w:type="pct"/>
            <w:vAlign w:val="center"/>
          </w:tcPr>
          <w:p w14:paraId="28BA8F6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N/A</w:t>
            </w:r>
          </w:p>
        </w:tc>
        <w:tc>
          <w:tcPr>
            <w:tcW w:w="2104" w:type="pct"/>
            <w:vAlign w:val="center"/>
          </w:tcPr>
          <w:p w14:paraId="28BA8F6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auto"/>
                <w:sz w:val="20"/>
                <w:szCs w:val="20"/>
                <w:highlight w:val="none"/>
                <w:shd w:val="clear" w:color="auto" w:fill="FFFFFF" w:themeFill="background1"/>
              </w:rPr>
            </w:pPr>
            <w:r>
              <w:rPr>
                <w:rFonts w:hint="default" w:ascii="Times New Roman" w:hAnsi="Times New Roman" w:cs="Times New Roman"/>
                <w:color w:val="auto"/>
                <w:position w:val="-30"/>
                <w:sz w:val="20"/>
                <w:szCs w:val="20"/>
                <w:highlight w:val="none"/>
              </w:rPr>
              <w:object>
                <v:shape id="_x0000_i1038" o:spt="75" type="#_x0000_t75" style="height:34.25pt;width:95.8pt;" o:ole="t" filled="f" o:preferrelative="t" stroked="f" coordsize="21600,21600">
                  <v:path/>
                  <v:fill on="f" focussize="0,0"/>
                  <v:stroke on="f" joinstyle="miter"/>
                  <v:imagedata r:id="rId33" o:title=""/>
                  <o:lock v:ext="edit" aspectratio="t"/>
                  <w10:wrap type="none"/>
                  <w10:anchorlock/>
                </v:shape>
                <o:OLEObject Type="Embed" ProgID="Equation.DSMT4" ShapeID="_x0000_i1038" DrawAspect="Content" ObjectID="_1468075738" r:id="rId32">
                  <o:LockedField>false</o:LockedField>
                </o:OLEObject>
              </w:object>
            </w:r>
          </w:p>
        </w:tc>
        <w:tc>
          <w:tcPr>
            <w:tcW w:w="571" w:type="pct"/>
            <w:vAlign w:val="center"/>
          </w:tcPr>
          <w:p w14:paraId="28BA8F6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59FA04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0.045</w:t>
            </w:r>
          </w:p>
        </w:tc>
      </w:tr>
      <w:tr w14:paraId="2251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continue"/>
            <w:vAlign w:val="center"/>
          </w:tcPr>
          <w:p w14:paraId="28BA8F6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p>
        </w:tc>
        <w:tc>
          <w:tcPr>
            <w:tcW w:w="549" w:type="pct"/>
            <w:vAlign w:val="center"/>
          </w:tcPr>
          <w:p w14:paraId="28BA8F6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X2</w:t>
            </w:r>
          </w:p>
        </w:tc>
        <w:tc>
          <w:tcPr>
            <w:tcW w:w="719" w:type="pct"/>
            <w:vAlign w:val="center"/>
          </w:tcPr>
          <w:p w14:paraId="28BA8F6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100 million yuan</w:t>
            </w:r>
          </w:p>
        </w:tc>
        <w:tc>
          <w:tcPr>
            <w:tcW w:w="2104" w:type="pct"/>
            <w:vAlign w:val="center"/>
          </w:tcPr>
          <w:p w14:paraId="28BA8F6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China Statistical Yearbook</w:t>
            </w:r>
          </w:p>
        </w:tc>
        <w:tc>
          <w:tcPr>
            <w:tcW w:w="571" w:type="pct"/>
            <w:vAlign w:val="center"/>
          </w:tcPr>
          <w:p w14:paraId="28BA8F6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2F5998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0.122</w:t>
            </w:r>
          </w:p>
        </w:tc>
      </w:tr>
      <w:tr w14:paraId="355A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continue"/>
            <w:vAlign w:val="center"/>
          </w:tcPr>
          <w:p w14:paraId="28BA8F6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p>
        </w:tc>
        <w:tc>
          <w:tcPr>
            <w:tcW w:w="549" w:type="pct"/>
            <w:vAlign w:val="center"/>
          </w:tcPr>
          <w:p w14:paraId="28BA8F6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X3</w:t>
            </w:r>
          </w:p>
        </w:tc>
        <w:tc>
          <w:tcPr>
            <w:tcW w:w="719" w:type="pct"/>
            <w:vAlign w:val="center"/>
          </w:tcPr>
          <w:p w14:paraId="28BA8F6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persons</w:t>
            </w:r>
          </w:p>
        </w:tc>
        <w:tc>
          <w:tcPr>
            <w:tcW w:w="2104" w:type="pct"/>
            <w:vAlign w:val="center"/>
          </w:tcPr>
          <w:p w14:paraId="28BA8F6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China Labor Statistical Yearbook</w:t>
            </w:r>
          </w:p>
        </w:tc>
        <w:tc>
          <w:tcPr>
            <w:tcW w:w="571" w:type="pct"/>
            <w:vAlign w:val="center"/>
          </w:tcPr>
          <w:p w14:paraId="28BA8F7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2FD2F4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0.057</w:t>
            </w:r>
          </w:p>
        </w:tc>
      </w:tr>
      <w:tr w14:paraId="5A69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continue"/>
            <w:vAlign w:val="center"/>
          </w:tcPr>
          <w:p w14:paraId="28BA8F7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p>
        </w:tc>
        <w:tc>
          <w:tcPr>
            <w:tcW w:w="549" w:type="pct"/>
            <w:vAlign w:val="center"/>
          </w:tcPr>
          <w:p w14:paraId="28BA8F7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X4</w:t>
            </w:r>
          </w:p>
        </w:tc>
        <w:tc>
          <w:tcPr>
            <w:tcW w:w="719" w:type="pct"/>
            <w:vAlign w:val="center"/>
          </w:tcPr>
          <w:p w14:paraId="28BA8F7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100 million yuan</w:t>
            </w:r>
          </w:p>
        </w:tc>
        <w:tc>
          <w:tcPr>
            <w:tcW w:w="2104" w:type="pct"/>
            <w:vAlign w:val="center"/>
          </w:tcPr>
          <w:p w14:paraId="28BA8F7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Almanac of China’s Finance and Banking</w:t>
            </w:r>
          </w:p>
        </w:tc>
        <w:tc>
          <w:tcPr>
            <w:tcW w:w="571" w:type="pct"/>
            <w:vAlign w:val="center"/>
          </w:tcPr>
          <w:p w14:paraId="28BA8F7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40CBBB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0.109</w:t>
            </w:r>
          </w:p>
        </w:tc>
      </w:tr>
      <w:tr w14:paraId="73BB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continue"/>
            <w:vAlign w:val="center"/>
          </w:tcPr>
          <w:p w14:paraId="28BA8F7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p>
        </w:tc>
        <w:tc>
          <w:tcPr>
            <w:tcW w:w="549" w:type="pct"/>
            <w:vAlign w:val="center"/>
          </w:tcPr>
          <w:p w14:paraId="28BA8F7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X5</w:t>
            </w:r>
          </w:p>
        </w:tc>
        <w:tc>
          <w:tcPr>
            <w:tcW w:w="719" w:type="pct"/>
            <w:vAlign w:val="center"/>
          </w:tcPr>
          <w:p w14:paraId="28BA8F7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100 million yuan</w:t>
            </w:r>
          </w:p>
        </w:tc>
        <w:tc>
          <w:tcPr>
            <w:tcW w:w="2104" w:type="pct"/>
            <w:vAlign w:val="center"/>
          </w:tcPr>
          <w:p w14:paraId="28BA8F7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Almanac of China’s Finance and Banking</w:t>
            </w:r>
          </w:p>
        </w:tc>
        <w:tc>
          <w:tcPr>
            <w:tcW w:w="571" w:type="pct"/>
            <w:vAlign w:val="center"/>
          </w:tcPr>
          <w:p w14:paraId="28BA8F7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079924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0.104</w:t>
            </w:r>
          </w:p>
        </w:tc>
      </w:tr>
      <w:tr w14:paraId="4EBF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continue"/>
            <w:vAlign w:val="center"/>
          </w:tcPr>
          <w:p w14:paraId="28BA8F7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p>
        </w:tc>
        <w:tc>
          <w:tcPr>
            <w:tcW w:w="549" w:type="pct"/>
            <w:vAlign w:val="center"/>
          </w:tcPr>
          <w:p w14:paraId="28BA8F7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X6</w:t>
            </w:r>
          </w:p>
        </w:tc>
        <w:tc>
          <w:tcPr>
            <w:tcW w:w="719" w:type="pct"/>
            <w:vAlign w:val="center"/>
          </w:tcPr>
          <w:p w14:paraId="28BA8F8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10 billion yuan</w:t>
            </w:r>
          </w:p>
        </w:tc>
        <w:tc>
          <w:tcPr>
            <w:tcW w:w="2104" w:type="pct"/>
            <w:vAlign w:val="center"/>
          </w:tcPr>
          <w:p w14:paraId="28BA8F8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left"/>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=Trading Value on the Shenzhen Stock Exchange+ Trading Value on the Shanghai Stock Exchange</w:t>
            </w:r>
          </w:p>
        </w:tc>
        <w:tc>
          <w:tcPr>
            <w:tcW w:w="571" w:type="pct"/>
            <w:vAlign w:val="center"/>
          </w:tcPr>
          <w:p w14:paraId="28BA8F8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29B877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0.296</w:t>
            </w:r>
          </w:p>
        </w:tc>
      </w:tr>
      <w:tr w14:paraId="21C0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continue"/>
            <w:vAlign w:val="center"/>
          </w:tcPr>
          <w:p w14:paraId="28BA8F8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p>
        </w:tc>
        <w:tc>
          <w:tcPr>
            <w:tcW w:w="549" w:type="pct"/>
            <w:vAlign w:val="center"/>
          </w:tcPr>
          <w:p w14:paraId="28BA8F8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X7</w:t>
            </w:r>
          </w:p>
        </w:tc>
        <w:tc>
          <w:tcPr>
            <w:tcW w:w="719" w:type="pct"/>
            <w:vAlign w:val="center"/>
          </w:tcPr>
          <w:p w14:paraId="28BA8F8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100 million yuan</w:t>
            </w:r>
          </w:p>
        </w:tc>
        <w:tc>
          <w:tcPr>
            <w:tcW w:w="2104" w:type="pct"/>
            <w:vAlign w:val="center"/>
          </w:tcPr>
          <w:p w14:paraId="28BA8F8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Almanac of China’s Finance and Banking</w:t>
            </w:r>
          </w:p>
        </w:tc>
        <w:tc>
          <w:tcPr>
            <w:tcW w:w="571" w:type="pct"/>
            <w:vAlign w:val="center"/>
          </w:tcPr>
          <w:p w14:paraId="28BA8F8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536C1D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0.099</w:t>
            </w:r>
          </w:p>
        </w:tc>
      </w:tr>
      <w:tr w14:paraId="59ED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restart"/>
          </w:tcPr>
          <w:p w14:paraId="28BA8F8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Financial Efficiency</w:t>
            </w:r>
          </w:p>
        </w:tc>
        <w:tc>
          <w:tcPr>
            <w:tcW w:w="549" w:type="pct"/>
            <w:vAlign w:val="center"/>
          </w:tcPr>
          <w:p w14:paraId="28BA8F8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X8</w:t>
            </w:r>
          </w:p>
        </w:tc>
        <w:tc>
          <w:tcPr>
            <w:tcW w:w="719" w:type="pct"/>
            <w:vAlign w:val="center"/>
          </w:tcPr>
          <w:p w14:paraId="28BA8F8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N/A</w:t>
            </w:r>
          </w:p>
        </w:tc>
        <w:tc>
          <w:tcPr>
            <w:tcW w:w="2104" w:type="pct"/>
            <w:vAlign w:val="center"/>
          </w:tcPr>
          <w:p w14:paraId="28BA8F8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left"/>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=（Deposit Balance of Financial Institutions at Year-end + Loan Balance of Financial Institutions at Year-end) / Gross Regional Product</w:t>
            </w:r>
          </w:p>
        </w:tc>
        <w:tc>
          <w:tcPr>
            <w:tcW w:w="571" w:type="pct"/>
            <w:vAlign w:val="center"/>
          </w:tcPr>
          <w:p w14:paraId="28BA8F8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2B636D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0.040</w:t>
            </w:r>
          </w:p>
        </w:tc>
      </w:tr>
      <w:tr w14:paraId="1B9D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continue"/>
            <w:vAlign w:val="center"/>
          </w:tcPr>
          <w:p w14:paraId="28BA8F9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p>
        </w:tc>
        <w:tc>
          <w:tcPr>
            <w:tcW w:w="549" w:type="pct"/>
            <w:vAlign w:val="center"/>
          </w:tcPr>
          <w:p w14:paraId="28BA8F9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X9</w:t>
            </w:r>
          </w:p>
        </w:tc>
        <w:tc>
          <w:tcPr>
            <w:tcW w:w="719" w:type="pct"/>
            <w:vAlign w:val="center"/>
          </w:tcPr>
          <w:p w14:paraId="28BA8F9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N/A</w:t>
            </w:r>
          </w:p>
        </w:tc>
        <w:tc>
          <w:tcPr>
            <w:tcW w:w="2104" w:type="pct"/>
            <w:vAlign w:val="center"/>
          </w:tcPr>
          <w:p w14:paraId="28BA8F9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left"/>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 Deposit Balance of Financial Institutions at Year-end / Loan Balance of Financial Institutions at Year-end</w:t>
            </w:r>
          </w:p>
        </w:tc>
        <w:tc>
          <w:tcPr>
            <w:tcW w:w="571" w:type="pct"/>
            <w:vAlign w:val="center"/>
          </w:tcPr>
          <w:p w14:paraId="28BA8F9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13342F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0.011</w:t>
            </w:r>
          </w:p>
        </w:tc>
      </w:tr>
      <w:tr w14:paraId="7442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continue"/>
            <w:vAlign w:val="center"/>
          </w:tcPr>
          <w:p w14:paraId="28BA8F9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p>
        </w:tc>
        <w:tc>
          <w:tcPr>
            <w:tcW w:w="549" w:type="pct"/>
            <w:vAlign w:val="center"/>
          </w:tcPr>
          <w:p w14:paraId="28BA8F9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X10</w:t>
            </w:r>
          </w:p>
        </w:tc>
        <w:tc>
          <w:tcPr>
            <w:tcW w:w="719" w:type="pct"/>
            <w:vAlign w:val="center"/>
          </w:tcPr>
          <w:p w14:paraId="28BA8F9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2104" w:type="pct"/>
            <w:vAlign w:val="center"/>
          </w:tcPr>
          <w:p w14:paraId="28BA8F9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Almanac of China’s Finance and Banking</w:t>
            </w:r>
          </w:p>
        </w:tc>
        <w:tc>
          <w:tcPr>
            <w:tcW w:w="571" w:type="pct"/>
            <w:vAlign w:val="center"/>
          </w:tcPr>
          <w:p w14:paraId="28BA8F9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3CB70A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0.035</w:t>
            </w:r>
          </w:p>
        </w:tc>
      </w:tr>
      <w:tr w14:paraId="0949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13" w:type="pct"/>
            <w:vMerge w:val="continue"/>
            <w:vAlign w:val="center"/>
          </w:tcPr>
          <w:p w14:paraId="28BA8F9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p>
        </w:tc>
        <w:tc>
          <w:tcPr>
            <w:tcW w:w="549" w:type="pct"/>
            <w:vAlign w:val="center"/>
          </w:tcPr>
          <w:p w14:paraId="28BA8F9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b w:val="0"/>
                <w:bCs w:val="0"/>
                <w:color w:val="auto"/>
                <w:sz w:val="20"/>
                <w:szCs w:val="20"/>
                <w:highlight w:val="none"/>
                <w:shd w:val="clear" w:color="auto" w:fill="FFFFFF" w:themeFill="background1"/>
              </w:rPr>
            </w:pPr>
            <w:r>
              <w:rPr>
                <w:rFonts w:hint="default" w:ascii="Times New Roman" w:hAnsi="Times New Roman" w:cs="Times New Roman"/>
                <w:b w:val="0"/>
                <w:bCs w:val="0"/>
                <w:color w:val="auto"/>
                <w:sz w:val="20"/>
                <w:szCs w:val="20"/>
                <w:highlight w:val="none"/>
                <w:shd w:val="clear" w:color="auto" w:fill="FFFFFF" w:themeFill="background1"/>
              </w:rPr>
              <w:t>X11</w:t>
            </w:r>
          </w:p>
        </w:tc>
        <w:tc>
          <w:tcPr>
            <w:tcW w:w="719" w:type="pct"/>
            <w:vAlign w:val="center"/>
          </w:tcPr>
          <w:p w14:paraId="28BA8F9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yuan per person</w:t>
            </w:r>
          </w:p>
        </w:tc>
        <w:tc>
          <w:tcPr>
            <w:tcW w:w="2104" w:type="pct"/>
            <w:vAlign w:val="center"/>
          </w:tcPr>
          <w:p w14:paraId="28BA8F9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Almanac of China’s Finance and Banking</w:t>
            </w:r>
          </w:p>
        </w:tc>
        <w:tc>
          <w:tcPr>
            <w:tcW w:w="571" w:type="pct"/>
            <w:vAlign w:val="center"/>
          </w:tcPr>
          <w:p w14:paraId="28BA8FA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w:t>
            </w:r>
          </w:p>
        </w:tc>
        <w:tc>
          <w:tcPr>
            <w:tcW w:w="441" w:type="pct"/>
            <w:vAlign w:val="center"/>
          </w:tcPr>
          <w:p w14:paraId="66CD69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0"/>
                <w:szCs w:val="20"/>
                <w:highlight w:val="none"/>
                <w:shd w:val="clear" w:color="auto" w:fill="FFFFFF" w:themeFill="background1"/>
              </w:rPr>
            </w:pPr>
            <w:r>
              <w:rPr>
                <w:rFonts w:hint="default" w:ascii="Times New Roman" w:hAnsi="Times New Roman" w:cs="Times New Roman"/>
                <w:color w:val="auto"/>
                <w:sz w:val="20"/>
                <w:szCs w:val="20"/>
                <w:highlight w:val="none"/>
                <w:shd w:val="clear" w:color="auto" w:fill="FFFFFF" w:themeFill="background1"/>
              </w:rPr>
              <w:t>0.081</w:t>
            </w:r>
          </w:p>
        </w:tc>
      </w:tr>
    </w:tbl>
    <w:p w14:paraId="00A284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0"/>
          <w:szCs w:val="20"/>
          <w:highlight w:val="none"/>
          <w:vertAlign w:val="baseline"/>
          <w:lang w:val="en-US" w:eastAsia="zh-CN"/>
        </w:rPr>
      </w:pPr>
      <w:r>
        <w:rPr>
          <w:rFonts w:hint="default" w:ascii="Times New Roman" w:hAnsi="Times New Roman" w:eastAsia="宋体" w:cs="Times New Roman"/>
          <w:b w:val="0"/>
          <w:bCs w:val="0"/>
          <w:color w:val="auto"/>
          <w:sz w:val="20"/>
          <w:szCs w:val="20"/>
          <w:highlight w:val="none"/>
          <w:vertAlign w:val="baseline"/>
          <w:lang w:val="en-US" w:eastAsia="zh-CN"/>
        </w:rPr>
        <w:t>(Source: Adapted from He et al. (2015), Bai et al. (2014), Luo et al. (2013), and Zhou et al. (2015))</w:t>
      </w:r>
    </w:p>
    <w:p w14:paraId="6CB84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0"/>
          <w:szCs w:val="20"/>
          <w:highlight w:val="none"/>
          <w:vertAlign w:val="baseline"/>
          <w:lang w:val="en-US" w:eastAsia="zh-CN"/>
        </w:rPr>
      </w:pPr>
      <w:r>
        <w:rPr>
          <w:rFonts w:hint="default" w:ascii="Times New Roman" w:hAnsi="Times New Roman" w:eastAsia="宋体" w:cs="Times New Roman"/>
          <w:b w:val="0"/>
          <w:bCs w:val="0"/>
          <w:color w:val="auto"/>
          <w:sz w:val="20"/>
          <w:szCs w:val="20"/>
          <w:highlight w:val="none"/>
          <w:vertAlign w:val="baseline"/>
          <w:lang w:val="en-US" w:eastAsia="zh-CN"/>
        </w:rPr>
        <w:t>Note: Attribute = “+” indicates a positive indicator, Attribute = “−” indicates a negative indicator, “N/A” indicates that the indicator is dimensionless (i.e., it has no unit).</w:t>
      </w:r>
    </w:p>
    <w:p w14:paraId="1415A265">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 xml:space="preserve">This study constructs a </w:t>
      </w:r>
      <w:r>
        <w:rPr>
          <w:rFonts w:hint="default" w:ascii="Times New Roman" w:hAnsi="Times New Roman" w:cs="Times New Roman"/>
          <w:b w:val="0"/>
          <w:bCs w:val="0"/>
          <w:color w:val="auto"/>
          <w:highlight w:val="none"/>
          <w:lang w:eastAsia="zh-CN"/>
        </w:rPr>
        <w:t>GTI</w:t>
      </w:r>
      <w:r>
        <w:rPr>
          <w:rFonts w:hint="default" w:ascii="Times New Roman" w:hAnsi="Times New Roman" w:cs="Times New Roman"/>
          <w:b w:val="0"/>
          <w:bCs w:val="0"/>
          <w:color w:val="auto"/>
          <w:highlight w:val="none"/>
        </w:rPr>
        <w:t xml:space="preserve"> </w:t>
      </w:r>
      <w:r>
        <w:rPr>
          <w:rFonts w:hint="default" w:ascii="Times New Roman" w:hAnsi="Times New Roman" w:cs="Times New Roman"/>
          <w:b w:val="0"/>
          <w:bCs w:val="0"/>
          <w:color w:val="auto"/>
          <w:highlight w:val="none"/>
          <w:lang w:val="en-US" w:eastAsia="zh-CN"/>
        </w:rPr>
        <w:t>indicator</w:t>
      </w:r>
      <w:r>
        <w:rPr>
          <w:rFonts w:hint="default" w:ascii="Times New Roman" w:hAnsi="Times New Roman" w:cs="Times New Roman"/>
          <w:b w:val="0"/>
          <w:bCs w:val="0"/>
          <w:color w:val="auto"/>
          <w:highlight w:val="none"/>
        </w:rPr>
        <w:t xml:space="preserve"> system from three dimensions: </w:t>
      </w:r>
      <w:r>
        <w:rPr>
          <w:rStyle w:val="14"/>
          <w:rFonts w:hint="default" w:ascii="Times New Roman" w:hAnsi="Times New Roman" w:cs="Times New Roman"/>
          <w:b w:val="0"/>
          <w:bCs w:val="0"/>
          <w:color w:val="auto"/>
          <w:highlight w:val="none"/>
        </w:rPr>
        <w:t>innovation input, innovation output, and innovation environment</w:t>
      </w:r>
      <w:r>
        <w:rPr>
          <w:rFonts w:hint="default" w:ascii="Times New Roman" w:hAnsi="Times New Roman" w:cs="Times New Roman"/>
          <w:b w:val="0"/>
          <w:bCs w:val="0"/>
          <w:color w:val="auto"/>
          <w:highlight w:val="none"/>
        </w:rPr>
        <w:t>.</w:t>
      </w:r>
      <w:r>
        <w:rPr>
          <w:rFonts w:hint="default" w:ascii="Times New Roman" w:hAnsi="Times New Roman" w:cs="Times New Roman"/>
          <w:b w:val="0"/>
          <w:bCs w:val="0"/>
          <w:color w:val="auto"/>
          <w:highlight w:val="none"/>
          <w:lang w:val="en-US" w:eastAsia="zh-CN"/>
        </w:rPr>
        <w:t xml:space="preserve"> </w:t>
      </w:r>
      <w:r>
        <w:rPr>
          <w:rFonts w:hint="default" w:ascii="Times New Roman" w:hAnsi="Times New Roman" w:cs="Times New Roman"/>
          <w:b w:val="0"/>
          <w:bCs w:val="0"/>
          <w:color w:val="auto"/>
          <w:highlight w:val="none"/>
        </w:rPr>
        <w:t xml:space="preserve">The </w:t>
      </w:r>
      <w:r>
        <w:rPr>
          <w:rStyle w:val="14"/>
          <w:rFonts w:hint="default" w:ascii="Times New Roman" w:hAnsi="Times New Roman" w:cs="Times New Roman"/>
          <w:b w:val="0"/>
          <w:bCs w:val="0"/>
          <w:color w:val="auto"/>
          <w:highlight w:val="none"/>
        </w:rPr>
        <w:t>innovation input</w:t>
      </w:r>
      <w:r>
        <w:rPr>
          <w:rFonts w:hint="default" w:ascii="Times New Roman" w:hAnsi="Times New Roman" w:cs="Times New Roman"/>
          <w:b w:val="0"/>
          <w:bCs w:val="0"/>
          <w:color w:val="auto"/>
          <w:highlight w:val="none"/>
        </w:rPr>
        <w:t xml:space="preserve"> dimension consists of energy input (Y1, total electricity consumption), capital input (Y2, actual R&amp;D capital stock), R&amp;D </w:t>
      </w:r>
      <w:r>
        <w:rPr>
          <w:rFonts w:hint="default" w:ascii="Times New Roman" w:hAnsi="Times New Roman" w:cs="Times New Roman"/>
          <w:b w:val="0"/>
          <w:bCs w:val="0"/>
          <w:color w:val="auto"/>
          <w:highlight w:val="none"/>
          <w:lang w:val="en-US" w:eastAsia="zh-CN"/>
        </w:rPr>
        <w:t>funding</w:t>
      </w:r>
      <w:r>
        <w:rPr>
          <w:rFonts w:hint="default" w:ascii="Times New Roman" w:hAnsi="Times New Roman" w:cs="Times New Roman"/>
          <w:b w:val="0"/>
          <w:bCs w:val="0"/>
          <w:color w:val="auto"/>
          <w:highlight w:val="none"/>
        </w:rPr>
        <w:t xml:space="preserve"> input (Y3, intramural R&amp;D expenditure), and </w:t>
      </w:r>
      <w:r>
        <w:rPr>
          <w:rFonts w:hint="default" w:ascii="Times New Roman" w:hAnsi="Times New Roman" w:cs="Times New Roman"/>
          <w:b w:val="0"/>
          <w:bCs w:val="0"/>
          <w:color w:val="auto"/>
          <w:highlight w:val="none"/>
          <w:lang w:val="en-US" w:eastAsia="zh-CN"/>
        </w:rPr>
        <w:t>h</w:t>
      </w:r>
      <w:r>
        <w:rPr>
          <w:rFonts w:hint="default" w:ascii="Times New Roman" w:hAnsi="Times New Roman" w:cs="Times New Roman"/>
          <w:b w:val="0"/>
          <w:bCs w:val="0"/>
          <w:color w:val="auto"/>
          <w:highlight w:val="none"/>
        </w:rPr>
        <w:t xml:space="preserve">uman </w:t>
      </w:r>
      <w:r>
        <w:rPr>
          <w:rFonts w:hint="default" w:ascii="Times New Roman" w:hAnsi="Times New Roman" w:cs="Times New Roman"/>
          <w:b w:val="0"/>
          <w:bCs w:val="0"/>
          <w:color w:val="auto"/>
          <w:highlight w:val="none"/>
          <w:lang w:val="en-US" w:eastAsia="zh-CN"/>
        </w:rPr>
        <w:t>c</w:t>
      </w:r>
      <w:r>
        <w:rPr>
          <w:rFonts w:hint="default" w:ascii="Times New Roman" w:hAnsi="Times New Roman" w:cs="Times New Roman"/>
          <w:b w:val="0"/>
          <w:bCs w:val="0"/>
          <w:color w:val="auto"/>
          <w:highlight w:val="none"/>
        </w:rPr>
        <w:t>apital input (Y4, full-time equivalent of R&amp;D personnel). The innovation output dimension incorporates both desirable and undesirable outputs. Desirable outputs include product output (Y5,</w:t>
      </w:r>
      <w:r>
        <w:rPr>
          <w:rFonts w:hint="default" w:ascii="Times New Roman" w:hAnsi="Times New Roman" w:cs="Times New Roman"/>
          <w:b w:val="0"/>
          <w:bCs w:val="0"/>
          <w:color w:val="auto"/>
          <w:highlight w:val="none"/>
          <w:lang w:val="en-US" w:eastAsia="zh-CN"/>
        </w:rPr>
        <w:t xml:space="preserve"> s</w:t>
      </w:r>
      <w:r>
        <w:rPr>
          <w:rFonts w:hint="default" w:ascii="Times New Roman" w:hAnsi="Times New Roman" w:cs="Times New Roman"/>
          <w:b w:val="0"/>
          <w:bCs w:val="0"/>
          <w:color w:val="auto"/>
          <w:highlight w:val="none"/>
        </w:rPr>
        <w:t xml:space="preserve">ales </w:t>
      </w:r>
      <w:r>
        <w:rPr>
          <w:rFonts w:hint="default" w:ascii="Times New Roman" w:hAnsi="Times New Roman" w:cs="Times New Roman"/>
          <w:b w:val="0"/>
          <w:bCs w:val="0"/>
          <w:color w:val="auto"/>
          <w:highlight w:val="none"/>
          <w:lang w:val="en-US" w:eastAsia="zh-CN"/>
        </w:rPr>
        <w:t>r</w:t>
      </w:r>
      <w:r>
        <w:rPr>
          <w:rFonts w:hint="default" w:ascii="Times New Roman" w:hAnsi="Times New Roman" w:cs="Times New Roman"/>
          <w:b w:val="0"/>
          <w:bCs w:val="0"/>
          <w:color w:val="auto"/>
          <w:highlight w:val="none"/>
        </w:rPr>
        <w:t xml:space="preserve">evenues of </w:t>
      </w:r>
      <w:r>
        <w:rPr>
          <w:rFonts w:hint="default" w:ascii="Times New Roman" w:hAnsi="Times New Roman" w:cs="Times New Roman"/>
          <w:b w:val="0"/>
          <w:bCs w:val="0"/>
          <w:color w:val="auto"/>
          <w:highlight w:val="none"/>
          <w:lang w:val="en-US" w:eastAsia="zh-CN"/>
        </w:rPr>
        <w:t>n</w:t>
      </w:r>
      <w:r>
        <w:rPr>
          <w:rFonts w:hint="default" w:ascii="Times New Roman" w:hAnsi="Times New Roman" w:cs="Times New Roman"/>
          <w:b w:val="0"/>
          <w:bCs w:val="0"/>
          <w:color w:val="auto"/>
          <w:highlight w:val="none"/>
        </w:rPr>
        <w:t xml:space="preserve">ew </w:t>
      </w:r>
      <w:r>
        <w:rPr>
          <w:rFonts w:hint="default" w:ascii="Times New Roman" w:hAnsi="Times New Roman" w:cs="Times New Roman"/>
          <w:b w:val="0"/>
          <w:bCs w:val="0"/>
          <w:color w:val="auto"/>
          <w:highlight w:val="none"/>
          <w:lang w:val="en-US" w:eastAsia="zh-CN"/>
        </w:rPr>
        <w:t>p</w:t>
      </w:r>
      <w:r>
        <w:rPr>
          <w:rFonts w:hint="default" w:ascii="Times New Roman" w:hAnsi="Times New Roman" w:cs="Times New Roman"/>
          <w:b w:val="0"/>
          <w:bCs w:val="0"/>
          <w:color w:val="auto"/>
          <w:highlight w:val="none"/>
        </w:rPr>
        <w:t xml:space="preserve">roducts of </w:t>
      </w:r>
      <w:r>
        <w:rPr>
          <w:rFonts w:hint="default" w:ascii="Times New Roman" w:hAnsi="Times New Roman" w:cs="Times New Roman"/>
          <w:b w:val="0"/>
          <w:bCs w:val="0"/>
          <w:color w:val="auto"/>
          <w:highlight w:val="none"/>
          <w:lang w:val="en-US" w:eastAsia="zh-CN"/>
        </w:rPr>
        <w:t>i</w:t>
      </w:r>
      <w:r>
        <w:rPr>
          <w:rFonts w:hint="default" w:ascii="Times New Roman" w:hAnsi="Times New Roman" w:cs="Times New Roman"/>
          <w:b w:val="0"/>
          <w:bCs w:val="0"/>
          <w:color w:val="auto"/>
          <w:highlight w:val="none"/>
        </w:rPr>
        <w:t xml:space="preserve">ndustrial </w:t>
      </w:r>
      <w:r>
        <w:rPr>
          <w:rFonts w:hint="default" w:ascii="Times New Roman" w:hAnsi="Times New Roman" w:cs="Times New Roman"/>
          <w:b w:val="0"/>
          <w:bCs w:val="0"/>
          <w:color w:val="auto"/>
          <w:highlight w:val="none"/>
          <w:lang w:val="en-US" w:eastAsia="zh-CN"/>
        </w:rPr>
        <w:t>e</w:t>
      </w:r>
      <w:r>
        <w:rPr>
          <w:rFonts w:hint="default" w:ascii="Times New Roman" w:hAnsi="Times New Roman" w:cs="Times New Roman"/>
          <w:b w:val="0"/>
          <w:bCs w:val="0"/>
          <w:color w:val="auto"/>
          <w:highlight w:val="none"/>
        </w:rPr>
        <w:t xml:space="preserve">nterprises </w:t>
      </w:r>
      <w:r>
        <w:rPr>
          <w:rFonts w:hint="default" w:ascii="Times New Roman" w:hAnsi="Times New Roman" w:cs="Times New Roman"/>
          <w:b w:val="0"/>
          <w:bCs w:val="0"/>
          <w:color w:val="auto"/>
          <w:highlight w:val="none"/>
          <w:lang w:val="en-US" w:eastAsia="zh-CN"/>
        </w:rPr>
        <w:t>a</w:t>
      </w:r>
      <w:r>
        <w:rPr>
          <w:rFonts w:hint="default" w:ascii="Times New Roman" w:hAnsi="Times New Roman" w:cs="Times New Roman"/>
          <w:b w:val="0"/>
          <w:bCs w:val="0"/>
          <w:color w:val="auto"/>
          <w:highlight w:val="none"/>
        </w:rPr>
        <w:t xml:space="preserve">bove </w:t>
      </w:r>
      <w:r>
        <w:rPr>
          <w:rFonts w:hint="default" w:ascii="Times New Roman" w:hAnsi="Times New Roman" w:cs="Times New Roman"/>
          <w:b w:val="0"/>
          <w:bCs w:val="0"/>
          <w:color w:val="auto"/>
          <w:highlight w:val="none"/>
          <w:lang w:val="en-US" w:eastAsia="zh-CN"/>
        </w:rPr>
        <w:t>d</w:t>
      </w:r>
      <w:r>
        <w:rPr>
          <w:rFonts w:hint="default" w:ascii="Times New Roman" w:hAnsi="Times New Roman" w:cs="Times New Roman"/>
          <w:b w:val="0"/>
          <w:bCs w:val="0"/>
          <w:color w:val="auto"/>
          <w:highlight w:val="none"/>
        </w:rPr>
        <w:t xml:space="preserve">esignated </w:t>
      </w:r>
      <w:r>
        <w:rPr>
          <w:rFonts w:hint="default" w:ascii="Times New Roman" w:hAnsi="Times New Roman" w:cs="Times New Roman"/>
          <w:b w:val="0"/>
          <w:bCs w:val="0"/>
          <w:color w:val="auto"/>
          <w:highlight w:val="none"/>
          <w:lang w:val="en-US" w:eastAsia="zh-CN"/>
        </w:rPr>
        <w:t>s</w:t>
      </w:r>
      <w:r>
        <w:rPr>
          <w:rFonts w:hint="default" w:ascii="Times New Roman" w:hAnsi="Times New Roman" w:cs="Times New Roman"/>
          <w:b w:val="0"/>
          <w:bCs w:val="0"/>
          <w:color w:val="auto"/>
          <w:highlight w:val="none"/>
        </w:rPr>
        <w:t xml:space="preserve">ize), innovation activity output (Y6, </w:t>
      </w:r>
      <w:r>
        <w:rPr>
          <w:rFonts w:hint="default" w:ascii="Times New Roman" w:hAnsi="Times New Roman" w:cs="Times New Roman"/>
          <w:b w:val="0"/>
          <w:bCs w:val="0"/>
          <w:color w:val="auto"/>
          <w:highlight w:val="none"/>
          <w:lang w:val="en-US" w:eastAsia="zh-CN"/>
        </w:rPr>
        <w:t>t</w:t>
      </w:r>
      <w:r>
        <w:rPr>
          <w:rFonts w:hint="default" w:ascii="Times New Roman" w:hAnsi="Times New Roman" w:cs="Times New Roman"/>
          <w:b w:val="0"/>
          <w:bCs w:val="0"/>
          <w:color w:val="auto"/>
          <w:highlight w:val="none"/>
        </w:rPr>
        <w:t xml:space="preserve">otal </w:t>
      </w:r>
      <w:r>
        <w:rPr>
          <w:rFonts w:hint="default" w:ascii="Times New Roman" w:hAnsi="Times New Roman" w:cs="Times New Roman"/>
          <w:b w:val="0"/>
          <w:bCs w:val="0"/>
          <w:color w:val="auto"/>
          <w:highlight w:val="none"/>
          <w:lang w:val="en-US" w:eastAsia="zh-CN"/>
        </w:rPr>
        <w:t>t</w:t>
      </w:r>
      <w:r>
        <w:rPr>
          <w:rFonts w:hint="default" w:ascii="Times New Roman" w:hAnsi="Times New Roman" w:cs="Times New Roman"/>
          <w:b w:val="0"/>
          <w:bCs w:val="0"/>
          <w:color w:val="auto"/>
          <w:highlight w:val="none"/>
        </w:rPr>
        <w:t xml:space="preserve">urnover in the </w:t>
      </w:r>
      <w:r>
        <w:rPr>
          <w:rFonts w:hint="default" w:ascii="Times New Roman" w:hAnsi="Times New Roman" w:cs="Times New Roman"/>
          <w:b w:val="0"/>
          <w:bCs w:val="0"/>
          <w:color w:val="auto"/>
          <w:highlight w:val="none"/>
          <w:lang w:val="en-US" w:eastAsia="zh-CN"/>
        </w:rPr>
        <w:t>t</w:t>
      </w:r>
      <w:r>
        <w:rPr>
          <w:rFonts w:hint="default" w:ascii="Times New Roman" w:hAnsi="Times New Roman" w:cs="Times New Roman"/>
          <w:b w:val="0"/>
          <w:bCs w:val="0"/>
          <w:color w:val="auto"/>
          <w:highlight w:val="none"/>
        </w:rPr>
        <w:t xml:space="preserve">echnology </w:t>
      </w:r>
      <w:r>
        <w:rPr>
          <w:rFonts w:hint="default" w:ascii="Times New Roman" w:hAnsi="Times New Roman" w:cs="Times New Roman"/>
          <w:b w:val="0"/>
          <w:bCs w:val="0"/>
          <w:color w:val="auto"/>
          <w:highlight w:val="none"/>
          <w:lang w:val="en-US" w:eastAsia="zh-CN"/>
        </w:rPr>
        <w:t>m</w:t>
      </w:r>
      <w:r>
        <w:rPr>
          <w:rFonts w:hint="default" w:ascii="Times New Roman" w:hAnsi="Times New Roman" w:cs="Times New Roman"/>
          <w:b w:val="0"/>
          <w:bCs w:val="0"/>
          <w:color w:val="auto"/>
          <w:highlight w:val="none"/>
        </w:rPr>
        <w:t xml:space="preserve">arket), and </w:t>
      </w:r>
      <w:r>
        <w:rPr>
          <w:rFonts w:hint="default" w:ascii="Times New Roman" w:hAnsi="Times New Roman" w:cs="Times New Roman"/>
          <w:b w:val="0"/>
          <w:bCs w:val="0"/>
          <w:color w:val="auto"/>
          <w:highlight w:val="none"/>
          <w:lang w:val="en-US" w:eastAsia="zh-CN"/>
        </w:rPr>
        <w:t xml:space="preserve">green </w:t>
      </w:r>
      <w:r>
        <w:rPr>
          <w:rFonts w:hint="default" w:ascii="Times New Roman" w:hAnsi="Times New Roman" w:cs="Times New Roman"/>
          <w:b w:val="0"/>
          <w:bCs w:val="0"/>
          <w:color w:val="auto"/>
          <w:highlight w:val="none"/>
        </w:rPr>
        <w:t xml:space="preserve">patent </w:t>
      </w:r>
      <w:r>
        <w:rPr>
          <w:rFonts w:hint="default" w:ascii="Times New Roman" w:hAnsi="Times New Roman" w:cs="Times New Roman"/>
          <w:b w:val="0"/>
          <w:bCs w:val="0"/>
          <w:color w:val="auto"/>
          <w:highlight w:val="none"/>
          <w:lang w:val="en-US" w:eastAsia="zh-CN"/>
        </w:rPr>
        <w:t>granted</w:t>
      </w:r>
      <w:r>
        <w:rPr>
          <w:rFonts w:hint="default" w:ascii="Times New Roman" w:hAnsi="Times New Roman" w:cs="Times New Roman"/>
          <w:b w:val="0"/>
          <w:bCs w:val="0"/>
          <w:color w:val="auto"/>
          <w:highlight w:val="none"/>
        </w:rPr>
        <w:t xml:space="preserve"> (Y7</w:t>
      </w:r>
      <w:r>
        <w:rPr>
          <w:rFonts w:hint="default" w:ascii="Times New Roman" w:hAnsi="Times New Roman" w:cs="Times New Roman"/>
          <w:b w:val="0"/>
          <w:bCs w:val="0"/>
          <w:color w:val="auto"/>
          <w:highlight w:val="none"/>
          <w:lang w:val="en-US" w:eastAsia="zh-CN"/>
        </w:rPr>
        <w:t xml:space="preserve">, number of granted green invention patents; </w:t>
      </w:r>
      <w:r>
        <w:rPr>
          <w:rFonts w:hint="default" w:ascii="Times New Roman" w:hAnsi="Times New Roman" w:cs="Times New Roman"/>
          <w:b w:val="0"/>
          <w:bCs w:val="0"/>
          <w:color w:val="auto"/>
          <w:highlight w:val="none"/>
        </w:rPr>
        <w:t xml:space="preserve">Y8, number of granted green </w:t>
      </w:r>
      <w:r>
        <w:rPr>
          <w:rFonts w:hint="default" w:ascii="Times New Roman" w:hAnsi="Times New Roman" w:cs="Times New Roman"/>
          <w:b w:val="0"/>
          <w:bCs w:val="0"/>
          <w:color w:val="auto"/>
          <w:highlight w:val="none"/>
          <w:lang w:val="en-US" w:eastAsia="zh-CN"/>
        </w:rPr>
        <w:t>u</w:t>
      </w:r>
      <w:r>
        <w:rPr>
          <w:rFonts w:hint="default" w:ascii="Times New Roman" w:hAnsi="Times New Roman" w:cs="Times New Roman"/>
          <w:b w:val="0"/>
          <w:bCs w:val="0"/>
          <w:color w:val="auto"/>
          <w:highlight w:val="none"/>
        </w:rPr>
        <w:t xml:space="preserve">tility </w:t>
      </w:r>
      <w:r>
        <w:rPr>
          <w:rFonts w:hint="default" w:ascii="Times New Roman" w:hAnsi="Times New Roman" w:cs="Times New Roman"/>
          <w:b w:val="0"/>
          <w:bCs w:val="0"/>
          <w:color w:val="auto"/>
          <w:highlight w:val="none"/>
          <w:lang w:val="en-US" w:eastAsia="zh-CN"/>
        </w:rPr>
        <w:t>m</w:t>
      </w:r>
      <w:r>
        <w:rPr>
          <w:rFonts w:hint="default" w:ascii="Times New Roman" w:hAnsi="Times New Roman" w:cs="Times New Roman"/>
          <w:b w:val="0"/>
          <w:bCs w:val="0"/>
          <w:color w:val="auto"/>
          <w:highlight w:val="none"/>
        </w:rPr>
        <w:t>odel patents).</w:t>
      </w:r>
      <w:r>
        <w:rPr>
          <w:rFonts w:hint="default" w:ascii="Times New Roman" w:hAnsi="Times New Roman" w:cs="Times New Roman"/>
          <w:b w:val="0"/>
          <w:bCs w:val="0"/>
          <w:color w:val="auto"/>
          <w:highlight w:val="none"/>
        </w:rPr>
        <w:t xml:space="preserve"> The undesirable outputs include the emission of pollutants Y9-Y11. Chemical oxygen demand emission in industry (Y9), sulfur dioxide emission in industry (Y10), and common industrial solid wastes generated (Y11) all fall under this category. Looking at the innovation environment, this component uses the number of students enrolled in higher education per 100,000 people (Y12) as educational environment indicator, total collection of public libraries (Y13) as cultural environment indicator, highway density (Y14) as infrastructure environment indicator, and science and technology expenditure by local governments (Y15) as financial support from the government.</w:t>
      </w:r>
      <w:r>
        <w:rPr>
          <w:rFonts w:hint="eastAsia" w:cs="Times New Roman"/>
          <w:b w:val="0"/>
          <w:bCs w:val="0"/>
          <w:color w:val="auto"/>
          <w:highlight w:val="none"/>
          <w:lang w:val="en-US" w:eastAsia="zh-CN"/>
        </w:rPr>
        <w:t xml:space="preserve"> </w:t>
      </w:r>
      <w:r>
        <w:rPr>
          <w:rFonts w:hint="default" w:ascii="Times New Roman" w:hAnsi="Times New Roman" w:cs="Times New Roman"/>
          <w:b w:val="0"/>
          <w:bCs w:val="0"/>
          <w:color w:val="auto"/>
          <w:highlight w:val="none"/>
        </w:rPr>
        <w:t xml:space="preserve">Table 2 </w:t>
      </w:r>
      <w:r>
        <w:rPr>
          <w:rFonts w:hint="eastAsia" w:cs="Times New Roman"/>
          <w:b w:val="0"/>
          <w:bCs w:val="0"/>
          <w:color w:val="auto"/>
          <w:highlight w:val="none"/>
          <w:lang w:val="en-US" w:eastAsia="zh-CN"/>
        </w:rPr>
        <w:t xml:space="preserve">is </w:t>
      </w:r>
      <w:r>
        <w:rPr>
          <w:rFonts w:hint="default" w:ascii="Times New Roman" w:hAnsi="Times New Roman" w:cs="Times New Roman"/>
          <w:b w:val="0"/>
          <w:bCs w:val="0"/>
          <w:color w:val="auto"/>
          <w:highlight w:val="none"/>
        </w:rPr>
        <w:t xml:space="preserve">the </w:t>
      </w:r>
      <w:r>
        <w:rPr>
          <w:rFonts w:hint="eastAsia" w:cs="Times New Roman"/>
          <w:b w:val="0"/>
          <w:bCs w:val="0"/>
          <w:color w:val="auto"/>
          <w:highlight w:val="none"/>
          <w:lang w:val="en-US" w:eastAsia="zh-CN"/>
        </w:rPr>
        <w:t>i</w:t>
      </w:r>
      <w:r>
        <w:rPr>
          <w:rFonts w:hint="default" w:ascii="Times New Roman" w:hAnsi="Times New Roman" w:cs="Times New Roman"/>
          <w:b w:val="0"/>
          <w:bCs w:val="0"/>
          <w:color w:val="auto"/>
          <w:highlight w:val="none"/>
        </w:rPr>
        <w:t>ndicator system</w:t>
      </w:r>
      <w:r>
        <w:rPr>
          <w:rFonts w:hint="eastAsia" w:cs="Times New Roman"/>
          <w:b w:val="0"/>
          <w:bCs w:val="0"/>
          <w:color w:val="auto"/>
          <w:highlight w:val="none"/>
          <w:lang w:val="en-US" w:eastAsia="zh-CN"/>
        </w:rPr>
        <w:t xml:space="preserve"> for GTI</w:t>
      </w:r>
      <w:r>
        <w:rPr>
          <w:rFonts w:hint="default" w:ascii="Times New Roman" w:hAnsi="Times New Roman" w:cs="Times New Roman"/>
          <w:b w:val="0"/>
          <w:bCs w:val="0"/>
          <w:color w:val="auto"/>
          <w:highlight w:val="none"/>
        </w:rPr>
        <w:t>.</w:t>
      </w:r>
    </w:p>
    <w:p w14:paraId="416EAE52">
      <w:pPr>
        <w:widowControl/>
        <w:spacing w:after="120" w:afterLines="50" w:line="240" w:lineRule="auto"/>
        <w:ind w:left="960" w:hanging="964" w:hangingChars="400"/>
        <w:jc w:val="left"/>
        <w:rPr>
          <w:rFonts w:hint="default" w:ascii="Times New Roman" w:hAnsi="Times New Roman" w:cs="Times New Roman"/>
          <w:b w:val="0"/>
          <w:bCs w:val="0"/>
          <w:color w:val="auto"/>
          <w:sz w:val="24"/>
          <w:szCs w:val="24"/>
          <w:highlight w:val="none"/>
        </w:rPr>
      </w:pPr>
      <w:r>
        <w:rPr>
          <w:rFonts w:hint="default" w:ascii="Times New Roman" w:hAnsi="Times New Roman" w:cs="Times New Roman"/>
          <w:b/>
          <w:bCs/>
          <w:color w:val="auto"/>
          <w:sz w:val="24"/>
          <w:szCs w:val="24"/>
          <w:highlight w:val="none"/>
          <w:shd w:val="clear" w:color="auto" w:fill="FFFFFF" w:themeFill="background1"/>
        </w:rPr>
        <w:t xml:space="preserve">Table </w:t>
      </w:r>
      <w:r>
        <w:rPr>
          <w:rFonts w:hint="default" w:ascii="Times New Roman" w:hAnsi="Times New Roman" w:cs="Times New Roman"/>
          <w:b/>
          <w:bCs/>
          <w:color w:val="auto"/>
          <w:sz w:val="24"/>
          <w:szCs w:val="24"/>
          <w:highlight w:val="none"/>
          <w:shd w:val="clear" w:color="auto" w:fill="FFFFFF" w:themeFill="background1"/>
          <w:lang w:val="en-US" w:eastAsia="zh-CN"/>
        </w:rPr>
        <w:t>2</w:t>
      </w:r>
      <w:r>
        <w:rPr>
          <w:rFonts w:hint="default" w:ascii="Times New Roman" w:hAnsi="Times New Roman" w:eastAsia="宋体" w:cs="Times New Roman"/>
          <w:b/>
          <w:bCs/>
          <w:color w:val="auto"/>
          <w:sz w:val="24"/>
          <w:szCs w:val="24"/>
          <w:highlight w:val="none"/>
          <w:shd w:val="clear" w:color="auto" w:fill="FFFFFF" w:themeFill="background1"/>
        </w:rPr>
        <w:t>:</w:t>
      </w:r>
      <w:r>
        <w:rPr>
          <w:rFonts w:hint="default" w:ascii="Times New Roman" w:hAnsi="Times New Roman" w:cs="Times New Roman"/>
          <w:b/>
          <w:bCs/>
          <w:color w:val="auto"/>
          <w:sz w:val="24"/>
          <w:szCs w:val="24"/>
          <w:highlight w:val="none"/>
          <w:shd w:val="clear" w:color="auto" w:fill="FFFFFF" w:themeFill="background1"/>
        </w:rPr>
        <w:t xml:space="preserve"> Indicator </w:t>
      </w:r>
      <w:r>
        <w:rPr>
          <w:rFonts w:hint="default" w:ascii="Times New Roman" w:hAnsi="Times New Roman" w:cs="Times New Roman"/>
          <w:b/>
          <w:bCs/>
          <w:color w:val="auto"/>
          <w:sz w:val="24"/>
          <w:szCs w:val="24"/>
          <w:highlight w:val="none"/>
          <w:shd w:val="clear" w:color="auto" w:fill="FFFFFF" w:themeFill="background1"/>
          <w:lang w:val="en-US" w:eastAsia="zh-CN"/>
        </w:rPr>
        <w:t>S</w:t>
      </w:r>
      <w:r>
        <w:rPr>
          <w:rFonts w:hint="default" w:ascii="Times New Roman" w:hAnsi="Times New Roman" w:cs="Times New Roman"/>
          <w:b/>
          <w:bCs/>
          <w:color w:val="auto"/>
          <w:sz w:val="24"/>
          <w:szCs w:val="24"/>
          <w:highlight w:val="none"/>
          <w:shd w:val="clear" w:color="auto" w:fill="FFFFFF" w:themeFill="background1"/>
        </w:rPr>
        <w:t xml:space="preserve">ystem for </w:t>
      </w:r>
      <w:r>
        <w:rPr>
          <w:rFonts w:hint="default" w:ascii="Times New Roman" w:hAnsi="Times New Roman" w:cs="Times New Roman"/>
          <w:b/>
          <w:bCs/>
          <w:color w:val="auto"/>
          <w:sz w:val="24"/>
          <w:szCs w:val="24"/>
          <w:highlight w:val="none"/>
          <w:shd w:val="clear" w:color="auto" w:fill="FFFFFF" w:themeFill="background1"/>
          <w:lang w:val="en-US" w:eastAsia="zh-CN"/>
        </w:rPr>
        <w:t>GTI</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495"/>
        <w:gridCol w:w="1134"/>
        <w:gridCol w:w="1288"/>
        <w:gridCol w:w="3621"/>
        <w:gridCol w:w="1007"/>
        <w:gridCol w:w="839"/>
      </w:tblGrid>
      <w:tr w14:paraId="6C91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Align w:val="center"/>
          </w:tcPr>
          <w:p w14:paraId="01C63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Dimension</w:t>
            </w:r>
          </w:p>
        </w:tc>
        <w:tc>
          <w:tcPr>
            <w:tcW w:w="1495" w:type="dxa"/>
            <w:vAlign w:val="center"/>
          </w:tcPr>
          <w:p w14:paraId="5F02DF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Primary Indicator</w:t>
            </w:r>
          </w:p>
        </w:tc>
        <w:tc>
          <w:tcPr>
            <w:tcW w:w="1134" w:type="dxa"/>
            <w:vAlign w:val="center"/>
          </w:tcPr>
          <w:p w14:paraId="04595C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Secondary Indicator</w:t>
            </w:r>
          </w:p>
        </w:tc>
        <w:tc>
          <w:tcPr>
            <w:tcW w:w="1288" w:type="dxa"/>
            <w:vAlign w:val="center"/>
          </w:tcPr>
          <w:p w14:paraId="5CD0F3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Unit</w:t>
            </w:r>
          </w:p>
        </w:tc>
        <w:tc>
          <w:tcPr>
            <w:tcW w:w="3621" w:type="dxa"/>
            <w:vAlign w:val="center"/>
          </w:tcPr>
          <w:p w14:paraId="2F8EE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Data Source or Calculation Method</w:t>
            </w:r>
          </w:p>
        </w:tc>
        <w:tc>
          <w:tcPr>
            <w:tcW w:w="1007" w:type="dxa"/>
            <w:vAlign w:val="center"/>
          </w:tcPr>
          <w:p w14:paraId="459DF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Attribute</w:t>
            </w:r>
          </w:p>
        </w:tc>
        <w:tc>
          <w:tcPr>
            <w:tcW w:w="839" w:type="dxa"/>
            <w:vAlign w:val="center"/>
          </w:tcPr>
          <w:p w14:paraId="40D57F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Weight</w:t>
            </w:r>
          </w:p>
        </w:tc>
      </w:tr>
      <w:tr w14:paraId="3FD8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restart"/>
          </w:tcPr>
          <w:p w14:paraId="6126F9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Innovation Input</w:t>
            </w:r>
          </w:p>
        </w:tc>
        <w:tc>
          <w:tcPr>
            <w:tcW w:w="1495" w:type="dxa"/>
            <w:vAlign w:val="center"/>
          </w:tcPr>
          <w:p w14:paraId="7F77D0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Energy Input</w:t>
            </w:r>
          </w:p>
        </w:tc>
        <w:tc>
          <w:tcPr>
            <w:tcW w:w="1134" w:type="dxa"/>
            <w:vAlign w:val="center"/>
          </w:tcPr>
          <w:p w14:paraId="1C041B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Y1</w:t>
            </w:r>
          </w:p>
        </w:tc>
        <w:tc>
          <w:tcPr>
            <w:tcW w:w="1288" w:type="dxa"/>
            <w:vAlign w:val="center"/>
          </w:tcPr>
          <w:p w14:paraId="58AEDF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100 million kWh</w:t>
            </w:r>
          </w:p>
        </w:tc>
        <w:tc>
          <w:tcPr>
            <w:tcW w:w="3621" w:type="dxa"/>
            <w:vAlign w:val="center"/>
          </w:tcPr>
          <w:p w14:paraId="024958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China Electric Power Statistical Yearbook</w:t>
            </w:r>
          </w:p>
        </w:tc>
        <w:tc>
          <w:tcPr>
            <w:tcW w:w="1007" w:type="dxa"/>
            <w:vAlign w:val="center"/>
          </w:tcPr>
          <w:p w14:paraId="1938F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049F05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0.006</w:t>
            </w:r>
          </w:p>
        </w:tc>
      </w:tr>
      <w:tr w14:paraId="6328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vAlign w:val="center"/>
          </w:tcPr>
          <w:p w14:paraId="6B6D72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495" w:type="dxa"/>
            <w:vAlign w:val="center"/>
          </w:tcPr>
          <w:p w14:paraId="0648F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Capital Input</w:t>
            </w:r>
          </w:p>
        </w:tc>
        <w:tc>
          <w:tcPr>
            <w:tcW w:w="1134" w:type="dxa"/>
            <w:vAlign w:val="center"/>
          </w:tcPr>
          <w:p w14:paraId="3386B3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Y2</w:t>
            </w:r>
          </w:p>
        </w:tc>
        <w:tc>
          <w:tcPr>
            <w:tcW w:w="1288" w:type="dxa"/>
            <w:vAlign w:val="center"/>
          </w:tcPr>
          <w:p w14:paraId="5476F2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10,000 yuan</w:t>
            </w:r>
          </w:p>
        </w:tc>
        <w:tc>
          <w:tcPr>
            <w:tcW w:w="3621" w:type="dxa"/>
            <w:vAlign w:val="center"/>
          </w:tcPr>
          <w:p w14:paraId="1C7522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Perpetual Inventory Method</w:t>
            </w:r>
          </w:p>
          <w:p w14:paraId="2689EF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(base year: 2000)</w:t>
            </w:r>
          </w:p>
        </w:tc>
        <w:tc>
          <w:tcPr>
            <w:tcW w:w="1007" w:type="dxa"/>
            <w:vAlign w:val="center"/>
          </w:tcPr>
          <w:p w14:paraId="4A439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0A2680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0.102</w:t>
            </w:r>
          </w:p>
        </w:tc>
      </w:tr>
      <w:tr w14:paraId="19B2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vAlign w:val="center"/>
          </w:tcPr>
          <w:p w14:paraId="568722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495" w:type="dxa"/>
            <w:vAlign w:val="center"/>
          </w:tcPr>
          <w:p w14:paraId="6CCEDB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R&amp;D Funding Input</w:t>
            </w:r>
          </w:p>
        </w:tc>
        <w:tc>
          <w:tcPr>
            <w:tcW w:w="1134" w:type="dxa"/>
            <w:vAlign w:val="center"/>
          </w:tcPr>
          <w:p w14:paraId="29F950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Y3</w:t>
            </w:r>
          </w:p>
        </w:tc>
        <w:tc>
          <w:tcPr>
            <w:tcW w:w="1288" w:type="dxa"/>
            <w:vAlign w:val="center"/>
          </w:tcPr>
          <w:p w14:paraId="3E31FD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10,000 yuan</w:t>
            </w:r>
          </w:p>
        </w:tc>
        <w:tc>
          <w:tcPr>
            <w:tcW w:w="3621" w:type="dxa"/>
            <w:vAlign w:val="center"/>
          </w:tcPr>
          <w:p w14:paraId="0B8127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China Statistical Yearbook on Science and Technology</w:t>
            </w:r>
          </w:p>
        </w:tc>
        <w:tc>
          <w:tcPr>
            <w:tcW w:w="1007" w:type="dxa"/>
            <w:vAlign w:val="center"/>
          </w:tcPr>
          <w:p w14:paraId="06CFA8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7EBFC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0.098</w:t>
            </w:r>
          </w:p>
        </w:tc>
      </w:tr>
      <w:tr w14:paraId="1803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vAlign w:val="center"/>
          </w:tcPr>
          <w:p w14:paraId="4436F8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495" w:type="dxa"/>
            <w:vAlign w:val="center"/>
          </w:tcPr>
          <w:p w14:paraId="2176E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Human Capital Input</w:t>
            </w:r>
          </w:p>
        </w:tc>
        <w:tc>
          <w:tcPr>
            <w:tcW w:w="1134" w:type="dxa"/>
            <w:vAlign w:val="center"/>
          </w:tcPr>
          <w:p w14:paraId="55000D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Y4</w:t>
            </w:r>
          </w:p>
        </w:tc>
        <w:tc>
          <w:tcPr>
            <w:tcW w:w="1288" w:type="dxa"/>
            <w:vAlign w:val="center"/>
          </w:tcPr>
          <w:p w14:paraId="36BDC0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Person-year</w:t>
            </w:r>
          </w:p>
        </w:tc>
        <w:tc>
          <w:tcPr>
            <w:tcW w:w="3621" w:type="dxa"/>
            <w:vAlign w:val="center"/>
          </w:tcPr>
          <w:p w14:paraId="5D981E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China Statistical Yearbook on Science and Technology</w:t>
            </w:r>
          </w:p>
        </w:tc>
        <w:tc>
          <w:tcPr>
            <w:tcW w:w="1007" w:type="dxa"/>
            <w:vAlign w:val="center"/>
          </w:tcPr>
          <w:p w14:paraId="0570BF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6781FE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0.082</w:t>
            </w:r>
          </w:p>
        </w:tc>
      </w:tr>
      <w:tr w14:paraId="013E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restart"/>
          </w:tcPr>
          <w:p w14:paraId="7449F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Innovation Output</w:t>
            </w:r>
          </w:p>
        </w:tc>
        <w:tc>
          <w:tcPr>
            <w:tcW w:w="1495" w:type="dxa"/>
            <w:vAlign w:val="center"/>
          </w:tcPr>
          <w:p w14:paraId="6455A0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Product Output</w:t>
            </w:r>
          </w:p>
        </w:tc>
        <w:tc>
          <w:tcPr>
            <w:tcW w:w="1134" w:type="dxa"/>
            <w:vAlign w:val="center"/>
          </w:tcPr>
          <w:p w14:paraId="1E3930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Y5</w:t>
            </w:r>
          </w:p>
        </w:tc>
        <w:tc>
          <w:tcPr>
            <w:tcW w:w="1288" w:type="dxa"/>
            <w:vAlign w:val="center"/>
          </w:tcPr>
          <w:p w14:paraId="0C94C9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10,000 yuan</w:t>
            </w:r>
          </w:p>
        </w:tc>
        <w:tc>
          <w:tcPr>
            <w:tcW w:w="3621" w:type="dxa"/>
            <w:vAlign w:val="center"/>
          </w:tcPr>
          <w:p w14:paraId="38F2E6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China Statistical Yearbook on Science and Technology</w:t>
            </w:r>
          </w:p>
        </w:tc>
        <w:tc>
          <w:tcPr>
            <w:tcW w:w="1007" w:type="dxa"/>
            <w:vAlign w:val="center"/>
          </w:tcPr>
          <w:p w14:paraId="22E031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491EE3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0.116</w:t>
            </w:r>
          </w:p>
        </w:tc>
      </w:tr>
      <w:tr w14:paraId="3C74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tcPr>
          <w:p w14:paraId="1FB402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495" w:type="dxa"/>
            <w:vAlign w:val="center"/>
          </w:tcPr>
          <w:p w14:paraId="4B5FA6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Innovation Activity</w:t>
            </w:r>
          </w:p>
        </w:tc>
        <w:tc>
          <w:tcPr>
            <w:tcW w:w="1134" w:type="dxa"/>
            <w:vAlign w:val="center"/>
          </w:tcPr>
          <w:p w14:paraId="58DE4B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Y6</w:t>
            </w:r>
          </w:p>
        </w:tc>
        <w:tc>
          <w:tcPr>
            <w:tcW w:w="1288" w:type="dxa"/>
            <w:vAlign w:val="center"/>
          </w:tcPr>
          <w:p w14:paraId="59AF6C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100 million yuan</w:t>
            </w:r>
          </w:p>
        </w:tc>
        <w:tc>
          <w:tcPr>
            <w:tcW w:w="3621" w:type="dxa"/>
            <w:vAlign w:val="center"/>
          </w:tcPr>
          <w:p w14:paraId="5640B6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Website of the National Bureau of Statistics of China</w:t>
            </w:r>
          </w:p>
        </w:tc>
        <w:tc>
          <w:tcPr>
            <w:tcW w:w="1007" w:type="dxa"/>
            <w:vAlign w:val="center"/>
          </w:tcPr>
          <w:p w14:paraId="677685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7E769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0.173</w:t>
            </w:r>
          </w:p>
        </w:tc>
      </w:tr>
      <w:tr w14:paraId="623D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tcPr>
          <w:p w14:paraId="693DB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495" w:type="dxa"/>
            <w:vMerge w:val="restart"/>
          </w:tcPr>
          <w:p w14:paraId="716B91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Green </w:t>
            </w:r>
            <w:r>
              <w:rPr>
                <w:rFonts w:hint="default" w:ascii="Times New Roman" w:hAnsi="Times New Roman" w:cs="Times New Roman"/>
                <w:color w:val="auto"/>
                <w:highlight w:val="none"/>
              </w:rPr>
              <w:t>Patent Granted</w:t>
            </w:r>
          </w:p>
        </w:tc>
        <w:tc>
          <w:tcPr>
            <w:tcW w:w="1134" w:type="dxa"/>
            <w:vAlign w:val="center"/>
          </w:tcPr>
          <w:p w14:paraId="002E5E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Y7</w:t>
            </w:r>
          </w:p>
        </w:tc>
        <w:tc>
          <w:tcPr>
            <w:tcW w:w="1288" w:type="dxa"/>
            <w:vAlign w:val="center"/>
          </w:tcPr>
          <w:p w14:paraId="1D10C6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Item</w:t>
            </w:r>
          </w:p>
        </w:tc>
        <w:tc>
          <w:tcPr>
            <w:tcW w:w="3621" w:type="dxa"/>
            <w:vAlign w:val="center"/>
          </w:tcPr>
          <w:p w14:paraId="18CB9E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Chinese Research Data Services Platform (CNRDS)</w:t>
            </w:r>
          </w:p>
        </w:tc>
        <w:tc>
          <w:tcPr>
            <w:tcW w:w="1007" w:type="dxa"/>
            <w:vAlign w:val="center"/>
          </w:tcPr>
          <w:p w14:paraId="714A38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530B53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0.141</w:t>
            </w:r>
          </w:p>
        </w:tc>
      </w:tr>
      <w:tr w14:paraId="782A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tcPr>
          <w:p w14:paraId="79EE4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495" w:type="dxa"/>
            <w:vMerge w:val="continue"/>
            <w:vAlign w:val="center"/>
          </w:tcPr>
          <w:p w14:paraId="040491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134" w:type="dxa"/>
            <w:vAlign w:val="center"/>
          </w:tcPr>
          <w:p w14:paraId="23AB0E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Y8</w:t>
            </w:r>
          </w:p>
        </w:tc>
        <w:tc>
          <w:tcPr>
            <w:tcW w:w="1288" w:type="dxa"/>
            <w:vAlign w:val="center"/>
          </w:tcPr>
          <w:p w14:paraId="3309A1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Item</w:t>
            </w:r>
          </w:p>
        </w:tc>
        <w:tc>
          <w:tcPr>
            <w:tcW w:w="3621" w:type="dxa"/>
            <w:vAlign w:val="center"/>
          </w:tcPr>
          <w:p w14:paraId="616D61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Chinese Research Data Services Platform (CNRDS)</w:t>
            </w:r>
          </w:p>
        </w:tc>
        <w:tc>
          <w:tcPr>
            <w:tcW w:w="1007" w:type="dxa"/>
            <w:vAlign w:val="center"/>
          </w:tcPr>
          <w:p w14:paraId="7801A9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609EA5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0.129</w:t>
            </w:r>
          </w:p>
        </w:tc>
      </w:tr>
      <w:tr w14:paraId="6D4F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tcPr>
          <w:p w14:paraId="1F1736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495" w:type="dxa"/>
            <w:vMerge w:val="restart"/>
          </w:tcPr>
          <w:p w14:paraId="6C127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Pollutant Emission</w:t>
            </w:r>
          </w:p>
        </w:tc>
        <w:tc>
          <w:tcPr>
            <w:tcW w:w="1134" w:type="dxa"/>
            <w:vAlign w:val="center"/>
          </w:tcPr>
          <w:p w14:paraId="0F46EE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Y9</w:t>
            </w:r>
          </w:p>
        </w:tc>
        <w:tc>
          <w:tcPr>
            <w:tcW w:w="1288" w:type="dxa"/>
            <w:vAlign w:val="center"/>
          </w:tcPr>
          <w:p w14:paraId="749558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Ton</w:t>
            </w:r>
          </w:p>
        </w:tc>
        <w:tc>
          <w:tcPr>
            <w:tcW w:w="3621" w:type="dxa"/>
            <w:vAlign w:val="center"/>
          </w:tcPr>
          <w:p w14:paraId="3256D7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China Statistical Yearbook on Environment</w:t>
            </w:r>
          </w:p>
        </w:tc>
        <w:tc>
          <w:tcPr>
            <w:tcW w:w="1007" w:type="dxa"/>
            <w:vAlign w:val="center"/>
          </w:tcPr>
          <w:p w14:paraId="69DF9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6C58C9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0.003</w:t>
            </w:r>
          </w:p>
        </w:tc>
      </w:tr>
      <w:tr w14:paraId="5827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vAlign w:val="center"/>
          </w:tcPr>
          <w:p w14:paraId="180B4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495" w:type="dxa"/>
            <w:vMerge w:val="continue"/>
            <w:vAlign w:val="center"/>
          </w:tcPr>
          <w:p w14:paraId="65A467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134" w:type="dxa"/>
            <w:vAlign w:val="center"/>
          </w:tcPr>
          <w:p w14:paraId="45907C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Y10</w:t>
            </w:r>
          </w:p>
        </w:tc>
        <w:tc>
          <w:tcPr>
            <w:tcW w:w="1288" w:type="dxa"/>
            <w:vAlign w:val="center"/>
          </w:tcPr>
          <w:p w14:paraId="2BB784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Ton</w:t>
            </w:r>
          </w:p>
        </w:tc>
        <w:tc>
          <w:tcPr>
            <w:tcW w:w="3621" w:type="dxa"/>
            <w:vAlign w:val="center"/>
          </w:tcPr>
          <w:p w14:paraId="6BB9EB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China Statistical Yearbook on Environment</w:t>
            </w:r>
          </w:p>
        </w:tc>
        <w:tc>
          <w:tcPr>
            <w:tcW w:w="1007" w:type="dxa"/>
            <w:vAlign w:val="center"/>
          </w:tcPr>
          <w:p w14:paraId="6BF49E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77227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0.009</w:t>
            </w:r>
          </w:p>
        </w:tc>
      </w:tr>
      <w:tr w14:paraId="6C6B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vAlign w:val="center"/>
          </w:tcPr>
          <w:p w14:paraId="29C348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495" w:type="dxa"/>
            <w:vMerge w:val="continue"/>
            <w:vAlign w:val="center"/>
          </w:tcPr>
          <w:p w14:paraId="229A91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p>
        </w:tc>
        <w:tc>
          <w:tcPr>
            <w:tcW w:w="1134" w:type="dxa"/>
            <w:vAlign w:val="center"/>
          </w:tcPr>
          <w:p w14:paraId="365197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Y11</w:t>
            </w:r>
          </w:p>
        </w:tc>
        <w:tc>
          <w:tcPr>
            <w:tcW w:w="1288" w:type="dxa"/>
            <w:vAlign w:val="center"/>
          </w:tcPr>
          <w:p w14:paraId="1FE212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10,000 tonnes</w:t>
            </w:r>
          </w:p>
        </w:tc>
        <w:tc>
          <w:tcPr>
            <w:tcW w:w="3621" w:type="dxa"/>
            <w:vAlign w:val="center"/>
          </w:tcPr>
          <w:p w14:paraId="7E432B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China Statistical Yearbook on Environment</w:t>
            </w:r>
          </w:p>
        </w:tc>
        <w:tc>
          <w:tcPr>
            <w:tcW w:w="1007" w:type="dxa"/>
            <w:vAlign w:val="center"/>
          </w:tcPr>
          <w:p w14:paraId="48C46D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5F5D5C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0.005</w:t>
            </w:r>
          </w:p>
        </w:tc>
      </w:tr>
      <w:tr w14:paraId="0E3F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restart"/>
          </w:tcPr>
          <w:p w14:paraId="41B48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Innovation Environment</w:t>
            </w:r>
          </w:p>
        </w:tc>
        <w:tc>
          <w:tcPr>
            <w:tcW w:w="1495" w:type="dxa"/>
            <w:vAlign w:val="center"/>
          </w:tcPr>
          <w:p w14:paraId="4752BD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Educational Environment</w:t>
            </w:r>
          </w:p>
        </w:tc>
        <w:tc>
          <w:tcPr>
            <w:tcW w:w="1134" w:type="dxa"/>
            <w:vAlign w:val="center"/>
          </w:tcPr>
          <w:p w14:paraId="76E3AA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Y12</w:t>
            </w:r>
          </w:p>
        </w:tc>
        <w:tc>
          <w:tcPr>
            <w:tcW w:w="1288" w:type="dxa"/>
            <w:vAlign w:val="center"/>
          </w:tcPr>
          <w:p w14:paraId="100A46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Person</w:t>
            </w:r>
          </w:p>
        </w:tc>
        <w:tc>
          <w:tcPr>
            <w:tcW w:w="3621" w:type="dxa"/>
            <w:vAlign w:val="center"/>
          </w:tcPr>
          <w:p w14:paraId="042840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China Statistical Yearbook</w:t>
            </w:r>
          </w:p>
        </w:tc>
        <w:tc>
          <w:tcPr>
            <w:tcW w:w="1007" w:type="dxa"/>
            <w:vAlign w:val="center"/>
          </w:tcPr>
          <w:p w14:paraId="71914A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683DD7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0.021</w:t>
            </w:r>
          </w:p>
        </w:tc>
      </w:tr>
      <w:tr w14:paraId="7F8E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vAlign w:val="center"/>
          </w:tcPr>
          <w:p w14:paraId="370782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p>
        </w:tc>
        <w:tc>
          <w:tcPr>
            <w:tcW w:w="1495" w:type="dxa"/>
            <w:vAlign w:val="center"/>
          </w:tcPr>
          <w:p w14:paraId="341996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Cultural Environment</w:t>
            </w:r>
          </w:p>
        </w:tc>
        <w:tc>
          <w:tcPr>
            <w:tcW w:w="1134" w:type="dxa"/>
            <w:vAlign w:val="center"/>
          </w:tcPr>
          <w:p w14:paraId="43F772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Y13</w:t>
            </w:r>
          </w:p>
        </w:tc>
        <w:tc>
          <w:tcPr>
            <w:tcW w:w="1288" w:type="dxa"/>
            <w:vAlign w:val="center"/>
          </w:tcPr>
          <w:p w14:paraId="60DFEA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10,000 volumes</w:t>
            </w:r>
          </w:p>
        </w:tc>
        <w:tc>
          <w:tcPr>
            <w:tcW w:w="3621" w:type="dxa"/>
            <w:vAlign w:val="center"/>
          </w:tcPr>
          <w:p w14:paraId="2DADCD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China Statistical Yearbook &amp; 2007 China Library Yearbook</w:t>
            </w:r>
          </w:p>
        </w:tc>
        <w:tc>
          <w:tcPr>
            <w:tcW w:w="1007" w:type="dxa"/>
            <w:vAlign w:val="center"/>
          </w:tcPr>
          <w:p w14:paraId="3FF641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1FE5BC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0.047</w:t>
            </w:r>
          </w:p>
        </w:tc>
      </w:tr>
      <w:tr w14:paraId="357A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vAlign w:val="center"/>
          </w:tcPr>
          <w:p w14:paraId="20D386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p>
        </w:tc>
        <w:tc>
          <w:tcPr>
            <w:tcW w:w="1495" w:type="dxa"/>
            <w:vAlign w:val="center"/>
          </w:tcPr>
          <w:p w14:paraId="7DFC32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Infrastructure</w:t>
            </w:r>
          </w:p>
        </w:tc>
        <w:tc>
          <w:tcPr>
            <w:tcW w:w="1134" w:type="dxa"/>
            <w:vAlign w:val="center"/>
          </w:tcPr>
          <w:p w14:paraId="2D8D4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Y14</w:t>
            </w:r>
          </w:p>
        </w:tc>
        <w:tc>
          <w:tcPr>
            <w:tcW w:w="1288" w:type="dxa"/>
            <w:vAlign w:val="center"/>
          </w:tcPr>
          <w:p w14:paraId="2870A2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Km/100 km²</w:t>
            </w:r>
          </w:p>
        </w:tc>
        <w:tc>
          <w:tcPr>
            <w:tcW w:w="3621" w:type="dxa"/>
            <w:vAlign w:val="center"/>
          </w:tcPr>
          <w:p w14:paraId="462A4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Highway Mileage / Land Area</w:t>
            </w:r>
          </w:p>
        </w:tc>
        <w:tc>
          <w:tcPr>
            <w:tcW w:w="1007" w:type="dxa"/>
            <w:vAlign w:val="center"/>
          </w:tcPr>
          <w:p w14:paraId="033DAC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33C4AE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0.030</w:t>
            </w:r>
          </w:p>
        </w:tc>
      </w:tr>
      <w:tr w14:paraId="660A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23" w:type="dxa"/>
            <w:vMerge w:val="continue"/>
            <w:vAlign w:val="center"/>
          </w:tcPr>
          <w:p w14:paraId="6D850B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p>
        </w:tc>
        <w:tc>
          <w:tcPr>
            <w:tcW w:w="1495" w:type="dxa"/>
            <w:vAlign w:val="center"/>
          </w:tcPr>
          <w:p w14:paraId="687A23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Government Financial Support</w:t>
            </w:r>
          </w:p>
        </w:tc>
        <w:tc>
          <w:tcPr>
            <w:tcW w:w="1134" w:type="dxa"/>
            <w:vAlign w:val="center"/>
          </w:tcPr>
          <w:p w14:paraId="15682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Y1</w:t>
            </w:r>
            <w:r>
              <w:rPr>
                <w:rFonts w:hint="default" w:ascii="Times New Roman" w:hAnsi="Times New Roman" w:cs="Times New Roman"/>
                <w:color w:val="auto"/>
                <w:highlight w:val="none"/>
                <w:lang w:val="en-US" w:eastAsia="zh-CN"/>
              </w:rPr>
              <w:t>5</w:t>
            </w:r>
          </w:p>
        </w:tc>
        <w:tc>
          <w:tcPr>
            <w:tcW w:w="1288" w:type="dxa"/>
            <w:vAlign w:val="center"/>
          </w:tcPr>
          <w:p w14:paraId="414494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100 million Yuan</w:t>
            </w:r>
          </w:p>
        </w:tc>
        <w:tc>
          <w:tcPr>
            <w:tcW w:w="3621" w:type="dxa"/>
            <w:vAlign w:val="center"/>
          </w:tcPr>
          <w:p w14:paraId="2C3851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China Statistical Yearbook</w:t>
            </w:r>
          </w:p>
        </w:tc>
        <w:tc>
          <w:tcPr>
            <w:tcW w:w="1007" w:type="dxa"/>
            <w:vAlign w:val="center"/>
          </w:tcPr>
          <w:p w14:paraId="648B81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39" w:type="dxa"/>
            <w:vAlign w:val="center"/>
          </w:tcPr>
          <w:p w14:paraId="72B3A0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0.037</w:t>
            </w:r>
          </w:p>
        </w:tc>
      </w:tr>
    </w:tbl>
    <w:p w14:paraId="5B3BB1E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cs="Times New Roman"/>
          <w:b w:val="0"/>
          <w:bCs w:val="0"/>
          <w:color w:val="auto"/>
          <w:sz w:val="20"/>
          <w:szCs w:val="20"/>
          <w:highlight w:val="none"/>
        </w:rPr>
      </w:pPr>
      <w:r>
        <w:rPr>
          <w:rFonts w:hint="default" w:ascii="Times New Roman" w:hAnsi="Times New Roman" w:cs="Times New Roman"/>
          <w:b w:val="0"/>
          <w:bCs w:val="0"/>
          <w:color w:val="auto"/>
          <w:sz w:val="20"/>
          <w:szCs w:val="20"/>
          <w:highlight w:val="none"/>
        </w:rPr>
        <w:t>(Sources: Adapted from Chen (2022), Pang et al. (2020), Wang and Yang (2015), Li and Zhang (2017), and Song (2014).)</w:t>
      </w:r>
    </w:p>
    <w:p w14:paraId="0B3BDEF1">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b w:val="0"/>
          <w:bCs w:val="0"/>
          <w:color w:val="auto"/>
          <w:sz w:val="20"/>
          <w:szCs w:val="20"/>
          <w:highlight w:val="none"/>
          <w:lang w:val="en-US" w:eastAsia="zh-CN"/>
        </w:rPr>
      </w:pPr>
      <w:r>
        <w:rPr>
          <w:rFonts w:hint="default" w:ascii="Times New Roman" w:hAnsi="Times New Roman" w:cs="Times New Roman"/>
          <w:b w:val="0"/>
          <w:bCs w:val="0"/>
          <w:color w:val="auto"/>
          <w:sz w:val="20"/>
          <w:szCs w:val="20"/>
          <w:highlight w:val="none"/>
        </w:rPr>
        <w:t>Note: Attribute = “+” indicates a positive indicator. Attribute = “−” indicates a negative indicator.</w:t>
      </w:r>
    </w:p>
    <w:p w14:paraId="12EA71FB">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b/>
          <w:bCs/>
          <w:color w:val="auto"/>
          <w:szCs w:val="30"/>
          <w:highlight w:val="none"/>
        </w:rPr>
      </w:pPr>
      <w:r>
        <w:rPr>
          <w:rFonts w:hint="default" w:ascii="Times New Roman" w:hAnsi="Times New Roman" w:cs="Times New Roman"/>
          <w:b/>
          <w:bCs/>
          <w:color w:val="auto"/>
          <w:szCs w:val="30"/>
          <w:highlight w:val="none"/>
        </w:rPr>
        <w:t>Determination of Indicator Weights</w:t>
      </w:r>
    </w:p>
    <w:p w14:paraId="6471F6CE">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b w:val="0"/>
          <w:bCs w:val="0"/>
          <w:color w:val="auto"/>
          <w:szCs w:val="30"/>
          <w:highlight w:val="none"/>
        </w:rPr>
      </w:pPr>
      <w:r>
        <w:rPr>
          <w:rFonts w:hint="default" w:ascii="Times New Roman" w:hAnsi="Times New Roman" w:cs="Times New Roman"/>
          <w:b w:val="0"/>
          <w:bCs w:val="0"/>
          <w:color w:val="auto"/>
          <w:szCs w:val="30"/>
          <w:highlight w:val="none"/>
          <w:lang w:val="en-US" w:eastAsia="zh-CN"/>
        </w:rPr>
        <w:t>The weights of the indicators will be found using the entropy method. This decision was made considering the need to</w:t>
      </w:r>
      <w:r>
        <w:rPr>
          <w:rFonts w:hint="eastAsia" w:cs="Times New Roman"/>
          <w:b w:val="0"/>
          <w:bCs w:val="0"/>
          <w:color w:val="auto"/>
          <w:szCs w:val="30"/>
          <w:highlight w:val="none"/>
          <w:lang w:val="en-US" w:eastAsia="zh-CN"/>
        </w:rPr>
        <w:t xml:space="preserve"> </w:t>
      </w:r>
      <w:r>
        <w:rPr>
          <w:rFonts w:hint="default" w:ascii="Times New Roman" w:hAnsi="Times New Roman" w:cs="Times New Roman"/>
          <w:b w:val="0"/>
          <w:bCs w:val="0"/>
          <w:color w:val="auto"/>
          <w:szCs w:val="30"/>
          <w:highlight w:val="none"/>
          <w:lang w:val="en-US" w:eastAsia="zh-CN"/>
        </w:rPr>
        <w:t>exclude any kind of subjectivity and to make sure that the significance of each indicator matches the contribution</w:t>
      </w:r>
      <w:r>
        <w:rPr>
          <w:rFonts w:hint="eastAsia" w:cs="Times New Roman"/>
          <w:b w:val="0"/>
          <w:bCs w:val="0"/>
          <w:color w:val="auto"/>
          <w:szCs w:val="30"/>
          <w:highlight w:val="none"/>
          <w:lang w:val="en-US" w:eastAsia="zh-CN"/>
        </w:rPr>
        <w:t xml:space="preserve"> </w:t>
      </w:r>
      <w:r>
        <w:rPr>
          <w:rFonts w:hint="default" w:ascii="Times New Roman" w:hAnsi="Times New Roman" w:cs="Times New Roman"/>
          <w:b w:val="0"/>
          <w:bCs w:val="0"/>
          <w:color w:val="auto"/>
          <w:szCs w:val="30"/>
          <w:highlight w:val="none"/>
          <w:lang w:val="en-US" w:eastAsia="zh-CN"/>
        </w:rPr>
        <w:t>that the indicator makes to the dataset in terms of information. Entropy is an objective method of assigning</w:t>
      </w:r>
      <w:r>
        <w:rPr>
          <w:rFonts w:hint="eastAsia" w:cs="Times New Roman"/>
          <w:b w:val="0"/>
          <w:bCs w:val="0"/>
          <w:color w:val="auto"/>
          <w:szCs w:val="30"/>
          <w:highlight w:val="none"/>
          <w:lang w:val="en-US" w:eastAsia="zh-CN"/>
        </w:rPr>
        <w:t xml:space="preserve"> </w:t>
      </w:r>
      <w:r>
        <w:rPr>
          <w:rFonts w:hint="default" w:ascii="Times New Roman" w:hAnsi="Times New Roman" w:cs="Times New Roman"/>
          <w:b w:val="0"/>
          <w:bCs w:val="0"/>
          <w:color w:val="auto"/>
          <w:szCs w:val="30"/>
          <w:highlight w:val="none"/>
          <w:lang w:val="en-US" w:eastAsia="zh-CN"/>
        </w:rPr>
        <w:t>weights to indicators depending on how much information each indicator contains. The higher the entropy</w:t>
      </w:r>
      <w:r>
        <w:rPr>
          <w:rFonts w:hint="eastAsia" w:cs="Times New Roman"/>
          <w:b w:val="0"/>
          <w:bCs w:val="0"/>
          <w:color w:val="auto"/>
          <w:szCs w:val="30"/>
          <w:highlight w:val="none"/>
          <w:lang w:val="en-US" w:eastAsia="zh-CN"/>
        </w:rPr>
        <w:t xml:space="preserve"> </w:t>
      </w:r>
      <w:r>
        <w:rPr>
          <w:rFonts w:hint="default" w:ascii="Times New Roman" w:hAnsi="Times New Roman" w:cs="Times New Roman"/>
          <w:b w:val="0"/>
          <w:bCs w:val="0"/>
          <w:color w:val="auto"/>
          <w:szCs w:val="30"/>
          <w:highlight w:val="none"/>
          <w:lang w:val="en-US" w:eastAsia="zh-CN"/>
        </w:rPr>
        <w:t>indicator, the more evenly distributed the data are and the greater the uncertainty; thus, the indicator contains</w:t>
      </w:r>
      <w:r>
        <w:rPr>
          <w:rFonts w:hint="eastAsia" w:cs="Times New Roman"/>
          <w:b w:val="0"/>
          <w:bCs w:val="0"/>
          <w:color w:val="auto"/>
          <w:szCs w:val="30"/>
          <w:highlight w:val="none"/>
          <w:lang w:val="en-US" w:eastAsia="zh-CN"/>
        </w:rPr>
        <w:t xml:space="preserve"> </w:t>
      </w:r>
      <w:r>
        <w:rPr>
          <w:rFonts w:hint="default" w:ascii="Times New Roman" w:hAnsi="Times New Roman" w:cs="Times New Roman"/>
          <w:b w:val="0"/>
          <w:bCs w:val="0"/>
          <w:color w:val="auto"/>
          <w:szCs w:val="30"/>
          <w:highlight w:val="none"/>
          <w:lang w:val="en-US" w:eastAsia="zh-CN"/>
        </w:rPr>
        <w:t>less valuable information and needs to have a lower weight assigned to it.</w:t>
      </w:r>
      <w:r>
        <w:rPr>
          <w:rFonts w:hint="eastAsia" w:cs="Times New Roman"/>
          <w:b w:val="0"/>
          <w:bCs w:val="0"/>
          <w:color w:val="auto"/>
          <w:szCs w:val="30"/>
          <w:highlight w:val="none"/>
          <w:lang w:val="en-US" w:eastAsia="zh-CN"/>
        </w:rPr>
        <w:t xml:space="preserve"> </w:t>
      </w:r>
      <w:r>
        <w:rPr>
          <w:rFonts w:hint="default" w:ascii="Times New Roman" w:hAnsi="Times New Roman" w:cs="Times New Roman"/>
          <w:b w:val="0"/>
          <w:bCs w:val="0"/>
          <w:color w:val="auto"/>
          <w:szCs w:val="30"/>
          <w:highlight w:val="none"/>
        </w:rPr>
        <w:t>Conversely, a lower entropy value indicates stronger discriminating power and more useful information, and thus warrants a higher weight. Drawing on Lin (1991),</w:t>
      </w:r>
      <w:r>
        <w:rPr>
          <w:rFonts w:hint="default" w:ascii="Times New Roman" w:hAnsi="Times New Roman" w:cs="Times New Roman"/>
          <w:b w:val="0"/>
          <w:bCs w:val="0"/>
          <w:color w:val="auto"/>
          <w:szCs w:val="30"/>
          <w:highlight w:val="none"/>
          <w:lang w:val="en-US" w:eastAsia="zh-CN"/>
        </w:rPr>
        <w:t xml:space="preserve"> t</w:t>
      </w:r>
      <w:r>
        <w:rPr>
          <w:rFonts w:hint="default" w:ascii="Times New Roman" w:hAnsi="Times New Roman" w:cs="Times New Roman"/>
          <w:b w:val="0"/>
          <w:bCs w:val="0"/>
          <w:color w:val="auto"/>
          <w:szCs w:val="30"/>
          <w:highlight w:val="none"/>
        </w:rPr>
        <w:t>he calculation procedure of the entropy method is illustrated in Figure 2.</w:t>
      </w:r>
    </w:p>
    <w:p w14:paraId="2CD9B763">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39" o:spt="75" type="#_x0000_t75" style="height:266.15pt;width:439.55pt;" o:ole="t" fillcolor="#FFFFFF" filled="t" o:preferrelative="t" stroked="f" coordsize="21600,21600">
            <v:path/>
            <v:fill on="t" color2="#FFFFFF" focussize="0,0"/>
            <v:stroke on="f"/>
            <v:imagedata r:id="rId35" o:title=""/>
            <o:lock v:ext="edit" aspectratio="f"/>
            <w10:wrap type="none"/>
            <w10:anchorlock/>
          </v:shape>
          <o:OLEObject Type="Embed" ProgID="Visio.Drawing.15" ShapeID="_x0000_i1039" DrawAspect="Content" ObjectID="_1468075739" r:id="rId34">
            <o:LockedField>false</o:LockedField>
          </o:OLEObject>
        </w:object>
      </w:r>
    </w:p>
    <w:p w14:paraId="53A5775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default" w:ascii="Times New Roman" w:hAnsi="Times New Roman" w:cs="Times New Roman"/>
          <w:b/>
          <w:bCs/>
          <w:color w:val="auto"/>
          <w:szCs w:val="30"/>
          <w:highlight w:val="none"/>
        </w:rPr>
      </w:pPr>
      <w:r>
        <w:rPr>
          <w:rFonts w:hint="default" w:ascii="Times New Roman" w:hAnsi="Times New Roman" w:cs="Times New Roman"/>
          <w:b/>
          <w:bCs/>
          <w:color w:val="auto"/>
          <w:highlight w:val="none"/>
        </w:rPr>
        <w:t>Figure 2</w:t>
      </w:r>
      <w:r>
        <w:rPr>
          <w:rFonts w:hint="default"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rPr>
        <w:t xml:space="preserve"> Calculation </w:t>
      </w:r>
      <w:r>
        <w:rPr>
          <w:rFonts w:hint="default" w:ascii="Times New Roman" w:hAnsi="Times New Roman" w:cs="Times New Roman"/>
          <w:b/>
          <w:bCs/>
          <w:color w:val="auto"/>
          <w:highlight w:val="none"/>
          <w:lang w:val="en-US" w:eastAsia="zh-CN"/>
        </w:rPr>
        <w:t>P</w:t>
      </w:r>
      <w:r>
        <w:rPr>
          <w:rFonts w:hint="default" w:ascii="Times New Roman" w:hAnsi="Times New Roman" w:cs="Times New Roman"/>
          <w:b/>
          <w:bCs/>
          <w:color w:val="auto"/>
          <w:highlight w:val="none"/>
        </w:rPr>
        <w:t>rocedure</w:t>
      </w:r>
      <w:r>
        <w:rPr>
          <w:rFonts w:hint="default" w:ascii="Times New Roman" w:hAnsi="Times New Roman" w:cs="Times New Roman"/>
          <w:b/>
          <w:bCs/>
          <w:color w:val="auto"/>
          <w:highlight w:val="none"/>
          <w:lang w:val="en-US" w:eastAsia="zh-CN"/>
        </w:rPr>
        <w:t xml:space="preserve"> of </w:t>
      </w:r>
      <w:r>
        <w:rPr>
          <w:rFonts w:hint="default" w:ascii="Times New Roman" w:hAnsi="Times New Roman" w:cs="Times New Roman"/>
          <w:b/>
          <w:bCs/>
          <w:color w:val="auto"/>
          <w:highlight w:val="none"/>
        </w:rPr>
        <w:t xml:space="preserve">Entropy Method </w:t>
      </w:r>
    </w:p>
    <w:p w14:paraId="28BA918C">
      <w:pPr>
        <w:keepNext w:val="0"/>
        <w:keepLines w:val="0"/>
        <w:pageBreakBefore w:val="0"/>
        <w:widowControl w:val="0"/>
        <w:kinsoku/>
        <w:wordWrap/>
        <w:overflowPunct/>
        <w:topLinePunct w:val="0"/>
        <w:autoSpaceDE/>
        <w:autoSpaceDN/>
        <w:bidi w:val="0"/>
        <w:adjustRightInd w:val="0"/>
        <w:snapToGrid w:val="0"/>
        <w:spacing w:before="240" w:after="240" w:afterLines="0" w:line="240" w:lineRule="auto"/>
        <w:ind w:firstLine="0" w:firstLineChars="0"/>
        <w:textAlignment w:val="auto"/>
        <w:rPr>
          <w:rFonts w:hint="default" w:ascii="Times New Roman" w:hAnsi="Times New Roman" w:cs="Times New Roman"/>
          <w:color w:val="auto"/>
          <w:sz w:val="24"/>
          <w:szCs w:val="24"/>
          <w:highlight w:val="none"/>
          <w:shd w:val="clear" w:color="auto" w:fill="FFFFFF" w:themeFill="background1"/>
        </w:rPr>
      </w:pPr>
      <w:r>
        <w:rPr>
          <w:rStyle w:val="14"/>
          <w:rFonts w:hint="default" w:ascii="Times New Roman" w:hAnsi="Times New Roman" w:eastAsia="宋体" w:cs="Times New Roman"/>
          <w:b w:val="0"/>
          <w:bCs/>
          <w:color w:val="auto"/>
          <w:sz w:val="24"/>
          <w:szCs w:val="24"/>
          <w:highlight w:val="none"/>
        </w:rPr>
        <w:t>In Figure 2</w:t>
      </w:r>
      <w:r>
        <w:rPr>
          <w:rStyle w:val="14"/>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cs="Times New Roman"/>
          <w:color w:val="auto"/>
          <w:position w:val="-6"/>
          <w:highlight w:val="none"/>
        </w:rPr>
        <w:object>
          <v:shape id="_x0000_i1040" o:spt="75" type="#_x0000_t75" style="height:13.35pt;width:6.95pt;" o:ole="t" filled="f" o:preferrelative="t" stroked="f" coordsize="21600,21600">
            <v:path/>
            <v:fill on="f" focussize="0,0"/>
            <v:stroke on="f" joinstyle="miter"/>
            <v:imagedata r:id="rId37" o:title=""/>
            <o:lock v:ext="edit" aspectratio="t"/>
            <w10:wrap type="none"/>
            <w10:anchorlock/>
          </v:shape>
          <o:OLEObject Type="Embed" ProgID="Equation.DSMT4" ShapeID="_x0000_i1040" DrawAspect="Content" ObjectID="_1468075740" r:id="rId36">
            <o:LockedField>false</o:LockedField>
          </o:OLEObject>
        </w:objec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i/>
          <w:iCs/>
          <w:color w:val="auto"/>
          <w:sz w:val="24"/>
          <w:szCs w:val="24"/>
          <w:highlight w:val="none"/>
          <w:lang w:val="en-US" w:eastAsia="zh-CN"/>
        </w:rPr>
        <w:t>j</w:t>
      </w:r>
      <w:r>
        <w:rPr>
          <w:rFonts w:hint="default" w:ascii="Times New Roman" w:hAnsi="Times New Roman" w:eastAsia="宋体" w:cs="Times New Roman"/>
          <w:b w:val="0"/>
          <w:bCs/>
          <w:color w:val="auto"/>
          <w:sz w:val="24"/>
          <w:szCs w:val="24"/>
          <w:highlight w:val="none"/>
        </w:rPr>
        <w:t>, and</w:t>
      </w:r>
      <w:r>
        <w:rPr>
          <w:rFonts w:hint="default" w:ascii="Times New Roman" w:hAnsi="Times New Roman" w:eastAsia="宋体" w:cs="Times New Roman"/>
          <w:b w:val="0"/>
          <w:bCs/>
          <w:i/>
          <w:iCs/>
          <w:color w:val="auto"/>
          <w:sz w:val="24"/>
          <w:szCs w:val="24"/>
          <w:highlight w:val="none"/>
        </w:rPr>
        <w:t xml:space="preserve"> </w:t>
      </w:r>
      <w:r>
        <w:rPr>
          <w:rFonts w:hint="default" w:ascii="Times New Roman" w:hAnsi="Times New Roman" w:eastAsia="宋体" w:cs="Times New Roman"/>
          <w:b w:val="0"/>
          <w:bCs/>
          <w:i/>
          <w:iCs/>
          <w:color w:val="auto"/>
          <w:sz w:val="24"/>
          <w:szCs w:val="24"/>
          <w:highlight w:val="none"/>
          <w:lang w:val="en-US" w:eastAsia="zh-CN"/>
        </w:rPr>
        <w:t>t</w:t>
      </w:r>
      <w:r>
        <w:rPr>
          <w:rFonts w:hint="default" w:ascii="Times New Roman" w:hAnsi="Times New Roman" w:eastAsia="宋体" w:cs="Times New Roman"/>
          <w:b w:val="0"/>
          <w:bCs/>
          <w:color w:val="auto"/>
          <w:sz w:val="24"/>
          <w:szCs w:val="24"/>
          <w:highlight w:val="none"/>
        </w:rPr>
        <w:t xml:space="preserve"> denote the region, indicator, and year, respectively; </w:t>
      </w:r>
      <w:r>
        <w:rPr>
          <w:rFonts w:hint="default" w:ascii="Times New Roman" w:hAnsi="Times New Roman" w:eastAsia="宋体" w:cs="Times New Roman"/>
          <w:b w:val="0"/>
          <w:bCs/>
          <w:i/>
          <w:iCs/>
          <w:color w:val="auto"/>
          <w:sz w:val="24"/>
          <w:szCs w:val="24"/>
          <w:highlight w:val="none"/>
          <w:lang w:val="en-US" w:eastAsia="zh-CN"/>
        </w:rPr>
        <w:t>n</w:t>
      </w:r>
      <w:r>
        <w:rPr>
          <w:rFonts w:hint="default" w:ascii="Times New Roman" w:hAnsi="Times New Roman" w:eastAsia="宋体" w:cs="Times New Roman"/>
          <w:b w:val="0"/>
          <w:bCs/>
          <w:i w:val="0"/>
          <w:iCs w:val="0"/>
          <w:color w:val="auto"/>
          <w:sz w:val="24"/>
          <w:szCs w:val="24"/>
          <w:highlight w:val="none"/>
          <w:lang w:val="en-US" w:eastAsia="zh-CN"/>
        </w:rPr>
        <w:t xml:space="preserve">=30, </w:t>
      </w:r>
      <w:r>
        <w:rPr>
          <w:rFonts w:hint="default" w:ascii="Times New Roman" w:hAnsi="Times New Roman" w:eastAsia="宋体" w:cs="Times New Roman"/>
          <w:b w:val="0"/>
          <w:bCs/>
          <w:i/>
          <w:iCs/>
          <w:color w:val="auto"/>
          <w:sz w:val="24"/>
          <w:szCs w:val="24"/>
          <w:highlight w:val="none"/>
          <w:lang w:val="en-US" w:eastAsia="zh-CN"/>
        </w:rPr>
        <w:t>m</w:t>
      </w:r>
      <w:r>
        <w:rPr>
          <w:rFonts w:hint="default" w:ascii="Times New Roman" w:hAnsi="Times New Roman" w:eastAsia="宋体" w:cs="Times New Roman"/>
          <w:b w:val="0"/>
          <w:bCs/>
          <w:i w:val="0"/>
          <w:iCs w:val="0"/>
          <w:color w:val="auto"/>
          <w:sz w:val="24"/>
          <w:szCs w:val="24"/>
          <w:highlight w:val="none"/>
          <w:lang w:val="en-US" w:eastAsia="zh-CN"/>
        </w:rPr>
        <w:t xml:space="preserve">, and k=16 represent the number of regions, indicators, and years, respectively, where </w:t>
      </w:r>
      <w:r>
        <w:rPr>
          <w:rFonts w:hint="default" w:ascii="Times New Roman" w:hAnsi="Times New Roman" w:eastAsia="宋体" w:cs="Times New Roman"/>
          <w:b w:val="0"/>
          <w:bCs/>
          <w:i/>
          <w:iCs/>
          <w:color w:val="auto"/>
          <w:sz w:val="24"/>
          <w:szCs w:val="24"/>
          <w:highlight w:val="none"/>
          <w:lang w:val="en-US" w:eastAsia="zh-CN"/>
        </w:rPr>
        <w:t>m</w:t>
      </w:r>
      <w:r>
        <w:rPr>
          <w:rFonts w:hint="default" w:ascii="Times New Roman" w:hAnsi="Times New Roman" w:eastAsia="宋体" w:cs="Times New Roman"/>
          <w:b w:val="0"/>
          <w:bCs/>
          <w:i w:val="0"/>
          <w:iCs w:val="0"/>
          <w:color w:val="auto"/>
          <w:sz w:val="24"/>
          <w:szCs w:val="24"/>
          <w:highlight w:val="none"/>
          <w:lang w:val="en-US" w:eastAsia="zh-CN"/>
        </w:rPr>
        <w:t xml:space="preserve">=11 for the </w:t>
      </w:r>
      <w:r>
        <w:rPr>
          <w:rFonts w:hint="default" w:ascii="Times New Roman" w:hAnsi="Times New Roman" w:cs="Times New Roman"/>
          <w:b w:val="0"/>
          <w:bCs/>
          <w:i w:val="0"/>
          <w:iCs w:val="0"/>
          <w:color w:val="auto"/>
          <w:sz w:val="24"/>
          <w:szCs w:val="24"/>
          <w:highlight w:val="none"/>
          <w:lang w:val="en-US" w:eastAsia="zh-CN"/>
        </w:rPr>
        <w:t>FA</w:t>
      </w:r>
      <w:r>
        <w:rPr>
          <w:rFonts w:hint="default" w:ascii="Times New Roman" w:hAnsi="Times New Roman" w:eastAsia="宋体" w:cs="Times New Roman"/>
          <w:b w:val="0"/>
          <w:bCs/>
          <w:i w:val="0"/>
          <w:iCs w:val="0"/>
          <w:color w:val="auto"/>
          <w:sz w:val="24"/>
          <w:szCs w:val="24"/>
          <w:highlight w:val="none"/>
          <w:lang w:val="en-US" w:eastAsia="zh-CN"/>
        </w:rPr>
        <w:t xml:space="preserve"> subsystem and </w:t>
      </w:r>
      <w:r>
        <w:rPr>
          <w:rFonts w:hint="default" w:ascii="Times New Roman" w:hAnsi="Times New Roman" w:eastAsia="宋体" w:cs="Times New Roman"/>
          <w:b w:val="0"/>
          <w:bCs/>
          <w:i/>
          <w:iCs/>
          <w:color w:val="auto"/>
          <w:sz w:val="24"/>
          <w:szCs w:val="24"/>
          <w:highlight w:val="none"/>
          <w:lang w:val="en-US" w:eastAsia="zh-CN"/>
        </w:rPr>
        <w:t>m</w:t>
      </w:r>
      <w:r>
        <w:rPr>
          <w:rFonts w:hint="default" w:ascii="Times New Roman" w:hAnsi="Times New Roman" w:eastAsia="宋体" w:cs="Times New Roman"/>
          <w:b w:val="0"/>
          <w:bCs/>
          <w:i w:val="0"/>
          <w:iCs w:val="0"/>
          <w:color w:val="auto"/>
          <w:sz w:val="24"/>
          <w:szCs w:val="24"/>
          <w:highlight w:val="none"/>
          <w:lang w:val="en-US" w:eastAsia="zh-CN"/>
        </w:rPr>
        <w:t xml:space="preserve">=15 for the </w:t>
      </w:r>
      <w:r>
        <w:rPr>
          <w:rFonts w:hint="default" w:ascii="Times New Roman" w:hAnsi="Times New Roman" w:cs="Times New Roman"/>
          <w:b w:val="0"/>
          <w:bCs/>
          <w:i w:val="0"/>
          <w:iCs w:val="0"/>
          <w:color w:val="auto"/>
          <w:sz w:val="24"/>
          <w:szCs w:val="24"/>
          <w:highlight w:val="none"/>
          <w:lang w:val="en-US" w:eastAsia="zh-CN"/>
        </w:rPr>
        <w:t>GTI</w:t>
      </w:r>
      <w:r>
        <w:rPr>
          <w:rFonts w:hint="default" w:ascii="Times New Roman" w:hAnsi="Times New Roman" w:eastAsia="宋体" w:cs="Times New Roman"/>
          <w:b w:val="0"/>
          <w:bCs/>
          <w:i w:val="0"/>
          <w:iCs w:val="0"/>
          <w:color w:val="auto"/>
          <w:sz w:val="24"/>
          <w:szCs w:val="24"/>
          <w:highlight w:val="none"/>
          <w:lang w:val="en-US" w:eastAsia="zh-CN"/>
        </w:rPr>
        <w:t xml:space="preserve"> subsystem.</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cs="Times New Roman"/>
          <w:color w:val="auto"/>
          <w:position w:val="-14"/>
          <w:highlight w:val="none"/>
        </w:rPr>
        <w:object>
          <v:shape id="_x0000_i1041" o:spt="75" type="#_x0000_t75" style="height:24.35pt;width:20.65pt;" o:ole="t" filled="f" o:preferrelative="t" stroked="f" coordsize="21600,21600">
            <v:path/>
            <v:fill on="f" focussize="0,0"/>
            <v:stroke on="f"/>
            <v:imagedata r:id="rId39" o:title=""/>
            <o:lock v:ext="edit" aspectratio="t"/>
            <w10:wrap type="none"/>
            <w10:anchorlock/>
          </v:shape>
          <o:OLEObject Type="Embed" ProgID="Equation.DSMT4" ShapeID="_x0000_i1041" DrawAspect="Content" ObjectID="_1468075741" r:id="rId38">
            <o:LockedField>false</o:LockedField>
          </o:OLEObject>
        </w:object>
      </w:r>
      <w:r>
        <w:rPr>
          <w:rFonts w:hint="default" w:ascii="Times New Roman" w:hAnsi="Times New Roman" w:eastAsia="宋体" w:cs="Times New Roman"/>
          <w:b w:val="0"/>
          <w:bCs/>
          <w:color w:val="auto"/>
          <w:sz w:val="24"/>
          <w:szCs w:val="24"/>
          <w:highlight w:val="none"/>
        </w:rPr>
        <w:t xml:space="preserve"> denotes the original value of indicator </w:t>
      </w:r>
      <w:r>
        <w:rPr>
          <w:rFonts w:hint="default" w:ascii="Times New Roman" w:hAnsi="Times New Roman" w:eastAsia="宋体" w:cs="Times New Roman"/>
          <w:b w:val="0"/>
          <w:bCs/>
          <w:i/>
          <w:iCs/>
          <w:color w:val="auto"/>
          <w:sz w:val="24"/>
          <w:szCs w:val="24"/>
          <w:highlight w:val="none"/>
        </w:rPr>
        <w:t>j</w:t>
      </w:r>
      <w:r>
        <w:rPr>
          <w:rFonts w:hint="default" w:ascii="Times New Roman" w:hAnsi="Times New Roman" w:eastAsia="宋体" w:cs="Times New Roman"/>
          <w:b w:val="0"/>
          <w:bCs/>
          <w:color w:val="auto"/>
          <w:sz w:val="24"/>
          <w:szCs w:val="24"/>
          <w:highlight w:val="none"/>
        </w:rPr>
        <w:t xml:space="preserve"> for region </w:t>
      </w:r>
      <w:r>
        <w:rPr>
          <w:rFonts w:hint="default" w:ascii="Times New Roman" w:hAnsi="Times New Roman" w:eastAsia="宋体" w:cs="Times New Roman"/>
          <w:b w:val="0"/>
          <w:bCs/>
          <w:i/>
          <w:iCs/>
          <w:color w:val="auto"/>
          <w:sz w:val="24"/>
          <w:szCs w:val="24"/>
          <w:highlight w:val="none"/>
          <w:lang w:val="en-US" w:eastAsia="zh-CN"/>
        </w:rPr>
        <w:t xml:space="preserve">i </w:t>
      </w:r>
      <w:r>
        <w:rPr>
          <w:rFonts w:hint="default" w:ascii="Times New Roman" w:hAnsi="Times New Roman" w:eastAsia="宋体" w:cs="Times New Roman"/>
          <w:b w:val="0"/>
          <w:bCs/>
          <w:color w:val="auto"/>
          <w:sz w:val="24"/>
          <w:szCs w:val="24"/>
          <w:highlight w:val="none"/>
        </w:rPr>
        <w:t>in year</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i/>
          <w:iCs/>
          <w:color w:val="auto"/>
          <w:sz w:val="24"/>
          <w:szCs w:val="24"/>
          <w:highlight w:val="none"/>
          <w:lang w:val="en-US" w:eastAsia="zh-CN"/>
        </w:rPr>
        <w:t>t</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cs="Times New Roman"/>
          <w:color w:val="auto"/>
          <w:position w:val="-14"/>
          <w:highlight w:val="none"/>
        </w:rPr>
        <w:object>
          <v:shape id="_x0000_i1042" o:spt="75" type="#_x0000_t75" style="height:20.3pt;width:20.3pt;" o:ole="t" filled="f" o:preferrelative="t" stroked="f" coordsize="21600,21600">
            <v:path/>
            <v:fill on="f" focussize="0,0"/>
            <v:stroke on="f" joinstyle="miter"/>
            <v:imagedata r:id="rId41" o:title=""/>
            <o:lock v:ext="edit" aspectratio="t"/>
            <w10:wrap type="none"/>
            <w10:anchorlock/>
          </v:shape>
          <o:OLEObject Type="Embed" ProgID="Equation.DSMT4" ShapeID="_x0000_i1042" DrawAspect="Content" ObjectID="_1468075742" r:id="rId40">
            <o:LockedField>false</o:LockedField>
          </o:OLEObject>
        </w:object>
      </w:r>
      <w:r>
        <w:rPr>
          <w:rFonts w:hint="default" w:ascii="Times New Roman" w:hAnsi="Times New Roman" w:eastAsia="宋体" w:cs="Times New Roman"/>
          <w:b w:val="0"/>
          <w:bCs/>
          <w:color w:val="auto"/>
          <w:sz w:val="24"/>
          <w:szCs w:val="24"/>
          <w:highlight w:val="none"/>
        </w:rPr>
        <w:t xml:space="preserve">​ denotes the standardised value; </w:t>
      </w:r>
      <w:r>
        <w:rPr>
          <w:rFonts w:hint="default" w:ascii="Times New Roman" w:hAnsi="Times New Roman" w:cs="Times New Roman"/>
          <w:color w:val="auto"/>
          <w:position w:val="-14"/>
          <w:highlight w:val="none"/>
        </w:rPr>
        <w:object>
          <v:shape id="_x0000_i1043" o:spt="75" type="#_x0000_t75" style="height:19.15pt;width:19.75pt;" o:ole="t" filled="f" o:preferrelative="t" stroked="f" coordsize="21600,21600">
            <v:path/>
            <v:fill on="f" focussize="0,0"/>
            <v:stroke on="f" joinstyle="miter"/>
            <v:imagedata r:id="rId43" o:title=""/>
            <o:lock v:ext="edit" aspectratio="t"/>
            <w10:wrap type="none"/>
            <w10:anchorlock/>
          </v:shape>
          <o:OLEObject Type="Embed" ProgID="Equation.DSMT4" ShapeID="_x0000_i1043" DrawAspect="Content" ObjectID="_1468075743" r:id="rId42">
            <o:LockedField>false</o:LockedField>
          </o:OLEObject>
        </w:object>
      </w:r>
      <w:r>
        <w:rPr>
          <w:rFonts w:hint="default" w:ascii="Times New Roman" w:hAnsi="Times New Roman" w:eastAsia="宋体" w:cs="Times New Roman"/>
          <w:b w:val="0"/>
          <w:bCs/>
          <w:color w:val="auto"/>
          <w:sz w:val="24"/>
          <w:szCs w:val="24"/>
          <w:highlight w:val="none"/>
        </w:rPr>
        <w:t xml:space="preserve"> denotes the shifted value</w:t>
      </w:r>
      <w:r>
        <w:rPr>
          <w:rFonts w:hint="default" w:ascii="Times New Roman" w:hAnsi="Times New Roman" w:eastAsia="宋体" w:cs="Times New Roman"/>
          <w:b w:val="0"/>
          <w:bCs/>
          <w:color w:val="auto"/>
          <w:sz w:val="24"/>
          <w:szCs w:val="24"/>
          <w:highlight w:val="none"/>
          <w:lang w:val="en-US" w:eastAsia="zh-CN"/>
        </w:rPr>
        <w:t>, obtained by adding 0.0001 to the standardised value to avoid zero values in the subsequent logarithmic calculation;</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cs="Times New Roman"/>
          <w:bCs/>
          <w:color w:val="auto"/>
          <w:position w:val="-14"/>
          <w:highlight w:val="none"/>
          <w:shd w:val="clear" w:color="auto" w:fill="FFFFFF" w:themeFill="background1"/>
        </w:rPr>
        <w:object>
          <v:shape id="_x0000_i1044" o:spt="75" type="#_x0000_t75" style="height:20.3pt;width:15.7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4" r:id="rId44">
            <o:LockedField>false</o:LockedField>
          </o:OLEObject>
        </w:object>
      </w:r>
      <w:r>
        <w:rPr>
          <w:rFonts w:hint="default" w:ascii="Times New Roman" w:hAnsi="Times New Roman" w:eastAsia="宋体" w:cs="Times New Roman"/>
          <w:b w:val="0"/>
          <w:bCs/>
          <w:color w:val="auto"/>
          <w:sz w:val="24"/>
          <w:szCs w:val="24"/>
          <w:highlight w:val="none"/>
        </w:rPr>
        <w:t xml:space="preserve">​ represents the proportion of </w:t>
      </w:r>
      <w:r>
        <w:rPr>
          <w:rFonts w:hint="default" w:ascii="Times New Roman" w:hAnsi="Times New Roman" w:cs="Times New Roman"/>
          <w:b/>
          <w:bCs/>
          <w:color w:val="auto"/>
          <w:position w:val="-14"/>
          <w:highlight w:val="none"/>
          <w:shd w:val="clear" w:color="auto" w:fill="FFFFFF" w:themeFill="background1"/>
        </w:rPr>
        <w:object>
          <v:shape id="_x0000_i1045" o:spt="75" type="#_x0000_t75" style="height:20.3pt;width:20.3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5" r:id="rId46">
            <o:LockedField>false</o:LockedField>
          </o:OLEObject>
        </w:object>
      </w:r>
      <w:r>
        <w:rPr>
          <w:rFonts w:hint="default" w:ascii="Times New Roman" w:hAnsi="Times New Roman" w:eastAsia="宋体" w:cs="Times New Roman"/>
          <w:b w:val="0"/>
          <w:bCs/>
          <w:color w:val="auto"/>
          <w:sz w:val="24"/>
          <w:szCs w:val="24"/>
          <w:highlight w:val="none"/>
        </w:rPr>
        <w:t>​ in the total value of indicator</w:t>
      </w:r>
      <w:r>
        <w:rPr>
          <w:rFonts w:hint="default" w:ascii="Times New Roman" w:hAnsi="Times New Roman" w:cs="Times New Roman"/>
          <w:b/>
          <w:bCs/>
          <w:color w:val="auto"/>
          <w:position w:val="-10"/>
          <w:highlight w:val="none"/>
          <w:shd w:val="clear" w:color="auto" w:fill="FFFFFF" w:themeFill="background1"/>
        </w:rPr>
        <w:object>
          <v:shape id="_x0000_i1046" o:spt="75" type="#_x0000_t75" style="height:14.5pt;width:10.45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6" r:id="rId48">
            <o:LockedField>false</o:LockedField>
          </o:OLEObject>
        </w:object>
      </w:r>
      <w:r>
        <w:rPr>
          <w:rFonts w:hint="default" w:ascii="Times New Roman" w:hAnsi="Times New Roman" w:eastAsia="宋体" w:cs="Times New Roman"/>
          <w:color w:val="auto"/>
          <w:sz w:val="24"/>
          <w:szCs w:val="24"/>
          <w:highlight w:val="none"/>
        </w:rPr>
        <w:t>across all regions and all years</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cs="Times New Roman"/>
          <w:color w:val="auto"/>
          <w:position w:val="-14"/>
          <w:highlight w:val="none"/>
        </w:rPr>
        <w:object>
          <v:shape id="_x0000_i1047" o:spt="75" type="#_x0000_t75" style="height:19.15pt;width:12.2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7" r:id="rId50">
            <o:LockedField>false</o:LockedField>
          </o:OLEObject>
        </w:object>
      </w:r>
      <w:r>
        <w:rPr>
          <w:rFonts w:hint="default" w:ascii="Times New Roman" w:hAnsi="Times New Roman" w:eastAsia="宋体" w:cs="Times New Roman"/>
          <w:b w:val="0"/>
          <w:bCs/>
          <w:color w:val="auto"/>
          <w:sz w:val="24"/>
          <w:szCs w:val="24"/>
          <w:highlight w:val="none"/>
        </w:rPr>
        <w:t xml:space="preserve"> denotes the entropy value of indicator </w:t>
      </w:r>
      <w:r>
        <w:rPr>
          <w:rFonts w:hint="default" w:ascii="Times New Roman" w:hAnsi="Times New Roman" w:eastAsia="宋体" w:cs="Times New Roman"/>
          <w:b w:val="0"/>
          <w:bCs/>
          <w:i/>
          <w:iCs/>
          <w:color w:val="auto"/>
          <w:sz w:val="24"/>
          <w:szCs w:val="24"/>
          <w:highlight w:val="none"/>
        </w:rPr>
        <w:t>j</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cs="Times New Roman"/>
          <w:color w:val="auto"/>
          <w:position w:val="-14"/>
          <w:highlight w:val="none"/>
        </w:rPr>
        <w:object>
          <v:shape id="_x0000_i1048" o:spt="75" type="#_x0000_t75" style="height:19.15pt;width:13.95pt;" o:ole="t" filled="f" o:preferrelative="t" stroked="f" coordsize="21600,21600">
            <v:path/>
            <v:fill on="f" focussize="0,0"/>
            <v:stroke on="f" joinstyle="miter"/>
            <v:imagedata r:id="rId53" o:title=""/>
            <o:lock v:ext="edit" aspectratio="t"/>
            <w10:wrap type="none"/>
            <w10:anchorlock/>
          </v:shape>
          <o:OLEObject Type="Embed" ProgID="Equation.DSMT4" ShapeID="_x0000_i1048" DrawAspect="Content" ObjectID="_1468075748" r:id="rId52">
            <o:LockedField>false</o:LockedField>
          </o:OLEObject>
        </w:object>
      </w:r>
      <w:r>
        <w:rPr>
          <w:rFonts w:hint="default" w:ascii="Times New Roman" w:hAnsi="Times New Roman" w:eastAsia="宋体" w:cs="Times New Roman"/>
          <w:b w:val="0"/>
          <w:bCs/>
          <w:color w:val="auto"/>
          <w:sz w:val="24"/>
          <w:szCs w:val="24"/>
          <w:highlight w:val="none"/>
        </w:rPr>
        <w:t>​ represents the information entropy redundancy</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 xml:space="preserve">of indicator </w:t>
      </w:r>
      <w:r>
        <w:rPr>
          <w:rFonts w:hint="default" w:ascii="Times New Roman" w:hAnsi="Times New Roman" w:eastAsia="宋体" w:cs="Times New Roman"/>
          <w:b w:val="0"/>
          <w:bCs/>
          <w:i/>
          <w:iCs/>
          <w:color w:val="auto"/>
          <w:sz w:val="24"/>
          <w:szCs w:val="24"/>
          <w:highlight w:val="none"/>
        </w:rPr>
        <w:t>j</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cs="Times New Roman"/>
          <w:color w:val="auto"/>
          <w:position w:val="-14"/>
          <w:highlight w:val="none"/>
          <w:shd w:val="clear" w:color="auto" w:fill="FFFFFF" w:themeFill="background1"/>
        </w:rPr>
        <w:object>
          <v:shape id="_x0000_i1049" o:spt="75" type="#_x0000_t75" style="height:20.3pt;width:15.7pt;" o:ole="t" filled="f" o:preferrelative="t" stroked="f" coordsize="21600,21600">
            <v:path/>
            <v:fill on="f" focussize="0,0"/>
            <v:stroke on="f" joinstyle="miter"/>
            <v:imagedata r:id="rId55" o:title=""/>
            <o:lock v:ext="edit" aspectratio="t"/>
            <w10:wrap type="none"/>
            <w10:anchorlock/>
          </v:shape>
          <o:OLEObject Type="Embed" ProgID="Equation.DSMT4" ShapeID="_x0000_i1049" DrawAspect="Content" ObjectID="_1468075749" r:id="rId54">
            <o:LockedField>false</o:LockedField>
          </o:OLEObject>
        </w:object>
      </w:r>
      <w:r>
        <w:rPr>
          <w:rFonts w:hint="default" w:ascii="Times New Roman" w:hAnsi="Times New Roman" w:eastAsia="宋体" w:cs="Times New Roman"/>
          <w:b w:val="0"/>
          <w:bCs/>
          <w:color w:val="auto"/>
          <w:sz w:val="24"/>
          <w:szCs w:val="24"/>
          <w:highlight w:val="none"/>
        </w:rPr>
        <w:t xml:space="preserve">​ denotes the weight of indicator </w:t>
      </w:r>
      <w:r>
        <w:rPr>
          <w:rFonts w:hint="default" w:ascii="Times New Roman" w:hAnsi="Times New Roman" w:eastAsia="宋体" w:cs="Times New Roman"/>
          <w:b w:val="0"/>
          <w:bCs/>
          <w:i/>
          <w:iCs/>
          <w:color w:val="auto"/>
          <w:sz w:val="24"/>
          <w:szCs w:val="24"/>
          <w:highlight w:val="none"/>
        </w:rPr>
        <w:t>j</w:t>
      </w:r>
      <w:r>
        <w:rPr>
          <w:rFonts w:hint="default" w:ascii="Times New Roman" w:hAnsi="Times New Roman" w:eastAsia="宋体" w:cs="Times New Roman"/>
          <w:b w:val="0"/>
          <w:bCs/>
          <w:color w:val="auto"/>
          <w:sz w:val="24"/>
          <w:szCs w:val="24"/>
          <w:highlight w:val="none"/>
        </w:rPr>
        <w:t xml:space="preserve">; and </w:t>
      </w:r>
      <w:r>
        <w:rPr>
          <w:rFonts w:hint="default" w:ascii="Times New Roman" w:hAnsi="Times New Roman" w:cs="Times New Roman"/>
          <w:color w:val="auto"/>
          <w:position w:val="-14"/>
          <w:highlight w:val="none"/>
        </w:rPr>
        <w:object>
          <v:shape id="_x0000_i1050" o:spt="75" type="#_x0000_t75" style="height:19.15pt;width:13.95pt;" o:ole="t" filled="f" o:preferrelative="t" stroked="f" coordsize="21600,21600">
            <v:path/>
            <v:fill on="f" focussize="0,0"/>
            <v:stroke on="f" joinstyle="miter"/>
            <v:imagedata r:id="rId57" o:title=""/>
            <o:lock v:ext="edit" aspectratio="t"/>
            <w10:wrap type="none"/>
            <w10:anchorlock/>
          </v:shape>
          <o:OLEObject Type="Embed" ProgID="Equation.DSMT4" ShapeID="_x0000_i1050" DrawAspect="Content" ObjectID="_1468075750" r:id="rId56">
            <o:LockedField>false</o:LockedField>
          </o:OLEObject>
        </w:object>
      </w:r>
      <w:r>
        <w:rPr>
          <w:rFonts w:hint="default" w:ascii="Times New Roman" w:hAnsi="Times New Roman" w:eastAsia="宋体" w:cs="Times New Roman"/>
          <w:b w:val="0"/>
          <w:bCs/>
          <w:color w:val="auto"/>
          <w:sz w:val="24"/>
          <w:szCs w:val="24"/>
          <w:highlight w:val="none"/>
        </w:rPr>
        <w:t xml:space="preserve"> represents the comprehensive score of region </w:t>
      </w:r>
      <w:r>
        <w:rPr>
          <w:rFonts w:hint="default" w:ascii="Times New Roman" w:hAnsi="Times New Roman" w:eastAsia="宋体" w:cs="Times New Roman"/>
          <w:b w:val="0"/>
          <w:bCs/>
          <w:i/>
          <w:iCs/>
          <w:color w:val="auto"/>
          <w:sz w:val="24"/>
          <w:szCs w:val="24"/>
          <w:highlight w:val="none"/>
        </w:rPr>
        <w:t>i</w:t>
      </w:r>
      <w:r>
        <w:rPr>
          <w:rFonts w:hint="default" w:ascii="Times New Roman" w:hAnsi="Times New Roman" w:eastAsia="宋体" w:cs="Times New Roman"/>
          <w:b w:val="0"/>
          <w:bCs/>
          <w:color w:val="auto"/>
          <w:sz w:val="24"/>
          <w:szCs w:val="24"/>
          <w:highlight w:val="none"/>
        </w:rPr>
        <w:t xml:space="preserve"> in year </w:t>
      </w:r>
      <w:r>
        <w:rPr>
          <w:rFonts w:hint="default" w:ascii="Times New Roman" w:hAnsi="Times New Roman" w:eastAsia="宋体" w:cs="Times New Roman"/>
          <w:b w:val="0"/>
          <w:bCs/>
          <w:i/>
          <w:iCs/>
          <w:color w:val="auto"/>
          <w:sz w:val="24"/>
          <w:szCs w:val="24"/>
          <w:highlight w:val="none"/>
        </w:rPr>
        <w:t>t</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cs="Times New Roman"/>
          <w:color w:val="auto"/>
          <w:sz w:val="24"/>
          <w:szCs w:val="24"/>
          <w:highlight w:val="none"/>
          <w:shd w:val="clear" w:color="auto" w:fill="FFFFFF" w:themeFill="background1"/>
        </w:rPr>
        <w:t>The formulas for the</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shd w:val="clear" w:color="auto" w:fill="FFFFFF" w:themeFill="background1"/>
        </w:rPr>
        <w:t>min-max normalisation method are given as follows:</w:t>
      </w:r>
    </w:p>
    <w:p w14:paraId="28BA918E">
      <w:pPr>
        <w:keepNext w:val="0"/>
        <w:keepLines w:val="0"/>
        <w:pageBreakBefore w:val="0"/>
        <w:widowControl w:val="0"/>
        <w:kinsoku/>
        <w:wordWrap/>
        <w:overflowPunct/>
        <w:topLinePunct w:val="0"/>
        <w:autoSpaceDE/>
        <w:autoSpaceDN/>
        <w:bidi w:val="0"/>
        <w:adjustRightInd/>
        <w:snapToGrid/>
        <w:spacing w:before="240" w:after="240" w:afterLines="0" w:line="240" w:lineRule="auto"/>
        <w:textAlignment w:val="auto"/>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sz w:val="24"/>
          <w:szCs w:val="24"/>
          <w:highlight w:val="none"/>
          <w:shd w:val="clear" w:color="auto" w:fill="FFFFFF" w:themeFill="background1"/>
        </w:rPr>
        <w:t xml:space="preserve">For a positive indicator, </w:t>
      </w:r>
    </w:p>
    <w:p w14:paraId="28BA9190">
      <w:pPr>
        <w:spacing w:after="0" w:afterLines="0"/>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position w:val="-36"/>
          <w:highlight w:val="none"/>
        </w:rPr>
        <w:object>
          <v:shape id="_x0000_i1051" o:spt="75" type="#_x0000_t75" style="height:37.6pt;width:429.25pt;" o:ole="t" filled="f" o:preferrelative="t" stroked="f" coordsize="21600,21600">
            <v:path/>
            <v:fill on="f" focussize="0,0"/>
            <v:stroke on="f"/>
            <v:imagedata r:id="rId59" o:title=""/>
            <o:lock v:ext="edit" aspectratio="t"/>
            <w10:wrap type="none"/>
            <w10:anchorlock/>
          </v:shape>
          <o:OLEObject Type="Embed" ProgID="Equation.DSMT4" ShapeID="_x0000_i1051" DrawAspect="Content" ObjectID="_1468075751" r:id="rId58">
            <o:LockedField>false</o:LockedField>
          </o:OLEObject>
        </w:object>
      </w:r>
      <w:r>
        <w:rPr>
          <w:rFonts w:hint="default" w:ascii="Times New Roman" w:hAnsi="Times New Roman" w:cs="Times New Roman"/>
          <w:color w:val="auto"/>
          <w:position w:val="-36"/>
          <w:highlight w:val="none"/>
          <w:lang w:val="en-US" w:eastAsia="zh-CN"/>
        </w:rPr>
        <w:t xml:space="preserve">         </w:t>
      </w:r>
      <w:r>
        <w:rPr>
          <w:rFonts w:hint="default" w:ascii="Times New Roman" w:hAnsi="Times New Roman" w:cs="Times New Roman"/>
          <w:color w:val="auto"/>
          <w:sz w:val="24"/>
          <w:szCs w:val="24"/>
          <w:highlight w:val="none"/>
          <w:shd w:val="clear" w:color="auto" w:fill="FFFFFF" w:themeFill="background1"/>
        </w:rPr>
        <w:t>（2）</w:t>
      </w:r>
    </w:p>
    <w:p w14:paraId="28BA9191">
      <w:pPr>
        <w:spacing w:after="0" w:afterLines="0" w:line="480" w:lineRule="auto"/>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sz w:val="24"/>
          <w:szCs w:val="24"/>
          <w:highlight w:val="none"/>
          <w:shd w:val="clear" w:color="auto" w:fill="FFFFFF" w:themeFill="background1"/>
        </w:rPr>
        <w:t xml:space="preserve">For a negative indicator, </w:t>
      </w:r>
    </w:p>
    <w:p w14:paraId="28BA9193">
      <w:pPr>
        <w:spacing w:after="0" w:afterLines="0" w:line="240" w:lineRule="auto"/>
        <w:rPr>
          <w:rFonts w:hint="default" w:ascii="Times New Roman" w:hAnsi="Times New Roman" w:cs="Times New Roman"/>
          <w:color w:val="auto"/>
          <w:highlight w:val="none"/>
          <w:shd w:val="clear" w:color="auto" w:fill="FFFFFF" w:themeFill="background1"/>
        </w:rPr>
      </w:pPr>
      <w:bookmarkStart w:id="0" w:name="MTBlankEqn"/>
      <w:r>
        <w:rPr>
          <w:rFonts w:hint="default" w:ascii="Times New Roman" w:hAnsi="Times New Roman" w:cs="Times New Roman"/>
          <w:color w:val="auto"/>
          <w:position w:val="-36"/>
          <w:highlight w:val="none"/>
        </w:rPr>
        <w:object>
          <v:shape id="_x0000_i1052" o:spt="75" type="#_x0000_t75" style="height:38.6pt;width:440.6pt;" o:ole="t" filled="f" o:preferrelative="t" stroked="f" coordsize="21600,21600">
            <v:path/>
            <v:fill on="f" focussize="0,0"/>
            <v:stroke on="f"/>
            <v:imagedata r:id="rId61" o:title=""/>
            <o:lock v:ext="edit" aspectratio="t"/>
            <w10:wrap type="none"/>
            <w10:anchorlock/>
          </v:shape>
          <o:OLEObject Type="Embed" ProgID="Equation.DSMT4" ShapeID="_x0000_i1052" DrawAspect="Content" ObjectID="_1468075752" r:id="rId60">
            <o:LockedField>false</o:LockedField>
          </o:OLEObject>
        </w:object>
      </w:r>
      <w:bookmarkEnd w:id="0"/>
      <w:r>
        <w:rPr>
          <w:rFonts w:hint="default" w:ascii="Times New Roman" w:hAnsi="Times New Roman" w:cs="Times New Roman"/>
          <w:color w:val="auto"/>
          <w:position w:val="-36"/>
          <w:highlight w:val="none"/>
          <w:lang w:val="en-US" w:eastAsia="zh-CN"/>
        </w:rPr>
        <w:t xml:space="preserve">     </w:t>
      </w:r>
      <w:r>
        <w:rPr>
          <w:rFonts w:hint="default" w:ascii="Times New Roman" w:hAnsi="Times New Roman" w:cs="Times New Roman"/>
          <w:color w:val="auto"/>
          <w:position w:val="-36"/>
          <w:sz w:val="24"/>
          <w:szCs w:val="24"/>
          <w:highlight w:val="none"/>
          <w:lang w:val="en-US" w:eastAsia="zh-CN"/>
        </w:rPr>
        <w:t xml:space="preserve">  </w:t>
      </w:r>
      <w:r>
        <w:rPr>
          <w:rFonts w:hint="default" w:ascii="Times New Roman" w:hAnsi="Times New Roman" w:cs="Times New Roman"/>
          <w:color w:val="auto"/>
          <w:sz w:val="24"/>
          <w:szCs w:val="24"/>
          <w:highlight w:val="none"/>
          <w:shd w:val="clear" w:color="auto" w:fill="FFFFFF" w:themeFill="background1"/>
        </w:rPr>
        <w:t>（3）</w:t>
      </w:r>
    </w:p>
    <w:p w14:paraId="23ECB861">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The indicator weights obtained using the entropy method are presented in the final column of Tables 1 and 2.</w:t>
      </w:r>
    </w:p>
    <w:p w14:paraId="5806E75F">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Measurement of the Financial Agglomeration and Green Technology Innovation Subsystems</w:t>
      </w:r>
    </w:p>
    <w:p w14:paraId="0E03B494">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 xml:space="preserve">Based on the indicator weights, </w:t>
      </w:r>
      <w:r>
        <w:rPr>
          <w:rFonts w:hint="default" w:ascii="Times New Roman" w:hAnsi="Times New Roman" w:cs="Times New Roman"/>
          <w:b w:val="0"/>
          <w:bCs w:val="0"/>
          <w:color w:val="auto"/>
          <w:sz w:val="24"/>
          <w:szCs w:val="24"/>
          <w:highlight w:val="none"/>
          <w:lang w:val="en-US" w:eastAsia="zh-CN"/>
        </w:rPr>
        <w:t xml:space="preserve">the </w:t>
      </w:r>
      <w:r>
        <w:rPr>
          <w:rFonts w:hint="default" w:ascii="Times New Roman" w:hAnsi="Times New Roman" w:eastAsia="宋体" w:cs="Times New Roman"/>
          <w:b w:val="0"/>
          <w:bCs w:val="0"/>
          <w:color w:val="auto"/>
          <w:sz w:val="24"/>
          <w:szCs w:val="24"/>
          <w:highlight w:val="none"/>
        </w:rPr>
        <w:t>comprehensive scores</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 xml:space="preserve">of the </w:t>
      </w:r>
      <w:r>
        <w:rPr>
          <w:rFonts w:hint="default" w:ascii="Times New Roman" w:hAnsi="Times New Roman" w:cs="Times New Roman"/>
          <w:b w:val="0"/>
          <w:bCs w:val="0"/>
          <w:color w:val="auto"/>
          <w:sz w:val="24"/>
          <w:szCs w:val="24"/>
          <w:highlight w:val="none"/>
          <w:lang w:eastAsia="zh-CN"/>
        </w:rPr>
        <w:t>FA</w:t>
      </w:r>
      <w:r>
        <w:rPr>
          <w:rFonts w:hint="default" w:ascii="Times New Roman" w:hAnsi="Times New Roman" w:eastAsia="宋体" w:cs="Times New Roman"/>
          <w:b w:val="0"/>
          <w:bCs w:val="0"/>
          <w:color w:val="auto"/>
          <w:sz w:val="24"/>
          <w:szCs w:val="24"/>
          <w:highlight w:val="none"/>
        </w:rPr>
        <w:t xml:space="preserve"> subsystem, denoted as</w:t>
      </w:r>
      <w:r>
        <w:rPr>
          <w:rFonts w:hint="default" w:ascii="Times New Roman" w:hAnsi="Times New Roman" w:eastAsia="宋体" w:cs="Times New Roman"/>
          <w:b/>
          <w:bCs/>
          <w:i/>
          <w:iCs/>
          <w:color w:val="auto"/>
          <w:sz w:val="24"/>
          <w:szCs w:val="24"/>
          <w:highlight w:val="none"/>
        </w:rPr>
        <w:t xml:space="preserve"> U(x)</w:t>
      </w:r>
      <w:r>
        <w:rPr>
          <w:rFonts w:hint="default" w:ascii="Times New Roman" w:hAnsi="Times New Roman" w:eastAsia="宋体" w:cs="Times New Roman"/>
          <w:b w:val="0"/>
          <w:bCs w:val="0"/>
          <w:color w:val="auto"/>
          <w:sz w:val="24"/>
          <w:szCs w:val="24"/>
          <w:highlight w:val="none"/>
        </w:rPr>
        <w:t xml:space="preserve">, and the </w:t>
      </w:r>
      <w:r>
        <w:rPr>
          <w:rFonts w:hint="default" w:ascii="Times New Roman" w:hAnsi="Times New Roman" w:cs="Times New Roman"/>
          <w:b w:val="0"/>
          <w:bCs w:val="0"/>
          <w:color w:val="auto"/>
          <w:sz w:val="24"/>
          <w:szCs w:val="24"/>
          <w:highlight w:val="none"/>
          <w:lang w:eastAsia="zh-CN"/>
        </w:rPr>
        <w:t>GTI</w:t>
      </w:r>
      <w:r>
        <w:rPr>
          <w:rFonts w:hint="default" w:ascii="Times New Roman" w:hAnsi="Times New Roman" w:eastAsia="宋体" w:cs="Times New Roman"/>
          <w:b w:val="0"/>
          <w:bCs w:val="0"/>
          <w:color w:val="auto"/>
          <w:sz w:val="24"/>
          <w:szCs w:val="24"/>
          <w:highlight w:val="none"/>
        </w:rPr>
        <w:t xml:space="preserve"> subsystem, denoted as </w:t>
      </w:r>
      <w:r>
        <w:rPr>
          <w:rFonts w:hint="default" w:ascii="Times New Roman" w:hAnsi="Times New Roman" w:eastAsia="宋体" w:cs="Times New Roman"/>
          <w:b/>
          <w:bCs/>
          <w:i/>
          <w:iCs/>
          <w:color w:val="auto"/>
          <w:sz w:val="24"/>
          <w:szCs w:val="24"/>
          <w:highlight w:val="none"/>
        </w:rPr>
        <w:t>E(y)</w:t>
      </w:r>
      <w:r>
        <w:rPr>
          <w:rFonts w:hint="default" w:ascii="Times New Roman" w:hAnsi="Times New Roman" w:eastAsia="宋体" w:cs="Times New Roman"/>
          <w:b w:val="0"/>
          <w:bCs w:val="0"/>
          <w:color w:val="auto"/>
          <w:sz w:val="24"/>
          <w:szCs w:val="24"/>
          <w:highlight w:val="none"/>
        </w:rPr>
        <w:t>, are calculated using the weighted summation method.</w:t>
      </w:r>
      <w:r>
        <w:rPr>
          <w:rFonts w:hint="default" w:ascii="Times New Roman" w:hAnsi="Times New Roman" w:cs="Times New Roman"/>
          <w:b w:val="0"/>
          <w:bCs w:val="0"/>
          <w:color w:val="auto"/>
          <w:sz w:val="24"/>
          <w:szCs w:val="24"/>
          <w:highlight w:val="none"/>
          <w:lang w:val="en-US" w:eastAsia="zh-CN"/>
        </w:rPr>
        <w:t xml:space="preserve"> These scores </w:t>
      </w:r>
      <w:r>
        <w:rPr>
          <w:rFonts w:hint="default" w:ascii="Times New Roman" w:hAnsi="Times New Roman" w:eastAsia="宋体" w:cs="Times New Roman"/>
          <w:b w:val="0"/>
          <w:bCs w:val="0"/>
          <w:color w:val="auto"/>
          <w:sz w:val="24"/>
          <w:szCs w:val="24"/>
          <w:highlight w:val="none"/>
        </w:rPr>
        <w:t xml:space="preserve">reflect the development levels of regional </w:t>
      </w:r>
      <w:r>
        <w:rPr>
          <w:rFonts w:hint="default" w:ascii="Times New Roman" w:hAnsi="Times New Roman" w:cs="Times New Roman"/>
          <w:b w:val="0"/>
          <w:bCs w:val="0"/>
          <w:color w:val="auto"/>
          <w:sz w:val="24"/>
          <w:szCs w:val="24"/>
          <w:highlight w:val="none"/>
          <w:lang w:eastAsia="zh-CN"/>
        </w:rPr>
        <w:t>FA</w:t>
      </w:r>
      <w:r>
        <w:rPr>
          <w:rFonts w:hint="default" w:ascii="Times New Roman" w:hAnsi="Times New Roman" w:eastAsia="宋体" w:cs="Times New Roman"/>
          <w:b w:val="0"/>
          <w:bCs w:val="0"/>
          <w:color w:val="auto"/>
          <w:sz w:val="24"/>
          <w:szCs w:val="24"/>
          <w:highlight w:val="none"/>
        </w:rPr>
        <w:t xml:space="preserve"> and </w:t>
      </w:r>
      <w:r>
        <w:rPr>
          <w:rFonts w:hint="default" w:ascii="Times New Roman" w:hAnsi="Times New Roman" w:cs="Times New Roman"/>
          <w:b w:val="0"/>
          <w:bCs w:val="0"/>
          <w:color w:val="auto"/>
          <w:sz w:val="24"/>
          <w:szCs w:val="24"/>
          <w:highlight w:val="none"/>
          <w:lang w:eastAsia="zh-CN"/>
        </w:rPr>
        <w:t>GTI</w:t>
      </w:r>
      <w:r>
        <w:rPr>
          <w:rFonts w:hint="default" w:ascii="Times New Roman" w:hAnsi="Times New Roman" w:eastAsia="宋体" w:cs="Times New Roman"/>
          <w:b w:val="0"/>
          <w:bCs w:val="0"/>
          <w:color w:val="auto"/>
          <w:sz w:val="24"/>
          <w:szCs w:val="24"/>
          <w:highlight w:val="none"/>
        </w:rPr>
        <w:t>, respectively. Higher</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scores indicate higher levels of subsystem development. These scores provide the basis for the subsequent coupling coordination analysis.</w:t>
      </w:r>
    </w:p>
    <w:p w14:paraId="264E583D">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Calculation of Coupling Degree</w:t>
      </w:r>
    </w:p>
    <w:p w14:paraId="3817E118">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The coupling degree (CCC) is used to measure the strength of interaction and the degree of interdependence between the </w:t>
      </w:r>
      <w:r>
        <w:rPr>
          <w:rFonts w:hint="default" w:ascii="Times New Roman" w:hAnsi="Times New Roman" w:cs="Times New Roman"/>
          <w:color w:val="auto"/>
          <w:sz w:val="24"/>
          <w:szCs w:val="24"/>
          <w:highlight w:val="none"/>
          <w:lang w:eastAsia="zh-CN"/>
        </w:rPr>
        <w:t>FA</w:t>
      </w:r>
      <w:r>
        <w:rPr>
          <w:rFonts w:hint="default" w:ascii="Times New Roman" w:hAnsi="Times New Roman" w:eastAsia="宋体" w:cs="Times New Roman"/>
          <w:color w:val="auto"/>
          <w:sz w:val="24"/>
          <w:szCs w:val="24"/>
          <w:highlight w:val="none"/>
        </w:rPr>
        <w:t xml:space="preserve"> and </w:t>
      </w:r>
      <w:r>
        <w:rPr>
          <w:rFonts w:hint="default" w:ascii="Times New Roman" w:hAnsi="Times New Roman" w:cs="Times New Roman"/>
          <w:color w:val="auto"/>
          <w:sz w:val="24"/>
          <w:szCs w:val="24"/>
          <w:highlight w:val="none"/>
          <w:lang w:eastAsia="zh-CN"/>
        </w:rPr>
        <w:t>GTI</w:t>
      </w:r>
      <w:r>
        <w:rPr>
          <w:rFonts w:hint="default" w:ascii="Times New Roman" w:hAnsi="Times New Roman" w:eastAsia="宋体" w:cs="Times New Roman"/>
          <w:color w:val="auto"/>
          <w:sz w:val="24"/>
          <w:szCs w:val="24"/>
          <w:highlight w:val="none"/>
        </w:rPr>
        <w:t xml:space="preserve"> subsystems. Drawing on the studies of Fang et al. (2021) and Lin et al. (2024), the coupling degree model for the </w:t>
      </w:r>
      <w:r>
        <w:rPr>
          <w:rFonts w:hint="default" w:ascii="Times New Roman" w:hAnsi="Times New Roman" w:cs="Times New Roman"/>
          <w:color w:val="auto"/>
          <w:sz w:val="24"/>
          <w:szCs w:val="24"/>
          <w:highlight w:val="none"/>
          <w:lang w:eastAsia="zh-CN"/>
        </w:rPr>
        <w:t>FA</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GTI</w:t>
      </w:r>
      <w:r>
        <w:rPr>
          <w:rFonts w:hint="default" w:ascii="Times New Roman" w:hAnsi="Times New Roman" w:eastAsia="宋体" w:cs="Times New Roman"/>
          <w:color w:val="auto"/>
          <w:sz w:val="24"/>
          <w:szCs w:val="24"/>
          <w:highlight w:val="none"/>
        </w:rPr>
        <w:t xml:space="preserve"> system is specified as follows:</w:t>
      </w:r>
    </w:p>
    <w:p w14:paraId="28BA91C8">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420" w:firstLineChars="200"/>
        <w:jc w:val="left"/>
        <w:textAlignment w:val="auto"/>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position w:val="-68"/>
          <w:highlight w:val="none"/>
        </w:rPr>
        <w:object>
          <v:shape id="_x0000_i1053" o:spt="75" type="#_x0000_t75" style="height:79.55pt;width:226.45pt;" o:ole="t" filled="f" o:preferrelative="t" stroked="f" coordsize="21600,21600">
            <v:path/>
            <v:fill on="f" focussize="0,0"/>
            <v:stroke on="f" joinstyle="miter"/>
            <v:imagedata r:id="rId63" o:title=""/>
            <o:lock v:ext="edit" aspectratio="t"/>
            <w10:wrap type="none"/>
            <w10:anchorlock/>
          </v:shape>
          <o:OLEObject Type="Embed" ProgID="Equation.DSMT4" ShapeID="_x0000_i1053" DrawAspect="Content" ObjectID="_1468075753" r:id="rId62">
            <o:LockedField>false</o:LockedField>
          </o:OLEObject>
        </w:objec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highlight w:val="none"/>
          <w:shd w:val="clear" w:color="auto" w:fill="FFFFFF" w:themeFill="background1"/>
          <w:lang w:val="en-US" w:eastAsia="zh-CN"/>
        </w:rPr>
        <w:t xml:space="preserve">                                      </w: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lang w:val="en-US" w:eastAsia="zh-CN"/>
        </w:rPr>
        <w:t>(4</w:t>
      </w:r>
      <w:r>
        <w:rPr>
          <w:rFonts w:hint="default" w:ascii="Times New Roman" w:hAnsi="Times New Roman" w:cs="Times New Roman"/>
          <w:color w:val="auto"/>
          <w:sz w:val="24"/>
          <w:szCs w:val="24"/>
          <w:highlight w:val="none"/>
          <w:shd w:val="clear" w:color="auto" w:fill="FFFFFF" w:themeFill="background1"/>
        </w:rPr>
        <w:t>)</w:t>
      </w:r>
    </w:p>
    <w:p w14:paraId="441D0C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4"/>
          <w:szCs w:val="24"/>
          <w:highlight w:val="none"/>
          <w:shd w:val="clear" w:color="auto" w:fill="FFFFFF" w:themeFill="background1"/>
          <w:lang w:val="en-US" w:eastAsia="zh-CN"/>
        </w:rPr>
      </w:pPr>
      <w:r>
        <w:rPr>
          <w:rFonts w:hint="default" w:ascii="Times New Roman" w:hAnsi="Times New Roman" w:cs="Times New Roman"/>
          <w:color w:val="auto"/>
          <w:sz w:val="24"/>
          <w:szCs w:val="24"/>
          <w:highlight w:val="none"/>
          <w:shd w:val="clear" w:color="auto" w:fill="FFFFFF" w:themeFill="background1"/>
        </w:rPr>
        <w:t xml:space="preserve">Where </w:t>
      </w:r>
      <w:r>
        <w:rPr>
          <w:rFonts w:hint="default" w:ascii="Times New Roman" w:hAnsi="Times New Roman" w:cs="Times New Roman"/>
          <w:color w:val="auto"/>
          <w:position w:val="-12"/>
          <w:sz w:val="24"/>
          <w:szCs w:val="24"/>
          <w:highlight w:val="none"/>
        </w:rPr>
        <w:object>
          <v:shape id="_x0000_i1054" o:spt="75" type="#_x0000_t75" style="height:18pt;width:16.25pt;" o:ole="t" filled="f" o:preferrelative="t" stroked="f" coordsize="21600,21600">
            <v:path/>
            <v:fill on="f" focussize="0,0"/>
            <v:stroke on="f" joinstyle="miter"/>
            <v:imagedata r:id="rId65" o:title=""/>
            <o:lock v:ext="edit" aspectratio="t"/>
            <w10:wrap type="none"/>
            <w10:anchorlock/>
          </v:shape>
          <o:OLEObject Type="Embed" ProgID="Equation.DSMT4" ShapeID="_x0000_i1054" DrawAspect="Content" ObjectID="_1468075754" r:id="rId64">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denotes the coupling degree between FA and GTI for</w:t>
      </w:r>
      <w:r>
        <w:rPr>
          <w:rFonts w:hint="default" w:ascii="Times New Roman" w:hAnsi="Times New Roman" w:eastAsia="宋体" w:cs="Times New Roman"/>
          <w:color w:val="auto"/>
          <w:sz w:val="24"/>
          <w:szCs w:val="24"/>
          <w:highlight w:val="none"/>
          <w:shd w:val="clear" w:color="auto" w:fill="FFFFFF" w:themeFill="background1"/>
        </w:rPr>
        <w:t xml:space="preserve"> region </w:t>
      </w:r>
      <w:r>
        <w:rPr>
          <w:rFonts w:hint="default" w:ascii="Times New Roman" w:hAnsi="Times New Roman" w:cs="Times New Roman"/>
          <w:color w:val="auto"/>
          <w:position w:val="-6"/>
          <w:sz w:val="24"/>
          <w:szCs w:val="24"/>
          <w:highlight w:val="none"/>
        </w:rPr>
        <w:object>
          <v:shape id="_x0000_i1055" o:spt="75" type="#_x0000_t75" style="height:13.35pt;width:6.95pt;" o:ole="t" filled="f" o:preferrelative="t" stroked="f" coordsize="21600,21600">
            <v:path/>
            <v:fill on="f" focussize="0,0"/>
            <v:stroke on="f" joinstyle="miter"/>
            <v:imagedata r:id="rId67" o:title=""/>
            <o:lock v:ext="edit" aspectratio="t"/>
            <w10:wrap type="none"/>
            <w10:anchorlock/>
          </v:shape>
          <o:OLEObject Type="Embed" ProgID="Equation.DSMT4" ShapeID="_x0000_i1055" DrawAspect="Content" ObjectID="_1468075755" r:id="rId66">
            <o:LockedField>false</o:LockedField>
          </o:OLEObject>
        </w:object>
      </w:r>
      <w:r>
        <w:rPr>
          <w:rFonts w:hint="default" w:ascii="Times New Roman" w:hAnsi="Times New Roman" w:eastAsia="宋体" w:cs="Times New Roman"/>
          <w:color w:val="auto"/>
          <w:sz w:val="24"/>
          <w:szCs w:val="24"/>
          <w:highlight w:val="none"/>
          <w:shd w:val="clear" w:color="auto" w:fill="FFFFFF" w:themeFill="background1"/>
        </w:rPr>
        <w:t xml:space="preserve"> in year </w:t>
      </w:r>
      <w:r>
        <w:rPr>
          <w:rFonts w:hint="default" w:ascii="Times New Roman" w:hAnsi="Times New Roman" w:cs="Times New Roman"/>
          <w:color w:val="auto"/>
          <w:position w:val="-6"/>
          <w:sz w:val="24"/>
          <w:szCs w:val="24"/>
          <w:highlight w:val="none"/>
        </w:rPr>
        <w:object>
          <v:shape id="_x0000_i1056" o:spt="75" type="#_x0000_t75" style="height:12.2pt;width:6.95pt;" o:ole="t" filled="f" o:preferrelative="t" stroked="f" coordsize="21600,21600">
            <v:path/>
            <v:fill on="f" focussize="0,0"/>
            <v:stroke on="f" joinstyle="miter"/>
            <v:imagedata r:id="rId69" o:title=""/>
            <o:lock v:ext="edit" aspectratio="t"/>
            <w10:wrap type="none"/>
            <w10:anchorlock/>
          </v:shape>
          <o:OLEObject Type="Embed" ProgID="Equation.DSMT4" ShapeID="_x0000_i1056" DrawAspect="Content" ObjectID="_1468075756" r:id="rId68">
            <o:LockedField>false</o:LockedField>
          </o:OLEObject>
        </w:object>
      </w:r>
      <w:r>
        <w:rPr>
          <w:rFonts w:hint="default" w:ascii="Times New Roman" w:hAnsi="Times New Roman" w:cs="Times New Roman"/>
          <w:bCs/>
          <w:color w:val="auto"/>
          <w:sz w:val="24"/>
          <w:szCs w:val="24"/>
          <w:highlight w:val="none"/>
          <w:shd w:val="clear" w:color="auto" w:fill="FFFFFF" w:themeFill="background1"/>
        </w:rPr>
        <w:t xml:space="preserve">; </w:t>
      </w:r>
      <w:r>
        <w:rPr>
          <w:rFonts w:hint="default" w:ascii="Times New Roman" w:hAnsi="Times New Roman" w:cs="Times New Roman"/>
          <w:color w:val="auto"/>
          <w:position w:val="-14"/>
          <w:sz w:val="24"/>
          <w:szCs w:val="24"/>
          <w:highlight w:val="none"/>
        </w:rPr>
        <w:object>
          <v:shape id="_x0000_i1057" o:spt="75" type="#_x0000_t75" style="height:19.75pt;width:34.85pt;" o:ole="t" filled="f" o:preferrelative="t" stroked="f" coordsize="21600,21600">
            <v:path/>
            <v:fill on="f" focussize="0,0"/>
            <v:stroke on="f" joinstyle="miter"/>
            <v:imagedata r:id="rId71" o:title=""/>
            <o:lock v:ext="edit" aspectratio="t"/>
            <w10:wrap type="none"/>
            <w10:anchorlock/>
          </v:shape>
          <o:OLEObject Type="Embed" ProgID="Equation.DSMT4" ShapeID="_x0000_i1057" DrawAspect="Content" ObjectID="_1468075757" r:id="rId70">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lang w:val="en-US" w:eastAsia="zh-CN"/>
        </w:rPr>
        <w:t xml:space="preserve">and </w:t>
      </w:r>
      <w:r>
        <w:rPr>
          <w:rFonts w:hint="default" w:ascii="Times New Roman" w:hAnsi="Times New Roman" w:cs="Times New Roman"/>
          <w:color w:val="auto"/>
          <w:position w:val="-14"/>
          <w:sz w:val="24"/>
          <w:szCs w:val="24"/>
          <w:highlight w:val="none"/>
        </w:rPr>
        <w:object>
          <v:shape id="_x0000_i1058" o:spt="75" type="#_x0000_t75" style="height:19.75pt;width:34.85pt;" o:ole="t" filled="f" o:preferrelative="t" stroked="f" coordsize="21600,21600">
            <v:path/>
            <v:fill on="f" focussize="0,0"/>
            <v:stroke on="f" joinstyle="miter"/>
            <v:imagedata r:id="rId73" o:title=""/>
            <o:lock v:ext="edit" aspectratio="t"/>
            <w10:wrap type="none"/>
            <w10:anchorlock/>
          </v:shape>
          <o:OLEObject Type="Embed" ProgID="Equation.DSMT4" ShapeID="_x0000_i1058" DrawAspect="Content" ObjectID="_1468075758" r:id="rId72">
            <o:LockedField>false</o:LockedField>
          </o:OLEObject>
        </w:object>
      </w:r>
      <w:r>
        <w:rPr>
          <w:rFonts w:hint="default" w:ascii="Times New Roman" w:hAnsi="Times New Roman" w:cs="Times New Roman"/>
          <w:color w:val="auto"/>
          <w:sz w:val="24"/>
          <w:szCs w:val="24"/>
          <w:highlight w:val="none"/>
          <w:shd w:val="clear" w:color="auto" w:fill="FFFFFF" w:themeFill="background1"/>
          <w:lang w:val="en-US" w:eastAsia="zh-CN"/>
        </w:rPr>
        <w:t xml:space="preserve"> denote</w:t>
      </w:r>
      <w:r>
        <w:rPr>
          <w:rFonts w:hint="default" w:ascii="Times New Roman" w:hAnsi="Times New Roman" w:cs="Times New Roman"/>
          <w:color w:val="auto"/>
          <w:sz w:val="24"/>
          <w:szCs w:val="24"/>
          <w:highlight w:val="none"/>
          <w:shd w:val="clear" w:color="auto" w:fill="FFFFFF" w:themeFill="background1"/>
        </w:rPr>
        <w:t xml:space="preserve"> the comprehensive score of the </w:t>
      </w:r>
      <w:r>
        <w:rPr>
          <w:rFonts w:hint="default" w:ascii="Times New Roman" w:hAnsi="Times New Roman" w:cs="Times New Roman"/>
          <w:color w:val="auto"/>
          <w:sz w:val="24"/>
          <w:szCs w:val="24"/>
          <w:highlight w:val="none"/>
          <w:shd w:val="clear" w:color="auto" w:fill="FFFFFF" w:themeFill="background1"/>
          <w:lang w:eastAsia="zh-CN"/>
        </w:rPr>
        <w:t>FA</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lang w:val="en-US" w:eastAsia="zh-CN"/>
        </w:rPr>
        <w:t xml:space="preserve">and </w:t>
      </w:r>
      <w:r>
        <w:rPr>
          <w:rFonts w:hint="default" w:ascii="Times New Roman" w:hAnsi="Times New Roman" w:cs="Times New Roman"/>
          <w:color w:val="auto"/>
          <w:sz w:val="24"/>
          <w:szCs w:val="24"/>
          <w:highlight w:val="none"/>
          <w:shd w:val="clear" w:color="auto" w:fill="FFFFFF" w:themeFill="background1"/>
          <w:lang w:eastAsia="zh-CN"/>
        </w:rPr>
        <w:t>GTI</w:t>
      </w:r>
      <w:r>
        <w:rPr>
          <w:rFonts w:hint="default" w:ascii="Times New Roman" w:hAnsi="Times New Roman" w:cs="Times New Roman"/>
          <w:color w:val="auto"/>
          <w:sz w:val="24"/>
          <w:szCs w:val="24"/>
          <w:highlight w:val="none"/>
          <w:shd w:val="clear" w:color="auto" w:fill="FFFFFF" w:themeFill="background1"/>
        </w:rPr>
        <w:t xml:space="preserve"> subsystems</w:t>
      </w:r>
      <w:r>
        <w:rPr>
          <w:rFonts w:hint="default" w:ascii="Times New Roman" w:hAnsi="Times New Roman" w:eastAsia="宋体" w:cs="Times New Roman"/>
          <w:color w:val="auto"/>
          <w:sz w:val="24"/>
          <w:szCs w:val="24"/>
          <w:highlight w:val="none"/>
          <w:shd w:val="clear" w:color="auto" w:fill="FFFFFF" w:themeFill="background1"/>
        </w:rPr>
        <w:t>.</w:t>
      </w:r>
      <w:r>
        <w:rPr>
          <w:rFonts w:hint="default" w:ascii="Times New Roman" w:hAnsi="Times New Roman" w:cs="Times New Roman"/>
          <w:color w:val="auto"/>
          <w:sz w:val="24"/>
          <w:szCs w:val="24"/>
          <w:highlight w:val="none"/>
          <w:shd w:val="clear" w:color="auto" w:fill="FFFFFF" w:themeFill="background1"/>
        </w:rPr>
        <w:t>, respectively.</w:t>
      </w:r>
      <w:r>
        <w:rPr>
          <w:rFonts w:hint="default" w:ascii="Times New Roman" w:hAnsi="Times New Roman" w:eastAsia="宋体" w:cs="Times New Roman"/>
          <w:color w:val="auto"/>
          <w:sz w:val="24"/>
          <w:szCs w:val="24"/>
          <w:highlight w:val="none"/>
          <w:shd w:val="clear" w:color="auto" w:fill="FFFFFF" w:themeFill="background1"/>
        </w:rPr>
        <w:t xml:space="preserve"> The coupling degree ranges from 0 to 1, with higher values indicating stronger interactions between the two subsystems.</w:t>
      </w:r>
    </w:p>
    <w:p w14:paraId="7F0E8830">
      <w:pPr>
        <w:pStyle w:val="10"/>
        <w:keepNext w:val="0"/>
        <w:keepLines w:val="0"/>
        <w:pageBreakBefore w:val="0"/>
        <w:widowControl/>
        <w:kinsoku/>
        <w:wordWrap/>
        <w:overflowPunct/>
        <w:topLinePunct w:val="0"/>
        <w:autoSpaceDE/>
        <w:autoSpaceDN/>
        <w:bidi w:val="0"/>
        <w:adjustRightInd/>
        <w:snapToGrid/>
        <w:spacing w:before="240" w:beforeAutospacing="0" w:after="240" w:afterLines="0" w:afterAutospacing="0" w:line="240" w:lineRule="auto"/>
        <w:ind w:firstLine="0" w:firstLineChars="0"/>
        <w:jc w:val="both"/>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szCs w:val="24"/>
          <w:highlight w:val="none"/>
        </w:rPr>
        <w:t>Calculation of Coupling Coordination Degree</w:t>
      </w:r>
    </w:p>
    <w:p w14:paraId="3D6D62DA">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Although the coupling degree reflects the strength of interaction and interdependence between the </w:t>
      </w:r>
      <w:r>
        <w:rPr>
          <w:rFonts w:hint="default" w:ascii="Times New Roman" w:hAnsi="Times New Roman" w:cs="Times New Roman"/>
          <w:color w:val="auto"/>
          <w:highlight w:val="none"/>
          <w:lang w:eastAsia="zh-CN"/>
        </w:rPr>
        <w:t>FA</w:t>
      </w:r>
      <w:r>
        <w:rPr>
          <w:rFonts w:hint="default" w:ascii="Times New Roman" w:hAnsi="Times New Roman" w:cs="Times New Roman"/>
          <w:color w:val="auto"/>
          <w:highlight w:val="none"/>
        </w:rPr>
        <w:t xml:space="preserve"> and </w:t>
      </w:r>
      <w:r>
        <w:rPr>
          <w:rFonts w:hint="default" w:ascii="Times New Roman" w:hAnsi="Times New Roman" w:cs="Times New Roman"/>
          <w:color w:val="auto"/>
          <w:highlight w:val="none"/>
          <w:lang w:eastAsia="zh-CN"/>
        </w:rPr>
        <w:t>GTI</w:t>
      </w:r>
      <w:r>
        <w:rPr>
          <w:rFonts w:hint="default" w:ascii="Times New Roman" w:hAnsi="Times New Roman" w:cs="Times New Roman"/>
          <w:color w:val="auto"/>
          <w:highlight w:val="none"/>
        </w:rPr>
        <w:t xml:space="preserve"> subsystems, it cannot capture their development levels or coordination status, nor can it distinguish between benign and maladaptive coupling relationships. For example, two subsystems at relatively low development levels may still exhibit a high coupling degree if they evolve synchronously. Therefore, a high coupling degree does not necessarily imply a high level of coordinated development. To comprehensively evaluate both the interaction intensity and development quality of the two subsystems, the CCD model is further introduced.</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Following Cheng et al. (2017) and Song et al. (2018), the </w:t>
      </w:r>
      <w:r>
        <w:rPr>
          <w:rFonts w:hint="default" w:ascii="Times New Roman" w:hAnsi="Times New Roman" w:cs="Times New Roman"/>
          <w:color w:val="auto"/>
          <w:highlight w:val="none"/>
          <w:lang w:eastAsia="zh-CN"/>
        </w:rPr>
        <w:t>CCD</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model for the </w:t>
      </w:r>
      <w:r>
        <w:rPr>
          <w:rFonts w:hint="default" w:ascii="Times New Roman" w:hAnsi="Times New Roman" w:cs="Times New Roman"/>
          <w:color w:val="auto"/>
          <w:highlight w:val="none"/>
          <w:lang w:eastAsia="zh-CN"/>
        </w:rPr>
        <w:t>FA</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GTI</w:t>
      </w:r>
      <w:r>
        <w:rPr>
          <w:rFonts w:hint="default" w:ascii="Times New Roman" w:hAnsi="Times New Roman" w:cs="Times New Roman"/>
          <w:color w:val="auto"/>
          <w:highlight w:val="none"/>
        </w:rPr>
        <w:t xml:space="preserve"> system is specified as follows:</w:t>
      </w:r>
    </w:p>
    <w:p w14:paraId="28BA91D0">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420" w:firstLineChars="200"/>
        <w:jc w:val="left"/>
        <w:textAlignment w:val="auto"/>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position w:val="-36"/>
          <w:highlight w:val="none"/>
        </w:rPr>
        <w:object>
          <v:shape id="_x0000_i1059" o:spt="75" type="#_x0000_t75" style="height:41.8pt;width:135.25pt;" o:ole="t" filled="f" o:preferrelative="t" stroked="f" coordsize="21600,21600">
            <v:path/>
            <v:fill on="f" focussize="0,0"/>
            <v:stroke on="f" joinstyle="miter"/>
            <v:imagedata r:id="rId75" o:title=""/>
            <o:lock v:ext="edit" aspectratio="t"/>
            <w10:wrap type="none"/>
            <w10:anchorlock/>
          </v:shape>
          <o:OLEObject Type="Embed" ProgID="Equation.DSMT4" ShapeID="_x0000_i1059" DrawAspect="Content" ObjectID="_1468075759" r:id="rId74">
            <o:LockedField>false</o:LockedField>
          </o:OLEObject>
        </w:objec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lang w:val="en-US" w:eastAsia="zh-CN"/>
        </w:rPr>
        <w:t xml:space="preserve">                                 </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lang w:val="en-US" w:eastAsia="zh-CN"/>
        </w:rPr>
        <w:t>(5</w:t>
      </w:r>
      <w:r>
        <w:rPr>
          <w:rFonts w:hint="default" w:ascii="Times New Roman" w:hAnsi="Times New Roman" w:cs="Times New Roman"/>
          <w:color w:val="auto"/>
          <w:sz w:val="24"/>
          <w:szCs w:val="24"/>
          <w:highlight w:val="none"/>
          <w:shd w:val="clear" w:color="auto" w:fill="FFFFFF" w:themeFill="background1"/>
        </w:rPr>
        <w:t>)</w:t>
      </w:r>
    </w:p>
    <w:p w14:paraId="6B500E91">
      <w:pPr>
        <w:pStyle w:val="10"/>
        <w:keepNext w:val="0"/>
        <w:keepLines w:val="0"/>
        <w:pageBreakBefore w:val="0"/>
        <w:widowControl/>
        <w:suppressLineNumbers w:val="0"/>
        <w:kinsoku/>
        <w:wordWrap/>
        <w:overflowPunct/>
        <w:topLinePunct w:val="0"/>
        <w:autoSpaceDE/>
        <w:autoSpaceDN/>
        <w:bidi w:val="0"/>
        <w:adjustRightInd w:val="0"/>
        <w:snapToGrid w:val="0"/>
        <w:spacing w:before="240" w:beforeAutospacing="0" w:after="240" w:afterAutospacing="0" w:line="240" w:lineRule="auto"/>
        <w:ind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w:t>
      </w:r>
      <w:r>
        <w:rPr>
          <w:rFonts w:hint="default" w:ascii="Times New Roman" w:hAnsi="Times New Roman" w:cs="Times New Roman"/>
          <w:color w:val="auto"/>
          <w:highlight w:val="none"/>
        </w:rPr>
        <w:t xml:space="preserve">here </w:t>
      </w:r>
      <w:r>
        <w:rPr>
          <w:rFonts w:hint="default" w:ascii="Times New Roman" w:hAnsi="Times New Roman" w:cs="Times New Roman"/>
          <w:color w:val="auto"/>
          <w:position w:val="-12"/>
          <w:highlight w:val="none"/>
        </w:rPr>
        <w:object>
          <v:shape id="_x0000_i1060" o:spt="75" type="#_x0000_t75" style="height:18pt;width:31.95pt;" o:ole="t" filled="f" o:preferrelative="t" stroked="f" coordsize="21600,21600">
            <v:path/>
            <v:fill on="f" focussize="0,0"/>
            <v:stroke on="f" joinstyle="miter"/>
            <v:imagedata r:id="rId77" o:title=""/>
            <o:lock v:ext="edit" aspectratio="t"/>
            <w10:wrap type="none"/>
            <w10:anchorlock/>
          </v:shape>
          <o:OLEObject Type="Embed" ProgID="Equation.DSMT4" ShapeID="_x0000_i1060" DrawAspect="Content" ObjectID="_1468075760" r:id="rId76">
            <o:LockedField>false</o:LockedField>
          </o:OLEObject>
        </w:object>
      </w:r>
      <w:r>
        <w:rPr>
          <w:rFonts w:hint="default" w:ascii="Times New Roman" w:hAnsi="Times New Roman" w:cs="Times New Roman"/>
          <w:color w:val="auto"/>
          <w:highlight w:val="none"/>
        </w:rPr>
        <w:t xml:space="preserve"> denotes the </w:t>
      </w:r>
      <w:r>
        <w:rPr>
          <w:rFonts w:hint="default" w:ascii="Times New Roman" w:hAnsi="Times New Roman" w:cs="Times New Roman"/>
          <w:color w:val="auto"/>
          <w:highlight w:val="none"/>
          <w:lang w:eastAsia="zh-CN"/>
        </w:rPr>
        <w:t>CCD</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of region </w:t>
      </w:r>
      <w:r>
        <w:rPr>
          <w:rFonts w:hint="default" w:ascii="Times New Roman" w:hAnsi="Times New Roman" w:cs="Times New Roman"/>
          <w:i/>
          <w:iCs/>
          <w:color w:val="auto"/>
          <w:highlight w:val="none"/>
        </w:rPr>
        <w:t>i</w:t>
      </w:r>
      <w:r>
        <w:rPr>
          <w:rFonts w:hint="default" w:ascii="Times New Roman" w:hAnsi="Times New Roman" w:cs="Times New Roman"/>
          <w:color w:val="auto"/>
          <w:highlight w:val="none"/>
        </w:rPr>
        <w:t xml:space="preserve"> in year </w:t>
      </w:r>
      <w:r>
        <w:rPr>
          <w:rFonts w:hint="default" w:ascii="Times New Roman" w:hAnsi="Times New Roman" w:cs="Times New Roman"/>
          <w:i/>
          <w:iCs/>
          <w:color w:val="auto"/>
          <w:highlight w:val="none"/>
        </w:rPr>
        <w:t>t</w:t>
      </w:r>
      <w:r>
        <w:rPr>
          <w:rFonts w:hint="default" w:ascii="Times New Roman" w:hAnsi="Times New Roman" w:cs="Times New Roman"/>
          <w:color w:val="auto"/>
          <w:highlight w:val="none"/>
        </w:rPr>
        <w:t>;​</w:t>
      </w:r>
      <w:r>
        <w:rPr>
          <w:rFonts w:hint="default" w:ascii="Times New Roman" w:hAnsi="Times New Roman" w:cs="Times New Roman"/>
          <w:color w:val="auto"/>
          <w:position w:val="-12"/>
          <w:highlight w:val="none"/>
        </w:rPr>
        <w:object>
          <v:shape id="_x0000_i1061" o:spt="75" type="#_x0000_t75" style="height:18pt;width:16.25pt;" o:ole="t" filled="f" o:preferrelative="t" stroked="f" coordsize="21600,21600">
            <v:path/>
            <v:fill on="f" focussize="0,0"/>
            <v:stroke on="f" joinstyle="miter"/>
            <v:imagedata r:id="rId79" o:title=""/>
            <o:lock v:ext="edit" aspectratio="t"/>
            <w10:wrap type="none"/>
            <w10:anchorlock/>
          </v:shape>
          <o:OLEObject Type="Embed" ProgID="Equation.DSMT4" ShapeID="_x0000_i1061" DrawAspect="Content" ObjectID="_1468075761" r:id="rId78">
            <o:LockedField>false</o:LockedField>
          </o:OLEObject>
        </w:object>
      </w:r>
      <w:r>
        <w:rPr>
          <w:rFonts w:hint="default" w:ascii="Times New Roman" w:hAnsi="Times New Roman" w:cs="Times New Roman"/>
          <w:color w:val="auto"/>
          <w:highlight w:val="none"/>
        </w:rPr>
        <w:t xml:space="preserve"> denotes the coupling degree; </w:t>
      </w:r>
      <w:r>
        <w:rPr>
          <w:rFonts w:hint="default" w:ascii="Times New Roman" w:hAnsi="Times New Roman" w:cs="Times New Roman"/>
          <w:color w:val="auto"/>
          <w:position w:val="-12"/>
          <w:highlight w:val="none"/>
        </w:rPr>
        <w:object>
          <v:shape id="_x0000_i1062" o:spt="75" type="#_x0000_t75" style="height:18pt;width:13.35pt;" o:ole="t" filled="f" o:preferrelative="t" stroked="f" coordsize="21600,21600">
            <v:path/>
            <v:fill on="f" focussize="0,0"/>
            <v:stroke on="f" joinstyle="miter"/>
            <v:imagedata r:id="rId81" o:title=""/>
            <o:lock v:ext="edit" aspectratio="t"/>
            <w10:wrap type="none"/>
            <w10:anchorlock/>
          </v:shape>
          <o:OLEObject Type="Embed" ProgID="Equation.DSMT4" ShapeID="_x0000_i1062" DrawAspect="Content" ObjectID="_1468075762" r:id="rId80">
            <o:LockedField>false</o:LockedField>
          </o:OLEObject>
        </w:object>
      </w:r>
      <w:r>
        <w:rPr>
          <w:rFonts w:hint="default" w:ascii="Times New Roman" w:hAnsi="Times New Roman" w:cs="Times New Roman"/>
          <w:color w:val="auto"/>
          <w:highlight w:val="none"/>
        </w:rPr>
        <w:t>​ represents the comprehensive development index of the</w:t>
      </w:r>
      <w:r>
        <w:rPr>
          <w:rFonts w:hint="default" w:ascii="Times New Roman" w:hAnsi="Times New Roman" w:cs="Times New Roman"/>
          <w:color w:val="auto"/>
          <w:highlight w:val="none"/>
          <w:lang w:val="en-US" w:eastAsia="zh-CN"/>
        </w:rPr>
        <w:t xml:space="preserve"> FA</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GTI coupled </w:t>
      </w:r>
      <w:r>
        <w:rPr>
          <w:rFonts w:hint="default" w:ascii="Times New Roman" w:hAnsi="Times New Roman" w:cs="Times New Roman"/>
          <w:color w:val="auto"/>
          <w:highlight w:val="none"/>
        </w:rPr>
        <w:t xml:space="preserve">system; </w:t>
      </w:r>
      <w:r>
        <w:rPr>
          <w:rFonts w:hint="default" w:ascii="Times New Roman" w:hAnsi="Times New Roman" w:cs="Times New Roman"/>
          <w:color w:val="auto"/>
          <w:position w:val="-14"/>
          <w:highlight w:val="none"/>
        </w:rPr>
        <w:object>
          <v:shape id="_x0000_i1063" o:spt="75" type="#_x0000_t75" style="height:19.75pt;width:34.85pt;" o:ole="t" filled="f" o:preferrelative="t" stroked="f" coordsize="21600,21600">
            <v:path/>
            <v:fill on="f" focussize="0,0"/>
            <v:stroke on="f" joinstyle="miter"/>
            <v:imagedata r:id="rId83" o:title=""/>
            <o:lock v:ext="edit" aspectratio="t"/>
            <w10:wrap type="none"/>
            <w10:anchorlock/>
          </v:shape>
          <o:OLEObject Type="Embed" ProgID="Equation.DSMT4" ShapeID="_x0000_i1063" DrawAspect="Content" ObjectID="_1468075763" r:id="rId82">
            <o:LockedField>false</o:LockedField>
          </o:OLEObject>
        </w:object>
      </w:r>
      <w:r>
        <w:rPr>
          <w:rFonts w:hint="default" w:ascii="Times New Roman" w:hAnsi="Times New Roman" w:cs="Times New Roman"/>
          <w:color w:val="auto"/>
          <w:position w:val="-14"/>
          <w:highlight w:val="none"/>
          <w:lang w:val="en-US" w:eastAsia="zh-CN"/>
        </w:rPr>
        <w:t xml:space="preserve"> </w:t>
      </w:r>
      <w:r>
        <w:rPr>
          <w:rFonts w:hint="default" w:ascii="Times New Roman" w:hAnsi="Times New Roman" w:cs="Times New Roman"/>
          <w:color w:val="auto"/>
          <w:highlight w:val="none"/>
        </w:rPr>
        <w:t xml:space="preserve">and </w:t>
      </w:r>
      <w:r>
        <w:rPr>
          <w:rFonts w:hint="default" w:ascii="Times New Roman" w:hAnsi="Times New Roman" w:cs="Times New Roman"/>
          <w:color w:val="auto"/>
          <w:position w:val="-14"/>
          <w:highlight w:val="none"/>
        </w:rPr>
        <w:object>
          <v:shape id="_x0000_i1064" o:spt="75" type="#_x0000_t75" style="height:19.75pt;width:34.85pt;" o:ole="t" filled="f" o:preferrelative="t" stroked="f" coordsize="21600,21600">
            <v:path/>
            <v:fill on="f" focussize="0,0"/>
            <v:stroke on="f" joinstyle="miter"/>
            <v:imagedata r:id="rId85" o:title=""/>
            <o:lock v:ext="edit" aspectratio="t"/>
            <w10:wrap type="none"/>
            <w10:anchorlock/>
          </v:shape>
          <o:OLEObject Type="Embed" ProgID="Equation.DSMT4" ShapeID="_x0000_i1064" DrawAspect="Content" ObjectID="_1468075764" r:id="rId84">
            <o:LockedField>false</o:LockedField>
          </o:OLEObject>
        </w:object>
      </w:r>
      <w:r>
        <w:rPr>
          <w:rFonts w:hint="default" w:ascii="Times New Roman" w:hAnsi="Times New Roman" w:cs="Times New Roman"/>
          <w:color w:val="auto"/>
          <w:highlight w:val="none"/>
        </w:rPr>
        <w:t xml:space="preserve"> denote the comprehensive scores of the </w:t>
      </w:r>
      <w:r>
        <w:rPr>
          <w:rFonts w:hint="default" w:ascii="Times New Roman" w:hAnsi="Times New Roman" w:cs="Times New Roman"/>
          <w:color w:val="auto"/>
          <w:highlight w:val="none"/>
          <w:lang w:eastAsia="zh-CN"/>
        </w:rPr>
        <w:t>FA</w:t>
      </w:r>
      <w:r>
        <w:rPr>
          <w:rFonts w:hint="default" w:ascii="Times New Roman" w:hAnsi="Times New Roman" w:cs="Times New Roman"/>
          <w:color w:val="auto"/>
          <w:highlight w:val="none"/>
        </w:rPr>
        <w:t xml:space="preserve"> and </w:t>
      </w:r>
      <w:r>
        <w:rPr>
          <w:rFonts w:hint="default" w:ascii="Times New Roman" w:hAnsi="Times New Roman" w:cs="Times New Roman"/>
          <w:color w:val="auto"/>
          <w:highlight w:val="none"/>
          <w:lang w:val="en-US" w:eastAsia="zh-CN"/>
        </w:rPr>
        <w:t>GTI</w:t>
      </w:r>
      <w:r>
        <w:rPr>
          <w:rFonts w:hint="default" w:ascii="Times New Roman" w:hAnsi="Times New Roman" w:cs="Times New Roman"/>
          <w:color w:val="auto"/>
          <w:highlight w:val="none"/>
        </w:rPr>
        <w:t xml:space="preserve"> subsystems, respectively. </w:t>
      </w:r>
      <w:r>
        <w:rPr>
          <w:rFonts w:hint="default" w:ascii="Times New Roman" w:hAnsi="Times New Roman" w:cs="Times New Roman"/>
          <w:color w:val="auto"/>
          <w:position w:val="-6"/>
          <w:highlight w:val="none"/>
        </w:rPr>
        <w:object>
          <v:shape id="_x0000_i1065" o:spt="75" type="#_x0000_t75" style="height:11.05pt;width:12.2pt;" o:ole="t" filled="f" o:preferrelative="t" stroked="f" coordsize="21600,21600">
            <v:path/>
            <v:fill on="f" focussize="0,0"/>
            <v:stroke on="f" joinstyle="miter"/>
            <v:imagedata r:id="rId87" o:title=""/>
            <o:lock v:ext="edit" aspectratio="t"/>
            <w10:wrap type="none"/>
            <w10:anchorlock/>
          </v:shape>
          <o:OLEObject Type="Embed" ProgID="Equation.DSMT4" ShapeID="_x0000_i1065" DrawAspect="Content" ObjectID="_1468075765" r:id="rId86">
            <o:LockedField>false</o:LockedField>
          </o:OLEObject>
        </w:object>
      </w:r>
      <w:r>
        <w:rPr>
          <w:rFonts w:hint="default" w:ascii="Times New Roman" w:hAnsi="Times New Roman" w:cs="Times New Roman"/>
          <w:color w:val="auto"/>
          <w:highlight w:val="none"/>
        </w:rPr>
        <w:t xml:space="preserve"> and </w:t>
      </w:r>
      <w:r>
        <w:rPr>
          <w:rFonts w:hint="default" w:ascii="Times New Roman" w:hAnsi="Times New Roman" w:cs="Times New Roman"/>
          <w:color w:val="auto"/>
          <w:position w:val="-10"/>
          <w:highlight w:val="none"/>
        </w:rPr>
        <w:object>
          <v:shape id="_x0000_i1066" o:spt="75" type="#_x0000_t75" style="height:16.25pt;width:12.2pt;" o:ole="t" filled="f" o:preferrelative="t" stroked="f" coordsize="21600,21600">
            <v:path/>
            <v:fill on="f" focussize="0,0"/>
            <v:stroke on="f" joinstyle="miter"/>
            <v:imagedata r:id="rId89" o:title=""/>
            <o:lock v:ext="edit" aspectratio="t"/>
            <w10:wrap type="none"/>
            <w10:anchorlock/>
          </v:shape>
          <o:OLEObject Type="Embed" ProgID="Equation.DSMT4" ShapeID="_x0000_i1066" DrawAspect="Content" ObjectID="_1468075766" r:id="rId88">
            <o:LockedField>false</o:LockedField>
          </o:OLEObject>
        </w:object>
      </w:r>
      <w:r>
        <w:rPr>
          <w:rFonts w:hint="default" w:ascii="Times New Roman" w:hAnsi="Times New Roman" w:cs="Times New Roman"/>
          <w:color w:val="auto"/>
          <w:highlight w:val="none"/>
        </w:rPr>
        <w:t xml:space="preserve"> represent the weights assigned to the two subsystems. Considering the equally important roles of </w:t>
      </w:r>
      <w:r>
        <w:rPr>
          <w:rFonts w:hint="default" w:ascii="Times New Roman" w:hAnsi="Times New Roman" w:cs="Times New Roman"/>
          <w:color w:val="auto"/>
          <w:highlight w:val="none"/>
          <w:lang w:eastAsia="zh-CN"/>
        </w:rPr>
        <w:t>FA</w:t>
      </w:r>
      <w:r>
        <w:rPr>
          <w:rFonts w:hint="default" w:ascii="Times New Roman" w:hAnsi="Times New Roman" w:cs="Times New Roman"/>
          <w:color w:val="auto"/>
          <w:highlight w:val="none"/>
        </w:rPr>
        <w:t xml:space="preserve"> and </w:t>
      </w:r>
      <w:r>
        <w:rPr>
          <w:rFonts w:hint="default" w:ascii="Times New Roman" w:hAnsi="Times New Roman" w:cs="Times New Roman"/>
          <w:color w:val="auto"/>
          <w:highlight w:val="none"/>
          <w:lang w:eastAsia="zh-CN"/>
        </w:rPr>
        <w:t>GTI</w:t>
      </w:r>
      <w:r>
        <w:rPr>
          <w:rFonts w:hint="default" w:ascii="Times New Roman" w:hAnsi="Times New Roman" w:cs="Times New Roman"/>
          <w:color w:val="auto"/>
          <w:highlight w:val="none"/>
        </w:rPr>
        <w:t xml:space="preserve"> in regional green transformation and high-quality development, and following Lin et al. (2024), this study sets </w:t>
      </w:r>
      <w:r>
        <w:rPr>
          <w:rFonts w:hint="default" w:ascii="Times New Roman" w:hAnsi="Times New Roman" w:cs="Times New Roman"/>
          <w:color w:val="auto"/>
          <w:position w:val="-10"/>
          <w:highlight w:val="none"/>
        </w:rPr>
        <w:object>
          <v:shape id="_x0000_i1067" o:spt="75" type="#_x0000_t75" style="height:16.25pt;width:58.6pt;" o:ole="t" filled="f" o:preferrelative="t" stroked="f" coordsize="21600,21600">
            <v:path/>
            <v:fill on="f" focussize="0,0"/>
            <v:stroke on="f" joinstyle="miter"/>
            <v:imagedata r:id="rId91" o:title=""/>
            <o:lock v:ext="edit" aspectratio="t"/>
            <w10:wrap type="none"/>
            <w10:anchorlock/>
          </v:shape>
          <o:OLEObject Type="Embed" ProgID="Equation.DSMT4" ShapeID="_x0000_i1067" DrawAspect="Content" ObjectID="_1468075767" r:id="rId90">
            <o:LockedField>false</o:LockedField>
          </o:OLEObject>
        </w:objec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The </w:t>
      </w:r>
      <w:r>
        <w:rPr>
          <w:rFonts w:hint="default" w:ascii="Times New Roman" w:hAnsi="Times New Roman" w:cs="Times New Roman"/>
          <w:color w:val="auto"/>
          <w:highlight w:val="none"/>
          <w:lang w:eastAsia="zh-CN"/>
        </w:rPr>
        <w:t>CCD</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ranges from 0 to 1, with higher values indicating a higher level of coordinated development between the two subsystems.</w:t>
      </w:r>
    </w:p>
    <w:p w14:paraId="034933D0">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 xml:space="preserve">To facilitate the analysis of coordination stages, the </w:t>
      </w:r>
      <w:r>
        <w:rPr>
          <w:rFonts w:hint="default" w:ascii="Times New Roman" w:hAnsi="Times New Roman" w:cs="Times New Roman"/>
          <w:b w:val="0"/>
          <w:bCs w:val="0"/>
          <w:color w:val="auto"/>
          <w:highlight w:val="none"/>
          <w:lang w:eastAsia="zh-CN"/>
        </w:rPr>
        <w:t>CCD</w:t>
      </w:r>
      <w:r>
        <w:rPr>
          <w:rFonts w:hint="default" w:ascii="Times New Roman" w:hAnsi="Times New Roman" w:cs="Times New Roman"/>
          <w:b w:val="0"/>
          <w:bCs w:val="0"/>
          <w:color w:val="auto"/>
          <w:highlight w:val="none"/>
          <w:lang w:val="en-US" w:eastAsia="zh-CN"/>
        </w:rPr>
        <w:t xml:space="preserve"> </w:t>
      </w:r>
      <w:r>
        <w:rPr>
          <w:rFonts w:hint="default" w:ascii="Times New Roman" w:hAnsi="Times New Roman" w:cs="Times New Roman"/>
          <w:b w:val="0"/>
          <w:bCs w:val="0"/>
          <w:color w:val="auto"/>
          <w:highlight w:val="none"/>
        </w:rPr>
        <w:t xml:space="preserve">is classified into ten levels according to the criteria proposed by Liao (1999) and Wang and Ma (2011), as shown in Table </w:t>
      </w:r>
      <w:r>
        <w:rPr>
          <w:rFonts w:hint="default" w:ascii="Times New Roman" w:hAnsi="Times New Roman" w:cs="Times New Roman"/>
          <w:b w:val="0"/>
          <w:bCs w:val="0"/>
          <w:color w:val="auto"/>
          <w:highlight w:val="none"/>
          <w:lang w:val="en-US" w:eastAsia="zh-CN"/>
        </w:rPr>
        <w:t>3</w:t>
      </w:r>
      <w:r>
        <w:rPr>
          <w:rFonts w:hint="default" w:ascii="Times New Roman" w:hAnsi="Times New Roman" w:cs="Times New Roman"/>
          <w:b w:val="0"/>
          <w:bCs w:val="0"/>
          <w:color w:val="auto"/>
          <w:highlight w:val="none"/>
        </w:rPr>
        <w:t xml:space="preserve">. </w:t>
      </w:r>
    </w:p>
    <w:p w14:paraId="28BA91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rPr>
        <w:t xml:space="preserve">Table </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Classification Criteria for the</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CCD of </w:t>
      </w:r>
      <w:r>
        <w:rPr>
          <w:rFonts w:hint="default" w:ascii="Times New Roman" w:hAnsi="Times New Roman" w:cs="Times New Roman"/>
          <w:b/>
          <w:bCs/>
          <w:color w:val="auto"/>
          <w:sz w:val="24"/>
          <w:szCs w:val="24"/>
          <w:highlight w:val="none"/>
          <w:lang w:eastAsia="zh-CN"/>
        </w:rPr>
        <w:t>FA</w:t>
      </w:r>
      <w:r>
        <w:rPr>
          <w:rFonts w:hint="default" w:ascii="Times New Roman" w:hAnsi="Times New Roman" w:eastAsia="宋体" w:cs="Times New Roman"/>
          <w:b/>
          <w:bCs/>
          <w:color w:val="auto"/>
          <w:sz w:val="24"/>
          <w:szCs w:val="24"/>
          <w:highlight w:val="none"/>
        </w:rPr>
        <w:t xml:space="preserve"> and </w:t>
      </w:r>
      <w:r>
        <w:rPr>
          <w:rFonts w:hint="default" w:ascii="Times New Roman" w:hAnsi="Times New Roman" w:cs="Times New Roman"/>
          <w:b/>
          <w:bCs/>
          <w:color w:val="auto"/>
          <w:sz w:val="24"/>
          <w:szCs w:val="24"/>
          <w:highlight w:val="none"/>
          <w:lang w:eastAsia="zh-CN"/>
        </w:rPr>
        <w:t>GTI</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644"/>
        <w:gridCol w:w="2866"/>
        <w:gridCol w:w="823"/>
        <w:gridCol w:w="1757"/>
        <w:gridCol w:w="2995"/>
      </w:tblGrid>
      <w:tr w14:paraId="28BA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77" w:type="pct"/>
            <w:vAlign w:val="center"/>
          </w:tcPr>
          <w:p w14:paraId="28BA91D9">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Level</w:t>
            </w:r>
          </w:p>
        </w:tc>
        <w:tc>
          <w:tcPr>
            <w:tcW w:w="753" w:type="pct"/>
            <w:vAlign w:val="center"/>
          </w:tcPr>
          <w:p w14:paraId="28BA91DA">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rPr>
              <w:t>Value</w:t>
            </w:r>
            <w:r>
              <w:rPr>
                <w:rFonts w:hint="default" w:ascii="Times New Roman" w:hAnsi="Times New Roman" w:eastAsia="宋体" w:cs="Times New Roman"/>
                <w:b/>
                <w:color w:val="auto"/>
                <w:sz w:val="24"/>
                <w:szCs w:val="24"/>
                <w:highlight w:val="none"/>
              </w:rPr>
              <w:t xml:space="preserve"> Range</w:t>
            </w:r>
          </w:p>
        </w:tc>
        <w:tc>
          <w:tcPr>
            <w:tcW w:w="1313" w:type="pct"/>
            <w:vAlign w:val="center"/>
          </w:tcPr>
          <w:p w14:paraId="28BA91DB">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Stage</w:t>
            </w:r>
          </w:p>
        </w:tc>
        <w:tc>
          <w:tcPr>
            <w:tcW w:w="377" w:type="pct"/>
            <w:vAlign w:val="center"/>
          </w:tcPr>
          <w:p w14:paraId="28BA91DC">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Level</w:t>
            </w:r>
          </w:p>
        </w:tc>
        <w:tc>
          <w:tcPr>
            <w:tcW w:w="805" w:type="pct"/>
            <w:vAlign w:val="center"/>
          </w:tcPr>
          <w:p w14:paraId="28BA91DD">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Value</w:t>
            </w:r>
            <w:r>
              <w:rPr>
                <w:rFonts w:hint="default" w:ascii="Times New Roman" w:hAnsi="Times New Roman" w:eastAsia="宋体" w:cs="Times New Roman"/>
                <w:b/>
                <w:color w:val="auto"/>
                <w:sz w:val="24"/>
                <w:szCs w:val="24"/>
                <w:highlight w:val="none"/>
              </w:rPr>
              <w:t xml:space="preserve"> Range</w:t>
            </w:r>
          </w:p>
        </w:tc>
        <w:tc>
          <w:tcPr>
            <w:tcW w:w="1372" w:type="pct"/>
            <w:vAlign w:val="center"/>
          </w:tcPr>
          <w:p w14:paraId="28BA91DE">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Stage</w:t>
            </w:r>
          </w:p>
        </w:tc>
      </w:tr>
      <w:tr w14:paraId="28BA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77" w:type="pct"/>
            <w:vAlign w:val="center"/>
          </w:tcPr>
          <w:p w14:paraId="28BA91E0">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1</w:t>
            </w:r>
          </w:p>
        </w:tc>
        <w:tc>
          <w:tcPr>
            <w:tcW w:w="753" w:type="pct"/>
            <w:vAlign w:val="center"/>
          </w:tcPr>
          <w:p w14:paraId="28BA91E1">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position w:val="-6"/>
                <w:sz w:val="24"/>
                <w:szCs w:val="24"/>
                <w:highlight w:val="none"/>
              </w:rPr>
              <w:object>
                <v:shape id="_x0000_i1068" o:spt="75" type="#_x0000_t75" style="height:10.45pt;width:66.75pt;" o:ole="t" filled="f" o:preferrelative="t" stroked="f" coordsize="21600,21600">
                  <v:path/>
                  <v:fill on="f" focussize="0,0"/>
                  <v:stroke on="f" joinstyle="miter"/>
                  <v:imagedata r:id="rId93" o:title=""/>
                  <o:lock v:ext="edit" aspectratio="t"/>
                  <w10:wrap type="none"/>
                  <w10:anchorlock/>
                </v:shape>
                <o:OLEObject Type="Embed" ProgID="Equation.DSMT4" ShapeID="_x0000_i1068" DrawAspect="Content" ObjectID="_1468075768" r:id="rId92">
                  <o:LockedField>false</o:LockedField>
                </o:OLEObject>
              </w:object>
            </w:r>
          </w:p>
        </w:tc>
        <w:tc>
          <w:tcPr>
            <w:tcW w:w="1313" w:type="pct"/>
            <w:vAlign w:val="center"/>
          </w:tcPr>
          <w:p w14:paraId="28BA91E2">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eastAsia="Segoe UI" w:cs="Times New Roman"/>
                <w:bCs/>
                <w:color w:val="auto"/>
                <w:sz w:val="24"/>
                <w:szCs w:val="24"/>
                <w:highlight w:val="none"/>
              </w:rPr>
              <w:t>Extreme</w:t>
            </w:r>
            <w:r>
              <w:rPr>
                <w:rFonts w:hint="default" w:ascii="Times New Roman" w:hAnsi="Times New Roman" w:cs="Times New Roman"/>
                <w:bCs/>
                <w:color w:val="auto"/>
                <w:sz w:val="24"/>
                <w:szCs w:val="24"/>
                <w:highlight w:val="none"/>
              </w:rPr>
              <w:t xml:space="preserve"> </w:t>
            </w:r>
            <w:r>
              <w:rPr>
                <w:rFonts w:hint="default" w:ascii="Times New Roman" w:hAnsi="Times New Roman" w:eastAsia="宋体" w:cs="Times New Roman"/>
                <w:bCs/>
                <w:color w:val="auto"/>
                <w:sz w:val="24"/>
                <w:szCs w:val="24"/>
                <w:highlight w:val="none"/>
              </w:rPr>
              <w:t>Un</w:t>
            </w:r>
            <w:r>
              <w:rPr>
                <w:rFonts w:hint="default" w:ascii="Times New Roman" w:hAnsi="Times New Roman" w:cs="Times New Roman"/>
                <w:bCs/>
                <w:color w:val="auto"/>
                <w:sz w:val="24"/>
                <w:szCs w:val="24"/>
                <w:highlight w:val="none"/>
              </w:rPr>
              <w:t>coordination</w:t>
            </w:r>
          </w:p>
        </w:tc>
        <w:tc>
          <w:tcPr>
            <w:tcW w:w="377" w:type="pct"/>
            <w:vAlign w:val="center"/>
          </w:tcPr>
          <w:p w14:paraId="28BA91E3">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6</w:t>
            </w:r>
          </w:p>
        </w:tc>
        <w:tc>
          <w:tcPr>
            <w:tcW w:w="805" w:type="pct"/>
            <w:vAlign w:val="center"/>
          </w:tcPr>
          <w:p w14:paraId="28BA91E4">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position w:val="-6"/>
                <w:sz w:val="24"/>
                <w:szCs w:val="24"/>
                <w:highlight w:val="none"/>
              </w:rPr>
              <w:object>
                <v:shape id="_x0000_i1069" o:spt="75" type="#_x0000_t75" style="height:10.45pt;width:66.75pt;" o:ole="t" filled="f" o:preferrelative="t" stroked="f" coordsize="21600,21600">
                  <v:path/>
                  <v:fill on="f" focussize="0,0"/>
                  <v:stroke on="f" joinstyle="miter"/>
                  <v:imagedata r:id="rId95" o:title=""/>
                  <o:lock v:ext="edit" aspectratio="t"/>
                  <w10:wrap type="none"/>
                  <w10:anchorlock/>
                </v:shape>
                <o:OLEObject Type="Embed" ProgID="Equation.DSMT4" ShapeID="_x0000_i1069" DrawAspect="Content" ObjectID="_1468075769" r:id="rId94">
                  <o:LockedField>false</o:LockedField>
                </o:OLEObject>
              </w:object>
            </w:r>
          </w:p>
        </w:tc>
        <w:tc>
          <w:tcPr>
            <w:tcW w:w="1372" w:type="pct"/>
            <w:vAlign w:val="center"/>
          </w:tcPr>
          <w:p w14:paraId="28BA91E5">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Barely Coordination</w:t>
            </w:r>
          </w:p>
        </w:tc>
      </w:tr>
      <w:tr w14:paraId="28BA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77" w:type="pct"/>
            <w:vAlign w:val="center"/>
          </w:tcPr>
          <w:p w14:paraId="28BA91E7">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2</w:t>
            </w:r>
          </w:p>
        </w:tc>
        <w:tc>
          <w:tcPr>
            <w:tcW w:w="753" w:type="pct"/>
            <w:vAlign w:val="center"/>
          </w:tcPr>
          <w:p w14:paraId="28BA91E8">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position w:val="-6"/>
                <w:sz w:val="24"/>
                <w:szCs w:val="24"/>
                <w:highlight w:val="none"/>
              </w:rPr>
              <w:object>
                <v:shape id="_x0000_i1070" o:spt="75" type="#_x0000_t75" style="height:10.45pt;width:66.75pt;" o:ole="t" filled="f" o:preferrelative="t" stroked="f" coordsize="21600,21600">
                  <v:path/>
                  <v:fill on="f" focussize="0,0"/>
                  <v:stroke on="f" joinstyle="miter"/>
                  <v:imagedata r:id="rId97" o:title=""/>
                  <o:lock v:ext="edit" aspectratio="t"/>
                  <w10:wrap type="none"/>
                  <w10:anchorlock/>
                </v:shape>
                <o:OLEObject Type="Embed" ProgID="Equation.DSMT4" ShapeID="_x0000_i1070" DrawAspect="Content" ObjectID="_1468075770" r:id="rId96">
                  <o:LockedField>false</o:LockedField>
                </o:OLEObject>
              </w:object>
            </w:r>
          </w:p>
        </w:tc>
        <w:tc>
          <w:tcPr>
            <w:tcW w:w="1313" w:type="pct"/>
            <w:vAlign w:val="center"/>
          </w:tcPr>
          <w:p w14:paraId="28BA91E9">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eastAsia="Segoe UI" w:cs="Times New Roman"/>
                <w:bCs/>
                <w:color w:val="auto"/>
                <w:sz w:val="24"/>
                <w:szCs w:val="24"/>
                <w:highlight w:val="none"/>
              </w:rPr>
              <w:t>Severe</w:t>
            </w:r>
            <w:r>
              <w:rPr>
                <w:rFonts w:hint="default" w:ascii="Times New Roman" w:hAnsi="Times New Roman" w:cs="Times New Roman"/>
                <w:bCs/>
                <w:color w:val="auto"/>
                <w:sz w:val="24"/>
                <w:szCs w:val="24"/>
                <w:highlight w:val="none"/>
              </w:rPr>
              <w:t xml:space="preserve"> </w:t>
            </w:r>
            <w:r>
              <w:rPr>
                <w:rFonts w:hint="default" w:ascii="Times New Roman" w:hAnsi="Times New Roman" w:eastAsia="宋体" w:cs="Times New Roman"/>
                <w:bCs/>
                <w:color w:val="auto"/>
                <w:sz w:val="24"/>
                <w:szCs w:val="24"/>
                <w:highlight w:val="none"/>
              </w:rPr>
              <w:t>Un</w:t>
            </w:r>
            <w:r>
              <w:rPr>
                <w:rFonts w:hint="default" w:ascii="Times New Roman" w:hAnsi="Times New Roman" w:cs="Times New Roman"/>
                <w:bCs/>
                <w:color w:val="auto"/>
                <w:sz w:val="24"/>
                <w:szCs w:val="24"/>
                <w:highlight w:val="none"/>
              </w:rPr>
              <w:t>coordination</w:t>
            </w:r>
          </w:p>
        </w:tc>
        <w:tc>
          <w:tcPr>
            <w:tcW w:w="377" w:type="pct"/>
            <w:vAlign w:val="center"/>
          </w:tcPr>
          <w:p w14:paraId="28BA91EA">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7</w:t>
            </w:r>
          </w:p>
        </w:tc>
        <w:tc>
          <w:tcPr>
            <w:tcW w:w="805" w:type="pct"/>
            <w:vAlign w:val="center"/>
          </w:tcPr>
          <w:p w14:paraId="28BA91EB">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position w:val="-6"/>
                <w:sz w:val="24"/>
                <w:szCs w:val="24"/>
                <w:highlight w:val="none"/>
              </w:rPr>
              <w:object>
                <v:shape id="_x0000_i1071" o:spt="75" type="#_x0000_t75" style="height:10.45pt;width:72pt;" o:ole="t" filled="f" o:preferrelative="t" stroked="f" coordsize="21600,21600">
                  <v:path/>
                  <v:fill on="f" focussize="0,0"/>
                  <v:stroke on="f" joinstyle="miter"/>
                  <v:imagedata r:id="rId99" o:title=""/>
                  <o:lock v:ext="edit" aspectratio="t"/>
                  <w10:wrap type="none"/>
                  <w10:anchorlock/>
                </v:shape>
                <o:OLEObject Type="Embed" ProgID="Equation.DSMT4" ShapeID="_x0000_i1071" DrawAspect="Content" ObjectID="_1468075771" r:id="rId98">
                  <o:LockedField>false</o:LockedField>
                </o:OLEObject>
              </w:object>
            </w:r>
          </w:p>
        </w:tc>
        <w:tc>
          <w:tcPr>
            <w:tcW w:w="1372" w:type="pct"/>
            <w:vAlign w:val="center"/>
          </w:tcPr>
          <w:p w14:paraId="28BA91EC">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eastAsia="Segoe UI" w:cs="Times New Roman"/>
                <w:bCs/>
                <w:color w:val="auto"/>
                <w:sz w:val="24"/>
                <w:szCs w:val="24"/>
                <w:highlight w:val="none"/>
              </w:rPr>
              <w:t>Primary</w:t>
            </w:r>
            <w:r>
              <w:rPr>
                <w:rFonts w:hint="default" w:ascii="Times New Roman" w:hAnsi="Times New Roman" w:cs="Times New Roman"/>
                <w:bCs/>
                <w:color w:val="auto"/>
                <w:sz w:val="24"/>
                <w:szCs w:val="24"/>
                <w:highlight w:val="none"/>
              </w:rPr>
              <w:t xml:space="preserve"> Coordination</w:t>
            </w:r>
          </w:p>
        </w:tc>
      </w:tr>
      <w:tr w14:paraId="28BA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77" w:type="pct"/>
            <w:vAlign w:val="center"/>
          </w:tcPr>
          <w:p w14:paraId="28BA91EE">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3</w:t>
            </w:r>
          </w:p>
        </w:tc>
        <w:tc>
          <w:tcPr>
            <w:tcW w:w="753" w:type="pct"/>
            <w:vAlign w:val="center"/>
          </w:tcPr>
          <w:p w14:paraId="28BA91EF">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position w:val="-6"/>
                <w:sz w:val="24"/>
                <w:szCs w:val="24"/>
                <w:highlight w:val="none"/>
              </w:rPr>
              <w:object>
                <v:shape id="_x0000_i1072" o:spt="75" type="#_x0000_t75" style="height:10.45pt;width:66.75pt;" o:ole="t" filled="f" o:preferrelative="t" stroked="f" coordsize="21600,21600">
                  <v:path/>
                  <v:fill on="f" focussize="0,0"/>
                  <v:stroke on="f" joinstyle="miter"/>
                  <v:imagedata r:id="rId101" o:title=""/>
                  <o:lock v:ext="edit" aspectratio="t"/>
                  <w10:wrap type="none"/>
                  <w10:anchorlock/>
                </v:shape>
                <o:OLEObject Type="Embed" ProgID="Equation.DSMT4" ShapeID="_x0000_i1072" DrawAspect="Content" ObjectID="_1468075772" r:id="rId100">
                  <o:LockedField>false</o:LockedField>
                </o:OLEObject>
              </w:object>
            </w:r>
          </w:p>
        </w:tc>
        <w:tc>
          <w:tcPr>
            <w:tcW w:w="1313" w:type="pct"/>
            <w:vAlign w:val="center"/>
          </w:tcPr>
          <w:p w14:paraId="28BA91F0">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 xml:space="preserve">Moderate </w:t>
            </w:r>
            <w:r>
              <w:rPr>
                <w:rFonts w:hint="default" w:ascii="Times New Roman" w:hAnsi="Times New Roman" w:eastAsia="宋体" w:cs="Times New Roman"/>
                <w:bCs/>
                <w:color w:val="auto"/>
                <w:sz w:val="24"/>
                <w:szCs w:val="24"/>
                <w:highlight w:val="none"/>
              </w:rPr>
              <w:t>Un</w:t>
            </w:r>
            <w:r>
              <w:rPr>
                <w:rFonts w:hint="default" w:ascii="Times New Roman" w:hAnsi="Times New Roman" w:cs="Times New Roman"/>
                <w:bCs/>
                <w:color w:val="auto"/>
                <w:sz w:val="24"/>
                <w:szCs w:val="24"/>
                <w:highlight w:val="none"/>
              </w:rPr>
              <w:t>coordination</w:t>
            </w:r>
          </w:p>
        </w:tc>
        <w:tc>
          <w:tcPr>
            <w:tcW w:w="377" w:type="pct"/>
            <w:vAlign w:val="center"/>
          </w:tcPr>
          <w:p w14:paraId="28BA91F1">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8</w:t>
            </w:r>
          </w:p>
        </w:tc>
        <w:tc>
          <w:tcPr>
            <w:tcW w:w="805" w:type="pct"/>
            <w:vAlign w:val="center"/>
          </w:tcPr>
          <w:p w14:paraId="28BA91F2">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position w:val="-6"/>
                <w:sz w:val="24"/>
                <w:szCs w:val="24"/>
                <w:highlight w:val="none"/>
              </w:rPr>
              <w:object>
                <v:shape id="_x0000_i1073" o:spt="75" type="#_x0000_t75" style="height:10.45pt;width:72pt;" o:ole="t" filled="f" o:preferrelative="t" stroked="f" coordsize="21600,21600">
                  <v:path/>
                  <v:fill on="f" focussize="0,0"/>
                  <v:stroke on="f" joinstyle="miter"/>
                  <v:imagedata r:id="rId103" o:title=""/>
                  <o:lock v:ext="edit" aspectratio="t"/>
                  <w10:wrap type="none"/>
                  <w10:anchorlock/>
                </v:shape>
                <o:OLEObject Type="Embed" ProgID="Equation.DSMT4" ShapeID="_x0000_i1073" DrawAspect="Content" ObjectID="_1468075773" r:id="rId102">
                  <o:LockedField>false</o:LockedField>
                </o:OLEObject>
              </w:object>
            </w:r>
          </w:p>
        </w:tc>
        <w:tc>
          <w:tcPr>
            <w:tcW w:w="1372" w:type="pct"/>
            <w:vAlign w:val="center"/>
          </w:tcPr>
          <w:p w14:paraId="28BA91F3">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Moderate Coordination</w:t>
            </w:r>
          </w:p>
        </w:tc>
      </w:tr>
      <w:tr w14:paraId="28BA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77" w:type="pct"/>
            <w:vAlign w:val="center"/>
          </w:tcPr>
          <w:p w14:paraId="28BA91F5">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4</w:t>
            </w:r>
          </w:p>
        </w:tc>
        <w:tc>
          <w:tcPr>
            <w:tcW w:w="753" w:type="pct"/>
            <w:vAlign w:val="center"/>
          </w:tcPr>
          <w:p w14:paraId="28BA91F6">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position w:val="-6"/>
                <w:sz w:val="24"/>
                <w:szCs w:val="24"/>
                <w:highlight w:val="none"/>
              </w:rPr>
              <w:object>
                <v:shape id="_x0000_i1074" o:spt="75" type="#_x0000_t75" style="height:10.45pt;width:66.75pt;" o:ole="t" filled="f" o:preferrelative="t" stroked="f" coordsize="21600,21600">
                  <v:path/>
                  <v:fill on="f" focussize="0,0"/>
                  <v:stroke on="f" joinstyle="miter"/>
                  <v:imagedata r:id="rId105" o:title=""/>
                  <o:lock v:ext="edit" aspectratio="t"/>
                  <w10:wrap type="none"/>
                  <w10:anchorlock/>
                </v:shape>
                <o:OLEObject Type="Embed" ProgID="Equation.DSMT4" ShapeID="_x0000_i1074" DrawAspect="Content" ObjectID="_1468075774" r:id="rId104">
                  <o:LockedField>false</o:LockedField>
                </o:OLEObject>
              </w:object>
            </w:r>
          </w:p>
        </w:tc>
        <w:tc>
          <w:tcPr>
            <w:tcW w:w="1313" w:type="pct"/>
            <w:vAlign w:val="center"/>
          </w:tcPr>
          <w:p w14:paraId="28BA91F7">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eastAsia="Segoe UI" w:cs="Times New Roman"/>
                <w:bCs/>
                <w:color w:val="auto"/>
                <w:sz w:val="24"/>
                <w:szCs w:val="24"/>
                <w:highlight w:val="none"/>
              </w:rPr>
              <w:t>Mild</w:t>
            </w:r>
            <w:r>
              <w:rPr>
                <w:rFonts w:hint="default" w:ascii="Times New Roman" w:hAnsi="Times New Roman" w:cs="Times New Roman"/>
                <w:bCs/>
                <w:color w:val="auto"/>
                <w:sz w:val="24"/>
                <w:szCs w:val="24"/>
                <w:highlight w:val="none"/>
              </w:rPr>
              <w:t xml:space="preserve"> Uncoordination</w:t>
            </w:r>
          </w:p>
        </w:tc>
        <w:tc>
          <w:tcPr>
            <w:tcW w:w="377" w:type="pct"/>
            <w:vAlign w:val="center"/>
          </w:tcPr>
          <w:p w14:paraId="28BA91F8">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9</w:t>
            </w:r>
          </w:p>
        </w:tc>
        <w:tc>
          <w:tcPr>
            <w:tcW w:w="805" w:type="pct"/>
            <w:vAlign w:val="center"/>
          </w:tcPr>
          <w:p w14:paraId="28BA91F9">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position w:val="-6"/>
                <w:sz w:val="24"/>
                <w:szCs w:val="24"/>
                <w:highlight w:val="none"/>
              </w:rPr>
              <w:object>
                <v:shape id="_x0000_i1075" o:spt="75" type="#_x0000_t75" style="height:10.45pt;width:66.75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06">
                  <o:LockedField>false</o:LockedField>
                </o:OLEObject>
              </w:object>
            </w:r>
          </w:p>
        </w:tc>
        <w:tc>
          <w:tcPr>
            <w:tcW w:w="1372" w:type="pct"/>
            <w:vAlign w:val="center"/>
          </w:tcPr>
          <w:p w14:paraId="28BA91FA">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Good Coordination</w:t>
            </w:r>
          </w:p>
        </w:tc>
      </w:tr>
      <w:tr w14:paraId="28BA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77" w:type="pct"/>
            <w:vAlign w:val="center"/>
          </w:tcPr>
          <w:p w14:paraId="28BA91FC">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5</w:t>
            </w:r>
          </w:p>
        </w:tc>
        <w:tc>
          <w:tcPr>
            <w:tcW w:w="753" w:type="pct"/>
            <w:vAlign w:val="center"/>
          </w:tcPr>
          <w:p w14:paraId="28BA91FD">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position w:val="-6"/>
                <w:sz w:val="24"/>
                <w:szCs w:val="24"/>
                <w:highlight w:val="none"/>
              </w:rPr>
              <w:object>
                <v:shape id="_x0000_i1076" o:spt="75" type="#_x0000_t75" style="height:10.45pt;width:66.75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6" r:id="rId108">
                  <o:LockedField>false</o:LockedField>
                </o:OLEObject>
              </w:object>
            </w:r>
          </w:p>
        </w:tc>
        <w:tc>
          <w:tcPr>
            <w:tcW w:w="1313" w:type="pct"/>
            <w:vAlign w:val="center"/>
          </w:tcPr>
          <w:p w14:paraId="28BA91FE">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eastAsia="Segoe UI" w:cs="Times New Roman"/>
                <w:bCs/>
                <w:color w:val="auto"/>
                <w:sz w:val="24"/>
                <w:szCs w:val="24"/>
                <w:highlight w:val="none"/>
              </w:rPr>
              <w:t>Marginal</w:t>
            </w:r>
            <w:r>
              <w:rPr>
                <w:rFonts w:hint="default" w:ascii="Times New Roman" w:hAnsi="Times New Roman" w:cs="Times New Roman"/>
                <w:bCs/>
                <w:color w:val="auto"/>
                <w:sz w:val="24"/>
                <w:szCs w:val="24"/>
                <w:highlight w:val="none"/>
              </w:rPr>
              <w:t xml:space="preserve"> </w:t>
            </w:r>
            <w:r>
              <w:rPr>
                <w:rFonts w:hint="default" w:ascii="Times New Roman" w:hAnsi="Times New Roman" w:eastAsia="宋体" w:cs="Times New Roman"/>
                <w:bCs/>
                <w:color w:val="auto"/>
                <w:sz w:val="24"/>
                <w:szCs w:val="24"/>
                <w:highlight w:val="none"/>
              </w:rPr>
              <w:t>Un</w:t>
            </w:r>
            <w:r>
              <w:rPr>
                <w:rFonts w:hint="default" w:ascii="Times New Roman" w:hAnsi="Times New Roman" w:cs="Times New Roman"/>
                <w:bCs/>
                <w:color w:val="auto"/>
                <w:sz w:val="24"/>
                <w:szCs w:val="24"/>
                <w:highlight w:val="none"/>
              </w:rPr>
              <w:t>coordination</w:t>
            </w:r>
          </w:p>
        </w:tc>
        <w:tc>
          <w:tcPr>
            <w:tcW w:w="377" w:type="pct"/>
            <w:vAlign w:val="center"/>
          </w:tcPr>
          <w:p w14:paraId="28BA91FF">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10</w:t>
            </w:r>
          </w:p>
        </w:tc>
        <w:tc>
          <w:tcPr>
            <w:tcW w:w="805" w:type="pct"/>
            <w:vAlign w:val="center"/>
          </w:tcPr>
          <w:p w14:paraId="28BA9200">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position w:val="-6"/>
                <w:sz w:val="24"/>
                <w:szCs w:val="24"/>
                <w:highlight w:val="none"/>
              </w:rPr>
              <w:object>
                <v:shape id="_x0000_i1077" o:spt="75" type="#_x0000_t75" style="height:10.45pt;width:66.75pt;" o:ole="t" filled="f" o:preferrelative="t" stroked="f" coordsize="21600,21600">
                  <v:path/>
                  <v:fill on="f" focussize="0,0"/>
                  <v:stroke on="f" joinstyle="miter"/>
                  <v:imagedata r:id="rId111" o:title=""/>
                  <o:lock v:ext="edit" aspectratio="t"/>
                  <w10:wrap type="none"/>
                  <w10:anchorlock/>
                </v:shape>
                <o:OLEObject Type="Embed" ProgID="Equation.DSMT4" ShapeID="_x0000_i1077" DrawAspect="Content" ObjectID="_1468075777" r:id="rId110">
                  <o:LockedField>false</o:LockedField>
                </o:OLEObject>
              </w:object>
            </w:r>
          </w:p>
        </w:tc>
        <w:tc>
          <w:tcPr>
            <w:tcW w:w="1372" w:type="pct"/>
            <w:vAlign w:val="center"/>
          </w:tcPr>
          <w:p w14:paraId="28BA9201">
            <w:pPr>
              <w:keepNext w:val="0"/>
              <w:keepLines w:val="0"/>
              <w:pageBreakBefore w:val="0"/>
              <w:widowControl w:val="0"/>
              <w:suppressLineNumbers w:val="0"/>
              <w:tabs>
                <w:tab w:val="left" w:pos="1880"/>
              </w:tabs>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High-Quality Coordination</w:t>
            </w:r>
          </w:p>
        </w:tc>
      </w:tr>
    </w:tbl>
    <w:p w14:paraId="1F138758">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Furthermore, the coupling </w:t>
      </w:r>
      <w:r>
        <w:rPr>
          <w:rFonts w:hint="default" w:ascii="Times New Roman" w:hAnsi="Times New Roman" w:eastAsia="宋体" w:cs="Times New Roman"/>
          <w:color w:val="auto"/>
          <w:sz w:val="24"/>
          <w:szCs w:val="24"/>
          <w:highlight w:val="none"/>
          <w:lang w:val="en-US" w:eastAsia="zh-CN"/>
        </w:rPr>
        <w:t xml:space="preserve">coordination </w:t>
      </w:r>
      <w:r>
        <w:rPr>
          <w:rFonts w:hint="default" w:ascii="Times New Roman" w:hAnsi="Times New Roman" w:eastAsia="宋体" w:cs="Times New Roman"/>
          <w:color w:val="auto"/>
          <w:sz w:val="24"/>
          <w:szCs w:val="24"/>
          <w:highlight w:val="none"/>
        </w:rPr>
        <w:t>development type can be identified</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bCs/>
          <w:color w:val="auto"/>
          <w:sz w:val="24"/>
          <w:szCs w:val="24"/>
          <w:highlight w:val="none"/>
          <w:shd w:val="clear" w:color="auto" w:fill="FFFFFF" w:themeFill="background1"/>
        </w:rPr>
        <w:t xml:space="preserve">according to the ratio of </w:t>
      </w:r>
      <w:r>
        <w:rPr>
          <w:rFonts w:hint="default" w:ascii="Times New Roman" w:hAnsi="Times New Roman" w:cs="Times New Roman"/>
          <w:color w:val="auto"/>
          <w:position w:val="-14"/>
          <w:sz w:val="24"/>
          <w:szCs w:val="24"/>
          <w:highlight w:val="none"/>
        </w:rPr>
        <w:object>
          <v:shape id="_x0000_i1078" o:spt="75" type="#_x0000_t75" style="height:20.3pt;width:36pt;" o:ole="t"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12">
            <o:LockedField>false</o:LockedField>
          </o:OLEObject>
        </w:object>
      </w:r>
      <w:r>
        <w:rPr>
          <w:rFonts w:hint="default" w:ascii="Times New Roman" w:hAnsi="Times New Roman" w:cs="Times New Roman"/>
          <w:bCs/>
          <w:color w:val="auto"/>
          <w:sz w:val="24"/>
          <w:szCs w:val="24"/>
          <w:highlight w:val="none"/>
          <w:shd w:val="clear" w:color="auto" w:fill="FFFFFF" w:themeFill="background1"/>
        </w:rPr>
        <w:t xml:space="preserve">to </w:t>
      </w:r>
      <w:r>
        <w:rPr>
          <w:rFonts w:hint="default" w:ascii="Times New Roman" w:hAnsi="Times New Roman" w:cs="Times New Roman"/>
          <w:color w:val="auto"/>
          <w:position w:val="-14"/>
          <w:sz w:val="24"/>
          <w:szCs w:val="24"/>
          <w:highlight w:val="none"/>
        </w:rPr>
        <w:object>
          <v:shape id="_x0000_i1079" o:spt="75" type="#_x0000_t75" style="height:20.3pt;width:36pt;" o:ole="t" filled="f" o:preferrelative="t" stroked="f" coordsize="21600,21600">
            <v:path/>
            <v:fill on="f" focussize="0,0"/>
            <v:stroke on="f" joinstyle="miter"/>
            <v:imagedata r:id="rId115" o:title=""/>
            <o:lock v:ext="edit" aspectratio="t"/>
            <w10:wrap type="none"/>
            <w10:anchorlock/>
          </v:shape>
          <o:OLEObject Type="Embed" ProgID="Equation.DSMT4" ShapeID="_x0000_i1079" DrawAspect="Content" ObjectID="_1468075779" r:id="rId114">
            <o:LockedField>false</o:LockedField>
          </o:OLEObject>
        </w:object>
      </w:r>
      <w:r>
        <w:rPr>
          <w:rFonts w:hint="default" w:ascii="Times New Roman" w:hAnsi="Times New Roman" w:cs="Times New Roman"/>
          <w:bCs/>
          <w:color w:val="auto"/>
          <w:sz w:val="24"/>
          <w:szCs w:val="24"/>
          <w:highlight w:val="none"/>
          <w:shd w:val="clear" w:color="auto" w:fill="FFFFFF" w:themeFill="background1"/>
          <w:lang w:val="en-US" w:eastAsia="zh-CN"/>
        </w:rPr>
        <w:t xml:space="preserve">. </w:t>
      </w:r>
      <w:r>
        <w:rPr>
          <w:rFonts w:hint="default" w:ascii="Times New Roman" w:hAnsi="Times New Roman" w:eastAsia="宋体" w:cs="Times New Roman"/>
          <w:color w:val="auto"/>
          <w:sz w:val="24"/>
          <w:szCs w:val="24"/>
          <w:highlight w:val="none"/>
        </w:rPr>
        <w:t xml:space="preserve">Specifically, when </w:t>
      </w:r>
      <w:r>
        <w:rPr>
          <w:rFonts w:hint="default" w:ascii="Times New Roman" w:hAnsi="Times New Roman" w:cs="Times New Roman"/>
          <w:color w:val="auto"/>
          <w:position w:val="-14"/>
          <w:highlight w:val="none"/>
        </w:rPr>
        <w:object>
          <v:shape id="_x0000_i1080" o:spt="75" type="#_x0000_t75" style="height:20.3pt;width:103.3pt;" o:ole="t" filled="f" o:preferrelative="t" stroked="f" coordsize="21600,21600">
            <v:path/>
            <v:fill on="f" focussize="0,0"/>
            <v:stroke on="f" joinstyle="miter"/>
            <v:imagedata r:id="rId117" o:title=""/>
            <o:lock v:ext="edit" aspectratio="t"/>
            <w10:wrap type="none"/>
            <w10:anchorlock/>
          </v:shape>
          <o:OLEObject Type="Embed" ProgID="Equation.DSMT4" ShapeID="_x0000_i1080" DrawAspect="Content" ObjectID="_1468075780" r:id="rId116">
            <o:LockedField>false</o:LockedField>
          </o:OLEObject>
        </w:object>
      </w:r>
      <w:r>
        <w:rPr>
          <w:rFonts w:hint="default" w:ascii="Times New Roman" w:hAnsi="Times New Roman" w:eastAsia="宋体" w:cs="Times New Roman"/>
          <w:color w:val="auto"/>
          <w:sz w:val="24"/>
          <w:szCs w:val="24"/>
          <w:highlight w:val="none"/>
        </w:rPr>
        <w:t xml:space="preserve">, the system is classified as the </w:t>
      </w:r>
      <w:r>
        <w:rPr>
          <w:rFonts w:hint="default" w:ascii="Times New Roman" w:hAnsi="Times New Roman" w:cs="Times New Roman"/>
          <w:color w:val="auto"/>
          <w:sz w:val="24"/>
          <w:szCs w:val="24"/>
          <w:highlight w:val="none"/>
          <w:lang w:eastAsia="zh-CN"/>
        </w:rPr>
        <w:t>FA</w:t>
      </w:r>
      <w:r>
        <w:rPr>
          <w:rFonts w:hint="default" w:ascii="Times New Roman" w:hAnsi="Times New Roman" w:eastAsia="宋体" w:cs="Times New Roman"/>
          <w:color w:val="auto"/>
          <w:sz w:val="24"/>
          <w:szCs w:val="24"/>
          <w:highlight w:val="none"/>
        </w:rPr>
        <w:t xml:space="preserve"> lagging type; when </w:t>
      </w:r>
      <w:r>
        <w:rPr>
          <w:rFonts w:hint="default" w:ascii="Times New Roman" w:hAnsi="Times New Roman" w:cs="Times New Roman"/>
          <w:color w:val="auto"/>
          <w:position w:val="-14"/>
          <w:highlight w:val="none"/>
        </w:rPr>
        <w:object>
          <v:shape id="_x0000_i1081" o:spt="75" type="#_x0000_t75" style="height:20.3pt;width:128.25pt;" o:ole="t" filled="f" o:preferrelative="t" stroked="f" coordsize="21600,21600">
            <v:path/>
            <v:fill on="f" focussize="0,0"/>
            <v:stroke on="f" joinstyle="miter"/>
            <v:imagedata r:id="rId119" o:title=""/>
            <o:lock v:ext="edit" aspectratio="t"/>
            <w10:wrap type="none"/>
            <w10:anchorlock/>
          </v:shape>
          <o:OLEObject Type="Embed" ProgID="Equation.DSMT4" ShapeID="_x0000_i1081" DrawAspect="Content" ObjectID="_1468075781" r:id="rId118">
            <o:LockedField>false</o:LockedField>
          </o:OLEObject>
        </w:object>
      </w:r>
      <w:r>
        <w:rPr>
          <w:rFonts w:hint="default" w:ascii="Times New Roman" w:hAnsi="Times New Roman" w:eastAsia="宋体" w:cs="Times New Roman"/>
          <w:color w:val="auto"/>
          <w:sz w:val="24"/>
          <w:szCs w:val="24"/>
          <w:highlight w:val="none"/>
        </w:rPr>
        <w:t xml:space="preserve">, it is classified as the synchronised development type; and when </w:t>
      </w:r>
      <w:r>
        <w:rPr>
          <w:rFonts w:hint="default" w:ascii="Times New Roman" w:hAnsi="Times New Roman" w:cs="Times New Roman"/>
          <w:color w:val="auto"/>
          <w:position w:val="-14"/>
          <w:highlight w:val="none"/>
        </w:rPr>
        <w:object>
          <v:shape id="_x0000_i1082" o:spt="75" type="#_x0000_t75" style="height:20.3pt;width:97.5pt;" o:ole="t" filled="f" o:preferrelative="t" stroked="f" coordsize="21600,21600">
            <v:path/>
            <v:fill on="f" focussize="0,0"/>
            <v:stroke on="f" joinstyle="miter"/>
            <v:imagedata r:id="rId121" o:title=""/>
            <o:lock v:ext="edit" aspectratio="t"/>
            <w10:wrap type="none"/>
            <w10:anchorlock/>
          </v:shape>
          <o:OLEObject Type="Embed" ProgID="Equation.DSMT4" ShapeID="_x0000_i1082" DrawAspect="Content" ObjectID="_1468075782" r:id="rId120">
            <o:LockedField>false</o:LockedField>
          </o:OLEObject>
        </w:object>
      </w:r>
      <w:r>
        <w:rPr>
          <w:rFonts w:hint="default" w:ascii="Times New Roman" w:hAnsi="Times New Roman" w:eastAsia="宋体" w:cs="Times New Roman"/>
          <w:color w:val="auto"/>
          <w:sz w:val="24"/>
          <w:szCs w:val="24"/>
          <w:highlight w:val="none"/>
        </w:rPr>
        <w:t xml:space="preserve">, it is classified as the </w:t>
      </w:r>
      <w:r>
        <w:rPr>
          <w:rFonts w:hint="default" w:ascii="Times New Roman" w:hAnsi="Times New Roman" w:cs="Times New Roman"/>
          <w:color w:val="auto"/>
          <w:sz w:val="24"/>
          <w:szCs w:val="24"/>
          <w:highlight w:val="none"/>
          <w:lang w:eastAsia="zh-CN"/>
        </w:rPr>
        <w:t>GTI</w:t>
      </w:r>
      <w:r>
        <w:rPr>
          <w:rFonts w:hint="default" w:ascii="Times New Roman" w:hAnsi="Times New Roman" w:eastAsia="宋体" w:cs="Times New Roman"/>
          <w:color w:val="auto"/>
          <w:sz w:val="24"/>
          <w:szCs w:val="24"/>
          <w:highlight w:val="none"/>
        </w:rPr>
        <w:t xml:space="preserve"> lagging type.</w:t>
      </w:r>
    </w:p>
    <w:p w14:paraId="6544222D">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Temporal Evolution Analysis of the Coupling Coordination Degree</w:t>
      </w:r>
    </w:p>
    <w:p w14:paraId="21BBF858">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To examine the temporal evolution of the CCD between FA and GTI, this study conducts a dynamic analysis at the national, regional, and provincial levels.</w:t>
      </w:r>
      <w:r>
        <w:rPr>
          <w:rFonts w:hint="default" w:ascii="Times New Roman" w:hAnsi="Times New Roman" w:cs="Times New Roman"/>
          <w:color w:val="auto"/>
          <w:sz w:val="24"/>
          <w:szCs w:val="24"/>
          <w:highlight w:val="none"/>
        </w:rPr>
        <w:t xml:space="preserve"> Time-series analysis is employed to identify the overall development trend of CCD, while compound annual growth rate (CAGR) analysis is used to compare the growth dynamics of coordinated development across regions. Scatter </w:t>
      </w:r>
      <w:r>
        <w:rPr>
          <w:rFonts w:hint="eastAsia" w:cs="Times New Roman"/>
          <w:color w:val="auto"/>
          <w:sz w:val="24"/>
          <w:szCs w:val="24"/>
          <w:highlight w:val="none"/>
          <w:lang w:val="en-US" w:eastAsia="zh-CN"/>
        </w:rPr>
        <w:t>plot</w:t>
      </w:r>
      <w:r>
        <w:rPr>
          <w:rFonts w:hint="default" w:ascii="Times New Roman" w:hAnsi="Times New Roman" w:cs="Times New Roman"/>
          <w:color w:val="auto"/>
          <w:sz w:val="24"/>
          <w:szCs w:val="24"/>
          <w:highlight w:val="none"/>
        </w:rPr>
        <w:t>s are developed in order to expose the inequalities between provinces, while classification analysis is done for CCD in order to detect the change in coordination stage levels. Moreover, analysis of coordination development type in the context of coupling is carried out in the light of the relative development status of the FA and GTI sub-systems.</w:t>
      </w:r>
    </w:p>
    <w:p w14:paraId="661C6562">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textAlignment w:val="auto"/>
        <w:rPr>
          <w:rFonts w:hint="default" w:ascii="Times New Roman" w:hAnsi="Times New Roman" w:cs="Times New Roman"/>
          <w:b/>
          <w:bCs/>
          <w:color w:val="auto"/>
          <w:highlight w:val="none"/>
        </w:rPr>
      </w:pPr>
      <w:r>
        <w:rPr>
          <w:rFonts w:hint="default" w:ascii="Times New Roman" w:hAnsi="Times New Roman" w:eastAsia="宋体" w:cs="Times New Roman"/>
          <w:b/>
          <w:bCs/>
          <w:color w:val="auto"/>
          <w:sz w:val="24"/>
          <w:szCs w:val="24"/>
          <w:highlight w:val="none"/>
        </w:rPr>
        <w:t>Spatial Distribution Analysis of the Coupling Coordination Degree</w:t>
      </w:r>
    </w:p>
    <w:p w14:paraId="63476ABD">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In order to look into the spatial distribution of the CCD between FA and GTI, this study applies both spatial visualization and spatial autocorrelation methods. ArcGIS 10.8 is employed to</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visualise</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the spatial distribution of CCD classification</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levels</w:t>
      </w:r>
      <w:r>
        <w:rPr>
          <w:rFonts w:hint="default" w:ascii="Times New Roman" w:hAnsi="Times New Roman" w:eastAsia="宋体" w:cs="Times New Roman"/>
          <w:color w:val="auto"/>
          <w:sz w:val="24"/>
          <w:szCs w:val="24"/>
          <w:highlight w:val="none"/>
          <w:lang w:val="en-US" w:eastAsia="zh-CN"/>
        </w:rPr>
        <w:t xml:space="preserve"> and their evolution over time.</w:t>
      </w:r>
      <w:r>
        <w:rPr>
          <w:rFonts w:hint="default" w:ascii="Times New Roman" w:hAnsi="Times New Roman" w:eastAsia="宋体" w:cs="Times New Roman"/>
          <w:color w:val="auto"/>
          <w:sz w:val="24"/>
          <w:szCs w:val="24"/>
          <w:highlight w:val="none"/>
        </w:rPr>
        <w:t xml:space="preserve"> Global Moran's I and Local Moran's I are used to examine global and local spatial autocorrelation, respectively</w:t>
      </w:r>
      <w:r>
        <w:rPr>
          <w:rFonts w:hint="default" w:ascii="Times New Roman" w:hAnsi="Times New Roman" w:cs="Times New Roman"/>
          <w:color w:val="auto"/>
          <w:sz w:val="24"/>
          <w:szCs w:val="24"/>
          <w:highlight w:val="none"/>
          <w:lang w:val="en-US" w:eastAsia="zh-CN"/>
        </w:rPr>
        <w:t xml:space="preserve">. Spatial autocorrelation reflects the degree of similarity among observations across neighbouring spatial units (Moran, 1948). </w:t>
      </w:r>
      <w:r>
        <w:rPr>
          <w:rFonts w:hint="default" w:ascii="Times New Roman" w:hAnsi="Times New Roman" w:eastAsia="宋体" w:cs="Times New Roman"/>
          <w:color w:val="auto"/>
          <w:sz w:val="24"/>
          <w:szCs w:val="24"/>
          <w:highlight w:val="none"/>
        </w:rPr>
        <w:t>To ensure robustness, three alternative spatial weight matrices are adopted</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and the results of the Local Moran's I analysis are visualised using Local Indicators of Spatial Association (LISA) cluster maps.</w:t>
      </w:r>
    </w:p>
    <w:p w14:paraId="2851E173">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textAlignment w:val="auto"/>
        <w:rPr>
          <w:rFonts w:hint="default" w:ascii="Times New Roman" w:hAnsi="Times New Roman" w:eastAsia="宋体" w:cs="Times New Roman"/>
          <w:b/>
          <w:bCs/>
          <w:i/>
          <w:iCs/>
          <w:color w:val="auto"/>
          <w:sz w:val="24"/>
          <w:szCs w:val="24"/>
          <w:highlight w:val="none"/>
          <w:lang w:val="en-US" w:eastAsia="zh-CN"/>
        </w:rPr>
      </w:pPr>
      <w:r>
        <w:rPr>
          <w:rFonts w:hint="default" w:ascii="Times New Roman" w:hAnsi="Times New Roman" w:eastAsia="宋体" w:cs="Times New Roman"/>
          <w:b/>
          <w:bCs/>
          <w:i/>
          <w:iCs/>
          <w:color w:val="auto"/>
          <w:sz w:val="24"/>
          <w:szCs w:val="24"/>
          <w:highlight w:val="none"/>
        </w:rPr>
        <w:t>Spatial Weight Matrices</w:t>
      </w:r>
    </w:p>
    <w:p w14:paraId="5C384162">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This study constructs three spatial weight matrices: the </w:t>
      </w:r>
      <w:r>
        <w:rPr>
          <w:rFonts w:hint="default" w:ascii="Times New Roman" w:hAnsi="Times New Roman" w:eastAsia="宋体" w:cs="Times New Roman"/>
          <w:color w:val="auto"/>
          <w:sz w:val="24"/>
          <w:szCs w:val="24"/>
          <w:highlight w:val="none"/>
          <w:lang w:val="en-US" w:eastAsia="zh-CN"/>
        </w:rPr>
        <w:t>g</w:t>
      </w:r>
      <w:r>
        <w:rPr>
          <w:rFonts w:hint="default" w:ascii="Times New Roman" w:hAnsi="Times New Roman" w:eastAsia="宋体" w:cs="Times New Roman"/>
          <w:color w:val="auto"/>
          <w:sz w:val="24"/>
          <w:szCs w:val="24"/>
          <w:highlight w:val="none"/>
        </w:rPr>
        <w:t>eographic distance matrix (</w:t>
      </w:r>
      <w:r>
        <w:rPr>
          <w:rFonts w:hint="default" w:ascii="Times New Roman" w:hAnsi="Times New Roman" w:eastAsia="宋体" w:cs="Times New Roman"/>
          <w:b/>
          <w:bCs/>
          <w:color w:val="auto"/>
          <w:position w:val="-14"/>
          <w:sz w:val="24"/>
          <w:szCs w:val="24"/>
          <w:highlight w:val="none"/>
          <w:shd w:val="clear" w:color="auto" w:fill="FFFFFF" w:themeFill="background1"/>
        </w:rPr>
        <w:object>
          <v:shape id="_x0000_i1083" o:spt="75" type="#_x0000_t75" style="height:18pt;width:18pt;" o:ole="t" filled="f" o:preferrelative="t" stroked="f" coordsize="21600,21600">
            <v:path/>
            <v:fill on="f" focussize="0,0"/>
            <v:stroke on="f" joinstyle="miter"/>
            <v:imagedata r:id="rId123" o:title=""/>
            <o:lock v:ext="edit" aspectratio="t"/>
            <w10:wrap type="none"/>
            <w10:anchorlock/>
          </v:shape>
          <o:OLEObject Type="Embed" ProgID="Equation.DSMT4" ShapeID="_x0000_i1083" DrawAspect="Content" ObjectID="_1468075783" r:id="rId122">
            <o:LockedField>false</o:LockedField>
          </o:OLEObject>
        </w:object>
      </w:r>
      <w:r>
        <w:rPr>
          <w:rFonts w:hint="default" w:ascii="Times New Roman" w:hAnsi="Times New Roman" w:eastAsia="宋体" w:cs="Times New Roman"/>
          <w:color w:val="auto"/>
          <w:sz w:val="24"/>
          <w:szCs w:val="24"/>
          <w:highlight w:val="none"/>
        </w:rPr>
        <w:t>), the economic distance matrix (</w:t>
      </w:r>
      <w:r>
        <w:rPr>
          <w:rFonts w:hint="default" w:ascii="Times New Roman" w:hAnsi="Times New Roman" w:eastAsia="宋体" w:cs="Times New Roman"/>
          <w:b/>
          <w:bCs/>
          <w:color w:val="auto"/>
          <w:position w:val="-12"/>
          <w:sz w:val="24"/>
          <w:szCs w:val="24"/>
          <w:highlight w:val="none"/>
          <w:shd w:val="clear" w:color="auto" w:fill="FFFFFF" w:themeFill="background1"/>
        </w:rPr>
        <w:object>
          <v:shape id="_x0000_i1084" o:spt="75" type="#_x0000_t75" style="height:18pt;width:23.8pt;" o:ole="t" filled="f" o:preferrelative="t" stroked="f" coordsize="21600,21600">
            <v:path/>
            <v:fill on="f" focussize="0,0"/>
            <v:stroke on="f" joinstyle="miter"/>
            <v:imagedata r:id="rId125" o:title=""/>
            <o:lock v:ext="edit" aspectratio="t"/>
            <w10:wrap type="none"/>
            <w10:anchorlock/>
          </v:shape>
          <o:OLEObject Type="Embed" ProgID="Equation.DSMT4" ShapeID="_x0000_i1084" DrawAspect="Content" ObjectID="_1468075784" r:id="rId124">
            <o:LockedField>false</o:LockedField>
          </o:OLEObject>
        </w:object>
      </w:r>
      <w:r>
        <w:rPr>
          <w:rFonts w:hint="default" w:ascii="Times New Roman" w:hAnsi="Times New Roman" w:eastAsia="宋体" w:cs="Times New Roman"/>
          <w:color w:val="auto"/>
          <w:sz w:val="24"/>
          <w:szCs w:val="24"/>
          <w:highlight w:val="none"/>
        </w:rPr>
        <w:t xml:space="preserve">), and the </w:t>
      </w:r>
      <w:r>
        <w:rPr>
          <w:rFonts w:hint="default" w:ascii="Times New Roman" w:hAnsi="Times New Roman" w:eastAsia="宋体"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patial contiguity matrix (</w:t>
      </w:r>
      <w:r>
        <w:rPr>
          <w:rFonts w:hint="default" w:ascii="Times New Roman" w:hAnsi="Times New Roman" w:eastAsia="宋体" w:cs="Times New Roman"/>
          <w:b/>
          <w:bCs/>
          <w:color w:val="auto"/>
          <w:position w:val="-12"/>
          <w:sz w:val="24"/>
          <w:szCs w:val="24"/>
          <w:highlight w:val="none"/>
          <w:shd w:val="clear" w:color="auto" w:fill="FFFFFF" w:themeFill="background1"/>
        </w:rPr>
        <w:object>
          <v:shape id="_x0000_i1085" o:spt="75" type="#_x0000_t75" style="height:18pt;width:18pt;" o:ole="t" filled="f" o:preferrelative="t" stroked="f" coordsize="21600,21600">
            <v:path/>
            <v:fill on="f" focussize="0,0"/>
            <v:stroke on="f" joinstyle="miter"/>
            <v:imagedata r:id="rId127" o:title=""/>
            <o:lock v:ext="edit" aspectratio="t"/>
            <w10:wrap type="none"/>
            <w10:anchorlock/>
          </v:shape>
          <o:OLEObject Type="Embed" ProgID="Equation.DSMT4" ShapeID="_x0000_i1085" DrawAspect="Content" ObjectID="_1468075785" r:id="rId126">
            <o:LockedField>false</o:LockedField>
          </o:OLEObject>
        </w:objec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All spatial weight matrices are row-standardised prior to analysis. </w:t>
      </w:r>
    </w:p>
    <w:p w14:paraId="0A2C6C83">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Following Paas and Schlitte (200</w:t>
      </w:r>
      <w:r>
        <w:rPr>
          <w:rFonts w:hint="default"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he</w:t>
      </w:r>
      <w:r>
        <w:rPr>
          <w:rFonts w:hint="default" w:ascii="Times New Roman" w:hAnsi="Times New Roman" w:eastAsia="宋体" w:cs="Times New Roman"/>
          <w:color w:val="auto"/>
          <w:sz w:val="24"/>
          <w:szCs w:val="24"/>
          <w:highlight w:val="none"/>
          <w:lang w:val="en-US" w:eastAsia="zh-CN"/>
        </w:rPr>
        <w:t xml:space="preserve"> g</w:t>
      </w:r>
      <w:r>
        <w:rPr>
          <w:rFonts w:hint="default" w:ascii="Times New Roman" w:hAnsi="Times New Roman" w:eastAsia="宋体" w:cs="Times New Roman"/>
          <w:color w:val="auto"/>
          <w:sz w:val="24"/>
          <w:szCs w:val="24"/>
          <w:highlight w:val="none"/>
        </w:rPr>
        <w:t xml:space="preserve">eographic distance matrix is constructed using the inverse squared spherical distance between </w:t>
      </w:r>
      <w:r>
        <w:rPr>
          <w:rFonts w:hint="default" w:ascii="Times New Roman" w:hAnsi="Times New Roman" w:cs="Times New Roman"/>
          <w:color w:val="auto"/>
          <w:sz w:val="24"/>
          <w:szCs w:val="24"/>
          <w:highlight w:val="none"/>
          <w:lang w:val="en-US" w:eastAsia="zh-CN"/>
        </w:rPr>
        <w:t xml:space="preserve">the </w:t>
      </w:r>
      <w:r>
        <w:rPr>
          <w:rFonts w:hint="default" w:ascii="Times New Roman" w:hAnsi="Times New Roman" w:eastAsia="宋体" w:cs="Times New Roman"/>
          <w:color w:val="auto"/>
          <w:sz w:val="24"/>
          <w:szCs w:val="24"/>
          <w:highlight w:val="none"/>
        </w:rPr>
        <w:t>provincial capitals. as follows:</w:t>
      </w:r>
    </w:p>
    <w:p w14:paraId="28BA92BD">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420" w:firstLineChars="200"/>
        <w:jc w:val="left"/>
        <w:textAlignment w:val="auto"/>
        <w:rPr>
          <w:rFonts w:hint="default" w:ascii="Times New Roman" w:hAnsi="Times New Roman" w:cs="Times New Roman"/>
          <w:color w:val="auto"/>
          <w:highlight w:val="none"/>
          <w:shd w:val="clear" w:color="auto" w:fill="FFFFFF" w:themeFill="background1"/>
        </w:rPr>
      </w:pPr>
      <w:r>
        <w:rPr>
          <w:rFonts w:hint="default" w:ascii="Times New Roman" w:hAnsi="Times New Roman" w:cs="Times New Roman"/>
          <w:color w:val="auto"/>
          <w:position w:val="-50"/>
          <w:highlight w:val="none"/>
        </w:rPr>
        <w:object>
          <v:shape id="_x0000_i1086" o:spt="75" type="#_x0000_t75" style="height:54pt;width:108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highlight w:val="none"/>
          <w:shd w:val="clear" w:color="auto" w:fill="FFFFFF" w:themeFill="background1"/>
          <w:lang w:val="en-US" w:eastAsia="zh-CN"/>
        </w:rPr>
        <w:t xml:space="preserve">                                         </w: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lang w:val="en-US" w:eastAsia="zh-CN"/>
        </w:rPr>
        <w:t>6</w:t>
      </w:r>
      <w:r>
        <w:rPr>
          <w:rFonts w:hint="default" w:ascii="Times New Roman" w:hAnsi="Times New Roman" w:cs="Times New Roman"/>
          <w:color w:val="auto"/>
          <w:sz w:val="24"/>
          <w:szCs w:val="24"/>
          <w:highlight w:val="none"/>
          <w:shd w:val="clear" w:color="auto" w:fill="FFFFFF" w:themeFill="background1"/>
        </w:rPr>
        <w:t>)</w:t>
      </w:r>
    </w:p>
    <w:p w14:paraId="28BA92BE">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textAlignment w:val="auto"/>
        <w:rPr>
          <w:rFonts w:hint="default" w:ascii="Times New Roman" w:hAnsi="Times New Roman" w:cs="Times New Roman"/>
          <w:snapToGrid w:val="0"/>
          <w:color w:val="auto"/>
          <w:sz w:val="24"/>
          <w:szCs w:val="24"/>
          <w:highlight w:val="none"/>
          <w:shd w:val="clear" w:color="auto" w:fill="FFFFFF" w:themeFill="background1"/>
        </w:rPr>
      </w:pPr>
      <w:r>
        <w:rPr>
          <w:rFonts w:hint="default" w:ascii="Times New Roman" w:hAnsi="Times New Roman" w:cs="Times New Roman"/>
          <w:snapToGrid w:val="0"/>
          <w:color w:val="auto"/>
          <w:sz w:val="24"/>
          <w:szCs w:val="24"/>
          <w:highlight w:val="none"/>
          <w:shd w:val="clear" w:color="auto" w:fill="FFFFFF" w:themeFill="background1"/>
        </w:rPr>
        <w:t xml:space="preserve">Where </w:t>
      </w:r>
      <w:r>
        <w:rPr>
          <w:rFonts w:hint="default" w:ascii="Times New Roman" w:hAnsi="Times New Roman" w:cs="Times New Roman"/>
          <w:color w:val="auto"/>
          <w:position w:val="-18"/>
          <w:sz w:val="24"/>
          <w:szCs w:val="24"/>
          <w:highlight w:val="none"/>
        </w:rPr>
        <w:object>
          <v:shape id="_x0000_i1087" o:spt="75" type="#_x0000_t75" style="height:20.9pt;width:25.55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7" r:id="rId130">
            <o:LockedField>false</o:LockedField>
          </o:OLEObject>
        </w:object>
      </w:r>
      <w:r>
        <w:rPr>
          <w:rFonts w:hint="default" w:ascii="Times New Roman" w:hAnsi="Times New Roman" w:eastAsia="宋体" w:cs="Times New Roman"/>
          <w:snapToGrid w:val="0"/>
          <w:color w:val="auto"/>
          <w:sz w:val="24"/>
          <w:szCs w:val="24"/>
          <w:highlight w:val="none"/>
          <w:shd w:val="clear" w:color="auto" w:fill="FFFFFF" w:themeFill="background1"/>
        </w:rPr>
        <w:t xml:space="preserve"> </w:t>
      </w:r>
      <w:r>
        <w:rPr>
          <w:rFonts w:hint="default" w:ascii="Times New Roman" w:hAnsi="Times New Roman" w:eastAsia="宋体" w:cs="Times New Roman"/>
          <w:color w:val="auto"/>
          <w:sz w:val="24"/>
          <w:szCs w:val="24"/>
          <w:highlight w:val="none"/>
        </w:rPr>
        <w:t>denotes the spatial weight between regions</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z w:val="24"/>
          <w:szCs w:val="24"/>
          <w:highlight w:val="none"/>
          <w:lang w:val="en-US" w:eastAsia="zh-CN"/>
        </w:rPr>
        <w:t>i</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and </w:t>
      </w:r>
      <w:r>
        <w:rPr>
          <w:rFonts w:hint="default" w:ascii="Times New Roman" w:hAnsi="Times New Roman" w:eastAsia="宋体" w:cs="Times New Roman"/>
          <w:i/>
          <w:iCs/>
          <w:color w:val="auto"/>
          <w:sz w:val="24"/>
          <w:szCs w:val="24"/>
          <w:highlight w:val="none"/>
          <w:lang w:val="en-US" w:eastAsia="zh-CN"/>
        </w:rPr>
        <w:t>j</w:t>
      </w:r>
      <w:r>
        <w:rPr>
          <w:rFonts w:hint="default" w:ascii="Times New Roman" w:hAnsi="Times New Roman" w:eastAsia="宋体" w:cs="Times New Roman"/>
          <w:snapToGrid w:val="0"/>
          <w:color w:val="auto"/>
          <w:sz w:val="24"/>
          <w:szCs w:val="24"/>
          <w:highlight w:val="none"/>
          <w:shd w:val="clear" w:color="auto" w:fill="FFFFFF" w:themeFill="background1"/>
        </w:rPr>
        <w:t>;</w:t>
      </w:r>
      <w:r>
        <w:rPr>
          <w:rFonts w:hint="default" w:ascii="Times New Roman" w:hAnsi="Times New Roman" w:cs="Times New Roman"/>
          <w:snapToGrid w:val="0"/>
          <w:color w:val="auto"/>
          <w:sz w:val="24"/>
          <w:szCs w:val="24"/>
          <w:highlight w:val="none"/>
          <w:shd w:val="clear" w:color="auto" w:fill="FFFFFF" w:themeFill="background1"/>
        </w:rPr>
        <w:t xml:space="preserve"> </w:t>
      </w:r>
      <w:r>
        <w:rPr>
          <w:rFonts w:hint="default" w:ascii="Times New Roman" w:hAnsi="Times New Roman" w:cs="Times New Roman"/>
          <w:color w:val="auto"/>
          <w:position w:val="-14"/>
          <w:sz w:val="24"/>
          <w:szCs w:val="24"/>
          <w:highlight w:val="none"/>
        </w:rPr>
        <w:object>
          <v:shape id="_x0000_i1088" o:spt="75" type="#_x0000_t75" style="height:19.15pt;width:13.95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8" r:id="rId132">
            <o:LockedField>false</o:LockedField>
          </o:OLEObject>
        </w:objec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snapToGrid w:val="0"/>
          <w:color w:val="auto"/>
          <w:sz w:val="24"/>
          <w:szCs w:val="24"/>
          <w:highlight w:val="none"/>
          <w:shd w:val="clear" w:color="auto" w:fill="FFFFFF" w:themeFill="background1"/>
        </w:rPr>
        <w:t>represents the spherical distance, which is calculated based on the latitude and longitude of the capital cities of regions</w:t>
      </w:r>
      <w:r>
        <w:rPr>
          <w:rFonts w:hint="default" w:ascii="Times New Roman" w:hAnsi="Times New Roman" w:eastAsia="宋体" w:cs="Times New Roman"/>
          <w:snapToGrid w:val="0"/>
          <w:color w:val="auto"/>
          <w:sz w:val="24"/>
          <w:szCs w:val="24"/>
          <w:highlight w:val="none"/>
          <w:shd w:val="clear" w:color="auto" w:fill="FFFFFF" w:themeFill="background1"/>
        </w:rPr>
        <w:t xml:space="preserve"> </w:t>
      </w:r>
      <w:r>
        <w:rPr>
          <w:rFonts w:hint="default" w:ascii="Times New Roman" w:hAnsi="Times New Roman" w:cs="Times New Roman"/>
          <w:color w:val="auto"/>
          <w:position w:val="-6"/>
          <w:sz w:val="24"/>
          <w:szCs w:val="24"/>
          <w:highlight w:val="none"/>
        </w:rPr>
        <w:object>
          <v:shape id="_x0000_i1089" o:spt="75" type="#_x0000_t75" style="height:13.35pt;width:6.95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34">
            <o:LockedField>false</o:LockedField>
          </o:OLEObject>
        </w:object>
      </w:r>
      <w:r>
        <w:rPr>
          <w:rFonts w:hint="default" w:ascii="Times New Roman" w:hAnsi="Times New Roman" w:eastAsia="宋体" w:cs="Times New Roman"/>
          <w:snapToGrid w:val="0"/>
          <w:color w:val="auto"/>
          <w:sz w:val="24"/>
          <w:szCs w:val="24"/>
          <w:highlight w:val="none"/>
          <w:shd w:val="clear" w:color="auto" w:fill="FFFFFF" w:themeFill="background1"/>
        </w:rPr>
        <w:t xml:space="preserve"> </w:t>
      </w:r>
      <w:r>
        <w:rPr>
          <w:rFonts w:hint="default" w:ascii="Times New Roman" w:hAnsi="Times New Roman" w:cs="Times New Roman"/>
          <w:snapToGrid w:val="0"/>
          <w:color w:val="auto"/>
          <w:sz w:val="24"/>
          <w:szCs w:val="24"/>
          <w:highlight w:val="none"/>
          <w:shd w:val="clear" w:color="auto" w:fill="FFFFFF" w:themeFill="background1"/>
        </w:rPr>
        <w:t xml:space="preserve">and </w:t>
      </w:r>
      <w:r>
        <w:rPr>
          <w:rFonts w:hint="default" w:ascii="Times New Roman" w:hAnsi="Times New Roman" w:cs="Times New Roman"/>
          <w:color w:val="auto"/>
          <w:position w:val="-10"/>
          <w:sz w:val="24"/>
          <w:szCs w:val="24"/>
          <w:highlight w:val="none"/>
        </w:rPr>
        <w:object>
          <v:shape id="_x0000_i1090" o:spt="75" type="#_x0000_t75" style="height:15.1pt;width:10.45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90" r:id="rId136">
            <o:LockedField>false</o:LockedField>
          </o:OLEObject>
        </w:object>
      </w:r>
      <w:r>
        <w:rPr>
          <w:rFonts w:hint="default" w:ascii="Times New Roman" w:hAnsi="Times New Roman" w:cs="Times New Roman"/>
          <w:snapToGrid w:val="0"/>
          <w:color w:val="auto"/>
          <w:sz w:val="24"/>
          <w:szCs w:val="24"/>
          <w:highlight w:val="none"/>
          <w:shd w:val="clear" w:color="auto" w:fill="FFFFFF" w:themeFill="background1"/>
        </w:rPr>
        <w:t>.</w:t>
      </w:r>
    </w:p>
    <w:p w14:paraId="4848E8AE">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The economic distance matrix is constructed using the inverse of the absolute difference in average GDP per capita between regions</w:t>
      </w:r>
      <w:r>
        <w:rPr>
          <w:rFonts w:hint="default" w:ascii="Times New Roman" w:hAnsi="Times New Roman" w:eastAsia="宋体" w:cs="Times New Roman"/>
          <w:color w:val="auto"/>
          <w:sz w:val="24"/>
          <w:szCs w:val="24"/>
          <w:highlight w:val="none"/>
          <w:shd w:val="clear" w:color="auto" w:fill="FFFFFF" w:themeFill="background1"/>
        </w:rPr>
        <w:t xml:space="preserve"> </w:t>
      </w:r>
      <w:r>
        <w:rPr>
          <w:rFonts w:hint="default" w:ascii="Times New Roman" w:hAnsi="Times New Roman" w:eastAsia="宋体"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ADDIN ZOTERO_ITEM CSL_CITATION {"citationID":"D5njMB8O","properties":{"formattedCitation":"(Anselin, 1988)","plainCitation":"(Anselin, 1988)","noteIndex":0},"citationItems":[{"id":"CBASGh0w/j20GEOf0","uris":["http://zotero.org/users/11391010/items/VXHIZ9CR"],"itemData":{"id":32785,"type":"book","abstract":"Spatial econometrics deals with spatial dependence and spatial heterogeneity, critical aspects of the data used by regional scientists. These characteristics may cause standard econometric techniques to become inappropriate. In this book, I combine several recent research results to construct a comprehensive approach to the incorporation of spatial effects in econometrics. My primary focus is to demonstrate how these spatial effects can be considered as special cases of general frameworks in standard econometrics, and to outline how they necessitate a separate set of methods and techniques, encompassed within the field of spatial econometrics. My viewpoint differs from that taken in the discussion of spatial autocorrelation in spatial statistics - e.g., most recently by Cliff and Ord (1981) and Upton and Fingleton (1985) - in that I am mostly concerned with the relevance of spatial effects on model specification, estimation and other inference, in what I caIl a model-driven approach, as opposed to a data-driven approach in spatial statistics. I attempt to combine a rigorous econometric perspective with a comprehensive treatment of methodological issues in spatial analysis.","ISBN":"978-90-247-3735-2","language":"en","note":"Google-Books-ID: 3dPIXClv4YYC","number-of-pages":"308","publisher":"Springer Science &amp; Business Media","source":"Google Books","title":"Spatial econometrics: methods and models","title-short":"Spatial econometrics","author":[{"family":"Anselin","given":"L."}],"issued":{"date-parts":[["1988",8,31]]},"citation-key":""}}],"schema":"https://github.com/citation-style-language/schema/raw/master/csl-citation.json"} </w:instrText>
      </w:r>
      <w:r>
        <w:rPr>
          <w:rFonts w:hint="default" w:ascii="Times New Roman" w:hAnsi="Times New Roman" w:eastAsia="宋体"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rPr>
        <w:t>(Wan et al., 2025)</w:t>
      </w:r>
      <w:r>
        <w:rPr>
          <w:rFonts w:hint="default" w:ascii="Times New Roman" w:hAnsi="Times New Roman" w:eastAsia="宋体" w:cs="Times New Roman"/>
          <w:color w:val="auto"/>
          <w:sz w:val="24"/>
          <w:szCs w:val="24"/>
          <w:highlight w:val="none"/>
          <w:shd w:val="clear" w:color="auto" w:fill="FFFFFF" w:themeFill="background1"/>
        </w:rPr>
        <w:fldChar w:fldCharType="end"/>
      </w:r>
      <w:r>
        <w:rPr>
          <w:rFonts w:hint="default" w:ascii="Times New Roman" w:hAnsi="Times New Roman" w:cs="Times New Roman"/>
          <w:color w:val="auto"/>
          <w:sz w:val="24"/>
          <w:szCs w:val="24"/>
          <w:highlight w:val="none"/>
        </w:rPr>
        <w:t>:</w:t>
      </w:r>
    </w:p>
    <w:p w14:paraId="7E77B969">
      <w:pPr>
        <w:spacing w:after="0" w:afterLines="0" w:line="480" w:lineRule="auto"/>
        <w:ind w:firstLine="420" w:firstLineChars="200"/>
        <w:jc w:val="left"/>
        <w:rPr>
          <w:rFonts w:hint="default" w:ascii="Times New Roman" w:hAnsi="Times New Roman" w:cs="Times New Roman"/>
          <w:color w:val="auto"/>
          <w:highlight w:val="none"/>
        </w:rPr>
      </w:pPr>
      <w:r>
        <w:rPr>
          <w:rFonts w:hint="default" w:ascii="Times New Roman" w:hAnsi="Times New Roman" w:cs="Times New Roman"/>
          <w:color w:val="auto"/>
          <w:position w:val="-52"/>
          <w:highlight w:val="none"/>
        </w:rPr>
        <w:object>
          <v:shape id="_x0000_i1091" o:spt="75" type="#_x0000_t75" style="height:58.05pt;width:177.75pt;" o:ole="t" filled="f" o:preferrelative="t" stroked="f" coordsize="21600,21600">
            <v:path/>
            <v:fill on="f" focussize="0,0"/>
            <v:stroke on="f"/>
            <v:imagedata r:id="rId139" o:title=""/>
            <o:lock v:ext="edit" aspectratio="t"/>
            <w10:wrap type="none"/>
            <w10:anchorlock/>
          </v:shape>
          <o:OLEObject Type="Embed" ProgID="Equation.DSMT4" ShapeID="_x0000_i1091" DrawAspect="Content" ObjectID="_1468075791" r:id="rId138">
            <o:LockedField>false</o:LockedField>
          </o:OLEObject>
        </w:object>
      </w:r>
      <w:r>
        <w:rPr>
          <w:rFonts w:hint="default" w:ascii="Times New Roman" w:hAnsi="Times New Roman" w:cs="Times New Roman"/>
          <w:color w:val="auto"/>
          <w:highlight w:val="none"/>
          <w:shd w:val="clear" w:color="auto" w:fill="FFFFFF" w:themeFill="background1"/>
        </w:rPr>
        <w:t xml:space="preserve"> </w:t>
      </w:r>
      <w:bookmarkStart w:id="1" w:name="_Hlk139464147"/>
      <w:r>
        <w:rPr>
          <w:rFonts w:hint="default" w:ascii="Times New Roman" w:hAnsi="Times New Roman" w:cs="Times New Roman"/>
          <w:color w:val="auto"/>
          <w:highlight w:val="none"/>
          <w:shd w:val="clear" w:color="auto" w:fill="FFFFFF" w:themeFill="background1"/>
        </w:rPr>
        <w:t xml:space="preserve">     </w:t>
      </w:r>
      <w:bookmarkStart w:id="2" w:name="_Hlk139738570"/>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highlight w:val="none"/>
          <w:shd w:val="clear" w:color="auto" w:fill="FFFFFF" w:themeFill="background1"/>
          <w:lang w:val="en-US" w:eastAsia="zh-CN"/>
        </w:rPr>
        <w:t xml:space="preserve">                            </w: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lang w:val="en-US" w:eastAsia="zh-CN"/>
        </w:rPr>
        <w:t>7</w:t>
      </w:r>
      <w:r>
        <w:rPr>
          <w:rFonts w:hint="default" w:ascii="Times New Roman" w:hAnsi="Times New Roman" w:cs="Times New Roman"/>
          <w:color w:val="auto"/>
          <w:sz w:val="24"/>
          <w:szCs w:val="24"/>
          <w:highlight w:val="none"/>
          <w:shd w:val="clear" w:color="auto" w:fill="FFFFFF" w:themeFill="background1"/>
        </w:rPr>
        <w:t>)</w:t>
      </w:r>
      <w:bookmarkEnd w:id="1"/>
      <w:bookmarkEnd w:id="2"/>
    </w:p>
    <w:p w14:paraId="3CE213F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w:t>
      </w:r>
      <w:r>
        <w:rPr>
          <w:rFonts w:hint="default" w:ascii="Times New Roman" w:hAnsi="Times New Roman" w:cs="Times New Roman"/>
          <w:color w:val="auto"/>
          <w:highlight w:val="none"/>
        </w:rPr>
        <w:t>here</w: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position w:val="-14"/>
          <w:highlight w:val="none"/>
        </w:rPr>
        <w:object>
          <v:shape id="_x0000_i1092" o:spt="75" type="#_x0000_t75" style="height:19.15pt;width:28.45pt;" o:ole="t" filled="f" o:preferrelative="t" stroked="f" coordsize="21600,21600">
            <v:path/>
            <v:fill on="f" focussize="0,0"/>
            <v:stroke on="f" joinstyle="miter"/>
            <v:imagedata r:id="rId141" o:title=""/>
            <o:lock v:ext="edit" aspectratio="t"/>
            <w10:wrap type="none"/>
            <w10:anchorlock/>
          </v:shape>
          <o:OLEObject Type="Embed" ProgID="Equation.DSMT4" ShapeID="_x0000_i1092" DrawAspect="Content" ObjectID="_1468075792" r:id="rId140">
            <o:LockedField>false</o:LockedField>
          </o:OLEObject>
        </w:object>
      </w:r>
      <w:r>
        <w:rPr>
          <w:rFonts w:hint="default" w:ascii="Times New Roman" w:hAnsi="Times New Roman" w:eastAsia="宋体" w:cs="Times New Roman"/>
          <w:color w:val="auto"/>
          <w:position w:val="-14"/>
          <w:highlight w:val="none"/>
          <w:shd w:val="clear" w:color="auto" w:fill="FFFFFF" w:themeFill="background1"/>
        </w:rPr>
        <w:t xml:space="preserve"> </w:t>
      </w:r>
      <w:r>
        <w:rPr>
          <w:rFonts w:hint="default" w:ascii="Times New Roman" w:hAnsi="Times New Roman" w:eastAsia="宋体" w:cs="Times New Roman"/>
          <w:color w:val="auto"/>
          <w:sz w:val="24"/>
          <w:szCs w:val="24"/>
          <w:highlight w:val="none"/>
        </w:rPr>
        <w:t>denotes the spatial weight between regions</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z w:val="24"/>
          <w:szCs w:val="24"/>
          <w:highlight w:val="none"/>
          <w:lang w:val="en-US" w:eastAsia="zh-CN"/>
        </w:rPr>
        <w:t>i</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and </w:t>
      </w:r>
      <w:r>
        <w:rPr>
          <w:rFonts w:hint="default" w:ascii="Times New Roman" w:hAnsi="Times New Roman" w:eastAsia="宋体" w:cs="Times New Roman"/>
          <w:i/>
          <w:iCs/>
          <w:color w:val="auto"/>
          <w:sz w:val="24"/>
          <w:szCs w:val="24"/>
          <w:highlight w:val="none"/>
          <w:lang w:val="en-US" w:eastAsia="zh-CN"/>
        </w:rPr>
        <w:t>j</w:t>
      </w:r>
      <w:r>
        <w:rPr>
          <w:rFonts w:hint="default" w:ascii="Times New Roman" w:hAnsi="Times New Roman" w:eastAsia="宋体" w:cs="Times New Roman"/>
          <w:color w:val="auto"/>
          <w:highlight w:val="none"/>
          <w:shd w:val="clear" w:color="auto" w:fill="FFFFFF" w:themeFill="background1"/>
        </w:rPr>
        <w:t>;</w:t>
      </w:r>
      <w:r>
        <w:rPr>
          <w:rFonts w:hint="default" w:ascii="Times New Roman" w:hAnsi="Times New Roman" w:cs="Times New Roman"/>
          <w:color w:val="auto"/>
          <w:highlight w:val="none"/>
        </w:rPr>
        <w:t xml:space="preserve"> </w:t>
      </w:r>
      <w:r>
        <w:rPr>
          <w:rFonts w:hint="default" w:ascii="Times New Roman" w:hAnsi="Times New Roman" w:cs="Times New Roman"/>
          <w:color w:val="auto"/>
          <w:position w:val="-12"/>
          <w:highlight w:val="none"/>
        </w:rPr>
        <w:object>
          <v:shape id="_x0000_i1093" o:spt="75" type="#_x0000_t75" style="height:19.75pt;width:37.65pt;" o:ole="t" filled="f" o:preferrelative="t" stroked="f" coordsize="21600,21600">
            <v:path/>
            <v:fill on="f" focussize="0,0"/>
            <v:stroke on="f"/>
            <v:imagedata r:id="rId143" o:title=""/>
            <o:lock v:ext="edit" aspectratio="t"/>
            <w10:wrap type="none"/>
            <w10:anchorlock/>
          </v:shape>
          <o:OLEObject Type="Embed" ProgID="Equation.DSMT4" ShapeID="_x0000_i1093" DrawAspect="Content" ObjectID="_1468075793" r:id="rId142">
            <o:LockedField>false</o:LockedField>
          </o:OLEObject>
        </w:object>
      </w:r>
      <w:r>
        <w:rPr>
          <w:rFonts w:hint="default" w:ascii="Times New Roman" w:hAnsi="Times New Roman" w:cs="Times New Roman"/>
          <w:color w:val="auto"/>
          <w:highlight w:val="none"/>
        </w:rPr>
        <w:t xml:space="preserve"> and</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position w:val="-12"/>
          <w:highlight w:val="none"/>
        </w:rPr>
        <w:object>
          <v:shape id="_x0000_i1094" o:spt="75" type="#_x0000_t75" style="height:19.75pt;width:37.65pt;" o:ole="t" filled="f" o:preferrelative="t" stroked="f" coordsize="21600,21600">
            <v:path/>
            <v:fill on="f" focussize="0,0"/>
            <v:stroke on="f"/>
            <v:imagedata r:id="rId143" o:title=""/>
            <o:lock v:ext="edit" aspectratio="t"/>
            <w10:wrap type="none"/>
            <w10:anchorlock/>
          </v:shape>
          <o:OLEObject Type="Embed" ProgID="Equation.DSMT4" ShapeID="_x0000_i1094" DrawAspect="Content" ObjectID="_1468075794" r:id="rId144">
            <o:LockedField>false</o:LockedField>
          </o:OLEObject>
        </w:object>
      </w:r>
      <w:r>
        <w:rPr>
          <w:rFonts w:hint="default" w:ascii="Times New Roman" w:hAnsi="Times New Roman" w:cs="Times New Roman"/>
          <w:color w:val="auto"/>
          <w:position w:val="-12"/>
          <w:highlight w:val="none"/>
          <w:lang w:val="en-US" w:eastAsia="zh-CN"/>
        </w:rPr>
        <w:t xml:space="preserve"> </w:t>
      </w:r>
      <w:r>
        <w:rPr>
          <w:rFonts w:hint="default" w:ascii="Times New Roman" w:hAnsi="Times New Roman" w:cs="Times New Roman"/>
          <w:color w:val="auto"/>
          <w:highlight w:val="none"/>
        </w:rPr>
        <w:t>represent the sample-period</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average</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GDP per capita </w:t>
      </w:r>
      <w:r>
        <w:rPr>
          <w:rFonts w:hint="default" w:ascii="Times New Roman" w:hAnsi="Times New Roman" w:cs="Times New Roman"/>
          <w:color w:val="auto"/>
          <w:highlight w:val="none"/>
          <w:lang w:val="en-US" w:eastAsia="zh-CN"/>
        </w:rPr>
        <w:t>for</w:t>
      </w:r>
      <w:r>
        <w:rPr>
          <w:rFonts w:hint="default" w:ascii="Times New Roman" w:hAnsi="Times New Roman" w:cs="Times New Roman"/>
          <w:color w:val="auto"/>
          <w:highlight w:val="none"/>
        </w:rPr>
        <w:t xml:space="preserve"> regions</w:t>
      </w:r>
      <w:r>
        <w:rPr>
          <w:rFonts w:hint="default" w:ascii="Times New Roman" w:hAnsi="Times New Roman" w:cs="Times New Roman"/>
          <w:i/>
          <w:iCs/>
          <w:color w:val="auto"/>
          <w:highlight w:val="none"/>
        </w:rPr>
        <w:t xml:space="preserve"> </w:t>
      </w:r>
      <w:r>
        <w:rPr>
          <w:rFonts w:hint="default" w:ascii="Times New Roman" w:hAnsi="Times New Roman" w:cs="Times New Roman"/>
          <w:i/>
          <w:iCs/>
          <w:color w:val="auto"/>
          <w:highlight w:val="none"/>
          <w:lang w:val="en-US" w:eastAsia="zh-CN"/>
        </w:rPr>
        <w:t>i</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and </w:t>
      </w:r>
      <w:r>
        <w:rPr>
          <w:rFonts w:hint="default" w:ascii="Times New Roman" w:hAnsi="Times New Roman" w:cs="Times New Roman"/>
          <w:i/>
          <w:iCs/>
          <w:color w:val="auto"/>
          <w:highlight w:val="none"/>
          <w:lang w:val="en-US" w:eastAsia="zh-CN"/>
        </w:rPr>
        <w:t>j</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sz w:val="24"/>
          <w:szCs w:val="24"/>
          <w:highlight w:val="none"/>
        </w:rPr>
        <w:t>respectively.</w:t>
      </w:r>
      <w:r>
        <w:rPr>
          <w:rFonts w:hint="default" w:ascii="Times New Roman" w:hAnsi="Times New Roman" w:cs="Times New Roman"/>
          <w:color w:val="auto"/>
          <w:highlight w:val="none"/>
        </w:rPr>
        <w:t xml:space="preserve"> </w:t>
      </w:r>
    </w:p>
    <w:p w14:paraId="54E18CA9">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The spatial contiguity matrix is defined based on geographical adjacency between regions (Anselin,</w:t>
      </w:r>
      <w:r>
        <w:rPr>
          <w:rFonts w:hint="default" w:ascii="Times New Roman" w:hAnsi="Times New Roman" w:cs="Times New Roman"/>
          <w:color w:val="auto"/>
          <w:highlight w:val="none"/>
          <w:lang w:val="en-US" w:eastAsia="zh-CN"/>
        </w:rPr>
        <w:t xml:space="preserve"> 2</w:t>
      </w:r>
      <w:r>
        <w:rPr>
          <w:rFonts w:hint="default" w:ascii="Times New Roman" w:hAnsi="Times New Roman" w:cs="Times New Roman"/>
          <w:color w:val="auto"/>
          <w:highlight w:val="none"/>
        </w:rPr>
        <w:t>003)</w:t>
      </w:r>
      <w:r>
        <w:rPr>
          <w:rFonts w:hint="default" w:ascii="Times New Roman" w:hAnsi="Times New Roman" w:cs="Times New Roman"/>
          <w:color w:val="auto"/>
          <w:highlight w:val="none"/>
          <w:lang w:val="en-US" w:eastAsia="zh-CN"/>
        </w:rPr>
        <w:t>, where regions sharing a common boundary or vertex are assigned a value of 1 and 0 otherwise:</w:t>
      </w:r>
    </w:p>
    <w:p w14:paraId="28BA92C8">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480" w:firstLineChars="200"/>
        <w:jc w:val="left"/>
        <w:textAlignment w:val="auto"/>
        <w:rPr>
          <w:rFonts w:hint="default" w:ascii="Times New Roman" w:hAnsi="Times New Roman" w:cs="Times New Roman"/>
          <w:color w:val="auto"/>
          <w:sz w:val="24"/>
          <w:szCs w:val="24"/>
          <w:highlight w:val="none"/>
          <w:shd w:val="clear" w:color="auto" w:fill="FFFFFF" w:themeFill="background1"/>
        </w:rPr>
      </w:pPr>
      <w:r>
        <w:rPr>
          <w:rFonts w:hint="default" w:ascii="Times New Roman" w:hAnsi="Times New Roman" w:cs="Times New Roman"/>
          <w:color w:val="auto"/>
          <w:position w:val="-50"/>
          <w:sz w:val="24"/>
          <w:szCs w:val="24"/>
          <w:highlight w:val="none"/>
        </w:rPr>
        <w:object>
          <v:shape id="_x0000_i1095" o:spt="75" type="#_x0000_t75" style="height:55.75pt;width:294.9pt;" o:ole="t" filled="f" o:preferrelative="t" stroked="f" coordsize="21600,21600">
            <v:path/>
            <v:fill on="f" focussize="0,0"/>
            <v:stroke on="f" joinstyle="miter"/>
            <v:imagedata r:id="rId146" o:title=""/>
            <o:lock v:ext="edit" aspectratio="t"/>
            <w10:wrap type="none"/>
            <w10:anchorlock/>
          </v:shape>
          <o:OLEObject Type="Embed" ProgID="Equation.DSMT4" ShapeID="_x0000_i1095" DrawAspect="Content" ObjectID="_1468075795" r:id="rId145">
            <o:LockedField>false</o:LockedField>
          </o:OLEObject>
        </w:objec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shd w:val="clear" w:color="auto" w:fill="FFFFFF" w:themeFill="background1"/>
        </w:rPr>
        <w:t>(</w:t>
      </w:r>
      <w:r>
        <w:rPr>
          <w:rFonts w:hint="default" w:ascii="Times New Roman" w:hAnsi="Times New Roman" w:cs="Times New Roman"/>
          <w:color w:val="auto"/>
          <w:sz w:val="24"/>
          <w:szCs w:val="24"/>
          <w:highlight w:val="none"/>
          <w:shd w:val="clear" w:color="auto" w:fill="FFFFFF" w:themeFill="background1"/>
          <w:lang w:val="en-US" w:eastAsia="zh-CN"/>
        </w:rPr>
        <w:t>8</w:t>
      </w:r>
      <w:r>
        <w:rPr>
          <w:rFonts w:hint="default" w:ascii="Times New Roman" w:hAnsi="Times New Roman" w:cs="Times New Roman"/>
          <w:color w:val="auto"/>
          <w:sz w:val="24"/>
          <w:szCs w:val="24"/>
          <w:highlight w:val="none"/>
          <w:shd w:val="clear" w:color="auto" w:fill="FFFFFF" w:themeFill="background1"/>
        </w:rPr>
        <w:t>)</w:t>
      </w:r>
    </w:p>
    <w:p w14:paraId="3B953F9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w:t>
      </w:r>
      <w:r>
        <w:rPr>
          <w:rFonts w:hint="default" w:ascii="Times New Roman" w:hAnsi="Times New Roman" w:cs="Times New Roman"/>
          <w:color w:val="auto"/>
          <w:highlight w:val="none"/>
        </w:rPr>
        <w:t>here</w: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position w:val="-14"/>
          <w:highlight w:val="none"/>
        </w:rPr>
        <w:object>
          <v:shape id="_x0000_i1096" o:spt="75" type="#_x0000_t75" style="height:19.15pt;width:23.8pt;" o:ole="t" filled="f" o:preferrelative="t" stroked="f" coordsize="21600,21600">
            <v:path/>
            <v:fill on="f" focussize="0,0"/>
            <v:stroke on="f" joinstyle="miter"/>
            <v:imagedata r:id="rId148" o:title=""/>
            <o:lock v:ext="edit" aspectratio="t"/>
            <w10:wrap type="none"/>
            <w10:anchorlock/>
          </v:shape>
          <o:OLEObject Type="Embed" ProgID="Equation.DSMT4" ShapeID="_x0000_i1096" DrawAspect="Content" ObjectID="_1468075796" r:id="rId147">
            <o:LockedField>false</o:LockedField>
          </o:OLEObject>
        </w:object>
      </w:r>
      <w:r>
        <w:rPr>
          <w:rFonts w:hint="default" w:ascii="Times New Roman" w:hAnsi="Times New Roman" w:eastAsia="宋体" w:cs="Times New Roman"/>
          <w:color w:val="auto"/>
          <w:position w:val="-14"/>
          <w:highlight w:val="none"/>
          <w:shd w:val="clear" w:color="auto" w:fill="FFFFFF" w:themeFill="background1"/>
        </w:rPr>
        <w:t xml:space="preserve"> </w:t>
      </w:r>
      <w:r>
        <w:rPr>
          <w:rFonts w:hint="default" w:ascii="Times New Roman" w:hAnsi="Times New Roman" w:eastAsia="宋体" w:cs="Times New Roman"/>
          <w:color w:val="auto"/>
          <w:sz w:val="24"/>
          <w:szCs w:val="24"/>
          <w:highlight w:val="none"/>
        </w:rPr>
        <w:t>denotes the spatial weight between regions</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z w:val="24"/>
          <w:szCs w:val="24"/>
          <w:highlight w:val="none"/>
          <w:lang w:val="en-US" w:eastAsia="zh-CN"/>
        </w:rPr>
        <w:t>i</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and </w:t>
      </w:r>
      <w:r>
        <w:rPr>
          <w:rFonts w:hint="default" w:ascii="Times New Roman" w:hAnsi="Times New Roman" w:eastAsia="宋体" w:cs="Times New Roman"/>
          <w:i/>
          <w:iCs/>
          <w:color w:val="auto"/>
          <w:sz w:val="24"/>
          <w:szCs w:val="24"/>
          <w:highlight w:val="none"/>
          <w:lang w:val="en-US" w:eastAsia="zh-CN"/>
        </w:rPr>
        <w:t>j</w:t>
      </w:r>
      <w:r>
        <w:rPr>
          <w:rFonts w:hint="default" w:ascii="Times New Roman" w:hAnsi="Times New Roman" w:cs="Times New Roman"/>
          <w:color w:val="auto"/>
          <w:highlight w:val="none"/>
          <w:shd w:val="clear" w:color="auto" w:fill="FFFFFF" w:themeFill="background1"/>
          <w:lang w:val="en-US" w:eastAsia="zh-CN"/>
        </w:rPr>
        <w:t>.</w:t>
      </w:r>
      <w:r>
        <w:rPr>
          <w:rFonts w:hint="default" w:ascii="Times New Roman" w:hAnsi="Times New Roman" w:cs="Times New Roman"/>
          <w:color w:val="auto"/>
          <w:highlight w:val="none"/>
        </w:rPr>
        <w:t xml:space="preserve"> </w:t>
      </w:r>
    </w:p>
    <w:p w14:paraId="57FED985">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cs="Times New Roman"/>
          <w:b/>
          <w:bCs/>
          <w:i/>
          <w:iCs/>
          <w:color w:val="auto"/>
          <w:highlight w:val="none"/>
        </w:rPr>
      </w:pPr>
      <w:r>
        <w:rPr>
          <w:rFonts w:hint="default" w:ascii="Times New Roman" w:hAnsi="Times New Roman" w:cs="Times New Roman"/>
          <w:b/>
          <w:bCs/>
          <w:i/>
          <w:iCs/>
          <w:color w:val="auto"/>
          <w:highlight w:val="none"/>
        </w:rPr>
        <w:t xml:space="preserve">Global Moran’s I index </w:t>
      </w:r>
    </w:p>
    <w:p w14:paraId="7911C633">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Following Das and Ghosh (2016), the Global Moran’s I index is employed to examine the overall spatial autocorrelation of CCD. The index is calculated as follows:</w:t>
      </w:r>
    </w:p>
    <w:p w14:paraId="28BA92D1">
      <w:pPr>
        <w:keepNext w:val="0"/>
        <w:keepLines w:val="0"/>
        <w:pageBreakBefore w:val="0"/>
        <w:widowControl w:val="0"/>
        <w:kinsoku/>
        <w:wordWrap/>
        <w:overflowPunct/>
        <w:topLinePunct w:val="0"/>
        <w:autoSpaceDE/>
        <w:autoSpaceDN/>
        <w:bidi w:val="0"/>
        <w:adjustRightInd/>
        <w:snapToGrid/>
        <w:spacing w:after="0" w:afterLines="0" w:line="240" w:lineRule="auto"/>
        <w:jc w:val="left"/>
        <w:textAlignment w:val="auto"/>
        <w:rPr>
          <w:rFonts w:hint="default" w:ascii="Times New Roman" w:hAnsi="Times New Roman" w:cs="Times New Roman"/>
          <w:color w:val="auto"/>
          <w:highlight w:val="none"/>
          <w:shd w:val="clear" w:color="auto" w:fill="FFFFFF" w:themeFill="background1"/>
        </w:rPr>
      </w:pPr>
      <w:r>
        <w:rPr>
          <w:rFonts w:hint="default" w:ascii="Times New Roman" w:hAnsi="Times New Roman" w:cs="Times New Roman"/>
          <w:color w:val="auto"/>
          <w:position w:val="-70"/>
          <w:highlight w:val="none"/>
        </w:rPr>
        <w:object>
          <v:shape id="_x0000_i1097" o:spt="75" type="#_x0000_t75" style="height:72pt;width:299.1pt;" o:ole="t" filled="f" o:preferrelative="t" stroked="f" coordsize="21600,21600">
            <v:path/>
            <v:fill on="f" focussize="0,0"/>
            <v:stroke on="f" joinstyle="miter"/>
            <v:imagedata r:id="rId150" o:title=""/>
            <o:lock v:ext="edit" aspectratio="t"/>
            <w10:wrap type="none"/>
            <w10:anchorlock/>
          </v:shape>
          <o:OLEObject Type="Embed" ProgID="Equation.DSMT4" ShapeID="_x0000_i1097" DrawAspect="Content" ObjectID="_1468075797" r:id="rId149">
            <o:LockedField>false</o:LockedField>
          </o:OLEObject>
        </w:object>
      </w:r>
      <w:r>
        <w:rPr>
          <w:rFonts w:hint="default" w:ascii="Times New Roman" w:hAnsi="Times New Roman" w:eastAsia="宋体" w:cs="Times New Roman"/>
          <w:color w:val="auto"/>
          <w:position w:val="-70"/>
          <w:highlight w:val="none"/>
        </w:rPr>
        <w:t xml:space="preserve"> </w: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highlight w:val="none"/>
          <w:shd w:val="clear" w:color="auto" w:fill="FFFFFF" w:themeFill="background1"/>
          <w:lang w:val="en-US" w:eastAsia="zh-CN"/>
        </w:rPr>
        <w:t xml:space="preserve">                            </w:t>
      </w:r>
      <w:r>
        <w:rPr>
          <w:rFonts w:hint="default" w:ascii="Times New Roman" w:hAnsi="Times New Roman" w:cs="Times New Roman"/>
          <w:color w:val="auto"/>
          <w:sz w:val="24"/>
          <w:szCs w:val="24"/>
          <w:highlight w:val="none"/>
          <w:shd w:val="clear" w:color="auto" w:fill="FFFFFF" w:themeFill="background1"/>
          <w:lang w:val="en-US" w:eastAsia="zh-CN"/>
        </w:rPr>
        <w:t xml:space="preserve"> </w:t>
      </w:r>
      <w:r>
        <w:rPr>
          <w:rFonts w:hint="default" w:ascii="Times New Roman" w:hAnsi="Times New Roman" w:cs="Times New Roman"/>
          <w:color w:val="auto"/>
          <w:sz w:val="24"/>
          <w:szCs w:val="24"/>
          <w:highlight w:val="none"/>
          <w:shd w:val="clear" w:color="auto" w:fill="FFFFFF" w:themeFill="background1"/>
        </w:rPr>
        <w:t>(</w:t>
      </w:r>
      <w:r>
        <w:rPr>
          <w:rFonts w:hint="default" w:ascii="Times New Roman" w:hAnsi="Times New Roman" w:cs="Times New Roman"/>
          <w:color w:val="auto"/>
          <w:sz w:val="24"/>
          <w:szCs w:val="24"/>
          <w:highlight w:val="none"/>
          <w:shd w:val="clear" w:color="auto" w:fill="FFFFFF" w:themeFill="background1"/>
          <w:lang w:val="en-US" w:eastAsia="zh-CN"/>
        </w:rPr>
        <w:t>9</w:t>
      </w:r>
      <w:r>
        <w:rPr>
          <w:rFonts w:hint="default" w:ascii="Times New Roman" w:hAnsi="Times New Roman" w:cs="Times New Roman"/>
          <w:color w:val="auto"/>
          <w:sz w:val="24"/>
          <w:szCs w:val="24"/>
          <w:highlight w:val="none"/>
          <w:shd w:val="clear" w:color="auto" w:fill="FFFFFF" w:themeFill="background1"/>
        </w:rPr>
        <w:t>)</w:t>
      </w:r>
    </w:p>
    <w:p w14:paraId="2A078281">
      <w:pPr>
        <w:keepNext w:val="0"/>
        <w:keepLines w:val="0"/>
        <w:pageBreakBefore w:val="0"/>
        <w:widowControl w:val="0"/>
        <w:kinsoku/>
        <w:wordWrap/>
        <w:overflowPunct/>
        <w:topLinePunct w:val="0"/>
        <w:autoSpaceDE/>
        <w:autoSpaceDN/>
        <w:bidi w:val="0"/>
        <w:adjustRightInd w:val="0"/>
        <w:snapToGrid w:val="0"/>
        <w:spacing w:before="240" w:beforeAutospacing="0" w:after="240" w:afterAutospacing="0" w:line="240" w:lineRule="auto"/>
        <w:ind w:firstLine="0" w:firstLineChars="0"/>
        <w:textAlignment w:val="auto"/>
        <w:rPr>
          <w:rFonts w:hint="default" w:ascii="Times New Roman" w:hAnsi="Times New Roman" w:cs="Times New Roman"/>
          <w:color w:val="auto"/>
          <w:sz w:val="24"/>
          <w:szCs w:val="24"/>
          <w:highlight w:val="none"/>
          <w:shd w:val="clear" w:color="auto" w:fill="FFFFFF" w:themeFill="background1"/>
          <w:lang w:val="en-US" w:eastAsia="zh-CN"/>
        </w:rPr>
      </w:pPr>
      <w:r>
        <w:rPr>
          <w:rFonts w:hint="default" w:ascii="Times New Roman" w:hAnsi="Times New Roman" w:eastAsia="宋体" w:cs="Times New Roman"/>
          <w:color w:val="auto"/>
          <w:sz w:val="24"/>
          <w:szCs w:val="24"/>
          <w:highlight w:val="none"/>
          <w:lang w:val="en-US" w:eastAsia="zh-CN"/>
        </w:rPr>
        <w:t>W</w:t>
      </w:r>
      <w:r>
        <w:rPr>
          <w:rFonts w:hint="default" w:ascii="Times New Roman" w:hAnsi="Times New Roman" w:eastAsia="宋体" w:cs="Times New Roman"/>
          <w:color w:val="auto"/>
          <w:sz w:val="24"/>
          <w:szCs w:val="24"/>
          <w:highlight w:val="none"/>
        </w:rPr>
        <w:t>here</w:t>
      </w:r>
      <w:r>
        <w:rPr>
          <w:rFonts w:hint="default" w:ascii="Times New Roman" w:hAnsi="Times New Roman" w:eastAsia="宋体" w:cs="Times New Roman"/>
          <w:i/>
          <w:iCs/>
          <w:color w:val="auto"/>
          <w:sz w:val="24"/>
          <w:szCs w:val="24"/>
          <w:highlight w:val="none"/>
        </w:rPr>
        <w:t xml:space="preserve"> n</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denotes the number of regions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position w:val="-14"/>
          <w:sz w:val="24"/>
          <w:szCs w:val="24"/>
          <w:highlight w:val="none"/>
        </w:rPr>
        <w:object>
          <v:shape id="_x0000_i1098" o:spt="75" type="#_x0000_t75" style="height:19.15pt;width:16.25pt;" o:ole="t" filled="f" o:preferrelative="t" stroked="f" coordsize="21600,21600">
            <v:path/>
            <v:fill on="f" focussize="0,0"/>
            <v:stroke on="f" joinstyle="miter"/>
            <v:imagedata r:id="rId152" o:title=""/>
            <o:lock v:ext="edit" aspectratio="t"/>
            <w10:wrap type="none"/>
            <w10:anchorlock/>
          </v:shape>
          <o:OLEObject Type="Embed" ProgID="Equation.DSMT4" ShapeID="_x0000_i1098" DrawAspect="Content" ObjectID="_1468075798" r:id="rId151">
            <o:LockedField>false</o:LockedField>
          </o:OLEObject>
        </w:object>
      </w:r>
      <w:r>
        <w:rPr>
          <w:rFonts w:hint="default" w:ascii="Times New Roman" w:hAnsi="Times New Roman" w:eastAsia="宋体" w:cs="Times New Roman"/>
          <w:color w:val="auto"/>
          <w:sz w:val="24"/>
          <w:szCs w:val="24"/>
          <w:highlight w:val="none"/>
        </w:rPr>
        <w:t xml:space="preserve"> re</w:t>
      </w:r>
      <w:r>
        <w:rPr>
          <w:rFonts w:hint="default"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 xml:space="preserve">resents the spatial weight between regions </w:t>
      </w:r>
      <w:r>
        <w:rPr>
          <w:rFonts w:hint="default" w:ascii="Times New Roman" w:hAnsi="Times New Roman" w:eastAsia="宋体" w:cs="Times New Roman"/>
          <w:i/>
          <w:iCs/>
          <w:color w:val="auto"/>
          <w:sz w:val="24"/>
          <w:szCs w:val="24"/>
          <w:highlight w:val="none"/>
          <w:lang w:val="en-US" w:eastAsia="zh-CN"/>
        </w:rPr>
        <w:t>i</w:t>
      </w:r>
      <w:r>
        <w:rPr>
          <w:rFonts w:hint="default" w:ascii="Times New Roman" w:hAnsi="Times New Roman" w:eastAsia="宋体" w:cs="Times New Roman"/>
          <w:color w:val="auto"/>
          <w:sz w:val="24"/>
          <w:szCs w:val="24"/>
          <w:highlight w:val="none"/>
        </w:rPr>
        <w:t xml:space="preserve"> and </w:t>
      </w:r>
      <w:r>
        <w:rPr>
          <w:rFonts w:hint="default" w:ascii="Times New Roman" w:hAnsi="Times New Roman" w:eastAsia="宋体" w:cs="Times New Roman"/>
          <w:i/>
          <w:iCs/>
          <w:color w:val="auto"/>
          <w:sz w:val="24"/>
          <w:szCs w:val="24"/>
          <w:highlight w:val="none"/>
          <w:lang w:val="en-US" w:eastAsia="zh-CN"/>
        </w:rPr>
        <w:t>j</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position w:val="-12"/>
          <w:sz w:val="24"/>
          <w:szCs w:val="24"/>
          <w:highlight w:val="none"/>
        </w:rPr>
        <w:object>
          <v:shape id="_x0000_i1099" o:spt="75" type="#_x0000_t75" style="height:18pt;width:13.95pt;" o:ole="t" filled="f" o:preferrelative="t" stroked="f" coordsize="21600,21600">
            <v:path/>
            <v:fill on="f" focussize="0,0"/>
            <v:stroke on="f" joinstyle="miter"/>
            <v:imagedata r:id="rId154" o:title=""/>
            <o:lock v:ext="edit" aspectratio="t"/>
            <w10:wrap type="none"/>
            <w10:anchorlock/>
          </v:shape>
          <o:OLEObject Type="Embed" ProgID="Equation.DSMT4" ShapeID="_x0000_i1099" DrawAspect="Content" ObjectID="_1468075799" r:id="rId153">
            <o:LockedField>false</o:LockedField>
          </o:OLEObject>
        </w:object>
      </w:r>
      <w:r>
        <w:rPr>
          <w:rFonts w:hint="default" w:ascii="Times New Roman" w:hAnsi="Times New Roman" w:eastAsia="宋体" w:cs="Times New Roman"/>
          <w:color w:val="auto"/>
          <w:sz w:val="24"/>
          <w:szCs w:val="24"/>
          <w:highlight w:val="none"/>
        </w:rPr>
        <w:t xml:space="preserve"> and </w:t>
      </w:r>
      <w:r>
        <w:rPr>
          <w:rFonts w:hint="default" w:ascii="Times New Roman" w:hAnsi="Times New Roman" w:cs="Times New Roman"/>
          <w:color w:val="auto"/>
          <w:position w:val="-14"/>
          <w:sz w:val="24"/>
          <w:szCs w:val="24"/>
          <w:highlight w:val="none"/>
        </w:rPr>
        <w:object>
          <v:shape id="_x0000_i1100" o:spt="75" type="#_x0000_t75" style="height:19.15pt;width:15.1pt;" o:ole="t" filled="f" o:preferrelative="t" stroked="f" coordsize="21600,21600">
            <v:path/>
            <v:fill on="f" focussize="0,0"/>
            <v:stroke on="f" joinstyle="miter"/>
            <v:imagedata r:id="rId156" o:title=""/>
            <o:lock v:ext="edit" aspectratio="t"/>
            <w10:wrap type="none"/>
            <w10:anchorlock/>
          </v:shape>
          <o:OLEObject Type="Embed" ProgID="Equation.DSMT4" ShapeID="_x0000_i1100" DrawAspect="Content" ObjectID="_1468075800" r:id="rId155">
            <o:LockedField>false</o:LockedField>
          </o:OLEObject>
        </w:object>
      </w:r>
      <w:r>
        <w:rPr>
          <w:rFonts w:hint="default" w:ascii="Times New Roman" w:hAnsi="Times New Roman" w:eastAsia="宋体" w:cs="Times New Roman"/>
          <w:color w:val="auto"/>
          <w:sz w:val="24"/>
          <w:szCs w:val="24"/>
          <w:highlight w:val="none"/>
        </w:rPr>
        <w:t>denote the observed values of CCD</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lang w:val="en-US" w:eastAsia="zh-CN"/>
        </w:rPr>
        <w:t xml:space="preserve">in </w:t>
      </w:r>
      <w:r>
        <w:rPr>
          <w:rFonts w:hint="default" w:ascii="Times New Roman" w:hAnsi="Times New Roman" w:cs="Times New Roman"/>
          <w:color w:val="auto"/>
          <w:sz w:val="24"/>
          <w:szCs w:val="24"/>
          <w:highlight w:val="none"/>
          <w:shd w:val="clear" w:color="auto" w:fill="FFFFFF" w:themeFill="background1"/>
        </w:rPr>
        <w:t>region</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i/>
          <w:iCs/>
          <w:color w:val="auto"/>
          <w:sz w:val="24"/>
          <w:szCs w:val="24"/>
          <w:highlight w:val="none"/>
          <w:lang w:val="en-US" w:eastAsia="zh-CN"/>
        </w:rPr>
        <w:t>i</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and</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position w:val="-10"/>
          <w:sz w:val="24"/>
          <w:szCs w:val="24"/>
          <w:highlight w:val="none"/>
        </w:rPr>
        <w:object>
          <v:shape id="_x0000_i1101" o:spt="75" type="#_x0000_t75" style="height:15.1pt;width:10.45pt;" o:ole="t" filled="f" o:preferrelative="t" stroked="f" coordsize="21600,21600">
            <v:path/>
            <v:fill on="f" focussize="0,0"/>
            <v:stroke on="f" joinstyle="miter"/>
            <v:imagedata r:id="rId158" o:title=""/>
            <o:lock v:ext="edit" aspectratio="t"/>
            <w10:wrap type="none"/>
            <w10:anchorlock/>
          </v:shape>
          <o:OLEObject Type="Embed" ProgID="Equation.DSMT4" ShapeID="_x0000_i1101" DrawAspect="Content" ObjectID="_1468075801" r:id="rId157">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eastAsia="宋体" w:cs="Times New Roman"/>
          <w:color w:val="auto"/>
          <w:sz w:val="24"/>
          <w:szCs w:val="24"/>
          <w:highlight w:val="none"/>
          <w:shd w:val="clear" w:color="auto" w:fill="FFFFFF" w:themeFill="background1"/>
        </w:rPr>
        <w:t>in year</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position w:val="-6"/>
          <w:sz w:val="24"/>
          <w:szCs w:val="24"/>
          <w:highlight w:val="none"/>
        </w:rPr>
        <w:object>
          <v:shape id="_x0000_i1102" o:spt="75" type="#_x0000_t75" style="height:12.2pt;width:6.95pt;" o:ole="t" filled="f" o:preferrelative="t" stroked="f" coordsize="21600,21600">
            <v:path/>
            <v:fill on="f" focussize="0,0"/>
            <v:stroke on="f" joinstyle="miter"/>
            <v:imagedata r:id="rId160" o:title=""/>
            <o:lock v:ext="edit" aspectratio="t"/>
            <w10:wrap type="none"/>
            <w10:anchorlock/>
          </v:shape>
          <o:OLEObject Type="Embed" ProgID="Equation.DSMT4" ShapeID="_x0000_i1102" DrawAspect="Content" ObjectID="_1468075802" r:id="rId159">
            <o:LockedField>false</o:LockedField>
          </o:OLEObject>
        </w:object>
      </w:r>
      <w:r>
        <w:rPr>
          <w:rFonts w:hint="default" w:ascii="Times New Roman" w:hAnsi="Times New Roman" w:eastAsia="宋体" w:cs="Times New Roman"/>
          <w:color w:val="auto"/>
          <w:sz w:val="24"/>
          <w:szCs w:val="24"/>
          <w:highlight w:val="none"/>
        </w:rPr>
        <w:t>, respectively</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position w:val="-12"/>
          <w:sz w:val="24"/>
          <w:szCs w:val="24"/>
          <w:highlight w:val="none"/>
        </w:rPr>
        <w:object>
          <v:shape id="_x0000_i1103" o:spt="75" type="#_x0000_t75" style="height:19.75pt;width:13.35pt;" o:ole="t" filled="f" o:preferrelative="t" stroked="f" coordsize="21600,21600">
            <v:path/>
            <v:fill on="f" focussize="0,0"/>
            <v:stroke on="f" joinstyle="miter"/>
            <v:imagedata r:id="rId162" o:title=""/>
            <o:lock v:ext="edit" aspectratio="t"/>
            <w10:wrap type="none"/>
            <w10:anchorlock/>
          </v:shape>
          <o:OLEObject Type="Embed" ProgID="Equation.DSMT4" ShapeID="_x0000_i1103" DrawAspect="Content" ObjectID="_1468075803" r:id="rId161">
            <o:LockedField>false</o:LockedField>
          </o:OLEObject>
        </w:object>
      </w:r>
      <w:r>
        <w:rPr>
          <w:rFonts w:hint="default" w:ascii="Times New Roman" w:hAnsi="Times New Roman" w:cs="Times New Roman"/>
          <w:color w:val="auto"/>
          <w:sz w:val="24"/>
          <w:szCs w:val="24"/>
          <w:highlight w:val="none"/>
          <w:shd w:val="clear" w:color="auto" w:fill="FFFFFF" w:themeFill="background1"/>
        </w:rPr>
        <w:t xml:space="preserve"> denotes the mean</w:t>
      </w:r>
      <w:r>
        <w:rPr>
          <w:rFonts w:hint="default" w:ascii="Times New Roman" w:hAnsi="Times New Roman" w:eastAsia="宋体" w:cs="Times New Roman"/>
          <w:color w:val="auto"/>
          <w:sz w:val="24"/>
          <w:szCs w:val="24"/>
          <w:highlight w:val="none"/>
          <w:shd w:val="clear" w:color="auto" w:fill="FFFFFF" w:themeFill="background1"/>
        </w:rPr>
        <w:t xml:space="preserve"> value</w:t>
      </w:r>
      <w:r>
        <w:rPr>
          <w:rFonts w:hint="default" w:ascii="Times New Roman" w:hAnsi="Times New Roman" w:cs="Times New Roman"/>
          <w:color w:val="auto"/>
          <w:sz w:val="24"/>
          <w:szCs w:val="24"/>
          <w:highlight w:val="none"/>
          <w:shd w:val="clear" w:color="auto" w:fill="FFFFFF" w:themeFill="background1"/>
        </w:rPr>
        <w:t xml:space="preserve"> of </w:t>
      </w:r>
      <w:r>
        <w:rPr>
          <w:rFonts w:hint="default" w:ascii="Times New Roman" w:hAnsi="Times New Roman" w:cs="Times New Roman"/>
          <w:color w:val="auto"/>
          <w:sz w:val="24"/>
          <w:szCs w:val="24"/>
          <w:highlight w:val="none"/>
          <w:shd w:val="clear" w:color="auto" w:fill="FFFFFF" w:themeFill="background1"/>
          <w:lang w:val="en-US" w:eastAsia="zh-CN"/>
        </w:rPr>
        <w:t>CCD</w:t>
      </w:r>
      <w:r>
        <w:rPr>
          <w:rFonts w:hint="default" w:ascii="Times New Roman" w:hAnsi="Times New Roman" w:cs="Times New Roman"/>
          <w:color w:val="auto"/>
          <w:sz w:val="24"/>
          <w:szCs w:val="24"/>
          <w:highlight w:val="none"/>
          <w:shd w:val="clear" w:color="auto" w:fill="FFFFFF" w:themeFill="background1"/>
        </w:rPr>
        <w:t xml:space="preserve"> across all regions </w:t>
      </w:r>
      <w:r>
        <w:rPr>
          <w:rFonts w:hint="default" w:ascii="Times New Roman" w:hAnsi="Times New Roman" w:eastAsia="宋体" w:cs="Times New Roman"/>
          <w:color w:val="auto"/>
          <w:sz w:val="24"/>
          <w:szCs w:val="24"/>
          <w:highlight w:val="none"/>
          <w:shd w:val="clear" w:color="auto" w:fill="FFFFFF" w:themeFill="background1"/>
        </w:rPr>
        <w:t>in year</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position w:val="-6"/>
          <w:sz w:val="24"/>
          <w:szCs w:val="24"/>
          <w:highlight w:val="none"/>
        </w:rPr>
        <w:object>
          <v:shape id="_x0000_i1104" o:spt="75" type="#_x0000_t75" style="height:12.2pt;width:6.95pt;" o:ole="t" filled="f" o:preferrelative="t" stroked="f" coordsize="21600,21600">
            <v:path/>
            <v:fill on="f" focussize="0,0"/>
            <v:stroke on="f" joinstyle="miter"/>
            <v:imagedata r:id="rId164" o:title=""/>
            <o:lock v:ext="edit" aspectratio="t"/>
            <w10:wrap type="none"/>
            <w10:anchorlock/>
          </v:shape>
          <o:OLEObject Type="Embed" ProgID="Equation.DSMT4" ShapeID="_x0000_i1104" DrawAspect="Content" ObjectID="_1468075804" r:id="rId163">
            <o:LockedField>false</o:LockedField>
          </o:OLEObject>
        </w:object>
      </w:r>
      <w:r>
        <w:rPr>
          <w:rFonts w:hint="default" w:ascii="Times New Roman" w:hAnsi="Times New Roman" w:cs="Times New Roman"/>
          <w:color w:val="auto"/>
          <w:position w:val="-6"/>
          <w:sz w:val="24"/>
          <w:szCs w:val="24"/>
          <w:highlight w:val="none"/>
          <w:lang w:val="en-US" w:eastAsia="zh-CN"/>
        </w:rPr>
        <w:t xml:space="preserve">, </w:t>
      </w:r>
      <w:r>
        <w:rPr>
          <w:rFonts w:hint="default" w:ascii="Times New Roman" w:hAnsi="Times New Roman" w:cs="Times New Roman"/>
          <w:color w:val="auto"/>
          <w:position w:val="-28"/>
          <w:highlight w:val="none"/>
        </w:rPr>
        <w:object>
          <v:shape id="_x0000_i1105" o:spt="75" type="#_x0000_t75" style="height:34.25pt;width:59.8pt;" o:ole="t" filled="f" o:preferrelative="t" stroked="f" coordsize="21600,21600">
            <v:path/>
            <v:fill on="f" focussize="0,0"/>
            <v:stroke on="f" joinstyle="miter"/>
            <v:imagedata r:id="rId166" o:title=""/>
            <o:lock v:ext="edit" aspectratio="t"/>
            <w10:wrap type="none"/>
            <w10:anchorlock/>
          </v:shape>
          <o:OLEObject Type="Embed" ProgID="Equation.DSMT4" ShapeID="_x0000_i1105" DrawAspect="Content" ObjectID="_1468075805" r:id="rId165">
            <o:LockedField>false</o:LockedField>
          </o:OLEObject>
        </w:objec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position w:val="-12"/>
          <w:sz w:val="24"/>
          <w:szCs w:val="24"/>
          <w:highlight w:val="none"/>
        </w:rPr>
        <w:object>
          <v:shape id="_x0000_i1106" o:spt="75" type="#_x0000_t75" style="height:19.15pt;width:15.1pt;" o:ole="t" filled="f" o:preferrelative="t" stroked="f" coordsize="21600,21600">
            <v:path/>
            <v:fill on="f" focussize="0,0"/>
            <v:stroke on="f" joinstyle="miter"/>
            <v:imagedata r:id="rId168" o:title=""/>
            <o:lock v:ext="edit" aspectratio="t"/>
            <w10:wrap type="none"/>
            <w10:anchorlock/>
          </v:shape>
          <o:OLEObject Type="Embed" ProgID="Equation.DSMT4" ShapeID="_x0000_i1106" DrawAspect="Content" ObjectID="_1468075806" r:id="rId167">
            <o:LockedField>false</o:LockedField>
          </o:OLEObject>
        </w:object>
      </w:r>
      <w:r>
        <w:rPr>
          <w:rFonts w:hint="default" w:ascii="Times New Roman" w:hAnsi="Times New Roman" w:eastAsia="宋体"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rPr>
        <w:t xml:space="preserve">is the variance of </w:t>
      </w:r>
      <w:r>
        <w:rPr>
          <w:rFonts w:hint="default" w:ascii="Times New Roman" w:hAnsi="Times New Roman" w:cs="Times New Roman"/>
          <w:color w:val="auto"/>
          <w:sz w:val="24"/>
          <w:szCs w:val="24"/>
          <w:highlight w:val="none"/>
          <w:shd w:val="clear" w:color="auto" w:fill="FFFFFF" w:themeFill="background1"/>
          <w:lang w:val="en-US" w:eastAsia="zh-CN"/>
        </w:rPr>
        <w:t>CCD</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eastAsia="宋体" w:cs="Times New Roman"/>
          <w:color w:val="auto"/>
          <w:sz w:val="24"/>
          <w:szCs w:val="24"/>
          <w:highlight w:val="none"/>
          <w:shd w:val="clear" w:color="auto" w:fill="FFFFFF" w:themeFill="background1"/>
        </w:rPr>
        <w:t>in year</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position w:val="-6"/>
          <w:sz w:val="24"/>
          <w:szCs w:val="24"/>
          <w:highlight w:val="none"/>
        </w:rPr>
        <w:object>
          <v:shape id="_x0000_i1107" o:spt="75" type="#_x0000_t75" style="height:12.2pt;width:6.95pt;" o:ole="t" filled="f" o:preferrelative="t" stroked="f" coordsize="21600,21600">
            <v:path/>
            <v:fill on="f" focussize="0,0"/>
            <v:stroke on="f" joinstyle="miter"/>
            <v:imagedata r:id="rId170" o:title=""/>
            <o:lock v:ext="edit" aspectratio="t"/>
            <w10:wrap type="none"/>
            <w10:anchorlock/>
          </v:shape>
          <o:OLEObject Type="Embed" ProgID="Equation.DSMT4" ShapeID="_x0000_i1107" DrawAspect="Content" ObjectID="_1468075807" r:id="rId169">
            <o:LockedField>false</o:LockedField>
          </o:OLEObject>
        </w:object>
      </w:r>
      <w:r>
        <w:rPr>
          <w:rFonts w:hint="default" w:ascii="Times New Roman" w:hAnsi="Times New Roman" w:cs="Times New Roman"/>
          <w:color w:val="auto"/>
          <w:position w:val="-6"/>
          <w:sz w:val="24"/>
          <w:szCs w:val="24"/>
          <w:highlight w:val="none"/>
          <w:lang w:val="en-US" w:eastAsia="zh-CN"/>
        </w:rPr>
        <w:t xml:space="preserve">, </w:t>
      </w:r>
      <w:r>
        <w:rPr>
          <w:rFonts w:hint="default" w:ascii="Times New Roman" w:hAnsi="Times New Roman" w:cs="Times New Roman"/>
          <w:color w:val="auto"/>
          <w:position w:val="-30"/>
          <w:highlight w:val="none"/>
        </w:rPr>
        <w:object>
          <v:shape id="_x0000_i1108" o:spt="75" type="#_x0000_t75" style="height:34.85pt;width:100.4pt;" o:ole="t" filled="f" o:preferrelative="t" stroked="f" coordsize="21600,21600">
            <v:path/>
            <v:fill on="f" focussize="0,0"/>
            <v:stroke on="f" joinstyle="miter"/>
            <v:imagedata r:id="rId172" o:title=""/>
            <o:lock v:ext="edit" aspectratio="t"/>
            <w10:wrap type="none"/>
            <w10:anchorlock/>
          </v:shape>
          <o:OLEObject Type="Embed" ProgID="Equation.DSMT4" ShapeID="_x0000_i1108" DrawAspect="Content" ObjectID="_1468075808" r:id="rId171">
            <o:LockedField>false</o:LockedField>
          </o:OLEObject>
        </w:object>
      </w:r>
      <w:r>
        <w:rPr>
          <w:rFonts w:hint="default" w:ascii="Times New Roman" w:hAnsi="Times New Roman" w:cs="Times New Roman"/>
          <w:color w:val="auto"/>
          <w:sz w:val="24"/>
          <w:szCs w:val="24"/>
          <w:highlight w:val="none"/>
          <w:shd w:val="clear" w:color="auto" w:fill="FFFFFF" w:themeFill="background1"/>
          <w:lang w:val="en-US" w:eastAsia="zh-CN"/>
        </w:rPr>
        <w:t xml:space="preserve">. </w:t>
      </w:r>
    </w:p>
    <w:p w14:paraId="0D483719">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ind w:firstLine="0" w:firstLineChars="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 xml:space="preserve">A positive </w:t>
      </w:r>
      <w:r>
        <w:rPr>
          <w:rFonts w:hint="default" w:ascii="Times New Roman" w:hAnsi="Times New Roman" w:cs="Times New Roman"/>
          <w:b w:val="0"/>
          <w:bCs w:val="0"/>
          <w:color w:val="auto"/>
          <w:sz w:val="24"/>
          <w:szCs w:val="24"/>
          <w:highlight w:val="none"/>
          <w:lang w:val="en-US" w:eastAsia="zh-CN"/>
        </w:rPr>
        <w:t xml:space="preserve">Global </w:t>
      </w:r>
      <w:r>
        <w:rPr>
          <w:rFonts w:hint="default" w:ascii="Times New Roman" w:hAnsi="Times New Roman" w:eastAsia="宋体" w:cs="Times New Roman"/>
          <w:b w:val="0"/>
          <w:bCs w:val="0"/>
          <w:color w:val="auto"/>
          <w:sz w:val="24"/>
          <w:szCs w:val="24"/>
          <w:highlight w:val="none"/>
        </w:rPr>
        <w:t>Moran's I indicates that regions with similar CCD levels tend to be spatially clustered, whereas a negative Global</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Moran's I indicates that regions with dissimilar CCD levels tend to be spatially adjacent. A value close to zero suggests a random spatial distribution.</w:t>
      </w:r>
    </w:p>
    <w:p w14:paraId="032888BC">
      <w:pPr>
        <w:pStyle w:val="4"/>
        <w:keepNext w:val="0"/>
        <w:keepLines w:val="0"/>
        <w:pageBreakBefore w:val="0"/>
        <w:widowControl/>
        <w:suppressLineNumbers w:val="0"/>
        <w:kinsoku/>
        <w:wordWrap/>
        <w:overflowPunct/>
        <w:topLinePunct w:val="0"/>
        <w:autoSpaceDE/>
        <w:autoSpaceDN/>
        <w:bidi w:val="0"/>
        <w:adjustRightInd/>
        <w:snapToGrid/>
        <w:spacing w:before="240" w:beforeLines="0" w:beforeAutospacing="0" w:after="240" w:afterLines="0" w:afterAutospacing="0" w:line="240" w:lineRule="auto"/>
        <w:ind w:firstLine="0" w:firstLineChars="0"/>
        <w:jc w:val="both"/>
        <w:textAlignment w:val="auto"/>
        <w:rPr>
          <w:rFonts w:hint="default" w:ascii="Times New Roman" w:hAnsi="Times New Roman" w:cs="Times New Roman"/>
          <w:i/>
          <w:iCs/>
          <w:color w:val="auto"/>
          <w:sz w:val="24"/>
          <w:szCs w:val="24"/>
          <w:highlight w:val="none"/>
        </w:rPr>
      </w:pPr>
      <w:r>
        <w:rPr>
          <w:rFonts w:hint="default" w:ascii="Times New Roman" w:hAnsi="Times New Roman" w:cs="Times New Roman"/>
          <w:i/>
          <w:iCs/>
          <w:color w:val="auto"/>
          <w:sz w:val="24"/>
          <w:szCs w:val="24"/>
          <w:highlight w:val="none"/>
        </w:rPr>
        <w:t>Local Moran's I Index</w:t>
      </w:r>
    </w:p>
    <w:p w14:paraId="3A85D5B6">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The Local Moran's I </w:t>
      </w:r>
      <w:r>
        <w:rPr>
          <w:rFonts w:hint="default" w:ascii="Times New Roman" w:hAnsi="Times New Roman" w:eastAsia="宋体" w:cs="Times New Roman"/>
          <w:color w:val="auto"/>
          <w:sz w:val="24"/>
          <w:szCs w:val="24"/>
          <w:highlight w:val="none"/>
          <w:lang w:val="en-US" w:eastAsia="zh-CN"/>
        </w:rPr>
        <w:t>index</w:t>
      </w:r>
      <w:r>
        <w:rPr>
          <w:rFonts w:hint="default" w:ascii="Times New Roman" w:hAnsi="Times New Roman" w:eastAsia="宋体" w:cs="Times New Roman"/>
          <w:color w:val="auto"/>
          <w:sz w:val="24"/>
          <w:szCs w:val="24"/>
          <w:highlight w:val="none"/>
        </w:rPr>
        <w:t xml:space="preserve"> is employed to identify local spatial clustering patterns of CCD </w:t>
      </w:r>
      <w:r>
        <w:rPr>
          <w:rFonts w:hint="default" w:ascii="Times New Roman" w:hAnsi="Times New Roman" w:eastAsia="宋体" w:cs="Times New Roman"/>
          <w:color w:val="auto"/>
          <w:sz w:val="24"/>
          <w:szCs w:val="24"/>
          <w:highlight w:val="none"/>
          <w:lang w:val="en-US" w:eastAsia="zh-CN"/>
        </w:rPr>
        <w:t>and</w:t>
      </w:r>
      <w:r>
        <w:rPr>
          <w:rFonts w:hint="default" w:ascii="Times New Roman" w:hAnsi="Times New Roman" w:eastAsia="宋体" w:cs="Times New Roman"/>
          <w:color w:val="auto"/>
          <w:sz w:val="24"/>
          <w:szCs w:val="24"/>
          <w:highlight w:val="none"/>
        </w:rPr>
        <w:t xml:space="preserve"> is calculated as follows:</w:t>
      </w:r>
    </w:p>
    <w:p w14:paraId="2EB6935C">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420" w:firstLineChars="200"/>
        <w:jc w:val="left"/>
        <w:textAlignment w:val="auto"/>
        <w:rPr>
          <w:rFonts w:hint="default" w:ascii="Times New Roman" w:hAnsi="Times New Roman" w:cs="Times New Roman"/>
          <w:color w:val="auto"/>
          <w:highlight w:val="none"/>
          <w:shd w:val="clear" w:color="auto" w:fill="FFFFFF" w:themeFill="background1"/>
        </w:rPr>
      </w:pPr>
      <w:r>
        <w:rPr>
          <w:rFonts w:hint="default" w:ascii="Times New Roman" w:hAnsi="Times New Roman" w:cs="Times New Roman"/>
          <w:color w:val="auto"/>
          <w:position w:val="-30"/>
          <w:highlight w:val="none"/>
        </w:rPr>
        <w:object>
          <v:shape id="_x0000_i1109" o:spt="75" type="#_x0000_t75" style="height:40.65pt;width:139.95pt;" o:ole="t" filled="f" o:preferrelative="t" stroked="f" coordsize="21600,21600">
            <v:path/>
            <v:fill on="f" focussize="0,0"/>
            <v:stroke on="f" joinstyle="miter"/>
            <v:imagedata r:id="rId174" o:title=""/>
            <o:lock v:ext="edit" aspectratio="t"/>
            <w10:wrap type="none"/>
            <w10:anchorlock/>
          </v:shape>
          <o:OLEObject Type="Embed" ProgID="Equation.DSMT4" ShapeID="_x0000_i1109" DrawAspect="Content" ObjectID="_1468075809" r:id="rId173">
            <o:LockedField>false</o:LockedField>
          </o:OLEObject>
        </w:objec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highlight w:val="none"/>
          <w:shd w:val="clear" w:color="auto" w:fill="FFFFFF" w:themeFill="background1"/>
          <w:lang w:val="en-US" w:eastAsia="zh-CN"/>
        </w:rPr>
        <w:t xml:space="preserve">                                    </w: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rPr>
        <w:t xml:space="preserve"> (</w:t>
      </w:r>
      <w:r>
        <w:rPr>
          <w:rFonts w:hint="default" w:ascii="Times New Roman" w:hAnsi="Times New Roman" w:cs="Times New Roman"/>
          <w:color w:val="auto"/>
          <w:sz w:val="24"/>
          <w:szCs w:val="24"/>
          <w:highlight w:val="none"/>
          <w:shd w:val="clear" w:color="auto" w:fill="FFFFFF" w:themeFill="background1"/>
          <w:lang w:val="en-US" w:eastAsia="zh-CN"/>
        </w:rPr>
        <w:t>10</w:t>
      </w:r>
      <w:r>
        <w:rPr>
          <w:rFonts w:hint="default" w:ascii="Times New Roman" w:hAnsi="Times New Roman" w:cs="Times New Roman"/>
          <w:color w:val="auto"/>
          <w:sz w:val="24"/>
          <w:szCs w:val="24"/>
          <w:highlight w:val="none"/>
          <w:shd w:val="clear" w:color="auto" w:fill="FFFFFF" w:themeFill="background1"/>
        </w:rPr>
        <w:t>)</w:t>
      </w:r>
    </w:p>
    <w:p w14:paraId="7EBB6399">
      <w:pPr>
        <w:pStyle w:val="10"/>
        <w:keepNext w:val="0"/>
        <w:keepLines w:val="0"/>
        <w:pageBreakBefore w:val="0"/>
        <w:widowControl/>
        <w:suppressLineNumbers w:val="0"/>
        <w:kinsoku/>
        <w:wordWrap/>
        <w:overflowPunct/>
        <w:topLinePunct w:val="0"/>
        <w:autoSpaceDE/>
        <w:autoSpaceDN/>
        <w:bidi w:val="0"/>
        <w:adjustRightInd w:val="0"/>
        <w:snapToGrid w:val="0"/>
        <w:spacing w:before="240" w:beforeAutospacing="0" w:after="240" w:afterAutospacing="0" w:line="240" w:lineRule="auto"/>
        <w:ind w:firstLine="0" w:firstLineChars="0"/>
        <w:jc w:val="both"/>
        <w:textAlignment w:val="auto"/>
        <w:rPr>
          <w:rFonts w:hint="default" w:ascii="Times New Roman" w:hAnsi="Times New Roman" w:cs="Times New Roman"/>
          <w:color w:val="auto"/>
          <w:highlight w:val="none"/>
          <w:shd w:val="clear" w:color="auto" w:fill="FFFFFF" w:themeFill="background1"/>
          <w:lang w:val="en-US" w:eastAsia="zh-CN"/>
        </w:rPr>
      </w:pPr>
      <w:r>
        <w:rPr>
          <w:rFonts w:hint="default" w:ascii="Times New Roman" w:hAnsi="Times New Roman" w:cs="Times New Roman"/>
          <w:color w:val="auto"/>
          <w:highlight w:val="none"/>
          <w:shd w:val="clear" w:color="auto" w:fill="FFFFFF" w:themeFill="background1"/>
        </w:rPr>
        <w:t xml:space="preserve">Where </w:t>
      </w:r>
      <w:r>
        <w:rPr>
          <w:rFonts w:hint="default" w:ascii="Times New Roman" w:hAnsi="Times New Roman" w:cs="Times New Roman"/>
          <w:color w:val="auto"/>
          <w:position w:val="-12"/>
          <w:highlight w:val="none"/>
        </w:rPr>
        <w:object>
          <v:shape id="_x0000_i1110" o:spt="75" type="#_x0000_t75" style="height:18pt;width:13.35pt;" o:ole="t" filled="f" o:preferrelative="t" stroked="f" coordsize="21600,21600">
            <v:path/>
            <v:fill on="f" focussize="0,0"/>
            <v:stroke on="f" joinstyle="miter"/>
            <v:imagedata r:id="rId176" o:title=""/>
            <o:lock v:ext="edit" aspectratio="t"/>
            <w10:wrap type="none"/>
            <w10:anchorlock/>
          </v:shape>
          <o:OLEObject Type="Embed" ProgID="Equation.DSMT4" ShapeID="_x0000_i1110" DrawAspect="Content" ObjectID="_1468075810" r:id="rId175">
            <o:LockedField>false</o:LockedField>
          </o:OLEObject>
        </w:object>
      </w:r>
      <w:r>
        <w:rPr>
          <w:rFonts w:hint="default" w:ascii="Times New Roman" w:hAnsi="Times New Roman" w:eastAsia="宋体" w:cs="Times New Roman"/>
          <w:color w:val="auto"/>
          <w:highlight w:val="none"/>
        </w:rPr>
        <w:t xml:space="preserve"> </w:t>
      </w:r>
      <w:r>
        <w:rPr>
          <w:rFonts w:hint="default" w:ascii="Times New Roman" w:hAnsi="Times New Roman" w:cs="Times New Roman"/>
          <w:color w:val="auto"/>
          <w:highlight w:val="none"/>
          <w:shd w:val="clear" w:color="auto" w:fill="FFFFFF" w:themeFill="background1"/>
        </w:rPr>
        <w:t>denotes the</w:t>
      </w:r>
      <w:r>
        <w:rPr>
          <w:rFonts w:hint="default" w:ascii="Times New Roman" w:hAnsi="Times New Roman" w:eastAsia="宋体" w:cs="Times New Roman"/>
          <w:color w:val="auto"/>
          <w:highlight w:val="none"/>
          <w:shd w:val="clear" w:color="auto" w:fill="FFFFFF" w:themeFill="background1"/>
        </w:rPr>
        <w:t xml:space="preserve"> </w:t>
      </w:r>
      <w:r>
        <w:rPr>
          <w:rFonts w:hint="default" w:ascii="Times New Roman" w:hAnsi="Times New Roman" w:eastAsia="宋体" w:cs="Times New Roman"/>
          <w:i/>
          <w:iCs/>
          <w:color w:val="auto"/>
          <w:highlight w:val="none"/>
          <w:shd w:val="clear" w:color="auto" w:fill="FFFFFF" w:themeFill="background1"/>
        </w:rPr>
        <w:t>L</w:t>
      </w:r>
      <w:r>
        <w:rPr>
          <w:rFonts w:hint="default" w:ascii="Times New Roman" w:hAnsi="Times New Roman" w:cs="Times New Roman"/>
          <w:i/>
          <w:iCs/>
          <w:color w:val="auto"/>
          <w:highlight w:val="none"/>
          <w:shd w:val="clear" w:color="auto" w:fill="FFFFFF" w:themeFill="background1"/>
        </w:rPr>
        <w:t>ocal Moran’s</w:t>
      </w:r>
      <w:r>
        <w:rPr>
          <w:rFonts w:hint="default" w:ascii="Times New Roman" w:hAnsi="Times New Roman" w:cs="Times New Roman"/>
          <w:color w:val="auto"/>
          <w:highlight w:val="none"/>
          <w:shd w:val="clear" w:color="auto" w:fill="FFFFFF" w:themeFill="background1"/>
        </w:rPr>
        <w:t xml:space="preserve"> </w:t>
      </w:r>
      <w:r>
        <w:rPr>
          <w:rFonts w:hint="default" w:ascii="Times New Roman" w:hAnsi="Times New Roman" w:cs="Times New Roman"/>
          <w:color w:val="auto"/>
          <w:position w:val="-4"/>
          <w:highlight w:val="none"/>
        </w:rPr>
        <w:object>
          <v:shape id="_x0000_i1111" o:spt="75" type="#_x0000_t75" style="height:13.35pt;width:10.45pt;" o:ole="t" filled="f" o:preferrelative="t" stroked="f" coordsize="21600,21600">
            <v:path/>
            <v:fill on="f" focussize="0,0"/>
            <v:stroke on="f" joinstyle="miter"/>
            <v:imagedata r:id="rId178" o:title=""/>
            <o:lock v:ext="edit" aspectratio="t"/>
            <w10:wrap type="none"/>
            <w10:anchorlock/>
          </v:shape>
          <o:OLEObject Type="Embed" ProgID="Equation.DSMT4" ShapeID="_x0000_i1111" DrawAspect="Content" ObjectID="_1468075811" r:id="rId177">
            <o:LockedField>false</o:LockedField>
          </o:OLEObject>
        </w:object>
      </w:r>
      <w:r>
        <w:rPr>
          <w:rFonts w:hint="default" w:ascii="Times New Roman" w:hAnsi="Times New Roman" w:cs="Times New Roman"/>
          <w:color w:val="auto"/>
          <w:highlight w:val="none"/>
          <w:shd w:val="clear" w:color="auto" w:fill="FFFFFF" w:themeFill="background1"/>
        </w:rPr>
        <w:t xml:space="preserve"> index </w:t>
      </w:r>
      <w:r>
        <w:rPr>
          <w:rFonts w:hint="default" w:ascii="Times New Roman" w:hAnsi="Times New Roman" w:eastAsia="宋体" w:cs="Times New Roman"/>
          <w:color w:val="auto"/>
          <w:highlight w:val="none"/>
          <w:shd w:val="clear" w:color="auto" w:fill="FFFFFF" w:themeFill="background1"/>
        </w:rPr>
        <w:t>for</w:t>
      </w:r>
      <w:r>
        <w:rPr>
          <w:rFonts w:hint="default" w:ascii="Times New Roman" w:hAnsi="Times New Roman" w:cs="Times New Roman"/>
          <w:color w:val="auto"/>
          <w:highlight w:val="none"/>
          <w:shd w:val="clear" w:color="auto" w:fill="FFFFFF" w:themeFill="background1"/>
        </w:rPr>
        <w:t xml:space="preserve"> region </w:t>
      </w:r>
      <w:r>
        <w:rPr>
          <w:rFonts w:hint="default" w:ascii="Times New Roman" w:hAnsi="Times New Roman" w:cs="Times New Roman"/>
          <w:color w:val="auto"/>
          <w:position w:val="-6"/>
          <w:highlight w:val="none"/>
        </w:rPr>
        <w:object>
          <v:shape id="_x0000_i1112" o:spt="75" type="#_x0000_t75" style="height:13.35pt;width:6.95pt;" o:ole="t" filled="f" o:preferrelative="t" stroked="f" coordsize="21600,21600">
            <v:path/>
            <v:fill on="f" focussize="0,0"/>
            <v:stroke on="f" joinstyle="miter"/>
            <v:imagedata r:id="rId180" o:title=""/>
            <o:lock v:ext="edit" aspectratio="t"/>
            <w10:wrap type="none"/>
            <w10:anchorlock/>
          </v:shape>
          <o:OLEObject Type="Embed" ProgID="Equation.DSMT4" ShapeID="_x0000_i1112" DrawAspect="Content" ObjectID="_1468075812" r:id="rId179">
            <o:LockedField>false</o:LockedField>
          </o:OLEObject>
        </w:object>
      </w:r>
      <w:r>
        <w:rPr>
          <w:rFonts w:hint="default" w:ascii="Times New Roman" w:hAnsi="Times New Roman" w:eastAsia="宋体" w:cs="Times New Roman"/>
          <w:color w:val="auto"/>
          <w:highlight w:val="none"/>
        </w:rPr>
        <w:t xml:space="preserve"> in year </w:t>
      </w:r>
      <w:r>
        <w:rPr>
          <w:rFonts w:hint="default" w:ascii="Times New Roman" w:hAnsi="Times New Roman" w:cs="Times New Roman"/>
          <w:color w:val="auto"/>
          <w:position w:val="-6"/>
          <w:highlight w:val="none"/>
        </w:rPr>
        <w:object>
          <v:shape id="_x0000_i1113" o:spt="75" type="#_x0000_t75" style="height:12.2pt;width:6.95pt;" o:ole="t" filled="f" o:preferrelative="t" stroked="f" coordsize="21600,21600">
            <v:path/>
            <v:fill on="f" focussize="0,0"/>
            <v:stroke on="f" joinstyle="miter"/>
            <v:imagedata r:id="rId182" o:title=""/>
            <o:lock v:ext="edit" aspectratio="t"/>
            <w10:wrap type="none"/>
            <w10:anchorlock/>
          </v:shape>
          <o:OLEObject Type="Embed" ProgID="Equation.DSMT4" ShapeID="_x0000_i1113" DrawAspect="Content" ObjectID="_1468075813" r:id="rId181">
            <o:LockedField>false</o:LockedField>
          </o:OLEObject>
        </w:object>
      </w:r>
      <w:r>
        <w:rPr>
          <w:rFonts w:hint="default" w:ascii="Times New Roman" w:hAnsi="Times New Roman" w:cs="Times New Roman"/>
          <w:color w:val="auto"/>
          <w:highlight w:val="none"/>
          <w:shd w:val="clear" w:color="auto" w:fill="FFFFFF" w:themeFill="background1"/>
          <w:lang w:val="en-US" w:eastAsia="zh-CN"/>
        </w:rPr>
        <w:t>. The definitions of the remaining variables are the same as those in Equation (9).</w:t>
      </w:r>
    </w:p>
    <w:p w14:paraId="06A4900F">
      <w:pPr>
        <w:keepNext w:val="0"/>
        <w:keepLines w:val="0"/>
        <w:pageBreakBefore w:val="0"/>
        <w:widowControl w:val="0"/>
        <w:kinsoku/>
        <w:wordWrap/>
        <w:overflowPunct/>
        <w:topLinePunct w:val="0"/>
        <w:autoSpaceDE/>
        <w:autoSpaceDN/>
        <w:bidi w:val="0"/>
        <w:adjustRightInd/>
        <w:snapToGrid/>
        <w:spacing w:before="240" w:after="240" w:afterLines="0" w:line="240" w:lineRule="auto"/>
        <w:ind w:firstLine="0" w:firstLineChars="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color w:val="auto"/>
          <w:sz w:val="24"/>
          <w:szCs w:val="24"/>
          <w:highlight w:val="none"/>
          <w:shd w:val="clear" w:color="auto" w:fill="FFFFFF" w:themeFill="background1"/>
        </w:rPr>
        <w:t>A positive Local Moran's I indicates positive local spatial autocorrelation, suggesting that a region tends to be surrounded by neighbouring regions with similar CCD levels. Conversely, a negative Local Moran's I indicates negative local spatial autocorrelation, suggesting that a region tends to be surrounded by neighbouring regions with dissimilar CCD levels.</w:t>
      </w:r>
    </w:p>
    <w:p w14:paraId="25BB41D5">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RESULTS AND DISCUSSION</w:t>
      </w:r>
    </w:p>
    <w:p w14:paraId="195A004D">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Development Levels of Financial Agglomeration and Green Technology Innovation</w:t>
      </w:r>
    </w:p>
    <w:p w14:paraId="2EBEF216">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 xml:space="preserve">Figures </w:t>
      </w:r>
      <w:r>
        <w:rPr>
          <w:rFonts w:hint="default" w:ascii="Times New Roman" w:hAnsi="Times New Roman"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 xml:space="preserve"> and </w:t>
      </w:r>
      <w:r>
        <w:rPr>
          <w:rFonts w:hint="default" w:ascii="Times New Roman" w:hAnsi="Times New Roman"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 xml:space="preserve"> illustrate the trends in the comprehensive scores of </w:t>
      </w:r>
      <w:r>
        <w:rPr>
          <w:rFonts w:hint="default" w:ascii="Times New Roman" w:hAnsi="Times New Roman" w:cs="Times New Roman"/>
          <w:b w:val="0"/>
          <w:bCs w:val="0"/>
          <w:color w:val="auto"/>
          <w:sz w:val="24"/>
          <w:szCs w:val="24"/>
          <w:highlight w:val="none"/>
          <w:lang w:eastAsia="zh-CN"/>
        </w:rPr>
        <w:t>FA</w:t>
      </w:r>
      <w:r>
        <w:rPr>
          <w:rFonts w:hint="default" w:ascii="Times New Roman" w:hAnsi="Times New Roman" w:eastAsia="宋体" w:cs="Times New Roman"/>
          <w:b w:val="0"/>
          <w:bCs w:val="0"/>
          <w:color w:val="auto"/>
          <w:sz w:val="24"/>
          <w:szCs w:val="24"/>
          <w:highlight w:val="none"/>
        </w:rPr>
        <w:t xml:space="preserve"> and </w:t>
      </w:r>
      <w:r>
        <w:rPr>
          <w:rFonts w:hint="default" w:ascii="Times New Roman" w:hAnsi="Times New Roman" w:cs="Times New Roman"/>
          <w:b w:val="0"/>
          <w:bCs w:val="0"/>
          <w:color w:val="auto"/>
          <w:sz w:val="24"/>
          <w:szCs w:val="24"/>
          <w:highlight w:val="none"/>
          <w:lang w:eastAsia="zh-CN"/>
        </w:rPr>
        <w:t>GTI</w:t>
      </w:r>
      <w:r>
        <w:rPr>
          <w:rFonts w:hint="default" w:ascii="Times New Roman" w:hAnsi="Times New Roman" w:eastAsia="宋体" w:cs="Times New Roman"/>
          <w:b w:val="0"/>
          <w:bCs w:val="0"/>
          <w:color w:val="auto"/>
          <w:sz w:val="24"/>
          <w:szCs w:val="24"/>
          <w:highlight w:val="none"/>
        </w:rPr>
        <w:t>, respectively, at both the national level and across the four major economic regions from 2007 to 2022.</w:t>
      </w:r>
    </w:p>
    <w:p w14:paraId="4883A963">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The results indicate that the comprehensive scores of both FA and GTI generally exhibited an upward trend during the study period, suggesting continuous improvements in financial development and green innovation capacity in China.</w:t>
      </w:r>
      <w:r>
        <w:rPr>
          <w:rFonts w:hint="default" w:ascii="Times New Roman" w:hAnsi="Times New Roman" w:eastAsia="宋体" w:cs="Times New Roman"/>
          <w:b w:val="0"/>
          <w:bCs w:val="0"/>
          <w:color w:val="auto"/>
          <w:sz w:val="24"/>
          <w:szCs w:val="24"/>
          <w:highlight w:val="none"/>
        </w:rPr>
        <w:t xml:space="preserve"> Regional differences are clearly observed: the highest level of CCD always appeared in Eastern China, while the lowest one was observed in Western China. The difference between the central region and the northeastern region increased continuously, while the difference between the northeastern region and the western region narrowed down step by step. Overall, the development trend of </w:t>
      </w:r>
      <w:r>
        <w:rPr>
          <w:rFonts w:hint="default" w:ascii="Times New Roman" w:hAnsi="Times New Roman" w:cs="Times New Roman"/>
          <w:b w:val="0"/>
          <w:bCs w:val="0"/>
          <w:color w:val="auto"/>
          <w:sz w:val="24"/>
          <w:szCs w:val="24"/>
          <w:highlight w:val="none"/>
          <w:lang w:val="en-US" w:eastAsia="zh-CN"/>
        </w:rPr>
        <w:t>FA</w:t>
      </w:r>
      <w:r>
        <w:rPr>
          <w:rFonts w:hint="default" w:ascii="Times New Roman" w:hAnsi="Times New Roman" w:eastAsia="宋体" w:cs="Times New Roman"/>
          <w:b w:val="0"/>
          <w:bCs w:val="0"/>
          <w:color w:val="auto"/>
          <w:sz w:val="24"/>
          <w:szCs w:val="24"/>
          <w:highlight w:val="none"/>
        </w:rPr>
        <w:t xml:space="preserve"> and </w:t>
      </w:r>
      <w:r>
        <w:rPr>
          <w:rFonts w:hint="default" w:ascii="Times New Roman" w:hAnsi="Times New Roman" w:cs="Times New Roman"/>
          <w:b w:val="0"/>
          <w:bCs w:val="0"/>
          <w:color w:val="auto"/>
          <w:sz w:val="24"/>
          <w:szCs w:val="24"/>
          <w:highlight w:val="none"/>
          <w:lang w:val="en-US" w:eastAsia="zh-CN"/>
        </w:rPr>
        <w:t xml:space="preserve">GTI </w:t>
      </w:r>
      <w:r>
        <w:rPr>
          <w:rFonts w:hint="default" w:ascii="Times New Roman" w:hAnsi="Times New Roman" w:eastAsia="宋体" w:cs="Times New Roman"/>
          <w:b w:val="0"/>
          <w:bCs w:val="0"/>
          <w:color w:val="auto"/>
          <w:sz w:val="24"/>
          <w:szCs w:val="24"/>
          <w:highlight w:val="none"/>
        </w:rPr>
        <w:t>exhibits a certain degree of convergence.</w:t>
      </w:r>
    </w:p>
    <w:p w14:paraId="32F13623">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color w:val="auto"/>
          <w:highlight w:val="none"/>
        </w:rPr>
        <w:drawing>
          <wp:inline distT="0" distB="0" distL="114300" distR="114300">
            <wp:extent cx="6338570" cy="2128520"/>
            <wp:effectExtent l="0" t="0" r="1270" b="5080"/>
            <wp:docPr id="32" name="图表 2" descr="7b0a202020202263686172745265734964223a202232303436383635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553E36A5">
      <w:pPr>
        <w:keepNext w:val="0"/>
        <w:keepLines w:val="0"/>
        <w:pageBreakBefore w:val="0"/>
        <w:widowControl w:val="0"/>
        <w:kinsoku/>
        <w:wordWrap/>
        <w:overflowPunct/>
        <w:topLinePunct w:val="0"/>
        <w:autoSpaceDE/>
        <w:autoSpaceDN/>
        <w:bidi w:val="0"/>
        <w:adjustRightInd/>
        <w:snapToGrid/>
        <w:spacing w:after="240" w:afterLines="0" w:line="240" w:lineRule="auto"/>
        <w:ind w:firstLine="0" w:firstLineChars="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 xml:space="preserve">Figure </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 xml:space="preserve">: Annual Average Comprehensive Scores of </w:t>
      </w:r>
      <w:r>
        <w:rPr>
          <w:rFonts w:hint="default" w:ascii="Times New Roman" w:hAnsi="Times New Roman" w:cs="Times New Roman"/>
          <w:b/>
          <w:bCs/>
          <w:color w:val="auto"/>
          <w:sz w:val="24"/>
          <w:szCs w:val="24"/>
          <w:highlight w:val="none"/>
          <w:lang w:eastAsia="zh-CN"/>
        </w:rPr>
        <w:t>FA</w:t>
      </w:r>
      <w:r>
        <w:rPr>
          <w:rFonts w:hint="default" w:ascii="Times New Roman" w:hAnsi="Times New Roman" w:cs="Times New Roman"/>
          <w:b/>
          <w:bCs/>
          <w:color w:val="auto"/>
          <w:sz w:val="24"/>
          <w:szCs w:val="24"/>
          <w:highlight w:val="none"/>
        </w:rPr>
        <w:t xml:space="preserve"> for China and Its Four</w:t>
      </w:r>
      <w:r>
        <w:rPr>
          <w:rFonts w:hint="default" w:ascii="Times New Roman" w:hAnsi="Times New Roman" w:eastAsia="宋体" w:cs="Times New Roman"/>
          <w:b/>
          <w:bCs/>
          <w:color w:val="auto"/>
          <w:sz w:val="24"/>
          <w:szCs w:val="24"/>
          <w:highlight w:val="none"/>
        </w:rPr>
        <w:t xml:space="preserve"> Major</w:t>
      </w:r>
      <w:r>
        <w:rPr>
          <w:rFonts w:hint="default" w:ascii="Times New Roman" w:hAnsi="Times New Roman" w:cs="Times New Roman"/>
          <w:b/>
          <w:bCs/>
          <w:color w:val="auto"/>
          <w:sz w:val="24"/>
          <w:szCs w:val="24"/>
          <w:highlight w:val="none"/>
        </w:rPr>
        <w:t xml:space="preserve"> Economic Regions</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rPr>
        <w:t>2007–2022</w:t>
      </w:r>
    </w:p>
    <w:p w14:paraId="01AA3C77">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color w:val="auto"/>
          <w:highlight w:val="none"/>
        </w:rPr>
        <w:drawing>
          <wp:inline distT="0" distB="0" distL="114300" distR="114300">
            <wp:extent cx="6526530" cy="2198370"/>
            <wp:effectExtent l="0" t="0" r="11430" b="11430"/>
            <wp:docPr id="1" name="图表 2" descr="7b0a202020202263686172745265734964223a202232303436383635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623D49FB">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 xml:space="preserve">Figure </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 xml:space="preserve">: Annual Average Comprehensive Scores of </w:t>
      </w:r>
      <w:r>
        <w:rPr>
          <w:rFonts w:hint="default" w:ascii="Times New Roman" w:hAnsi="Times New Roman" w:cs="Times New Roman"/>
          <w:b/>
          <w:bCs/>
          <w:color w:val="auto"/>
          <w:sz w:val="24"/>
          <w:szCs w:val="24"/>
          <w:highlight w:val="none"/>
          <w:lang w:eastAsia="zh-CN"/>
        </w:rPr>
        <w:t>GTI</w:t>
      </w:r>
      <w:r>
        <w:rPr>
          <w:rFonts w:hint="default" w:ascii="Times New Roman" w:hAnsi="Times New Roman" w:cs="Times New Roman"/>
          <w:b/>
          <w:bCs/>
          <w:color w:val="auto"/>
          <w:sz w:val="24"/>
          <w:szCs w:val="24"/>
          <w:highlight w:val="none"/>
        </w:rPr>
        <w:t xml:space="preserve"> for China and </w:t>
      </w:r>
      <w:r>
        <w:rPr>
          <w:rFonts w:hint="default" w:ascii="Times New Roman" w:hAnsi="Times New Roman" w:eastAsia="宋体" w:cs="Times New Roman"/>
          <w:b/>
          <w:bCs/>
          <w:color w:val="auto"/>
          <w:sz w:val="24"/>
          <w:szCs w:val="24"/>
          <w:highlight w:val="none"/>
        </w:rPr>
        <w:t>I</w:t>
      </w:r>
      <w:r>
        <w:rPr>
          <w:rFonts w:hint="default" w:ascii="Times New Roman" w:hAnsi="Times New Roman" w:cs="Times New Roman"/>
          <w:b/>
          <w:bCs/>
          <w:color w:val="auto"/>
          <w:sz w:val="24"/>
          <w:szCs w:val="24"/>
          <w:highlight w:val="none"/>
        </w:rPr>
        <w:t>ts Four</w:t>
      </w:r>
      <w:r>
        <w:rPr>
          <w:rFonts w:hint="default" w:ascii="Times New Roman" w:hAnsi="Times New Roman" w:eastAsia="宋体" w:cs="Times New Roman"/>
          <w:b/>
          <w:bCs/>
          <w:color w:val="auto"/>
          <w:sz w:val="24"/>
          <w:szCs w:val="24"/>
          <w:highlight w:val="none"/>
        </w:rPr>
        <w:t xml:space="preserve"> Major</w:t>
      </w:r>
      <w:r>
        <w:rPr>
          <w:rFonts w:hint="default" w:ascii="Times New Roman" w:hAnsi="Times New Roman" w:cs="Times New Roman"/>
          <w:b/>
          <w:bCs/>
          <w:color w:val="auto"/>
          <w:sz w:val="24"/>
          <w:szCs w:val="24"/>
          <w:highlight w:val="none"/>
        </w:rPr>
        <w:t xml:space="preserve"> Economic Regions</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rPr>
        <w:t>2007–2022</w:t>
      </w:r>
    </w:p>
    <w:p w14:paraId="5595B0DA">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Coupling Degree between Financial Agglomeration and Green Technology Innovation</w:t>
      </w:r>
    </w:p>
    <w:p w14:paraId="62F3DBB6">
      <w:pPr>
        <w:pStyle w:val="10"/>
        <w:keepNext w:val="0"/>
        <w:keepLines w:val="0"/>
        <w:pageBreakBefore w:val="0"/>
        <w:widowControl/>
        <w:kinsoku/>
        <w:wordWrap/>
        <w:overflowPunct/>
        <w:topLinePunct w:val="0"/>
        <w:autoSpaceDE/>
        <w:autoSpaceDN/>
        <w:bidi w:val="0"/>
        <w:adjustRightInd/>
        <w:snapToGrid/>
        <w:spacing w:before="240" w:beforeAutospacing="0" w:after="240" w:afterLines="0" w:afterAutospacing="0" w:line="240" w:lineRule="auto"/>
        <w:ind w:firstLine="0" w:firstLineChars="0"/>
        <w:jc w:val="both"/>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Table 4 presents the average annual coupling degree between FA and GTI from 2007 to 2022. The results are reported for both the national level and the four economic regions. Overall, the coupling degree remained relatively high during the sample period. This suggests a close connection between FA and GTI. The two subsystems showed strong interactions and developed in a highly linked manner</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rPr>
        <w:t xml:space="preserve"> Although the coupling degree exhibited a slight downward trend with minor fluctuations</w:t>
      </w:r>
      <w:r>
        <w:rPr>
          <w:rFonts w:hint="default" w:ascii="Times New Roman" w:hAnsi="Times New Roman" w:cs="Times New Roman"/>
          <w:color w:val="auto"/>
          <w:highlight w:val="none"/>
          <w:lang w:val="en-US" w:eastAsia="zh-CN"/>
        </w:rPr>
        <w:t>, all values remained above 0.95.</w:t>
      </w:r>
      <w:r>
        <w:rPr>
          <w:rFonts w:hint="default" w:ascii="Times New Roman" w:hAnsi="Times New Roman" w:eastAsia="宋体" w:cs="Times New Roman"/>
          <w:color w:val="auto"/>
          <w:highlight w:val="none"/>
        </w:rPr>
        <w:t xml:space="preserve"> Among the four regions, Northeast China recorded the largest decline, reflecting a weakening interaction between </w:t>
      </w:r>
      <w:r>
        <w:rPr>
          <w:rFonts w:hint="default" w:ascii="Times New Roman" w:hAnsi="Times New Roman" w:cs="Times New Roman"/>
          <w:color w:val="auto"/>
          <w:highlight w:val="none"/>
          <w:lang w:eastAsia="zh-CN"/>
        </w:rPr>
        <w:t>FA</w:t>
      </w:r>
      <w:r>
        <w:rPr>
          <w:rFonts w:hint="default" w:ascii="Times New Roman" w:hAnsi="Times New Roman" w:eastAsia="宋体" w:cs="Times New Roman"/>
          <w:color w:val="auto"/>
          <w:highlight w:val="none"/>
        </w:rPr>
        <w:t xml:space="preserve"> and </w:t>
      </w:r>
      <w:r>
        <w:rPr>
          <w:rFonts w:hint="default" w:ascii="Times New Roman" w:hAnsi="Times New Roman" w:cs="Times New Roman"/>
          <w:color w:val="auto"/>
          <w:highlight w:val="none"/>
          <w:lang w:eastAsia="zh-CN"/>
        </w:rPr>
        <w:t>GTI</w:t>
      </w:r>
      <w:r>
        <w:rPr>
          <w:rFonts w:hint="default" w:ascii="Times New Roman" w:hAnsi="Times New Roman" w:eastAsia="宋体" w:cs="Times New Roman"/>
          <w:color w:val="auto"/>
          <w:highlight w:val="none"/>
        </w:rPr>
        <w:t xml:space="preserve"> in that area.</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Overall, the results indicate that FA and GTI maintained a close coupling relationship during the study period.</w:t>
      </w:r>
    </w:p>
    <w:p w14:paraId="04CC6764">
      <w:pPr>
        <w:pStyle w:val="10"/>
        <w:keepNext w:val="0"/>
        <w:keepLines w:val="0"/>
        <w:pageBreakBefore w:val="0"/>
        <w:widowControl/>
        <w:kinsoku/>
        <w:wordWrap/>
        <w:overflowPunct/>
        <w:topLinePunct w:val="0"/>
        <w:autoSpaceDE/>
        <w:autoSpaceDN/>
        <w:bidi w:val="0"/>
        <w:adjustRightInd/>
        <w:snapToGrid/>
        <w:spacing w:before="240" w:beforeAutospacing="0" w:after="240" w:afterLines="0" w:afterAutospacing="0" w:line="240" w:lineRule="auto"/>
        <w:ind w:firstLine="0" w:firstLineChars="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However, a high coupling degree does not necessarily imply a high level of coordinated development. Therefore, it is necessary to further examine the CCD between FA and GTI.</w:t>
      </w:r>
    </w:p>
    <w:p w14:paraId="573BF485">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Table</w:t>
      </w:r>
      <w:r>
        <w:rPr>
          <w:rFonts w:hint="default" w:ascii="Times New Roman" w:hAnsi="Times New Roman" w:cs="Times New Roman"/>
          <w:b/>
          <w:bCs/>
          <w:color w:val="auto"/>
          <w:highlight w:val="none"/>
          <w:lang w:val="en-US" w:eastAsia="zh-CN"/>
        </w:rPr>
        <w:t>4</w:t>
      </w:r>
      <w:r>
        <w:rPr>
          <w:rFonts w:hint="default" w:ascii="Times New Roman" w:hAnsi="Times New Roman" w:eastAsia="宋体" w:cs="Times New Roman"/>
          <w:b/>
          <w:bCs/>
          <w:color w:val="auto"/>
          <w:highlight w:val="none"/>
        </w:rPr>
        <w:t xml:space="preserve">: Annual Average Coupling Degree between </w:t>
      </w:r>
      <w:r>
        <w:rPr>
          <w:rFonts w:hint="default" w:ascii="Times New Roman" w:hAnsi="Times New Roman" w:cs="Times New Roman"/>
          <w:b/>
          <w:bCs/>
          <w:color w:val="auto"/>
          <w:highlight w:val="none"/>
          <w:lang w:eastAsia="zh-CN"/>
        </w:rPr>
        <w:t>FA</w:t>
      </w:r>
      <w:r>
        <w:rPr>
          <w:rFonts w:hint="default" w:ascii="Times New Roman" w:hAnsi="Times New Roman" w:eastAsia="宋体" w:cs="Times New Roman"/>
          <w:b/>
          <w:bCs/>
          <w:color w:val="auto"/>
          <w:highlight w:val="none"/>
        </w:rPr>
        <w:t xml:space="preserve"> and </w:t>
      </w:r>
      <w:r>
        <w:rPr>
          <w:rFonts w:hint="default" w:ascii="Times New Roman" w:hAnsi="Times New Roman" w:cs="Times New Roman"/>
          <w:b/>
          <w:bCs/>
          <w:color w:val="auto"/>
          <w:highlight w:val="none"/>
          <w:lang w:eastAsia="zh-CN"/>
        </w:rPr>
        <w:t>GTI</w:t>
      </w:r>
      <w:r>
        <w:rPr>
          <w:rFonts w:hint="default" w:ascii="Times New Roman" w:hAnsi="Times New Roman" w:eastAsia="宋体" w:cs="Times New Roman"/>
          <w:b/>
          <w:bCs/>
          <w:color w:val="auto"/>
          <w:highlight w:val="none"/>
        </w:rPr>
        <w:t xml:space="preserve"> in China and Its Four Major Economic Regions, 2007–2022</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917"/>
        <w:gridCol w:w="1720"/>
        <w:gridCol w:w="1720"/>
        <w:gridCol w:w="2698"/>
        <w:gridCol w:w="1720"/>
      </w:tblGrid>
      <w:tr w14:paraId="2F44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6DD5F75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kern w:val="0"/>
                <w:sz w:val="24"/>
                <w:szCs w:val="24"/>
                <w:highlight w:val="none"/>
                <w:lang w:bidi="ar"/>
              </w:rPr>
              <w:t>Y</w:t>
            </w:r>
            <w:r>
              <w:rPr>
                <w:rFonts w:hint="default" w:ascii="Times New Roman" w:hAnsi="Times New Roman" w:eastAsia="宋体" w:cs="Times New Roman"/>
                <w:b/>
                <w:bCs/>
                <w:color w:val="auto"/>
                <w:kern w:val="0"/>
                <w:sz w:val="24"/>
                <w:szCs w:val="24"/>
                <w:highlight w:val="none"/>
                <w:lang w:bidi="ar"/>
              </w:rPr>
              <w:t>ear</w:t>
            </w:r>
          </w:p>
        </w:tc>
        <w:tc>
          <w:tcPr>
            <w:tcW w:w="878" w:type="pct"/>
            <w:vAlign w:val="center"/>
          </w:tcPr>
          <w:p w14:paraId="194016A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bidi="ar"/>
              </w:rPr>
              <w:t>National</w:t>
            </w:r>
          </w:p>
        </w:tc>
        <w:tc>
          <w:tcPr>
            <w:tcW w:w="788" w:type="pct"/>
            <w:vAlign w:val="center"/>
          </w:tcPr>
          <w:p w14:paraId="04832AF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bidi="ar"/>
              </w:rPr>
              <w:t>Eastern</w:t>
            </w:r>
          </w:p>
        </w:tc>
        <w:tc>
          <w:tcPr>
            <w:tcW w:w="788" w:type="pct"/>
            <w:vAlign w:val="center"/>
          </w:tcPr>
          <w:p w14:paraId="2CF6F78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bidi="ar"/>
              </w:rPr>
              <w:t>Central</w:t>
            </w:r>
          </w:p>
        </w:tc>
        <w:tc>
          <w:tcPr>
            <w:tcW w:w="1236" w:type="pct"/>
            <w:vAlign w:val="center"/>
          </w:tcPr>
          <w:p w14:paraId="5FE7140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bidi="ar"/>
              </w:rPr>
              <w:t>Northeastern</w:t>
            </w:r>
          </w:p>
        </w:tc>
        <w:tc>
          <w:tcPr>
            <w:tcW w:w="788" w:type="pct"/>
            <w:vAlign w:val="center"/>
          </w:tcPr>
          <w:p w14:paraId="2202B19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bidi="ar"/>
              </w:rPr>
              <w:t>Western</w:t>
            </w:r>
          </w:p>
        </w:tc>
      </w:tr>
      <w:tr w14:paraId="1EF7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6FF60F5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2007</w:t>
            </w:r>
          </w:p>
        </w:tc>
        <w:tc>
          <w:tcPr>
            <w:tcW w:w="878" w:type="pct"/>
            <w:vAlign w:val="center"/>
          </w:tcPr>
          <w:p w14:paraId="28B26BF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0.993</w:t>
            </w:r>
          </w:p>
        </w:tc>
        <w:tc>
          <w:tcPr>
            <w:tcW w:w="788" w:type="pct"/>
            <w:vAlign w:val="center"/>
          </w:tcPr>
          <w:p w14:paraId="58794EF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0.993</w:t>
            </w:r>
          </w:p>
        </w:tc>
        <w:tc>
          <w:tcPr>
            <w:tcW w:w="788" w:type="pct"/>
            <w:vAlign w:val="center"/>
          </w:tcPr>
          <w:p w14:paraId="03E9459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0.989</w:t>
            </w:r>
          </w:p>
        </w:tc>
        <w:tc>
          <w:tcPr>
            <w:tcW w:w="1236" w:type="pct"/>
            <w:vAlign w:val="center"/>
          </w:tcPr>
          <w:p w14:paraId="2FC8A30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0.996</w:t>
            </w:r>
          </w:p>
        </w:tc>
        <w:tc>
          <w:tcPr>
            <w:tcW w:w="788" w:type="pct"/>
            <w:vAlign w:val="center"/>
          </w:tcPr>
          <w:p w14:paraId="42C876A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0.993</w:t>
            </w:r>
          </w:p>
        </w:tc>
      </w:tr>
      <w:tr w14:paraId="6249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34AE9CB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2008</w:t>
            </w:r>
          </w:p>
        </w:tc>
        <w:tc>
          <w:tcPr>
            <w:tcW w:w="878" w:type="pct"/>
            <w:vAlign w:val="center"/>
          </w:tcPr>
          <w:p w14:paraId="2251872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0.994</w:t>
            </w:r>
          </w:p>
        </w:tc>
        <w:tc>
          <w:tcPr>
            <w:tcW w:w="788" w:type="pct"/>
            <w:vAlign w:val="center"/>
          </w:tcPr>
          <w:p w14:paraId="5D2F925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0.995</w:t>
            </w:r>
          </w:p>
        </w:tc>
        <w:tc>
          <w:tcPr>
            <w:tcW w:w="788" w:type="pct"/>
            <w:vAlign w:val="center"/>
          </w:tcPr>
          <w:p w14:paraId="17E5A67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0.993</w:t>
            </w:r>
          </w:p>
        </w:tc>
        <w:tc>
          <w:tcPr>
            <w:tcW w:w="1236" w:type="pct"/>
            <w:vAlign w:val="center"/>
          </w:tcPr>
          <w:p w14:paraId="0D1AEF3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0.998</w:t>
            </w:r>
          </w:p>
        </w:tc>
        <w:tc>
          <w:tcPr>
            <w:tcW w:w="788" w:type="pct"/>
            <w:vAlign w:val="center"/>
          </w:tcPr>
          <w:p w14:paraId="643F594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0.994</w:t>
            </w:r>
          </w:p>
        </w:tc>
      </w:tr>
      <w:tr w14:paraId="14C1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63CBC33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2009</w:t>
            </w:r>
          </w:p>
        </w:tc>
        <w:tc>
          <w:tcPr>
            <w:tcW w:w="878" w:type="pct"/>
            <w:vAlign w:val="center"/>
          </w:tcPr>
          <w:p w14:paraId="2F8BF67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0.992</w:t>
            </w:r>
          </w:p>
        </w:tc>
        <w:tc>
          <w:tcPr>
            <w:tcW w:w="788" w:type="pct"/>
            <w:vAlign w:val="center"/>
          </w:tcPr>
          <w:p w14:paraId="668E23F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0.993</w:t>
            </w:r>
          </w:p>
        </w:tc>
        <w:tc>
          <w:tcPr>
            <w:tcW w:w="788" w:type="pct"/>
            <w:vAlign w:val="center"/>
          </w:tcPr>
          <w:p w14:paraId="516E22A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0.995</w:t>
            </w:r>
          </w:p>
        </w:tc>
        <w:tc>
          <w:tcPr>
            <w:tcW w:w="1236" w:type="pct"/>
            <w:vAlign w:val="center"/>
          </w:tcPr>
          <w:p w14:paraId="61D0BC8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1.000</w:t>
            </w:r>
          </w:p>
        </w:tc>
        <w:tc>
          <w:tcPr>
            <w:tcW w:w="788" w:type="pct"/>
            <w:vAlign w:val="center"/>
          </w:tcPr>
          <w:p w14:paraId="5467A11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0.987</w:t>
            </w:r>
          </w:p>
        </w:tc>
      </w:tr>
      <w:tr w14:paraId="2955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54F55C4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2010</w:t>
            </w:r>
          </w:p>
        </w:tc>
        <w:tc>
          <w:tcPr>
            <w:tcW w:w="878" w:type="pct"/>
            <w:vAlign w:val="center"/>
          </w:tcPr>
          <w:p w14:paraId="1F84860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0.990</w:t>
            </w:r>
          </w:p>
        </w:tc>
        <w:tc>
          <w:tcPr>
            <w:tcW w:w="788" w:type="pct"/>
            <w:vAlign w:val="center"/>
          </w:tcPr>
          <w:p w14:paraId="0B7BE3D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0.992</w:t>
            </w:r>
          </w:p>
        </w:tc>
        <w:tc>
          <w:tcPr>
            <w:tcW w:w="788" w:type="pct"/>
            <w:vAlign w:val="center"/>
          </w:tcPr>
          <w:p w14:paraId="63A4DF9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0.995</w:t>
            </w:r>
          </w:p>
        </w:tc>
        <w:tc>
          <w:tcPr>
            <w:tcW w:w="1236" w:type="pct"/>
            <w:vAlign w:val="center"/>
          </w:tcPr>
          <w:p w14:paraId="0CE6619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0.999</w:t>
            </w:r>
          </w:p>
        </w:tc>
        <w:tc>
          <w:tcPr>
            <w:tcW w:w="788" w:type="pct"/>
            <w:vAlign w:val="center"/>
          </w:tcPr>
          <w:p w14:paraId="0E171C3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0.982</w:t>
            </w:r>
          </w:p>
        </w:tc>
      </w:tr>
      <w:tr w14:paraId="15A4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0280225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2011</w:t>
            </w:r>
          </w:p>
        </w:tc>
        <w:tc>
          <w:tcPr>
            <w:tcW w:w="878" w:type="pct"/>
            <w:vAlign w:val="center"/>
          </w:tcPr>
          <w:p w14:paraId="55B8174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0.991</w:t>
            </w:r>
          </w:p>
        </w:tc>
        <w:tc>
          <w:tcPr>
            <w:tcW w:w="788" w:type="pct"/>
            <w:vAlign w:val="center"/>
          </w:tcPr>
          <w:p w14:paraId="57BBF5D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0.995</w:t>
            </w:r>
          </w:p>
        </w:tc>
        <w:tc>
          <w:tcPr>
            <w:tcW w:w="788" w:type="pct"/>
            <w:vAlign w:val="center"/>
          </w:tcPr>
          <w:p w14:paraId="5BA59D8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0.992</w:t>
            </w:r>
          </w:p>
        </w:tc>
        <w:tc>
          <w:tcPr>
            <w:tcW w:w="1236" w:type="pct"/>
            <w:vAlign w:val="center"/>
          </w:tcPr>
          <w:p w14:paraId="3299D88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1.000</w:t>
            </w:r>
          </w:p>
        </w:tc>
        <w:tc>
          <w:tcPr>
            <w:tcW w:w="788" w:type="pct"/>
            <w:vAlign w:val="center"/>
          </w:tcPr>
          <w:p w14:paraId="7E9858E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0.986</w:t>
            </w:r>
          </w:p>
        </w:tc>
      </w:tr>
      <w:tr w14:paraId="00C9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33C4027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2012</w:t>
            </w:r>
          </w:p>
        </w:tc>
        <w:tc>
          <w:tcPr>
            <w:tcW w:w="878" w:type="pct"/>
            <w:vAlign w:val="center"/>
          </w:tcPr>
          <w:p w14:paraId="540EDDC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0.990</w:t>
            </w:r>
          </w:p>
        </w:tc>
        <w:tc>
          <w:tcPr>
            <w:tcW w:w="788" w:type="pct"/>
            <w:vAlign w:val="center"/>
          </w:tcPr>
          <w:p w14:paraId="162F985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0.995</w:t>
            </w:r>
          </w:p>
        </w:tc>
        <w:tc>
          <w:tcPr>
            <w:tcW w:w="788" w:type="pct"/>
            <w:vAlign w:val="center"/>
          </w:tcPr>
          <w:p w14:paraId="397DFCF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0.990</w:t>
            </w:r>
          </w:p>
        </w:tc>
        <w:tc>
          <w:tcPr>
            <w:tcW w:w="1236" w:type="pct"/>
            <w:vAlign w:val="center"/>
          </w:tcPr>
          <w:p w14:paraId="233129C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1.000</w:t>
            </w:r>
          </w:p>
        </w:tc>
        <w:tc>
          <w:tcPr>
            <w:tcW w:w="788" w:type="pct"/>
            <w:vAlign w:val="center"/>
          </w:tcPr>
          <w:p w14:paraId="68A223C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0.984</w:t>
            </w:r>
          </w:p>
        </w:tc>
      </w:tr>
      <w:tr w14:paraId="39D8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781DD7E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2013</w:t>
            </w:r>
          </w:p>
        </w:tc>
        <w:tc>
          <w:tcPr>
            <w:tcW w:w="878" w:type="pct"/>
            <w:vAlign w:val="center"/>
          </w:tcPr>
          <w:p w14:paraId="1599715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0.988</w:t>
            </w:r>
          </w:p>
        </w:tc>
        <w:tc>
          <w:tcPr>
            <w:tcW w:w="788" w:type="pct"/>
            <w:vAlign w:val="center"/>
          </w:tcPr>
          <w:p w14:paraId="3E8A071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0.994</w:t>
            </w:r>
          </w:p>
        </w:tc>
        <w:tc>
          <w:tcPr>
            <w:tcW w:w="788" w:type="pct"/>
            <w:vAlign w:val="center"/>
          </w:tcPr>
          <w:p w14:paraId="7DAA7DB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0.990</w:t>
            </w:r>
          </w:p>
        </w:tc>
        <w:tc>
          <w:tcPr>
            <w:tcW w:w="1236" w:type="pct"/>
            <w:vAlign w:val="center"/>
          </w:tcPr>
          <w:p w14:paraId="6810952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0.999</w:t>
            </w:r>
          </w:p>
        </w:tc>
        <w:tc>
          <w:tcPr>
            <w:tcW w:w="788" w:type="pct"/>
            <w:vAlign w:val="center"/>
          </w:tcPr>
          <w:p w14:paraId="2D61C79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0.979</w:t>
            </w:r>
          </w:p>
        </w:tc>
      </w:tr>
      <w:tr w14:paraId="5BE11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459BD58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2014</w:t>
            </w:r>
          </w:p>
        </w:tc>
        <w:tc>
          <w:tcPr>
            <w:tcW w:w="878" w:type="pct"/>
            <w:vAlign w:val="center"/>
          </w:tcPr>
          <w:p w14:paraId="02E959F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0.986</w:t>
            </w:r>
          </w:p>
        </w:tc>
        <w:tc>
          <w:tcPr>
            <w:tcW w:w="788" w:type="pct"/>
            <w:vAlign w:val="center"/>
          </w:tcPr>
          <w:p w14:paraId="796DCD1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0.992</w:t>
            </w:r>
          </w:p>
        </w:tc>
        <w:tc>
          <w:tcPr>
            <w:tcW w:w="788" w:type="pct"/>
            <w:vAlign w:val="center"/>
          </w:tcPr>
          <w:p w14:paraId="4EF44DA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0.992</w:t>
            </w:r>
          </w:p>
        </w:tc>
        <w:tc>
          <w:tcPr>
            <w:tcW w:w="1236" w:type="pct"/>
            <w:vAlign w:val="center"/>
          </w:tcPr>
          <w:p w14:paraId="3CB4F97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0.995</w:t>
            </w:r>
          </w:p>
        </w:tc>
        <w:tc>
          <w:tcPr>
            <w:tcW w:w="788" w:type="pct"/>
            <w:vAlign w:val="center"/>
          </w:tcPr>
          <w:p w14:paraId="19BC8EB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0.974</w:t>
            </w:r>
          </w:p>
        </w:tc>
      </w:tr>
      <w:tr w14:paraId="45F3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0E98F60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2015</w:t>
            </w:r>
          </w:p>
        </w:tc>
        <w:tc>
          <w:tcPr>
            <w:tcW w:w="878" w:type="pct"/>
            <w:vAlign w:val="center"/>
          </w:tcPr>
          <w:p w14:paraId="2BE6120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0.979</w:t>
            </w:r>
          </w:p>
        </w:tc>
        <w:tc>
          <w:tcPr>
            <w:tcW w:w="788" w:type="pct"/>
            <w:vAlign w:val="center"/>
          </w:tcPr>
          <w:p w14:paraId="790FA68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0.987</w:t>
            </w:r>
          </w:p>
        </w:tc>
        <w:tc>
          <w:tcPr>
            <w:tcW w:w="788" w:type="pct"/>
            <w:vAlign w:val="center"/>
          </w:tcPr>
          <w:p w14:paraId="3B4F44B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0.990</w:t>
            </w:r>
          </w:p>
        </w:tc>
        <w:tc>
          <w:tcPr>
            <w:tcW w:w="1236" w:type="pct"/>
            <w:vAlign w:val="center"/>
          </w:tcPr>
          <w:p w14:paraId="42BD725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0.982</w:t>
            </w:r>
          </w:p>
        </w:tc>
        <w:tc>
          <w:tcPr>
            <w:tcW w:w="788" w:type="pct"/>
            <w:vAlign w:val="center"/>
          </w:tcPr>
          <w:p w14:paraId="1E14C0C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0.967</w:t>
            </w:r>
          </w:p>
        </w:tc>
      </w:tr>
      <w:tr w14:paraId="0BA7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56FB38B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2016</w:t>
            </w:r>
          </w:p>
        </w:tc>
        <w:tc>
          <w:tcPr>
            <w:tcW w:w="878" w:type="pct"/>
            <w:vAlign w:val="center"/>
          </w:tcPr>
          <w:p w14:paraId="20E4061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0.977</w:t>
            </w:r>
          </w:p>
        </w:tc>
        <w:tc>
          <w:tcPr>
            <w:tcW w:w="788" w:type="pct"/>
            <w:vAlign w:val="center"/>
          </w:tcPr>
          <w:p w14:paraId="5C6C156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0.985</w:t>
            </w:r>
          </w:p>
        </w:tc>
        <w:tc>
          <w:tcPr>
            <w:tcW w:w="788" w:type="pct"/>
            <w:vAlign w:val="center"/>
          </w:tcPr>
          <w:p w14:paraId="3E1CD00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0.988</w:t>
            </w:r>
          </w:p>
        </w:tc>
        <w:tc>
          <w:tcPr>
            <w:tcW w:w="1236" w:type="pct"/>
            <w:vAlign w:val="center"/>
          </w:tcPr>
          <w:p w14:paraId="34C6B1C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0.977</w:t>
            </w:r>
          </w:p>
        </w:tc>
        <w:tc>
          <w:tcPr>
            <w:tcW w:w="788" w:type="pct"/>
            <w:vAlign w:val="center"/>
          </w:tcPr>
          <w:p w14:paraId="60C25EE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0.964</w:t>
            </w:r>
          </w:p>
        </w:tc>
      </w:tr>
      <w:tr w14:paraId="6F18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38E5989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2017</w:t>
            </w:r>
          </w:p>
        </w:tc>
        <w:tc>
          <w:tcPr>
            <w:tcW w:w="878" w:type="pct"/>
            <w:vAlign w:val="center"/>
          </w:tcPr>
          <w:p w14:paraId="023DAD2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0.975</w:t>
            </w:r>
          </w:p>
        </w:tc>
        <w:tc>
          <w:tcPr>
            <w:tcW w:w="788" w:type="pct"/>
            <w:vAlign w:val="center"/>
          </w:tcPr>
          <w:p w14:paraId="135E381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0.985</w:t>
            </w:r>
          </w:p>
        </w:tc>
        <w:tc>
          <w:tcPr>
            <w:tcW w:w="788" w:type="pct"/>
            <w:vAlign w:val="center"/>
          </w:tcPr>
          <w:p w14:paraId="59A6631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0.990</w:t>
            </w:r>
          </w:p>
        </w:tc>
        <w:tc>
          <w:tcPr>
            <w:tcW w:w="1236" w:type="pct"/>
            <w:vAlign w:val="center"/>
          </w:tcPr>
          <w:p w14:paraId="52BA744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0.975</w:t>
            </w:r>
          </w:p>
        </w:tc>
        <w:tc>
          <w:tcPr>
            <w:tcW w:w="788" w:type="pct"/>
            <w:vAlign w:val="center"/>
          </w:tcPr>
          <w:p w14:paraId="6F27FCB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0.958</w:t>
            </w:r>
          </w:p>
        </w:tc>
      </w:tr>
      <w:tr w14:paraId="42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6749B8F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2018</w:t>
            </w:r>
          </w:p>
        </w:tc>
        <w:tc>
          <w:tcPr>
            <w:tcW w:w="878" w:type="pct"/>
            <w:vAlign w:val="center"/>
          </w:tcPr>
          <w:p w14:paraId="78529D0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0.978</w:t>
            </w:r>
          </w:p>
        </w:tc>
        <w:tc>
          <w:tcPr>
            <w:tcW w:w="788" w:type="pct"/>
            <w:vAlign w:val="center"/>
          </w:tcPr>
          <w:p w14:paraId="47650CA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0.990</w:t>
            </w:r>
          </w:p>
        </w:tc>
        <w:tc>
          <w:tcPr>
            <w:tcW w:w="788" w:type="pct"/>
            <w:vAlign w:val="center"/>
          </w:tcPr>
          <w:p w14:paraId="68C2386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0.991</w:t>
            </w:r>
          </w:p>
        </w:tc>
        <w:tc>
          <w:tcPr>
            <w:tcW w:w="1236" w:type="pct"/>
            <w:vAlign w:val="center"/>
          </w:tcPr>
          <w:p w14:paraId="7BCE52A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0.974</w:t>
            </w:r>
          </w:p>
        </w:tc>
        <w:tc>
          <w:tcPr>
            <w:tcW w:w="788" w:type="pct"/>
            <w:vAlign w:val="center"/>
          </w:tcPr>
          <w:p w14:paraId="4043FBC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0.962</w:t>
            </w:r>
          </w:p>
        </w:tc>
      </w:tr>
      <w:tr w14:paraId="5947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475DEB5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2019</w:t>
            </w:r>
          </w:p>
        </w:tc>
        <w:tc>
          <w:tcPr>
            <w:tcW w:w="878" w:type="pct"/>
            <w:vAlign w:val="center"/>
          </w:tcPr>
          <w:p w14:paraId="6ED1D5E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0.977</w:t>
            </w:r>
          </w:p>
        </w:tc>
        <w:tc>
          <w:tcPr>
            <w:tcW w:w="788" w:type="pct"/>
            <w:vAlign w:val="center"/>
          </w:tcPr>
          <w:p w14:paraId="4A10EE7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0.990</w:t>
            </w:r>
          </w:p>
        </w:tc>
        <w:tc>
          <w:tcPr>
            <w:tcW w:w="788" w:type="pct"/>
            <w:vAlign w:val="center"/>
          </w:tcPr>
          <w:p w14:paraId="1F77E32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0.990</w:t>
            </w:r>
          </w:p>
        </w:tc>
        <w:tc>
          <w:tcPr>
            <w:tcW w:w="1236" w:type="pct"/>
            <w:vAlign w:val="center"/>
          </w:tcPr>
          <w:p w14:paraId="24EDE7C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0.969</w:t>
            </w:r>
          </w:p>
        </w:tc>
        <w:tc>
          <w:tcPr>
            <w:tcW w:w="788" w:type="pct"/>
            <w:vAlign w:val="center"/>
          </w:tcPr>
          <w:p w14:paraId="4655774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0.961</w:t>
            </w:r>
          </w:p>
        </w:tc>
      </w:tr>
      <w:tr w14:paraId="5A30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3865D76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2020</w:t>
            </w:r>
          </w:p>
        </w:tc>
        <w:tc>
          <w:tcPr>
            <w:tcW w:w="878" w:type="pct"/>
            <w:vAlign w:val="center"/>
          </w:tcPr>
          <w:p w14:paraId="06960A8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0.978</w:t>
            </w:r>
          </w:p>
        </w:tc>
        <w:tc>
          <w:tcPr>
            <w:tcW w:w="788" w:type="pct"/>
            <w:vAlign w:val="center"/>
          </w:tcPr>
          <w:p w14:paraId="75B1E7A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0.989</w:t>
            </w:r>
          </w:p>
        </w:tc>
        <w:tc>
          <w:tcPr>
            <w:tcW w:w="788" w:type="pct"/>
            <w:vAlign w:val="center"/>
          </w:tcPr>
          <w:p w14:paraId="167557A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0.991</w:t>
            </w:r>
          </w:p>
        </w:tc>
        <w:tc>
          <w:tcPr>
            <w:tcW w:w="1236" w:type="pct"/>
            <w:vAlign w:val="center"/>
          </w:tcPr>
          <w:p w14:paraId="7BDC36D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0.967</w:t>
            </w:r>
          </w:p>
        </w:tc>
        <w:tc>
          <w:tcPr>
            <w:tcW w:w="788" w:type="pct"/>
            <w:vAlign w:val="center"/>
          </w:tcPr>
          <w:p w14:paraId="5AF6AAF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0.963</w:t>
            </w:r>
          </w:p>
        </w:tc>
      </w:tr>
      <w:tr w14:paraId="6B70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31F69F6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2021</w:t>
            </w:r>
          </w:p>
        </w:tc>
        <w:tc>
          <w:tcPr>
            <w:tcW w:w="878" w:type="pct"/>
            <w:vAlign w:val="center"/>
          </w:tcPr>
          <w:p w14:paraId="5CC669C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0.984</w:t>
            </w:r>
          </w:p>
        </w:tc>
        <w:tc>
          <w:tcPr>
            <w:tcW w:w="788" w:type="pct"/>
            <w:vAlign w:val="center"/>
          </w:tcPr>
          <w:p w14:paraId="7FC3F0B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0.991</w:t>
            </w:r>
          </w:p>
        </w:tc>
        <w:tc>
          <w:tcPr>
            <w:tcW w:w="788" w:type="pct"/>
            <w:vAlign w:val="center"/>
          </w:tcPr>
          <w:p w14:paraId="67ED68B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0.990</w:t>
            </w:r>
          </w:p>
        </w:tc>
        <w:tc>
          <w:tcPr>
            <w:tcW w:w="1236" w:type="pct"/>
            <w:vAlign w:val="center"/>
          </w:tcPr>
          <w:p w14:paraId="5E08D45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0.977</w:t>
            </w:r>
          </w:p>
        </w:tc>
        <w:tc>
          <w:tcPr>
            <w:tcW w:w="788" w:type="pct"/>
            <w:vAlign w:val="center"/>
          </w:tcPr>
          <w:p w14:paraId="763D217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kern w:val="0"/>
                <w:sz w:val="24"/>
                <w:szCs w:val="24"/>
                <w:highlight w:val="none"/>
                <w:lang w:bidi="ar"/>
              </w:rPr>
              <w:t>0.975</w:t>
            </w:r>
          </w:p>
        </w:tc>
      </w:tr>
      <w:tr w14:paraId="237E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9" w:type="pct"/>
            <w:vAlign w:val="center"/>
          </w:tcPr>
          <w:p w14:paraId="47D7058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2022</w:t>
            </w:r>
          </w:p>
        </w:tc>
        <w:tc>
          <w:tcPr>
            <w:tcW w:w="878" w:type="pct"/>
            <w:vAlign w:val="center"/>
          </w:tcPr>
          <w:p w14:paraId="57173C0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0.986</w:t>
            </w:r>
          </w:p>
        </w:tc>
        <w:tc>
          <w:tcPr>
            <w:tcW w:w="788" w:type="pct"/>
            <w:vAlign w:val="center"/>
          </w:tcPr>
          <w:p w14:paraId="17AB953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0.991</w:t>
            </w:r>
          </w:p>
        </w:tc>
        <w:tc>
          <w:tcPr>
            <w:tcW w:w="788" w:type="pct"/>
            <w:vAlign w:val="center"/>
          </w:tcPr>
          <w:p w14:paraId="43AA586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0.986</w:t>
            </w:r>
          </w:p>
        </w:tc>
        <w:tc>
          <w:tcPr>
            <w:tcW w:w="1236" w:type="pct"/>
            <w:vAlign w:val="center"/>
          </w:tcPr>
          <w:p w14:paraId="3A09C1F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0.982</w:t>
            </w:r>
          </w:p>
        </w:tc>
        <w:tc>
          <w:tcPr>
            <w:tcW w:w="788" w:type="pct"/>
            <w:vAlign w:val="center"/>
          </w:tcPr>
          <w:p w14:paraId="4EEA91A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0.981</w:t>
            </w:r>
          </w:p>
        </w:tc>
      </w:tr>
    </w:tbl>
    <w:p w14:paraId="16C8672E">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Coupling Coordination Degree between Financial Agglomeration and Green Technology Innovation</w:t>
      </w:r>
    </w:p>
    <w:p w14:paraId="50BC1D41">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Using the </w:t>
      </w:r>
      <w:r>
        <w:rPr>
          <w:rFonts w:hint="default" w:ascii="Times New Roman" w:hAnsi="Times New Roman" w:cs="Times New Roman"/>
          <w:color w:val="auto"/>
          <w:sz w:val="24"/>
          <w:szCs w:val="24"/>
          <w:highlight w:val="none"/>
          <w:lang w:val="en-US" w:eastAsia="zh-CN"/>
        </w:rPr>
        <w:t xml:space="preserve">CCD </w:t>
      </w:r>
      <w:r>
        <w:rPr>
          <w:rFonts w:hint="default" w:ascii="Times New Roman" w:hAnsi="Times New Roman" w:eastAsia="宋体" w:cs="Times New Roman"/>
          <w:color w:val="auto"/>
          <w:sz w:val="24"/>
          <w:szCs w:val="24"/>
          <w:highlight w:val="none"/>
        </w:rPr>
        <w:t>model, the coordinat</w:t>
      </w:r>
      <w:r>
        <w:rPr>
          <w:rFonts w:hint="default" w:ascii="Times New Roman" w:hAnsi="Times New Roman" w:cs="Times New Roman"/>
          <w:color w:val="auto"/>
          <w:sz w:val="24"/>
          <w:szCs w:val="24"/>
          <w:highlight w:val="none"/>
          <w:lang w:val="en-US" w:eastAsia="zh-CN"/>
        </w:rPr>
        <w:t>ed</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development level</w:t>
      </w:r>
      <w:r>
        <w:rPr>
          <w:rFonts w:hint="default" w:ascii="Times New Roman" w:hAnsi="Times New Roman" w:eastAsia="宋体" w:cs="Times New Roman"/>
          <w:color w:val="auto"/>
          <w:sz w:val="24"/>
          <w:szCs w:val="24"/>
          <w:highlight w:val="none"/>
        </w:rPr>
        <w:t xml:space="preserve"> between </w:t>
      </w:r>
      <w:r>
        <w:rPr>
          <w:rFonts w:hint="default" w:ascii="Times New Roman" w:hAnsi="Times New Roman" w:cs="Times New Roman"/>
          <w:color w:val="auto"/>
          <w:sz w:val="24"/>
          <w:szCs w:val="24"/>
          <w:highlight w:val="none"/>
          <w:lang w:val="en-US" w:eastAsia="zh-CN"/>
        </w:rPr>
        <w:t>FA</w:t>
      </w:r>
      <w:r>
        <w:rPr>
          <w:rFonts w:hint="default" w:ascii="Times New Roman" w:hAnsi="Times New Roman" w:eastAsia="宋体" w:cs="Times New Roman"/>
          <w:color w:val="auto"/>
          <w:sz w:val="24"/>
          <w:szCs w:val="24"/>
          <w:highlight w:val="none"/>
        </w:rPr>
        <w:t xml:space="preserve"> and</w:t>
      </w:r>
      <w:r>
        <w:rPr>
          <w:rFonts w:hint="default" w:ascii="Times New Roman" w:hAnsi="Times New Roman" w:cs="Times New Roman"/>
          <w:color w:val="auto"/>
          <w:sz w:val="24"/>
          <w:szCs w:val="24"/>
          <w:highlight w:val="none"/>
          <w:lang w:val="en-US" w:eastAsia="zh-CN"/>
        </w:rPr>
        <w:t xml:space="preserve"> GTI was</w:t>
      </w:r>
      <w:r>
        <w:rPr>
          <w:rFonts w:hint="default" w:ascii="Times New Roman" w:hAnsi="Times New Roman" w:eastAsia="宋体" w:cs="Times New Roman"/>
          <w:color w:val="auto"/>
          <w:sz w:val="24"/>
          <w:szCs w:val="24"/>
          <w:highlight w:val="none"/>
        </w:rPr>
        <w:t xml:space="preserve"> estimated for China, the four major economic regions, and 30 provincial-level administrative regions over the period 2007–2022. The results are reported in Table 5.</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As shown in Table 5, the CCD between FA and GTI generally exhibited an upward trend during the study period, indicating a gradual improvement in the coordinated development of the two subsystems.</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However, the coordination level was still low. Regional differences remained evident.</w:t>
      </w:r>
    </w:p>
    <w:p w14:paraId="2D1339AD">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Table 5. CCD</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between </w:t>
      </w:r>
      <w:r>
        <w:rPr>
          <w:rFonts w:hint="default" w:ascii="Times New Roman" w:hAnsi="Times New Roman" w:cs="Times New Roman"/>
          <w:color w:val="auto"/>
          <w:sz w:val="24"/>
          <w:szCs w:val="24"/>
          <w:highlight w:val="none"/>
          <w:lang w:eastAsia="zh-CN"/>
        </w:rPr>
        <w:t>FA</w:t>
      </w:r>
      <w:r>
        <w:rPr>
          <w:rFonts w:hint="default" w:ascii="Times New Roman" w:hAnsi="Times New Roman" w:eastAsia="宋体" w:cs="Times New Roman"/>
          <w:color w:val="auto"/>
          <w:sz w:val="24"/>
          <w:szCs w:val="24"/>
          <w:highlight w:val="none"/>
        </w:rPr>
        <w:t xml:space="preserve"> and G</w:t>
      </w:r>
      <w:r>
        <w:rPr>
          <w:rFonts w:hint="default" w:ascii="Times New Roman" w:hAnsi="Times New Roman" w:cs="Times New Roman"/>
          <w:color w:val="auto"/>
          <w:sz w:val="24"/>
          <w:szCs w:val="24"/>
          <w:highlight w:val="none"/>
          <w:lang w:val="en-US" w:eastAsia="zh-CN"/>
        </w:rPr>
        <w:t>TI</w:t>
      </w:r>
      <w:r>
        <w:rPr>
          <w:rFonts w:hint="default" w:ascii="Times New Roman" w:hAnsi="Times New Roman" w:eastAsia="宋体" w:cs="Times New Roman"/>
          <w:color w:val="auto"/>
          <w:sz w:val="24"/>
          <w:szCs w:val="24"/>
          <w:highlight w:val="none"/>
        </w:rPr>
        <w:t>, 2007–2022</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577"/>
        <w:gridCol w:w="577"/>
        <w:gridCol w:w="577"/>
        <w:gridCol w:w="577"/>
        <w:gridCol w:w="577"/>
        <w:gridCol w:w="579"/>
        <w:gridCol w:w="579"/>
        <w:gridCol w:w="579"/>
        <w:gridCol w:w="579"/>
        <w:gridCol w:w="579"/>
        <w:gridCol w:w="579"/>
        <w:gridCol w:w="579"/>
        <w:gridCol w:w="579"/>
        <w:gridCol w:w="579"/>
        <w:gridCol w:w="579"/>
        <w:gridCol w:w="579"/>
      </w:tblGrid>
      <w:tr w14:paraId="22A4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59" w:type="pct"/>
            <w:noWrap/>
            <w:vAlign w:val="center"/>
          </w:tcPr>
          <w:p w14:paraId="31E69C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Region</w:t>
            </w:r>
          </w:p>
        </w:tc>
        <w:tc>
          <w:tcPr>
            <w:tcW w:w="264" w:type="pct"/>
            <w:noWrap/>
            <w:vAlign w:val="center"/>
          </w:tcPr>
          <w:p w14:paraId="555A78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2007</w:t>
            </w:r>
          </w:p>
        </w:tc>
        <w:tc>
          <w:tcPr>
            <w:tcW w:w="264" w:type="pct"/>
            <w:noWrap/>
            <w:vAlign w:val="center"/>
          </w:tcPr>
          <w:p w14:paraId="16E979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2008</w:t>
            </w:r>
          </w:p>
        </w:tc>
        <w:tc>
          <w:tcPr>
            <w:tcW w:w="264" w:type="pct"/>
            <w:noWrap/>
            <w:vAlign w:val="center"/>
          </w:tcPr>
          <w:p w14:paraId="05789D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2009</w:t>
            </w:r>
          </w:p>
        </w:tc>
        <w:tc>
          <w:tcPr>
            <w:tcW w:w="264" w:type="pct"/>
            <w:noWrap/>
            <w:vAlign w:val="center"/>
          </w:tcPr>
          <w:p w14:paraId="16C8D9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2010</w:t>
            </w:r>
          </w:p>
        </w:tc>
        <w:tc>
          <w:tcPr>
            <w:tcW w:w="264" w:type="pct"/>
            <w:noWrap/>
            <w:vAlign w:val="center"/>
          </w:tcPr>
          <w:p w14:paraId="0B6B78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2011</w:t>
            </w:r>
          </w:p>
        </w:tc>
        <w:tc>
          <w:tcPr>
            <w:tcW w:w="265" w:type="pct"/>
            <w:noWrap/>
            <w:vAlign w:val="center"/>
          </w:tcPr>
          <w:p w14:paraId="243F90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2012</w:t>
            </w:r>
          </w:p>
        </w:tc>
        <w:tc>
          <w:tcPr>
            <w:tcW w:w="265" w:type="pct"/>
            <w:noWrap/>
            <w:vAlign w:val="center"/>
          </w:tcPr>
          <w:p w14:paraId="1F277F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2013</w:t>
            </w:r>
          </w:p>
        </w:tc>
        <w:tc>
          <w:tcPr>
            <w:tcW w:w="265" w:type="pct"/>
            <w:noWrap/>
            <w:vAlign w:val="center"/>
          </w:tcPr>
          <w:p w14:paraId="63402E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2014</w:t>
            </w:r>
          </w:p>
        </w:tc>
        <w:tc>
          <w:tcPr>
            <w:tcW w:w="265" w:type="pct"/>
            <w:noWrap/>
            <w:vAlign w:val="center"/>
          </w:tcPr>
          <w:p w14:paraId="3841E2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2015</w:t>
            </w:r>
          </w:p>
        </w:tc>
        <w:tc>
          <w:tcPr>
            <w:tcW w:w="265" w:type="pct"/>
            <w:noWrap/>
            <w:vAlign w:val="center"/>
          </w:tcPr>
          <w:p w14:paraId="47DD55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2016</w:t>
            </w:r>
          </w:p>
        </w:tc>
        <w:tc>
          <w:tcPr>
            <w:tcW w:w="265" w:type="pct"/>
            <w:noWrap/>
            <w:vAlign w:val="center"/>
          </w:tcPr>
          <w:p w14:paraId="7EAEE3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2017</w:t>
            </w:r>
          </w:p>
        </w:tc>
        <w:tc>
          <w:tcPr>
            <w:tcW w:w="265" w:type="pct"/>
            <w:noWrap/>
            <w:vAlign w:val="center"/>
          </w:tcPr>
          <w:p w14:paraId="7BA68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2018</w:t>
            </w:r>
          </w:p>
        </w:tc>
        <w:tc>
          <w:tcPr>
            <w:tcW w:w="265" w:type="pct"/>
            <w:noWrap/>
            <w:vAlign w:val="center"/>
          </w:tcPr>
          <w:p w14:paraId="28858D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2019</w:t>
            </w:r>
          </w:p>
        </w:tc>
        <w:tc>
          <w:tcPr>
            <w:tcW w:w="265" w:type="pct"/>
            <w:noWrap/>
            <w:vAlign w:val="center"/>
          </w:tcPr>
          <w:p w14:paraId="675611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2020</w:t>
            </w:r>
          </w:p>
        </w:tc>
        <w:tc>
          <w:tcPr>
            <w:tcW w:w="265" w:type="pct"/>
            <w:noWrap/>
            <w:vAlign w:val="center"/>
          </w:tcPr>
          <w:p w14:paraId="5B89F4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2021</w:t>
            </w:r>
          </w:p>
        </w:tc>
        <w:tc>
          <w:tcPr>
            <w:tcW w:w="265" w:type="pct"/>
            <w:noWrap/>
            <w:vAlign w:val="center"/>
          </w:tcPr>
          <w:p w14:paraId="74CADA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kern w:val="0"/>
                <w:sz w:val="16"/>
                <w:szCs w:val="16"/>
                <w:highlight w:val="none"/>
                <w:lang w:bidi="ar"/>
              </w:rPr>
              <w:t>2022</w:t>
            </w:r>
          </w:p>
        </w:tc>
      </w:tr>
      <w:tr w14:paraId="007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5EEBFA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National</w:t>
            </w:r>
          </w:p>
        </w:tc>
        <w:tc>
          <w:tcPr>
            <w:tcW w:w="264" w:type="pct"/>
            <w:noWrap/>
            <w:vAlign w:val="center"/>
          </w:tcPr>
          <w:p w14:paraId="16D858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0.226 </w:t>
            </w:r>
          </w:p>
        </w:tc>
        <w:tc>
          <w:tcPr>
            <w:tcW w:w="264" w:type="pct"/>
            <w:noWrap/>
            <w:vAlign w:val="center"/>
          </w:tcPr>
          <w:p w14:paraId="15895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0.240 </w:t>
            </w:r>
          </w:p>
        </w:tc>
        <w:tc>
          <w:tcPr>
            <w:tcW w:w="264" w:type="pct"/>
            <w:noWrap/>
            <w:vAlign w:val="center"/>
          </w:tcPr>
          <w:p w14:paraId="525164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0.256 </w:t>
            </w:r>
          </w:p>
        </w:tc>
        <w:tc>
          <w:tcPr>
            <w:tcW w:w="264" w:type="pct"/>
            <w:noWrap/>
            <w:vAlign w:val="center"/>
          </w:tcPr>
          <w:p w14:paraId="16A6BB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0.270 </w:t>
            </w:r>
          </w:p>
        </w:tc>
        <w:tc>
          <w:tcPr>
            <w:tcW w:w="264" w:type="pct"/>
            <w:noWrap/>
            <w:vAlign w:val="center"/>
          </w:tcPr>
          <w:p w14:paraId="768BE5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0.278 </w:t>
            </w:r>
          </w:p>
        </w:tc>
        <w:tc>
          <w:tcPr>
            <w:tcW w:w="265" w:type="pct"/>
            <w:noWrap/>
            <w:vAlign w:val="center"/>
          </w:tcPr>
          <w:p w14:paraId="3C8552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0.293 </w:t>
            </w:r>
          </w:p>
        </w:tc>
        <w:tc>
          <w:tcPr>
            <w:tcW w:w="265" w:type="pct"/>
            <w:noWrap/>
            <w:vAlign w:val="center"/>
          </w:tcPr>
          <w:p w14:paraId="6D3061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0.307 </w:t>
            </w:r>
          </w:p>
        </w:tc>
        <w:tc>
          <w:tcPr>
            <w:tcW w:w="265" w:type="pct"/>
            <w:noWrap/>
            <w:vAlign w:val="center"/>
          </w:tcPr>
          <w:p w14:paraId="7EEF0F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0.321 </w:t>
            </w:r>
          </w:p>
        </w:tc>
        <w:tc>
          <w:tcPr>
            <w:tcW w:w="265" w:type="pct"/>
            <w:noWrap/>
            <w:vAlign w:val="center"/>
          </w:tcPr>
          <w:p w14:paraId="27B902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0.346 </w:t>
            </w:r>
          </w:p>
        </w:tc>
        <w:tc>
          <w:tcPr>
            <w:tcW w:w="265" w:type="pct"/>
            <w:noWrap/>
            <w:vAlign w:val="center"/>
          </w:tcPr>
          <w:p w14:paraId="59806A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0.365 </w:t>
            </w:r>
          </w:p>
        </w:tc>
        <w:tc>
          <w:tcPr>
            <w:tcW w:w="265" w:type="pct"/>
            <w:noWrap/>
            <w:vAlign w:val="center"/>
          </w:tcPr>
          <w:p w14:paraId="6E987B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0.379 </w:t>
            </w:r>
          </w:p>
        </w:tc>
        <w:tc>
          <w:tcPr>
            <w:tcW w:w="265" w:type="pct"/>
            <w:noWrap/>
            <w:vAlign w:val="center"/>
          </w:tcPr>
          <w:p w14:paraId="3C8009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0.390 </w:t>
            </w:r>
          </w:p>
        </w:tc>
        <w:tc>
          <w:tcPr>
            <w:tcW w:w="265" w:type="pct"/>
            <w:noWrap/>
            <w:vAlign w:val="center"/>
          </w:tcPr>
          <w:p w14:paraId="56C5AC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0.406 </w:t>
            </w:r>
          </w:p>
        </w:tc>
        <w:tc>
          <w:tcPr>
            <w:tcW w:w="265" w:type="pct"/>
            <w:noWrap/>
            <w:vAlign w:val="center"/>
          </w:tcPr>
          <w:p w14:paraId="324512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0.426 </w:t>
            </w:r>
          </w:p>
        </w:tc>
        <w:tc>
          <w:tcPr>
            <w:tcW w:w="265" w:type="pct"/>
            <w:noWrap/>
            <w:vAlign w:val="center"/>
          </w:tcPr>
          <w:p w14:paraId="671D29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0.446 </w:t>
            </w:r>
          </w:p>
        </w:tc>
        <w:tc>
          <w:tcPr>
            <w:tcW w:w="265" w:type="pct"/>
            <w:noWrap/>
            <w:vAlign w:val="center"/>
          </w:tcPr>
          <w:p w14:paraId="64EF10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0.461 </w:t>
            </w:r>
          </w:p>
        </w:tc>
      </w:tr>
      <w:tr w14:paraId="4520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550532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b/>
                <w:bCs/>
                <w:color w:val="auto"/>
                <w:sz w:val="16"/>
                <w:szCs w:val="16"/>
                <w:highlight w:val="none"/>
              </w:rPr>
              <w:t>Eastern Region</w:t>
            </w:r>
          </w:p>
        </w:tc>
        <w:tc>
          <w:tcPr>
            <w:tcW w:w="264" w:type="pct"/>
            <w:noWrap/>
            <w:vAlign w:val="center"/>
          </w:tcPr>
          <w:p w14:paraId="4E8AA4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0.283 </w:t>
            </w:r>
          </w:p>
        </w:tc>
        <w:tc>
          <w:tcPr>
            <w:tcW w:w="264" w:type="pct"/>
            <w:noWrap/>
            <w:vAlign w:val="center"/>
          </w:tcPr>
          <w:p w14:paraId="4F108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0.301 </w:t>
            </w:r>
          </w:p>
        </w:tc>
        <w:tc>
          <w:tcPr>
            <w:tcW w:w="264" w:type="pct"/>
            <w:noWrap/>
            <w:vAlign w:val="center"/>
          </w:tcPr>
          <w:p w14:paraId="5D7949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0.322 </w:t>
            </w:r>
          </w:p>
        </w:tc>
        <w:tc>
          <w:tcPr>
            <w:tcW w:w="264" w:type="pct"/>
            <w:noWrap/>
            <w:vAlign w:val="center"/>
          </w:tcPr>
          <w:p w14:paraId="4786DD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0.342 </w:t>
            </w:r>
          </w:p>
        </w:tc>
        <w:tc>
          <w:tcPr>
            <w:tcW w:w="264" w:type="pct"/>
            <w:noWrap/>
            <w:vAlign w:val="center"/>
          </w:tcPr>
          <w:p w14:paraId="3FA932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0.357 </w:t>
            </w:r>
          </w:p>
        </w:tc>
        <w:tc>
          <w:tcPr>
            <w:tcW w:w="265" w:type="pct"/>
            <w:noWrap/>
            <w:vAlign w:val="center"/>
          </w:tcPr>
          <w:p w14:paraId="372C93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0.375 </w:t>
            </w:r>
          </w:p>
        </w:tc>
        <w:tc>
          <w:tcPr>
            <w:tcW w:w="265" w:type="pct"/>
            <w:noWrap/>
            <w:vAlign w:val="center"/>
          </w:tcPr>
          <w:p w14:paraId="48DC3B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0.397 </w:t>
            </w:r>
          </w:p>
        </w:tc>
        <w:tc>
          <w:tcPr>
            <w:tcW w:w="265" w:type="pct"/>
            <w:noWrap/>
            <w:vAlign w:val="center"/>
          </w:tcPr>
          <w:p w14:paraId="26C48C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0.417 </w:t>
            </w:r>
          </w:p>
        </w:tc>
        <w:tc>
          <w:tcPr>
            <w:tcW w:w="265" w:type="pct"/>
            <w:noWrap/>
            <w:vAlign w:val="center"/>
          </w:tcPr>
          <w:p w14:paraId="27A60C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0.455 </w:t>
            </w:r>
          </w:p>
        </w:tc>
        <w:tc>
          <w:tcPr>
            <w:tcW w:w="265" w:type="pct"/>
            <w:noWrap/>
            <w:vAlign w:val="center"/>
          </w:tcPr>
          <w:p w14:paraId="38D07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0.479 </w:t>
            </w:r>
          </w:p>
        </w:tc>
        <w:tc>
          <w:tcPr>
            <w:tcW w:w="265" w:type="pct"/>
            <w:noWrap/>
            <w:vAlign w:val="center"/>
          </w:tcPr>
          <w:p w14:paraId="7E5AC2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0.496 </w:t>
            </w:r>
          </w:p>
        </w:tc>
        <w:tc>
          <w:tcPr>
            <w:tcW w:w="265" w:type="pct"/>
            <w:noWrap/>
            <w:vAlign w:val="center"/>
          </w:tcPr>
          <w:p w14:paraId="1F7F3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0.511 </w:t>
            </w:r>
          </w:p>
        </w:tc>
        <w:tc>
          <w:tcPr>
            <w:tcW w:w="265" w:type="pct"/>
            <w:noWrap/>
            <w:vAlign w:val="center"/>
          </w:tcPr>
          <w:p w14:paraId="583FAC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0.533 </w:t>
            </w:r>
          </w:p>
        </w:tc>
        <w:tc>
          <w:tcPr>
            <w:tcW w:w="265" w:type="pct"/>
            <w:noWrap/>
            <w:vAlign w:val="center"/>
          </w:tcPr>
          <w:p w14:paraId="77B092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0.565 </w:t>
            </w:r>
          </w:p>
        </w:tc>
        <w:tc>
          <w:tcPr>
            <w:tcW w:w="265" w:type="pct"/>
            <w:noWrap/>
            <w:vAlign w:val="center"/>
          </w:tcPr>
          <w:p w14:paraId="457BF3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0.600 </w:t>
            </w:r>
          </w:p>
        </w:tc>
        <w:tc>
          <w:tcPr>
            <w:tcW w:w="265" w:type="pct"/>
            <w:noWrap/>
            <w:vAlign w:val="center"/>
          </w:tcPr>
          <w:p w14:paraId="5FCFCB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0.623 </w:t>
            </w:r>
          </w:p>
        </w:tc>
      </w:tr>
      <w:tr w14:paraId="7AF9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790D32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Beijing</w:t>
            </w:r>
          </w:p>
        </w:tc>
        <w:tc>
          <w:tcPr>
            <w:tcW w:w="264" w:type="pct"/>
            <w:noWrap/>
            <w:vAlign w:val="bottom"/>
          </w:tcPr>
          <w:p w14:paraId="2F2D47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0.398 </w:t>
            </w:r>
          </w:p>
        </w:tc>
        <w:tc>
          <w:tcPr>
            <w:tcW w:w="264" w:type="pct"/>
            <w:noWrap/>
            <w:vAlign w:val="bottom"/>
          </w:tcPr>
          <w:p w14:paraId="28AAD2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0.411 </w:t>
            </w:r>
          </w:p>
        </w:tc>
        <w:tc>
          <w:tcPr>
            <w:tcW w:w="264" w:type="pct"/>
            <w:noWrap/>
            <w:vAlign w:val="bottom"/>
          </w:tcPr>
          <w:p w14:paraId="7534CC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0.433 </w:t>
            </w:r>
          </w:p>
        </w:tc>
        <w:tc>
          <w:tcPr>
            <w:tcW w:w="264" w:type="pct"/>
            <w:noWrap/>
            <w:vAlign w:val="bottom"/>
          </w:tcPr>
          <w:p w14:paraId="0B5EEF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0.459 </w:t>
            </w:r>
          </w:p>
        </w:tc>
        <w:tc>
          <w:tcPr>
            <w:tcW w:w="264" w:type="pct"/>
            <w:noWrap/>
            <w:vAlign w:val="bottom"/>
          </w:tcPr>
          <w:p w14:paraId="091CB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0.470 </w:t>
            </w:r>
          </w:p>
        </w:tc>
        <w:tc>
          <w:tcPr>
            <w:tcW w:w="265" w:type="pct"/>
            <w:noWrap/>
            <w:vAlign w:val="bottom"/>
          </w:tcPr>
          <w:p w14:paraId="55BD52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0.495 </w:t>
            </w:r>
          </w:p>
        </w:tc>
        <w:tc>
          <w:tcPr>
            <w:tcW w:w="265" w:type="pct"/>
            <w:noWrap/>
            <w:vAlign w:val="bottom"/>
          </w:tcPr>
          <w:p w14:paraId="28157C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0.521 </w:t>
            </w:r>
          </w:p>
        </w:tc>
        <w:tc>
          <w:tcPr>
            <w:tcW w:w="265" w:type="pct"/>
            <w:noWrap/>
            <w:vAlign w:val="bottom"/>
          </w:tcPr>
          <w:p w14:paraId="29856B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0.550 </w:t>
            </w:r>
          </w:p>
        </w:tc>
        <w:tc>
          <w:tcPr>
            <w:tcW w:w="265" w:type="pct"/>
            <w:noWrap/>
            <w:vAlign w:val="bottom"/>
          </w:tcPr>
          <w:p w14:paraId="76E579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0.600 </w:t>
            </w:r>
          </w:p>
        </w:tc>
        <w:tc>
          <w:tcPr>
            <w:tcW w:w="265" w:type="pct"/>
            <w:noWrap/>
            <w:vAlign w:val="bottom"/>
          </w:tcPr>
          <w:p w14:paraId="2BAAF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0.629 </w:t>
            </w:r>
          </w:p>
        </w:tc>
        <w:tc>
          <w:tcPr>
            <w:tcW w:w="265" w:type="pct"/>
            <w:noWrap/>
            <w:vAlign w:val="bottom"/>
          </w:tcPr>
          <w:p w14:paraId="54607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0.645 </w:t>
            </w:r>
          </w:p>
        </w:tc>
        <w:tc>
          <w:tcPr>
            <w:tcW w:w="265" w:type="pct"/>
            <w:noWrap/>
            <w:vAlign w:val="bottom"/>
          </w:tcPr>
          <w:p w14:paraId="1AA7AB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0.651 </w:t>
            </w:r>
          </w:p>
        </w:tc>
        <w:tc>
          <w:tcPr>
            <w:tcW w:w="265" w:type="pct"/>
            <w:noWrap/>
            <w:vAlign w:val="bottom"/>
          </w:tcPr>
          <w:p w14:paraId="4A2000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0.679 </w:t>
            </w:r>
          </w:p>
        </w:tc>
        <w:tc>
          <w:tcPr>
            <w:tcW w:w="265" w:type="pct"/>
            <w:noWrap/>
            <w:vAlign w:val="bottom"/>
          </w:tcPr>
          <w:p w14:paraId="0E0917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0.709 </w:t>
            </w:r>
          </w:p>
        </w:tc>
        <w:tc>
          <w:tcPr>
            <w:tcW w:w="265" w:type="pct"/>
            <w:noWrap/>
            <w:vAlign w:val="bottom"/>
          </w:tcPr>
          <w:p w14:paraId="41E91B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0.765 </w:t>
            </w:r>
          </w:p>
        </w:tc>
        <w:tc>
          <w:tcPr>
            <w:tcW w:w="265" w:type="pct"/>
            <w:noWrap/>
            <w:vAlign w:val="bottom"/>
          </w:tcPr>
          <w:p w14:paraId="29453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0.794 </w:t>
            </w:r>
          </w:p>
        </w:tc>
      </w:tr>
      <w:tr w14:paraId="0D73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43E811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Tianjin</w:t>
            </w:r>
          </w:p>
        </w:tc>
        <w:tc>
          <w:tcPr>
            <w:tcW w:w="264" w:type="pct"/>
            <w:noWrap/>
            <w:vAlign w:val="bottom"/>
          </w:tcPr>
          <w:p w14:paraId="74AE84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0.263 </w:t>
            </w:r>
          </w:p>
        </w:tc>
        <w:tc>
          <w:tcPr>
            <w:tcW w:w="264" w:type="pct"/>
            <w:noWrap/>
            <w:vAlign w:val="bottom"/>
          </w:tcPr>
          <w:p w14:paraId="6B0AB7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0.267 </w:t>
            </w:r>
          </w:p>
        </w:tc>
        <w:tc>
          <w:tcPr>
            <w:tcW w:w="264" w:type="pct"/>
            <w:noWrap/>
            <w:vAlign w:val="bottom"/>
          </w:tcPr>
          <w:p w14:paraId="68173B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0.280 </w:t>
            </w:r>
          </w:p>
        </w:tc>
        <w:tc>
          <w:tcPr>
            <w:tcW w:w="264" w:type="pct"/>
            <w:noWrap/>
            <w:vAlign w:val="bottom"/>
          </w:tcPr>
          <w:p w14:paraId="3F627C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0.293 </w:t>
            </w:r>
          </w:p>
        </w:tc>
        <w:tc>
          <w:tcPr>
            <w:tcW w:w="264" w:type="pct"/>
            <w:noWrap/>
            <w:vAlign w:val="bottom"/>
          </w:tcPr>
          <w:p w14:paraId="11A534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0.304 </w:t>
            </w:r>
          </w:p>
        </w:tc>
        <w:tc>
          <w:tcPr>
            <w:tcW w:w="265" w:type="pct"/>
            <w:noWrap/>
            <w:vAlign w:val="bottom"/>
          </w:tcPr>
          <w:p w14:paraId="06A80C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0.319 </w:t>
            </w:r>
          </w:p>
        </w:tc>
        <w:tc>
          <w:tcPr>
            <w:tcW w:w="265" w:type="pct"/>
            <w:noWrap/>
            <w:vAlign w:val="bottom"/>
          </w:tcPr>
          <w:p w14:paraId="5A140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0.334 </w:t>
            </w:r>
          </w:p>
        </w:tc>
        <w:tc>
          <w:tcPr>
            <w:tcW w:w="265" w:type="pct"/>
            <w:noWrap/>
            <w:vAlign w:val="bottom"/>
          </w:tcPr>
          <w:p w14:paraId="02E47A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0.346 </w:t>
            </w:r>
          </w:p>
        </w:tc>
        <w:tc>
          <w:tcPr>
            <w:tcW w:w="265" w:type="pct"/>
            <w:noWrap/>
            <w:vAlign w:val="bottom"/>
          </w:tcPr>
          <w:p w14:paraId="733968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0.367 </w:t>
            </w:r>
          </w:p>
        </w:tc>
        <w:tc>
          <w:tcPr>
            <w:tcW w:w="265" w:type="pct"/>
            <w:noWrap/>
            <w:vAlign w:val="bottom"/>
          </w:tcPr>
          <w:p w14:paraId="5801DC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0.384 </w:t>
            </w:r>
          </w:p>
        </w:tc>
        <w:tc>
          <w:tcPr>
            <w:tcW w:w="265" w:type="pct"/>
            <w:noWrap/>
            <w:vAlign w:val="bottom"/>
          </w:tcPr>
          <w:p w14:paraId="58894E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0.385 </w:t>
            </w:r>
          </w:p>
        </w:tc>
        <w:tc>
          <w:tcPr>
            <w:tcW w:w="265" w:type="pct"/>
            <w:noWrap/>
            <w:vAlign w:val="bottom"/>
          </w:tcPr>
          <w:p w14:paraId="1FED25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0.391 </w:t>
            </w:r>
          </w:p>
        </w:tc>
        <w:tc>
          <w:tcPr>
            <w:tcW w:w="265" w:type="pct"/>
            <w:noWrap/>
            <w:vAlign w:val="bottom"/>
          </w:tcPr>
          <w:p w14:paraId="54A83F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0.403 </w:t>
            </w:r>
          </w:p>
        </w:tc>
        <w:tc>
          <w:tcPr>
            <w:tcW w:w="265" w:type="pct"/>
            <w:noWrap/>
            <w:vAlign w:val="bottom"/>
          </w:tcPr>
          <w:p w14:paraId="707CE8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0.417 </w:t>
            </w:r>
          </w:p>
        </w:tc>
        <w:tc>
          <w:tcPr>
            <w:tcW w:w="265" w:type="pct"/>
            <w:noWrap/>
            <w:vAlign w:val="bottom"/>
          </w:tcPr>
          <w:p w14:paraId="41E027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0.429 </w:t>
            </w:r>
          </w:p>
        </w:tc>
        <w:tc>
          <w:tcPr>
            <w:tcW w:w="265" w:type="pct"/>
            <w:noWrap/>
            <w:vAlign w:val="bottom"/>
          </w:tcPr>
          <w:p w14:paraId="5E709F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0.434 </w:t>
            </w:r>
          </w:p>
        </w:tc>
      </w:tr>
      <w:tr w14:paraId="6FAE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16CF5D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Hebei</w:t>
            </w:r>
          </w:p>
        </w:tc>
        <w:tc>
          <w:tcPr>
            <w:tcW w:w="264" w:type="pct"/>
            <w:noWrap/>
            <w:vAlign w:val="bottom"/>
          </w:tcPr>
          <w:p w14:paraId="1D502C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0.210 </w:t>
            </w:r>
          </w:p>
        </w:tc>
        <w:tc>
          <w:tcPr>
            <w:tcW w:w="264" w:type="pct"/>
            <w:noWrap/>
            <w:vAlign w:val="bottom"/>
          </w:tcPr>
          <w:p w14:paraId="7638BC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0.227 </w:t>
            </w:r>
          </w:p>
        </w:tc>
        <w:tc>
          <w:tcPr>
            <w:tcW w:w="264" w:type="pct"/>
            <w:noWrap/>
            <w:vAlign w:val="bottom"/>
          </w:tcPr>
          <w:p w14:paraId="789CE8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0.247 </w:t>
            </w:r>
          </w:p>
        </w:tc>
        <w:tc>
          <w:tcPr>
            <w:tcW w:w="264" w:type="pct"/>
            <w:noWrap/>
            <w:vAlign w:val="bottom"/>
          </w:tcPr>
          <w:p w14:paraId="3187C4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0.258 </w:t>
            </w:r>
          </w:p>
        </w:tc>
        <w:tc>
          <w:tcPr>
            <w:tcW w:w="264" w:type="pct"/>
            <w:noWrap/>
            <w:vAlign w:val="bottom"/>
          </w:tcPr>
          <w:p w14:paraId="5BEB25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0.262 </w:t>
            </w:r>
          </w:p>
        </w:tc>
        <w:tc>
          <w:tcPr>
            <w:tcW w:w="265" w:type="pct"/>
            <w:noWrap/>
            <w:vAlign w:val="bottom"/>
          </w:tcPr>
          <w:p w14:paraId="20782B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0.276 </w:t>
            </w:r>
          </w:p>
        </w:tc>
        <w:tc>
          <w:tcPr>
            <w:tcW w:w="265" w:type="pct"/>
            <w:noWrap/>
            <w:vAlign w:val="bottom"/>
          </w:tcPr>
          <w:p w14:paraId="784471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0.292 </w:t>
            </w:r>
          </w:p>
        </w:tc>
        <w:tc>
          <w:tcPr>
            <w:tcW w:w="265" w:type="pct"/>
            <w:noWrap/>
            <w:vAlign w:val="bottom"/>
          </w:tcPr>
          <w:p w14:paraId="499CE5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0.308 </w:t>
            </w:r>
          </w:p>
        </w:tc>
        <w:tc>
          <w:tcPr>
            <w:tcW w:w="265" w:type="pct"/>
            <w:noWrap/>
            <w:vAlign w:val="bottom"/>
          </w:tcPr>
          <w:p w14:paraId="746A14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0.334 </w:t>
            </w:r>
          </w:p>
        </w:tc>
        <w:tc>
          <w:tcPr>
            <w:tcW w:w="265" w:type="pct"/>
            <w:noWrap/>
            <w:vAlign w:val="bottom"/>
          </w:tcPr>
          <w:p w14:paraId="10133D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0.355 </w:t>
            </w:r>
          </w:p>
        </w:tc>
        <w:tc>
          <w:tcPr>
            <w:tcW w:w="265" w:type="pct"/>
            <w:noWrap/>
            <w:vAlign w:val="bottom"/>
          </w:tcPr>
          <w:p w14:paraId="74FDC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0.375 </w:t>
            </w:r>
          </w:p>
        </w:tc>
        <w:tc>
          <w:tcPr>
            <w:tcW w:w="265" w:type="pct"/>
            <w:noWrap/>
            <w:vAlign w:val="bottom"/>
          </w:tcPr>
          <w:p w14:paraId="0580B3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0.392 </w:t>
            </w:r>
          </w:p>
        </w:tc>
        <w:tc>
          <w:tcPr>
            <w:tcW w:w="265" w:type="pct"/>
            <w:noWrap/>
            <w:vAlign w:val="bottom"/>
          </w:tcPr>
          <w:p w14:paraId="346689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0.411 </w:t>
            </w:r>
          </w:p>
        </w:tc>
        <w:tc>
          <w:tcPr>
            <w:tcW w:w="265" w:type="pct"/>
            <w:noWrap/>
            <w:vAlign w:val="bottom"/>
          </w:tcPr>
          <w:p w14:paraId="083947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0.433 </w:t>
            </w:r>
          </w:p>
        </w:tc>
        <w:tc>
          <w:tcPr>
            <w:tcW w:w="265" w:type="pct"/>
            <w:noWrap/>
            <w:vAlign w:val="bottom"/>
          </w:tcPr>
          <w:p w14:paraId="081B50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0.452 </w:t>
            </w:r>
          </w:p>
        </w:tc>
        <w:tc>
          <w:tcPr>
            <w:tcW w:w="265" w:type="pct"/>
            <w:noWrap/>
            <w:vAlign w:val="bottom"/>
          </w:tcPr>
          <w:p w14:paraId="62AF13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0.468 </w:t>
            </w:r>
          </w:p>
        </w:tc>
      </w:tr>
      <w:tr w14:paraId="7AAA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1F0826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Shanghai</w:t>
            </w:r>
          </w:p>
        </w:tc>
        <w:tc>
          <w:tcPr>
            <w:tcW w:w="264" w:type="pct"/>
            <w:noWrap/>
            <w:vAlign w:val="bottom"/>
          </w:tcPr>
          <w:p w14:paraId="49543B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0.359 </w:t>
            </w:r>
          </w:p>
        </w:tc>
        <w:tc>
          <w:tcPr>
            <w:tcW w:w="264" w:type="pct"/>
            <w:noWrap/>
            <w:vAlign w:val="bottom"/>
          </w:tcPr>
          <w:p w14:paraId="0E2833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0.382 </w:t>
            </w:r>
          </w:p>
        </w:tc>
        <w:tc>
          <w:tcPr>
            <w:tcW w:w="264" w:type="pct"/>
            <w:noWrap/>
            <w:vAlign w:val="bottom"/>
          </w:tcPr>
          <w:p w14:paraId="4E1E3A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0.407 </w:t>
            </w:r>
          </w:p>
        </w:tc>
        <w:tc>
          <w:tcPr>
            <w:tcW w:w="264" w:type="pct"/>
            <w:noWrap/>
            <w:vAlign w:val="bottom"/>
          </w:tcPr>
          <w:p w14:paraId="7C948B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0.425 </w:t>
            </w:r>
          </w:p>
        </w:tc>
        <w:tc>
          <w:tcPr>
            <w:tcW w:w="264" w:type="pct"/>
            <w:noWrap/>
            <w:vAlign w:val="bottom"/>
          </w:tcPr>
          <w:p w14:paraId="4DDF8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0.437 </w:t>
            </w:r>
          </w:p>
        </w:tc>
        <w:tc>
          <w:tcPr>
            <w:tcW w:w="265" w:type="pct"/>
            <w:noWrap/>
            <w:vAlign w:val="bottom"/>
          </w:tcPr>
          <w:p w14:paraId="697014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0.444 </w:t>
            </w:r>
          </w:p>
        </w:tc>
        <w:tc>
          <w:tcPr>
            <w:tcW w:w="265" w:type="pct"/>
            <w:noWrap/>
            <w:vAlign w:val="bottom"/>
          </w:tcPr>
          <w:p w14:paraId="31520D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0.463 </w:t>
            </w:r>
          </w:p>
        </w:tc>
        <w:tc>
          <w:tcPr>
            <w:tcW w:w="265" w:type="pct"/>
            <w:noWrap/>
            <w:vAlign w:val="bottom"/>
          </w:tcPr>
          <w:p w14:paraId="7BB3C0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0.488 </w:t>
            </w:r>
          </w:p>
        </w:tc>
        <w:tc>
          <w:tcPr>
            <w:tcW w:w="265" w:type="pct"/>
            <w:noWrap/>
            <w:vAlign w:val="bottom"/>
          </w:tcPr>
          <w:p w14:paraId="50A7A0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0.539 </w:t>
            </w:r>
          </w:p>
        </w:tc>
        <w:tc>
          <w:tcPr>
            <w:tcW w:w="265" w:type="pct"/>
            <w:noWrap/>
            <w:vAlign w:val="bottom"/>
          </w:tcPr>
          <w:p w14:paraId="6DCECC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0.571 </w:t>
            </w:r>
          </w:p>
        </w:tc>
        <w:tc>
          <w:tcPr>
            <w:tcW w:w="265" w:type="pct"/>
            <w:noWrap/>
            <w:vAlign w:val="bottom"/>
          </w:tcPr>
          <w:p w14:paraId="533FC3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0.584 </w:t>
            </w:r>
          </w:p>
        </w:tc>
        <w:tc>
          <w:tcPr>
            <w:tcW w:w="265" w:type="pct"/>
            <w:noWrap/>
            <w:vAlign w:val="bottom"/>
          </w:tcPr>
          <w:p w14:paraId="6D20E3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0.590 </w:t>
            </w:r>
          </w:p>
        </w:tc>
        <w:tc>
          <w:tcPr>
            <w:tcW w:w="265" w:type="pct"/>
            <w:noWrap/>
            <w:vAlign w:val="bottom"/>
          </w:tcPr>
          <w:p w14:paraId="3D5410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0.613 </w:t>
            </w:r>
          </w:p>
        </w:tc>
        <w:tc>
          <w:tcPr>
            <w:tcW w:w="265" w:type="pct"/>
            <w:noWrap/>
            <w:vAlign w:val="bottom"/>
          </w:tcPr>
          <w:p w14:paraId="274609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0.642 </w:t>
            </w:r>
          </w:p>
        </w:tc>
        <w:tc>
          <w:tcPr>
            <w:tcW w:w="265" w:type="pct"/>
            <w:noWrap/>
            <w:vAlign w:val="bottom"/>
          </w:tcPr>
          <w:p w14:paraId="774022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0.695 </w:t>
            </w:r>
          </w:p>
        </w:tc>
        <w:tc>
          <w:tcPr>
            <w:tcW w:w="265" w:type="pct"/>
            <w:noWrap/>
            <w:vAlign w:val="bottom"/>
          </w:tcPr>
          <w:p w14:paraId="6D96FA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0.735 </w:t>
            </w:r>
          </w:p>
        </w:tc>
      </w:tr>
      <w:tr w14:paraId="3C62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5B9587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Jiangsu</w:t>
            </w:r>
          </w:p>
        </w:tc>
        <w:tc>
          <w:tcPr>
            <w:tcW w:w="264" w:type="pct"/>
            <w:noWrap/>
            <w:vAlign w:val="bottom"/>
          </w:tcPr>
          <w:p w14:paraId="348182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0.307 </w:t>
            </w:r>
          </w:p>
        </w:tc>
        <w:tc>
          <w:tcPr>
            <w:tcW w:w="264" w:type="pct"/>
            <w:noWrap/>
            <w:vAlign w:val="bottom"/>
          </w:tcPr>
          <w:p w14:paraId="281AED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0.332 </w:t>
            </w:r>
          </w:p>
        </w:tc>
        <w:tc>
          <w:tcPr>
            <w:tcW w:w="264" w:type="pct"/>
            <w:noWrap/>
            <w:vAlign w:val="bottom"/>
          </w:tcPr>
          <w:p w14:paraId="209ACB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0.363 </w:t>
            </w:r>
          </w:p>
        </w:tc>
        <w:tc>
          <w:tcPr>
            <w:tcW w:w="264" w:type="pct"/>
            <w:noWrap/>
            <w:vAlign w:val="bottom"/>
          </w:tcPr>
          <w:p w14:paraId="3DD280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0.392 </w:t>
            </w:r>
          </w:p>
        </w:tc>
        <w:tc>
          <w:tcPr>
            <w:tcW w:w="264" w:type="pct"/>
            <w:noWrap/>
            <w:vAlign w:val="bottom"/>
          </w:tcPr>
          <w:p w14:paraId="3C247A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0.420 </w:t>
            </w:r>
          </w:p>
        </w:tc>
        <w:tc>
          <w:tcPr>
            <w:tcW w:w="265" w:type="pct"/>
            <w:noWrap/>
            <w:vAlign w:val="bottom"/>
          </w:tcPr>
          <w:p w14:paraId="66836A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0.450 </w:t>
            </w:r>
          </w:p>
        </w:tc>
        <w:tc>
          <w:tcPr>
            <w:tcW w:w="265" w:type="pct"/>
            <w:noWrap/>
            <w:vAlign w:val="bottom"/>
          </w:tcPr>
          <w:p w14:paraId="445099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0.483 </w:t>
            </w:r>
          </w:p>
        </w:tc>
        <w:tc>
          <w:tcPr>
            <w:tcW w:w="265" w:type="pct"/>
            <w:noWrap/>
            <w:vAlign w:val="bottom"/>
          </w:tcPr>
          <w:p w14:paraId="37A33F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0.510 </w:t>
            </w:r>
          </w:p>
        </w:tc>
        <w:tc>
          <w:tcPr>
            <w:tcW w:w="265" w:type="pct"/>
            <w:noWrap/>
            <w:vAlign w:val="bottom"/>
          </w:tcPr>
          <w:p w14:paraId="5287AD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0.555 </w:t>
            </w:r>
          </w:p>
        </w:tc>
        <w:tc>
          <w:tcPr>
            <w:tcW w:w="265" w:type="pct"/>
            <w:noWrap/>
            <w:vAlign w:val="bottom"/>
          </w:tcPr>
          <w:p w14:paraId="13691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0.588 </w:t>
            </w:r>
          </w:p>
        </w:tc>
        <w:tc>
          <w:tcPr>
            <w:tcW w:w="265" w:type="pct"/>
            <w:noWrap/>
            <w:vAlign w:val="bottom"/>
          </w:tcPr>
          <w:p w14:paraId="6E06F6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0.617 </w:t>
            </w:r>
          </w:p>
        </w:tc>
        <w:tc>
          <w:tcPr>
            <w:tcW w:w="265" w:type="pct"/>
            <w:noWrap/>
            <w:vAlign w:val="bottom"/>
          </w:tcPr>
          <w:p w14:paraId="28556A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0.640 </w:t>
            </w:r>
          </w:p>
        </w:tc>
        <w:tc>
          <w:tcPr>
            <w:tcW w:w="265" w:type="pct"/>
            <w:noWrap/>
            <w:vAlign w:val="bottom"/>
          </w:tcPr>
          <w:p w14:paraId="29EA49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0.672 </w:t>
            </w:r>
          </w:p>
        </w:tc>
        <w:tc>
          <w:tcPr>
            <w:tcW w:w="265" w:type="pct"/>
            <w:noWrap/>
            <w:vAlign w:val="bottom"/>
          </w:tcPr>
          <w:p w14:paraId="72CAE9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0.723 </w:t>
            </w:r>
          </w:p>
        </w:tc>
        <w:tc>
          <w:tcPr>
            <w:tcW w:w="265" w:type="pct"/>
            <w:noWrap/>
            <w:vAlign w:val="bottom"/>
          </w:tcPr>
          <w:p w14:paraId="5D360B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0.771 </w:t>
            </w:r>
          </w:p>
        </w:tc>
        <w:tc>
          <w:tcPr>
            <w:tcW w:w="265" w:type="pct"/>
            <w:noWrap/>
            <w:vAlign w:val="bottom"/>
          </w:tcPr>
          <w:p w14:paraId="25517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0.800 </w:t>
            </w:r>
          </w:p>
        </w:tc>
      </w:tr>
      <w:tr w14:paraId="5558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1EDEBC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Zhejiang</w:t>
            </w:r>
          </w:p>
        </w:tc>
        <w:tc>
          <w:tcPr>
            <w:tcW w:w="264" w:type="pct"/>
            <w:noWrap/>
            <w:vAlign w:val="bottom"/>
          </w:tcPr>
          <w:p w14:paraId="07D42E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0.303 </w:t>
            </w:r>
          </w:p>
        </w:tc>
        <w:tc>
          <w:tcPr>
            <w:tcW w:w="264" w:type="pct"/>
            <w:noWrap/>
            <w:vAlign w:val="bottom"/>
          </w:tcPr>
          <w:p w14:paraId="66AD4E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0.331 </w:t>
            </w:r>
          </w:p>
        </w:tc>
        <w:tc>
          <w:tcPr>
            <w:tcW w:w="264" w:type="pct"/>
            <w:noWrap/>
            <w:vAlign w:val="bottom"/>
          </w:tcPr>
          <w:p w14:paraId="45F0A5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0.353 </w:t>
            </w:r>
          </w:p>
        </w:tc>
        <w:tc>
          <w:tcPr>
            <w:tcW w:w="264" w:type="pct"/>
            <w:noWrap/>
            <w:vAlign w:val="bottom"/>
          </w:tcPr>
          <w:p w14:paraId="3C3650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0.375 </w:t>
            </w:r>
          </w:p>
        </w:tc>
        <w:tc>
          <w:tcPr>
            <w:tcW w:w="264" w:type="pct"/>
            <w:noWrap/>
            <w:vAlign w:val="bottom"/>
          </w:tcPr>
          <w:p w14:paraId="11B147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0.396 </w:t>
            </w:r>
          </w:p>
        </w:tc>
        <w:tc>
          <w:tcPr>
            <w:tcW w:w="265" w:type="pct"/>
            <w:noWrap/>
            <w:vAlign w:val="bottom"/>
          </w:tcPr>
          <w:p w14:paraId="10294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0.415 </w:t>
            </w:r>
          </w:p>
        </w:tc>
        <w:tc>
          <w:tcPr>
            <w:tcW w:w="265" w:type="pct"/>
            <w:noWrap/>
            <w:vAlign w:val="bottom"/>
          </w:tcPr>
          <w:p w14:paraId="3B81F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0.438 </w:t>
            </w:r>
          </w:p>
        </w:tc>
        <w:tc>
          <w:tcPr>
            <w:tcW w:w="265" w:type="pct"/>
            <w:noWrap/>
            <w:vAlign w:val="bottom"/>
          </w:tcPr>
          <w:p w14:paraId="6DBA87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0.454 </w:t>
            </w:r>
          </w:p>
        </w:tc>
        <w:tc>
          <w:tcPr>
            <w:tcW w:w="265" w:type="pct"/>
            <w:noWrap/>
            <w:vAlign w:val="bottom"/>
          </w:tcPr>
          <w:p w14:paraId="3FEB83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0.501 </w:t>
            </w:r>
          </w:p>
        </w:tc>
        <w:tc>
          <w:tcPr>
            <w:tcW w:w="265" w:type="pct"/>
            <w:noWrap/>
            <w:vAlign w:val="bottom"/>
          </w:tcPr>
          <w:p w14:paraId="69F8BE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0.515 </w:t>
            </w:r>
          </w:p>
        </w:tc>
        <w:tc>
          <w:tcPr>
            <w:tcW w:w="265" w:type="pct"/>
            <w:noWrap/>
            <w:vAlign w:val="bottom"/>
          </w:tcPr>
          <w:p w14:paraId="045D3D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0.535 </w:t>
            </w:r>
          </w:p>
        </w:tc>
        <w:tc>
          <w:tcPr>
            <w:tcW w:w="265" w:type="pct"/>
            <w:noWrap/>
            <w:vAlign w:val="bottom"/>
          </w:tcPr>
          <w:p w14:paraId="14B0BB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0.563 </w:t>
            </w:r>
          </w:p>
        </w:tc>
        <w:tc>
          <w:tcPr>
            <w:tcW w:w="265" w:type="pct"/>
            <w:noWrap/>
            <w:vAlign w:val="bottom"/>
          </w:tcPr>
          <w:p w14:paraId="6C5012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0.593 </w:t>
            </w:r>
          </w:p>
        </w:tc>
        <w:tc>
          <w:tcPr>
            <w:tcW w:w="265" w:type="pct"/>
            <w:noWrap/>
            <w:vAlign w:val="bottom"/>
          </w:tcPr>
          <w:p w14:paraId="1CE298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0.637 </w:t>
            </w:r>
          </w:p>
        </w:tc>
        <w:tc>
          <w:tcPr>
            <w:tcW w:w="265" w:type="pct"/>
            <w:noWrap/>
            <w:vAlign w:val="bottom"/>
          </w:tcPr>
          <w:p w14:paraId="6273B1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0.677 </w:t>
            </w:r>
          </w:p>
        </w:tc>
        <w:tc>
          <w:tcPr>
            <w:tcW w:w="265" w:type="pct"/>
            <w:noWrap/>
            <w:vAlign w:val="bottom"/>
          </w:tcPr>
          <w:p w14:paraId="68626D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0.707 </w:t>
            </w:r>
          </w:p>
        </w:tc>
      </w:tr>
      <w:tr w14:paraId="43A9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0749D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Fujian</w:t>
            </w:r>
          </w:p>
        </w:tc>
        <w:tc>
          <w:tcPr>
            <w:tcW w:w="264" w:type="pct"/>
            <w:noWrap/>
            <w:vAlign w:val="bottom"/>
          </w:tcPr>
          <w:p w14:paraId="41C693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0.221 </w:t>
            </w:r>
          </w:p>
        </w:tc>
        <w:tc>
          <w:tcPr>
            <w:tcW w:w="264" w:type="pct"/>
            <w:noWrap/>
            <w:vAlign w:val="bottom"/>
          </w:tcPr>
          <w:p w14:paraId="684BF4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0.234 </w:t>
            </w:r>
          </w:p>
        </w:tc>
        <w:tc>
          <w:tcPr>
            <w:tcW w:w="264" w:type="pct"/>
            <w:noWrap/>
            <w:vAlign w:val="bottom"/>
          </w:tcPr>
          <w:p w14:paraId="2A4665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0.247 </w:t>
            </w:r>
          </w:p>
        </w:tc>
        <w:tc>
          <w:tcPr>
            <w:tcW w:w="264" w:type="pct"/>
            <w:noWrap/>
            <w:vAlign w:val="bottom"/>
          </w:tcPr>
          <w:p w14:paraId="633926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0.263 </w:t>
            </w:r>
          </w:p>
        </w:tc>
        <w:tc>
          <w:tcPr>
            <w:tcW w:w="264" w:type="pct"/>
            <w:noWrap/>
            <w:vAlign w:val="bottom"/>
          </w:tcPr>
          <w:p w14:paraId="69F2B3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0.275 </w:t>
            </w:r>
          </w:p>
        </w:tc>
        <w:tc>
          <w:tcPr>
            <w:tcW w:w="265" w:type="pct"/>
            <w:noWrap/>
            <w:vAlign w:val="bottom"/>
          </w:tcPr>
          <w:p w14:paraId="321E57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0.291 </w:t>
            </w:r>
          </w:p>
        </w:tc>
        <w:tc>
          <w:tcPr>
            <w:tcW w:w="265" w:type="pct"/>
            <w:noWrap/>
            <w:vAlign w:val="bottom"/>
          </w:tcPr>
          <w:p w14:paraId="29205B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0.308 </w:t>
            </w:r>
          </w:p>
        </w:tc>
        <w:tc>
          <w:tcPr>
            <w:tcW w:w="265" w:type="pct"/>
            <w:noWrap/>
            <w:vAlign w:val="bottom"/>
          </w:tcPr>
          <w:p w14:paraId="2580DB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0.322 </w:t>
            </w:r>
          </w:p>
        </w:tc>
        <w:tc>
          <w:tcPr>
            <w:tcW w:w="265" w:type="pct"/>
            <w:noWrap/>
            <w:vAlign w:val="bottom"/>
          </w:tcPr>
          <w:p w14:paraId="4052BA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0.350 </w:t>
            </w:r>
          </w:p>
        </w:tc>
        <w:tc>
          <w:tcPr>
            <w:tcW w:w="265" w:type="pct"/>
            <w:noWrap/>
            <w:vAlign w:val="bottom"/>
          </w:tcPr>
          <w:p w14:paraId="2D2756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0.366 </w:t>
            </w:r>
          </w:p>
        </w:tc>
        <w:tc>
          <w:tcPr>
            <w:tcW w:w="265" w:type="pct"/>
            <w:noWrap/>
            <w:vAlign w:val="bottom"/>
          </w:tcPr>
          <w:p w14:paraId="25EF54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0.376 </w:t>
            </w:r>
          </w:p>
        </w:tc>
        <w:tc>
          <w:tcPr>
            <w:tcW w:w="265" w:type="pct"/>
            <w:noWrap/>
            <w:vAlign w:val="bottom"/>
          </w:tcPr>
          <w:p w14:paraId="627EDE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0.389 </w:t>
            </w:r>
          </w:p>
        </w:tc>
        <w:tc>
          <w:tcPr>
            <w:tcW w:w="265" w:type="pct"/>
            <w:noWrap/>
            <w:vAlign w:val="bottom"/>
          </w:tcPr>
          <w:p w14:paraId="7E00FD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0.407 </w:t>
            </w:r>
          </w:p>
        </w:tc>
        <w:tc>
          <w:tcPr>
            <w:tcW w:w="265" w:type="pct"/>
            <w:noWrap/>
            <w:vAlign w:val="bottom"/>
          </w:tcPr>
          <w:p w14:paraId="4EC1C5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0.433 </w:t>
            </w:r>
          </w:p>
        </w:tc>
        <w:tc>
          <w:tcPr>
            <w:tcW w:w="265" w:type="pct"/>
            <w:noWrap/>
            <w:vAlign w:val="bottom"/>
          </w:tcPr>
          <w:p w14:paraId="6FCDE8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0.451 </w:t>
            </w:r>
          </w:p>
        </w:tc>
        <w:tc>
          <w:tcPr>
            <w:tcW w:w="265" w:type="pct"/>
            <w:noWrap/>
            <w:vAlign w:val="bottom"/>
          </w:tcPr>
          <w:p w14:paraId="6F28EA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0.468 </w:t>
            </w:r>
          </w:p>
        </w:tc>
      </w:tr>
      <w:tr w14:paraId="04A9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6E8B7D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Shandong</w:t>
            </w:r>
          </w:p>
        </w:tc>
        <w:tc>
          <w:tcPr>
            <w:tcW w:w="264" w:type="pct"/>
            <w:noWrap/>
            <w:vAlign w:val="bottom"/>
          </w:tcPr>
          <w:p w14:paraId="18AEB8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0.271 </w:t>
            </w:r>
          </w:p>
        </w:tc>
        <w:tc>
          <w:tcPr>
            <w:tcW w:w="264" w:type="pct"/>
            <w:noWrap/>
            <w:vAlign w:val="bottom"/>
          </w:tcPr>
          <w:p w14:paraId="32040A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0.294 </w:t>
            </w:r>
          </w:p>
        </w:tc>
        <w:tc>
          <w:tcPr>
            <w:tcW w:w="264" w:type="pct"/>
            <w:noWrap/>
            <w:vAlign w:val="bottom"/>
          </w:tcPr>
          <w:p w14:paraId="0F72FD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0.319 </w:t>
            </w:r>
          </w:p>
        </w:tc>
        <w:tc>
          <w:tcPr>
            <w:tcW w:w="264" w:type="pct"/>
            <w:noWrap/>
            <w:vAlign w:val="bottom"/>
          </w:tcPr>
          <w:p w14:paraId="02F658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0.345 </w:t>
            </w:r>
          </w:p>
        </w:tc>
        <w:tc>
          <w:tcPr>
            <w:tcW w:w="264" w:type="pct"/>
            <w:noWrap/>
            <w:vAlign w:val="bottom"/>
          </w:tcPr>
          <w:p w14:paraId="095A5E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0.362 </w:t>
            </w:r>
          </w:p>
        </w:tc>
        <w:tc>
          <w:tcPr>
            <w:tcW w:w="265" w:type="pct"/>
            <w:noWrap/>
            <w:vAlign w:val="bottom"/>
          </w:tcPr>
          <w:p w14:paraId="7AA9B8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0.380 </w:t>
            </w:r>
          </w:p>
        </w:tc>
        <w:tc>
          <w:tcPr>
            <w:tcW w:w="265" w:type="pct"/>
            <w:noWrap/>
            <w:vAlign w:val="bottom"/>
          </w:tcPr>
          <w:p w14:paraId="7B4B3F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0.407 </w:t>
            </w:r>
          </w:p>
        </w:tc>
        <w:tc>
          <w:tcPr>
            <w:tcW w:w="265" w:type="pct"/>
            <w:noWrap/>
            <w:vAlign w:val="bottom"/>
          </w:tcPr>
          <w:p w14:paraId="3736C4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0.426 </w:t>
            </w:r>
          </w:p>
        </w:tc>
        <w:tc>
          <w:tcPr>
            <w:tcW w:w="265" w:type="pct"/>
            <w:noWrap/>
            <w:vAlign w:val="bottom"/>
          </w:tcPr>
          <w:p w14:paraId="2DDBCF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0.462 </w:t>
            </w:r>
          </w:p>
        </w:tc>
        <w:tc>
          <w:tcPr>
            <w:tcW w:w="265" w:type="pct"/>
            <w:noWrap/>
            <w:vAlign w:val="bottom"/>
          </w:tcPr>
          <w:p w14:paraId="0934C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0.487 </w:t>
            </w:r>
          </w:p>
        </w:tc>
        <w:tc>
          <w:tcPr>
            <w:tcW w:w="265" w:type="pct"/>
            <w:noWrap/>
            <w:vAlign w:val="bottom"/>
          </w:tcPr>
          <w:p w14:paraId="0FAF9A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0.508 </w:t>
            </w:r>
          </w:p>
        </w:tc>
        <w:tc>
          <w:tcPr>
            <w:tcW w:w="265" w:type="pct"/>
            <w:noWrap/>
            <w:vAlign w:val="bottom"/>
          </w:tcPr>
          <w:p w14:paraId="7F3A5F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0.521 </w:t>
            </w:r>
          </w:p>
        </w:tc>
        <w:tc>
          <w:tcPr>
            <w:tcW w:w="265" w:type="pct"/>
            <w:noWrap/>
            <w:vAlign w:val="bottom"/>
          </w:tcPr>
          <w:p w14:paraId="7C6983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0.539 </w:t>
            </w:r>
          </w:p>
        </w:tc>
        <w:tc>
          <w:tcPr>
            <w:tcW w:w="265" w:type="pct"/>
            <w:noWrap/>
            <w:vAlign w:val="bottom"/>
          </w:tcPr>
          <w:p w14:paraId="7D0709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0.580 </w:t>
            </w:r>
          </w:p>
        </w:tc>
        <w:tc>
          <w:tcPr>
            <w:tcW w:w="265" w:type="pct"/>
            <w:noWrap/>
            <w:vAlign w:val="bottom"/>
          </w:tcPr>
          <w:p w14:paraId="5B2F31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0.619 </w:t>
            </w:r>
          </w:p>
        </w:tc>
        <w:tc>
          <w:tcPr>
            <w:tcW w:w="265" w:type="pct"/>
            <w:noWrap/>
            <w:vAlign w:val="bottom"/>
          </w:tcPr>
          <w:p w14:paraId="2F6576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0.653 </w:t>
            </w:r>
          </w:p>
        </w:tc>
      </w:tr>
      <w:tr w14:paraId="549E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46B034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Guangdong</w:t>
            </w:r>
          </w:p>
        </w:tc>
        <w:tc>
          <w:tcPr>
            <w:tcW w:w="264" w:type="pct"/>
            <w:noWrap/>
            <w:vAlign w:val="bottom"/>
          </w:tcPr>
          <w:p w14:paraId="16CBA8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0.339 </w:t>
            </w:r>
          </w:p>
        </w:tc>
        <w:tc>
          <w:tcPr>
            <w:tcW w:w="264" w:type="pct"/>
            <w:noWrap/>
            <w:vAlign w:val="bottom"/>
          </w:tcPr>
          <w:p w14:paraId="7EEFFE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0.362 </w:t>
            </w:r>
          </w:p>
        </w:tc>
        <w:tc>
          <w:tcPr>
            <w:tcW w:w="264" w:type="pct"/>
            <w:noWrap/>
            <w:vAlign w:val="bottom"/>
          </w:tcPr>
          <w:p w14:paraId="46FB13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0.393 </w:t>
            </w:r>
          </w:p>
        </w:tc>
        <w:tc>
          <w:tcPr>
            <w:tcW w:w="264" w:type="pct"/>
            <w:noWrap/>
            <w:vAlign w:val="bottom"/>
          </w:tcPr>
          <w:p w14:paraId="7A4B2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0.424 </w:t>
            </w:r>
          </w:p>
        </w:tc>
        <w:tc>
          <w:tcPr>
            <w:tcW w:w="264" w:type="pct"/>
            <w:noWrap/>
            <w:vAlign w:val="bottom"/>
          </w:tcPr>
          <w:p w14:paraId="3698F4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0.453 </w:t>
            </w:r>
          </w:p>
        </w:tc>
        <w:tc>
          <w:tcPr>
            <w:tcW w:w="265" w:type="pct"/>
            <w:noWrap/>
            <w:vAlign w:val="bottom"/>
          </w:tcPr>
          <w:p w14:paraId="5C9D24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0.479 </w:t>
            </w:r>
          </w:p>
        </w:tc>
        <w:tc>
          <w:tcPr>
            <w:tcW w:w="265" w:type="pct"/>
            <w:noWrap/>
            <w:vAlign w:val="bottom"/>
          </w:tcPr>
          <w:p w14:paraId="5C5C29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0.514 </w:t>
            </w:r>
          </w:p>
        </w:tc>
        <w:tc>
          <w:tcPr>
            <w:tcW w:w="265" w:type="pct"/>
            <w:noWrap/>
            <w:vAlign w:val="bottom"/>
          </w:tcPr>
          <w:p w14:paraId="20A193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0.541 </w:t>
            </w:r>
          </w:p>
        </w:tc>
        <w:tc>
          <w:tcPr>
            <w:tcW w:w="265" w:type="pct"/>
            <w:noWrap/>
            <w:vAlign w:val="bottom"/>
          </w:tcPr>
          <w:p w14:paraId="3F306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0.618 </w:t>
            </w:r>
          </w:p>
        </w:tc>
        <w:tc>
          <w:tcPr>
            <w:tcW w:w="265" w:type="pct"/>
            <w:noWrap/>
            <w:vAlign w:val="bottom"/>
          </w:tcPr>
          <w:p w14:paraId="1A0449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0.665 </w:t>
            </w:r>
          </w:p>
        </w:tc>
        <w:tc>
          <w:tcPr>
            <w:tcW w:w="265" w:type="pct"/>
            <w:noWrap/>
            <w:vAlign w:val="bottom"/>
          </w:tcPr>
          <w:p w14:paraId="0B1348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0.696 </w:t>
            </w:r>
          </w:p>
        </w:tc>
        <w:tc>
          <w:tcPr>
            <w:tcW w:w="265" w:type="pct"/>
            <w:noWrap/>
            <w:vAlign w:val="bottom"/>
          </w:tcPr>
          <w:p w14:paraId="68F032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0.725 </w:t>
            </w:r>
          </w:p>
        </w:tc>
        <w:tc>
          <w:tcPr>
            <w:tcW w:w="265" w:type="pct"/>
            <w:noWrap/>
            <w:vAlign w:val="bottom"/>
          </w:tcPr>
          <w:p w14:paraId="46AD0A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0.764 </w:t>
            </w:r>
          </w:p>
        </w:tc>
        <w:tc>
          <w:tcPr>
            <w:tcW w:w="265" w:type="pct"/>
            <w:noWrap/>
            <w:vAlign w:val="bottom"/>
          </w:tcPr>
          <w:p w14:paraId="6E8D37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0.820 </w:t>
            </w:r>
          </w:p>
        </w:tc>
        <w:tc>
          <w:tcPr>
            <w:tcW w:w="265" w:type="pct"/>
            <w:noWrap/>
            <w:vAlign w:val="bottom"/>
          </w:tcPr>
          <w:p w14:paraId="76872F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0.881 </w:t>
            </w:r>
          </w:p>
        </w:tc>
        <w:tc>
          <w:tcPr>
            <w:tcW w:w="265" w:type="pct"/>
            <w:noWrap/>
            <w:vAlign w:val="bottom"/>
          </w:tcPr>
          <w:p w14:paraId="09DDAC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0.915 </w:t>
            </w:r>
          </w:p>
        </w:tc>
      </w:tr>
      <w:tr w14:paraId="69FC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2E2A43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Hainan</w:t>
            </w:r>
          </w:p>
        </w:tc>
        <w:tc>
          <w:tcPr>
            <w:tcW w:w="264" w:type="pct"/>
            <w:noWrap/>
            <w:vAlign w:val="bottom"/>
          </w:tcPr>
          <w:p w14:paraId="572F6D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0.159 </w:t>
            </w:r>
          </w:p>
        </w:tc>
        <w:tc>
          <w:tcPr>
            <w:tcW w:w="264" w:type="pct"/>
            <w:noWrap/>
            <w:vAlign w:val="bottom"/>
          </w:tcPr>
          <w:p w14:paraId="6D2342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0.167 </w:t>
            </w:r>
          </w:p>
        </w:tc>
        <w:tc>
          <w:tcPr>
            <w:tcW w:w="264" w:type="pct"/>
            <w:noWrap/>
            <w:vAlign w:val="bottom"/>
          </w:tcPr>
          <w:p w14:paraId="5B62F4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0.180 </w:t>
            </w:r>
          </w:p>
        </w:tc>
        <w:tc>
          <w:tcPr>
            <w:tcW w:w="264" w:type="pct"/>
            <w:noWrap/>
            <w:vAlign w:val="bottom"/>
          </w:tcPr>
          <w:p w14:paraId="4406D7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0.191 </w:t>
            </w:r>
          </w:p>
        </w:tc>
        <w:tc>
          <w:tcPr>
            <w:tcW w:w="264" w:type="pct"/>
            <w:noWrap/>
            <w:vAlign w:val="bottom"/>
          </w:tcPr>
          <w:p w14:paraId="46CC04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0.195 </w:t>
            </w:r>
          </w:p>
        </w:tc>
        <w:tc>
          <w:tcPr>
            <w:tcW w:w="265" w:type="pct"/>
            <w:noWrap/>
            <w:vAlign w:val="bottom"/>
          </w:tcPr>
          <w:p w14:paraId="772157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0.204 </w:t>
            </w:r>
          </w:p>
        </w:tc>
        <w:tc>
          <w:tcPr>
            <w:tcW w:w="265" w:type="pct"/>
            <w:noWrap/>
            <w:vAlign w:val="bottom"/>
          </w:tcPr>
          <w:p w14:paraId="4FBFAD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0.212 </w:t>
            </w:r>
          </w:p>
        </w:tc>
        <w:tc>
          <w:tcPr>
            <w:tcW w:w="265" w:type="pct"/>
            <w:noWrap/>
            <w:vAlign w:val="bottom"/>
          </w:tcPr>
          <w:p w14:paraId="533F7D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0.218 </w:t>
            </w:r>
          </w:p>
        </w:tc>
        <w:tc>
          <w:tcPr>
            <w:tcW w:w="265" w:type="pct"/>
            <w:noWrap/>
            <w:vAlign w:val="bottom"/>
          </w:tcPr>
          <w:p w14:paraId="695E1B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0.228 </w:t>
            </w:r>
          </w:p>
        </w:tc>
        <w:tc>
          <w:tcPr>
            <w:tcW w:w="265" w:type="pct"/>
            <w:noWrap/>
            <w:vAlign w:val="bottom"/>
          </w:tcPr>
          <w:p w14:paraId="58CC99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0.236 </w:t>
            </w:r>
          </w:p>
        </w:tc>
        <w:tc>
          <w:tcPr>
            <w:tcW w:w="265" w:type="pct"/>
            <w:noWrap/>
            <w:vAlign w:val="bottom"/>
          </w:tcPr>
          <w:p w14:paraId="265C90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0.243 </w:t>
            </w:r>
          </w:p>
        </w:tc>
        <w:tc>
          <w:tcPr>
            <w:tcW w:w="265" w:type="pct"/>
            <w:noWrap/>
            <w:vAlign w:val="bottom"/>
          </w:tcPr>
          <w:p w14:paraId="511C55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0.249 </w:t>
            </w:r>
          </w:p>
        </w:tc>
        <w:tc>
          <w:tcPr>
            <w:tcW w:w="265" w:type="pct"/>
            <w:noWrap/>
            <w:vAlign w:val="bottom"/>
          </w:tcPr>
          <w:p w14:paraId="672A98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0.254 </w:t>
            </w:r>
          </w:p>
        </w:tc>
        <w:tc>
          <w:tcPr>
            <w:tcW w:w="265" w:type="pct"/>
            <w:noWrap/>
            <w:vAlign w:val="bottom"/>
          </w:tcPr>
          <w:p w14:paraId="4CEC78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0.259 </w:t>
            </w:r>
          </w:p>
        </w:tc>
        <w:tc>
          <w:tcPr>
            <w:tcW w:w="265" w:type="pct"/>
            <w:noWrap/>
            <w:vAlign w:val="bottom"/>
          </w:tcPr>
          <w:p w14:paraId="09A53C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0.257 </w:t>
            </w:r>
          </w:p>
        </w:tc>
        <w:tc>
          <w:tcPr>
            <w:tcW w:w="265" w:type="pct"/>
            <w:noWrap/>
            <w:vAlign w:val="bottom"/>
          </w:tcPr>
          <w:p w14:paraId="28F085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0.259 </w:t>
            </w:r>
          </w:p>
        </w:tc>
      </w:tr>
      <w:tr w14:paraId="1460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402DAF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b/>
                <w:bCs/>
                <w:color w:val="auto"/>
                <w:sz w:val="16"/>
                <w:szCs w:val="16"/>
                <w:highlight w:val="none"/>
              </w:rPr>
              <w:t>Central Region</w:t>
            </w:r>
          </w:p>
        </w:tc>
        <w:tc>
          <w:tcPr>
            <w:tcW w:w="264" w:type="pct"/>
            <w:noWrap/>
            <w:vAlign w:val="center"/>
          </w:tcPr>
          <w:p w14:paraId="114EFA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0.208 </w:t>
            </w:r>
          </w:p>
        </w:tc>
        <w:tc>
          <w:tcPr>
            <w:tcW w:w="264" w:type="pct"/>
            <w:noWrap/>
            <w:vAlign w:val="center"/>
          </w:tcPr>
          <w:p w14:paraId="488A8E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0.223 </w:t>
            </w:r>
          </w:p>
        </w:tc>
        <w:tc>
          <w:tcPr>
            <w:tcW w:w="264" w:type="pct"/>
            <w:noWrap/>
            <w:vAlign w:val="center"/>
          </w:tcPr>
          <w:p w14:paraId="78A9C2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0.238 </w:t>
            </w:r>
          </w:p>
        </w:tc>
        <w:tc>
          <w:tcPr>
            <w:tcW w:w="264" w:type="pct"/>
            <w:noWrap/>
            <w:vAlign w:val="center"/>
          </w:tcPr>
          <w:p w14:paraId="5ABCA3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0.251 </w:t>
            </w:r>
          </w:p>
        </w:tc>
        <w:tc>
          <w:tcPr>
            <w:tcW w:w="264" w:type="pct"/>
            <w:noWrap/>
            <w:vAlign w:val="center"/>
          </w:tcPr>
          <w:p w14:paraId="1C404A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0.257 </w:t>
            </w:r>
          </w:p>
        </w:tc>
        <w:tc>
          <w:tcPr>
            <w:tcW w:w="265" w:type="pct"/>
            <w:noWrap/>
            <w:vAlign w:val="center"/>
          </w:tcPr>
          <w:p w14:paraId="599B8F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0.276 </w:t>
            </w:r>
          </w:p>
        </w:tc>
        <w:tc>
          <w:tcPr>
            <w:tcW w:w="265" w:type="pct"/>
            <w:noWrap/>
            <w:vAlign w:val="center"/>
          </w:tcPr>
          <w:p w14:paraId="28893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0.284 </w:t>
            </w:r>
          </w:p>
        </w:tc>
        <w:tc>
          <w:tcPr>
            <w:tcW w:w="265" w:type="pct"/>
            <w:noWrap/>
            <w:vAlign w:val="center"/>
          </w:tcPr>
          <w:p w14:paraId="1F2C77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0.300 </w:t>
            </w:r>
          </w:p>
        </w:tc>
        <w:tc>
          <w:tcPr>
            <w:tcW w:w="265" w:type="pct"/>
            <w:noWrap/>
            <w:vAlign w:val="center"/>
          </w:tcPr>
          <w:p w14:paraId="4C60EB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0.325 </w:t>
            </w:r>
          </w:p>
        </w:tc>
        <w:tc>
          <w:tcPr>
            <w:tcW w:w="265" w:type="pct"/>
            <w:noWrap/>
            <w:vAlign w:val="center"/>
          </w:tcPr>
          <w:p w14:paraId="7D1317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0.343 </w:t>
            </w:r>
          </w:p>
        </w:tc>
        <w:tc>
          <w:tcPr>
            <w:tcW w:w="265" w:type="pct"/>
            <w:noWrap/>
            <w:vAlign w:val="center"/>
          </w:tcPr>
          <w:p w14:paraId="243071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0.361 </w:t>
            </w:r>
          </w:p>
        </w:tc>
        <w:tc>
          <w:tcPr>
            <w:tcW w:w="265" w:type="pct"/>
            <w:noWrap/>
            <w:vAlign w:val="center"/>
          </w:tcPr>
          <w:p w14:paraId="4A9927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0.377 </w:t>
            </w:r>
          </w:p>
        </w:tc>
        <w:tc>
          <w:tcPr>
            <w:tcW w:w="265" w:type="pct"/>
            <w:noWrap/>
            <w:vAlign w:val="center"/>
          </w:tcPr>
          <w:p w14:paraId="418DF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0.394 </w:t>
            </w:r>
          </w:p>
        </w:tc>
        <w:tc>
          <w:tcPr>
            <w:tcW w:w="265" w:type="pct"/>
            <w:noWrap/>
            <w:vAlign w:val="center"/>
          </w:tcPr>
          <w:p w14:paraId="246DE9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0.415 </w:t>
            </w:r>
          </w:p>
        </w:tc>
        <w:tc>
          <w:tcPr>
            <w:tcW w:w="265" w:type="pct"/>
            <w:noWrap/>
            <w:vAlign w:val="center"/>
          </w:tcPr>
          <w:p w14:paraId="7E898A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0.437 </w:t>
            </w:r>
          </w:p>
        </w:tc>
        <w:tc>
          <w:tcPr>
            <w:tcW w:w="265" w:type="pct"/>
            <w:noWrap/>
            <w:vAlign w:val="center"/>
          </w:tcPr>
          <w:p w14:paraId="60DAA2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0.455 </w:t>
            </w:r>
          </w:p>
        </w:tc>
      </w:tr>
      <w:tr w14:paraId="1142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2F39D3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Shanxi</w:t>
            </w:r>
          </w:p>
        </w:tc>
        <w:tc>
          <w:tcPr>
            <w:tcW w:w="264" w:type="pct"/>
            <w:noWrap/>
            <w:vAlign w:val="bottom"/>
          </w:tcPr>
          <w:p w14:paraId="36FDC9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0.205 </w:t>
            </w:r>
          </w:p>
        </w:tc>
        <w:tc>
          <w:tcPr>
            <w:tcW w:w="264" w:type="pct"/>
            <w:noWrap/>
            <w:vAlign w:val="bottom"/>
          </w:tcPr>
          <w:p w14:paraId="3B9E0C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0.216 </w:t>
            </w:r>
          </w:p>
        </w:tc>
        <w:tc>
          <w:tcPr>
            <w:tcW w:w="264" w:type="pct"/>
            <w:noWrap/>
            <w:vAlign w:val="bottom"/>
          </w:tcPr>
          <w:p w14:paraId="6722BD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0.231 </w:t>
            </w:r>
          </w:p>
        </w:tc>
        <w:tc>
          <w:tcPr>
            <w:tcW w:w="264" w:type="pct"/>
            <w:noWrap/>
            <w:vAlign w:val="bottom"/>
          </w:tcPr>
          <w:p w14:paraId="4B96C5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0.237 </w:t>
            </w:r>
          </w:p>
        </w:tc>
        <w:tc>
          <w:tcPr>
            <w:tcW w:w="264" w:type="pct"/>
            <w:noWrap/>
            <w:vAlign w:val="bottom"/>
          </w:tcPr>
          <w:p w14:paraId="30ADEC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0.236 </w:t>
            </w:r>
          </w:p>
        </w:tc>
        <w:tc>
          <w:tcPr>
            <w:tcW w:w="265" w:type="pct"/>
            <w:noWrap/>
            <w:vAlign w:val="bottom"/>
          </w:tcPr>
          <w:p w14:paraId="7FB4D9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0.246 </w:t>
            </w:r>
          </w:p>
        </w:tc>
        <w:tc>
          <w:tcPr>
            <w:tcW w:w="265" w:type="pct"/>
            <w:noWrap/>
            <w:vAlign w:val="bottom"/>
          </w:tcPr>
          <w:p w14:paraId="3C3CD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0.258 </w:t>
            </w:r>
          </w:p>
        </w:tc>
        <w:tc>
          <w:tcPr>
            <w:tcW w:w="265" w:type="pct"/>
            <w:noWrap/>
            <w:vAlign w:val="bottom"/>
          </w:tcPr>
          <w:p w14:paraId="688A14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0.267 </w:t>
            </w:r>
          </w:p>
        </w:tc>
        <w:tc>
          <w:tcPr>
            <w:tcW w:w="265" w:type="pct"/>
            <w:noWrap/>
            <w:vAlign w:val="bottom"/>
          </w:tcPr>
          <w:p w14:paraId="18C45E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0.285 </w:t>
            </w:r>
          </w:p>
        </w:tc>
        <w:tc>
          <w:tcPr>
            <w:tcW w:w="265" w:type="pct"/>
            <w:noWrap/>
            <w:vAlign w:val="bottom"/>
          </w:tcPr>
          <w:p w14:paraId="3F99D0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0.298 </w:t>
            </w:r>
          </w:p>
        </w:tc>
        <w:tc>
          <w:tcPr>
            <w:tcW w:w="265" w:type="pct"/>
            <w:noWrap/>
            <w:vAlign w:val="bottom"/>
          </w:tcPr>
          <w:p w14:paraId="4EE77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0.305 </w:t>
            </w:r>
          </w:p>
        </w:tc>
        <w:tc>
          <w:tcPr>
            <w:tcW w:w="265" w:type="pct"/>
            <w:noWrap/>
            <w:vAlign w:val="bottom"/>
          </w:tcPr>
          <w:p w14:paraId="68DC1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0.312 </w:t>
            </w:r>
          </w:p>
        </w:tc>
        <w:tc>
          <w:tcPr>
            <w:tcW w:w="265" w:type="pct"/>
            <w:noWrap/>
            <w:vAlign w:val="bottom"/>
          </w:tcPr>
          <w:p w14:paraId="03D289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0.322 </w:t>
            </w:r>
          </w:p>
        </w:tc>
        <w:tc>
          <w:tcPr>
            <w:tcW w:w="265" w:type="pct"/>
            <w:noWrap/>
            <w:vAlign w:val="bottom"/>
          </w:tcPr>
          <w:p w14:paraId="1775BD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0.332 </w:t>
            </w:r>
          </w:p>
        </w:tc>
        <w:tc>
          <w:tcPr>
            <w:tcW w:w="265" w:type="pct"/>
            <w:noWrap/>
            <w:vAlign w:val="bottom"/>
          </w:tcPr>
          <w:p w14:paraId="689779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0.341 </w:t>
            </w:r>
          </w:p>
        </w:tc>
        <w:tc>
          <w:tcPr>
            <w:tcW w:w="265" w:type="pct"/>
            <w:noWrap/>
            <w:vAlign w:val="bottom"/>
          </w:tcPr>
          <w:p w14:paraId="7114F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0.347 </w:t>
            </w:r>
          </w:p>
        </w:tc>
      </w:tr>
      <w:tr w14:paraId="5A50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4AF97F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Anhui</w:t>
            </w:r>
          </w:p>
        </w:tc>
        <w:tc>
          <w:tcPr>
            <w:tcW w:w="264" w:type="pct"/>
            <w:noWrap/>
            <w:vAlign w:val="bottom"/>
          </w:tcPr>
          <w:p w14:paraId="207475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0.209 </w:t>
            </w:r>
          </w:p>
        </w:tc>
        <w:tc>
          <w:tcPr>
            <w:tcW w:w="264" w:type="pct"/>
            <w:noWrap/>
            <w:vAlign w:val="bottom"/>
          </w:tcPr>
          <w:p w14:paraId="63C2F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0.225 </w:t>
            </w:r>
          </w:p>
        </w:tc>
        <w:tc>
          <w:tcPr>
            <w:tcW w:w="264" w:type="pct"/>
            <w:noWrap/>
            <w:vAlign w:val="bottom"/>
          </w:tcPr>
          <w:p w14:paraId="410787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0.240 </w:t>
            </w:r>
          </w:p>
        </w:tc>
        <w:tc>
          <w:tcPr>
            <w:tcW w:w="264" w:type="pct"/>
            <w:noWrap/>
            <w:vAlign w:val="bottom"/>
          </w:tcPr>
          <w:p w14:paraId="788938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0.250 </w:t>
            </w:r>
          </w:p>
        </w:tc>
        <w:tc>
          <w:tcPr>
            <w:tcW w:w="264" w:type="pct"/>
            <w:noWrap/>
            <w:vAlign w:val="bottom"/>
          </w:tcPr>
          <w:p w14:paraId="1E08A2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0.260 </w:t>
            </w:r>
          </w:p>
        </w:tc>
        <w:tc>
          <w:tcPr>
            <w:tcW w:w="265" w:type="pct"/>
            <w:noWrap/>
            <w:vAlign w:val="bottom"/>
          </w:tcPr>
          <w:p w14:paraId="270663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0.276 </w:t>
            </w:r>
          </w:p>
        </w:tc>
        <w:tc>
          <w:tcPr>
            <w:tcW w:w="265" w:type="pct"/>
            <w:noWrap/>
            <w:vAlign w:val="bottom"/>
          </w:tcPr>
          <w:p w14:paraId="76748D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0.294 </w:t>
            </w:r>
          </w:p>
        </w:tc>
        <w:tc>
          <w:tcPr>
            <w:tcW w:w="265" w:type="pct"/>
            <w:noWrap/>
            <w:vAlign w:val="bottom"/>
          </w:tcPr>
          <w:p w14:paraId="7304D8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0.309 </w:t>
            </w:r>
          </w:p>
        </w:tc>
        <w:tc>
          <w:tcPr>
            <w:tcW w:w="265" w:type="pct"/>
            <w:noWrap/>
            <w:vAlign w:val="bottom"/>
          </w:tcPr>
          <w:p w14:paraId="666D3C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0.335 </w:t>
            </w:r>
          </w:p>
        </w:tc>
        <w:tc>
          <w:tcPr>
            <w:tcW w:w="265" w:type="pct"/>
            <w:noWrap/>
            <w:vAlign w:val="bottom"/>
          </w:tcPr>
          <w:p w14:paraId="0DD19B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0.357 </w:t>
            </w:r>
          </w:p>
        </w:tc>
        <w:tc>
          <w:tcPr>
            <w:tcW w:w="265" w:type="pct"/>
            <w:noWrap/>
            <w:vAlign w:val="bottom"/>
          </w:tcPr>
          <w:p w14:paraId="06C209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0.377 </w:t>
            </w:r>
          </w:p>
        </w:tc>
        <w:tc>
          <w:tcPr>
            <w:tcW w:w="265" w:type="pct"/>
            <w:noWrap/>
            <w:vAlign w:val="bottom"/>
          </w:tcPr>
          <w:p w14:paraId="79BD45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0.396 </w:t>
            </w:r>
          </w:p>
        </w:tc>
        <w:tc>
          <w:tcPr>
            <w:tcW w:w="265" w:type="pct"/>
            <w:noWrap/>
            <w:vAlign w:val="bottom"/>
          </w:tcPr>
          <w:p w14:paraId="75CB4A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0.409 </w:t>
            </w:r>
          </w:p>
        </w:tc>
        <w:tc>
          <w:tcPr>
            <w:tcW w:w="265" w:type="pct"/>
            <w:noWrap/>
            <w:vAlign w:val="bottom"/>
          </w:tcPr>
          <w:p w14:paraId="51428D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0.435 </w:t>
            </w:r>
          </w:p>
        </w:tc>
        <w:tc>
          <w:tcPr>
            <w:tcW w:w="265" w:type="pct"/>
            <w:noWrap/>
            <w:vAlign w:val="bottom"/>
          </w:tcPr>
          <w:p w14:paraId="2B2880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0.466 </w:t>
            </w:r>
          </w:p>
        </w:tc>
        <w:tc>
          <w:tcPr>
            <w:tcW w:w="265" w:type="pct"/>
            <w:noWrap/>
            <w:vAlign w:val="bottom"/>
          </w:tcPr>
          <w:p w14:paraId="0B3142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0.491 </w:t>
            </w:r>
          </w:p>
        </w:tc>
      </w:tr>
      <w:tr w14:paraId="1470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3588AC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Jiangxi</w:t>
            </w:r>
          </w:p>
        </w:tc>
        <w:tc>
          <w:tcPr>
            <w:tcW w:w="264" w:type="pct"/>
            <w:noWrap/>
            <w:vAlign w:val="bottom"/>
          </w:tcPr>
          <w:p w14:paraId="207B08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0.180 </w:t>
            </w:r>
          </w:p>
        </w:tc>
        <w:tc>
          <w:tcPr>
            <w:tcW w:w="264" w:type="pct"/>
            <w:noWrap/>
            <w:vAlign w:val="bottom"/>
          </w:tcPr>
          <w:p w14:paraId="2CF67F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0.191 </w:t>
            </w:r>
          </w:p>
        </w:tc>
        <w:tc>
          <w:tcPr>
            <w:tcW w:w="264" w:type="pct"/>
            <w:noWrap/>
            <w:vAlign w:val="bottom"/>
          </w:tcPr>
          <w:p w14:paraId="61B6BB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0.205 </w:t>
            </w:r>
          </w:p>
        </w:tc>
        <w:tc>
          <w:tcPr>
            <w:tcW w:w="264" w:type="pct"/>
            <w:noWrap/>
            <w:vAlign w:val="bottom"/>
          </w:tcPr>
          <w:p w14:paraId="3227F6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0.217 </w:t>
            </w:r>
          </w:p>
        </w:tc>
        <w:tc>
          <w:tcPr>
            <w:tcW w:w="264" w:type="pct"/>
            <w:noWrap/>
            <w:vAlign w:val="bottom"/>
          </w:tcPr>
          <w:p w14:paraId="0780A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0.221 </w:t>
            </w:r>
          </w:p>
        </w:tc>
        <w:tc>
          <w:tcPr>
            <w:tcW w:w="265" w:type="pct"/>
            <w:noWrap/>
            <w:vAlign w:val="bottom"/>
          </w:tcPr>
          <w:p w14:paraId="7BD50D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0.229 </w:t>
            </w:r>
          </w:p>
        </w:tc>
        <w:tc>
          <w:tcPr>
            <w:tcW w:w="265" w:type="pct"/>
            <w:noWrap/>
            <w:vAlign w:val="bottom"/>
          </w:tcPr>
          <w:p w14:paraId="4180C0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0.244 </w:t>
            </w:r>
          </w:p>
        </w:tc>
        <w:tc>
          <w:tcPr>
            <w:tcW w:w="265" w:type="pct"/>
            <w:noWrap/>
            <w:vAlign w:val="bottom"/>
          </w:tcPr>
          <w:p w14:paraId="60ECDF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0.262 </w:t>
            </w:r>
          </w:p>
        </w:tc>
        <w:tc>
          <w:tcPr>
            <w:tcW w:w="265" w:type="pct"/>
            <w:noWrap/>
            <w:vAlign w:val="bottom"/>
          </w:tcPr>
          <w:p w14:paraId="3BB1CF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0.284 </w:t>
            </w:r>
          </w:p>
        </w:tc>
        <w:tc>
          <w:tcPr>
            <w:tcW w:w="265" w:type="pct"/>
            <w:noWrap/>
            <w:vAlign w:val="bottom"/>
          </w:tcPr>
          <w:p w14:paraId="0EBCD0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0.304 </w:t>
            </w:r>
          </w:p>
        </w:tc>
        <w:tc>
          <w:tcPr>
            <w:tcW w:w="265" w:type="pct"/>
            <w:noWrap/>
            <w:vAlign w:val="bottom"/>
          </w:tcPr>
          <w:p w14:paraId="5688D8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0.313 </w:t>
            </w:r>
          </w:p>
        </w:tc>
        <w:tc>
          <w:tcPr>
            <w:tcW w:w="265" w:type="pct"/>
            <w:noWrap/>
            <w:vAlign w:val="bottom"/>
          </w:tcPr>
          <w:p w14:paraId="67FDBB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0.331 </w:t>
            </w:r>
          </w:p>
        </w:tc>
        <w:tc>
          <w:tcPr>
            <w:tcW w:w="265" w:type="pct"/>
            <w:noWrap/>
            <w:vAlign w:val="bottom"/>
          </w:tcPr>
          <w:p w14:paraId="13142C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0.352 </w:t>
            </w:r>
          </w:p>
        </w:tc>
        <w:tc>
          <w:tcPr>
            <w:tcW w:w="265" w:type="pct"/>
            <w:noWrap/>
            <w:vAlign w:val="bottom"/>
          </w:tcPr>
          <w:p w14:paraId="4E7257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0.373 </w:t>
            </w:r>
          </w:p>
        </w:tc>
        <w:tc>
          <w:tcPr>
            <w:tcW w:w="265" w:type="pct"/>
            <w:noWrap/>
            <w:vAlign w:val="bottom"/>
          </w:tcPr>
          <w:p w14:paraId="193579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0.392 </w:t>
            </w:r>
          </w:p>
        </w:tc>
        <w:tc>
          <w:tcPr>
            <w:tcW w:w="265" w:type="pct"/>
            <w:noWrap/>
            <w:vAlign w:val="bottom"/>
          </w:tcPr>
          <w:p w14:paraId="30C833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0.406 </w:t>
            </w:r>
          </w:p>
        </w:tc>
      </w:tr>
      <w:tr w14:paraId="3637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4A1FBB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Henan</w:t>
            </w:r>
          </w:p>
        </w:tc>
        <w:tc>
          <w:tcPr>
            <w:tcW w:w="264" w:type="pct"/>
            <w:noWrap/>
            <w:vAlign w:val="bottom"/>
          </w:tcPr>
          <w:p w14:paraId="3BBEEF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0.221 </w:t>
            </w:r>
          </w:p>
        </w:tc>
        <w:tc>
          <w:tcPr>
            <w:tcW w:w="264" w:type="pct"/>
            <w:noWrap/>
            <w:vAlign w:val="bottom"/>
          </w:tcPr>
          <w:p w14:paraId="41F59C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0.239 </w:t>
            </w:r>
          </w:p>
        </w:tc>
        <w:tc>
          <w:tcPr>
            <w:tcW w:w="264" w:type="pct"/>
            <w:noWrap/>
            <w:vAlign w:val="bottom"/>
          </w:tcPr>
          <w:p w14:paraId="0F6E15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0.255 </w:t>
            </w:r>
          </w:p>
        </w:tc>
        <w:tc>
          <w:tcPr>
            <w:tcW w:w="264" w:type="pct"/>
            <w:noWrap/>
            <w:vAlign w:val="bottom"/>
          </w:tcPr>
          <w:p w14:paraId="73143A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0.273 </w:t>
            </w:r>
          </w:p>
        </w:tc>
        <w:tc>
          <w:tcPr>
            <w:tcW w:w="264" w:type="pct"/>
            <w:noWrap/>
            <w:vAlign w:val="bottom"/>
          </w:tcPr>
          <w:p w14:paraId="66A7E8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0.285 </w:t>
            </w:r>
          </w:p>
        </w:tc>
        <w:tc>
          <w:tcPr>
            <w:tcW w:w="265" w:type="pct"/>
            <w:noWrap/>
            <w:vAlign w:val="bottom"/>
          </w:tcPr>
          <w:p w14:paraId="01F5FE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0.293 </w:t>
            </w:r>
          </w:p>
        </w:tc>
        <w:tc>
          <w:tcPr>
            <w:tcW w:w="265" w:type="pct"/>
            <w:noWrap/>
            <w:vAlign w:val="bottom"/>
          </w:tcPr>
          <w:p w14:paraId="34856D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0.311 </w:t>
            </w:r>
          </w:p>
        </w:tc>
        <w:tc>
          <w:tcPr>
            <w:tcW w:w="265" w:type="pct"/>
            <w:noWrap/>
            <w:vAlign w:val="bottom"/>
          </w:tcPr>
          <w:p w14:paraId="695207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0.327 </w:t>
            </w:r>
          </w:p>
        </w:tc>
        <w:tc>
          <w:tcPr>
            <w:tcW w:w="265" w:type="pct"/>
            <w:noWrap/>
            <w:vAlign w:val="bottom"/>
          </w:tcPr>
          <w:p w14:paraId="702999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0.350 </w:t>
            </w:r>
          </w:p>
        </w:tc>
        <w:tc>
          <w:tcPr>
            <w:tcW w:w="265" w:type="pct"/>
            <w:noWrap/>
            <w:vAlign w:val="bottom"/>
          </w:tcPr>
          <w:p w14:paraId="3B3DF3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0.372 </w:t>
            </w:r>
          </w:p>
        </w:tc>
        <w:tc>
          <w:tcPr>
            <w:tcW w:w="265" w:type="pct"/>
            <w:noWrap/>
            <w:vAlign w:val="bottom"/>
          </w:tcPr>
          <w:p w14:paraId="45676D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0.395 </w:t>
            </w:r>
          </w:p>
        </w:tc>
        <w:tc>
          <w:tcPr>
            <w:tcW w:w="265" w:type="pct"/>
            <w:noWrap/>
            <w:vAlign w:val="bottom"/>
          </w:tcPr>
          <w:p w14:paraId="06D331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0.415 </w:t>
            </w:r>
          </w:p>
        </w:tc>
        <w:tc>
          <w:tcPr>
            <w:tcW w:w="265" w:type="pct"/>
            <w:noWrap/>
            <w:vAlign w:val="bottom"/>
          </w:tcPr>
          <w:p w14:paraId="5E0AA4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0.429 </w:t>
            </w:r>
          </w:p>
        </w:tc>
        <w:tc>
          <w:tcPr>
            <w:tcW w:w="265" w:type="pct"/>
            <w:noWrap/>
            <w:vAlign w:val="bottom"/>
          </w:tcPr>
          <w:p w14:paraId="1C958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0.449 </w:t>
            </w:r>
          </w:p>
        </w:tc>
        <w:tc>
          <w:tcPr>
            <w:tcW w:w="265" w:type="pct"/>
            <w:noWrap/>
            <w:vAlign w:val="bottom"/>
          </w:tcPr>
          <w:p w14:paraId="14840A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0.465 </w:t>
            </w:r>
          </w:p>
        </w:tc>
        <w:tc>
          <w:tcPr>
            <w:tcW w:w="265" w:type="pct"/>
            <w:noWrap/>
            <w:vAlign w:val="bottom"/>
          </w:tcPr>
          <w:p w14:paraId="31DE96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0.479 </w:t>
            </w:r>
          </w:p>
        </w:tc>
      </w:tr>
      <w:tr w14:paraId="18A0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7306AA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Hubei</w:t>
            </w:r>
          </w:p>
        </w:tc>
        <w:tc>
          <w:tcPr>
            <w:tcW w:w="264" w:type="pct"/>
            <w:noWrap/>
            <w:vAlign w:val="bottom"/>
          </w:tcPr>
          <w:p w14:paraId="7E100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0.228 </w:t>
            </w:r>
          </w:p>
        </w:tc>
        <w:tc>
          <w:tcPr>
            <w:tcW w:w="264" w:type="pct"/>
            <w:noWrap/>
            <w:vAlign w:val="bottom"/>
          </w:tcPr>
          <w:p w14:paraId="3F53F5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0.241 </w:t>
            </w:r>
          </w:p>
        </w:tc>
        <w:tc>
          <w:tcPr>
            <w:tcW w:w="264" w:type="pct"/>
            <w:noWrap/>
            <w:vAlign w:val="bottom"/>
          </w:tcPr>
          <w:p w14:paraId="2EEA6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0.259 </w:t>
            </w:r>
          </w:p>
        </w:tc>
        <w:tc>
          <w:tcPr>
            <w:tcW w:w="264" w:type="pct"/>
            <w:noWrap/>
            <w:vAlign w:val="bottom"/>
          </w:tcPr>
          <w:p w14:paraId="0E3F29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0.274 </w:t>
            </w:r>
          </w:p>
        </w:tc>
        <w:tc>
          <w:tcPr>
            <w:tcW w:w="264" w:type="pct"/>
            <w:noWrap/>
            <w:vAlign w:val="bottom"/>
          </w:tcPr>
          <w:p w14:paraId="373A2B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0.280 </w:t>
            </w:r>
          </w:p>
        </w:tc>
        <w:tc>
          <w:tcPr>
            <w:tcW w:w="265" w:type="pct"/>
            <w:noWrap/>
            <w:vAlign w:val="bottom"/>
          </w:tcPr>
          <w:p w14:paraId="42778E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0.341 </w:t>
            </w:r>
          </w:p>
        </w:tc>
        <w:tc>
          <w:tcPr>
            <w:tcW w:w="265" w:type="pct"/>
            <w:noWrap/>
            <w:vAlign w:val="bottom"/>
          </w:tcPr>
          <w:p w14:paraId="6F0C88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0.313 </w:t>
            </w:r>
          </w:p>
        </w:tc>
        <w:tc>
          <w:tcPr>
            <w:tcW w:w="265" w:type="pct"/>
            <w:noWrap/>
            <w:vAlign w:val="bottom"/>
          </w:tcPr>
          <w:p w14:paraId="7A6631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0.336 </w:t>
            </w:r>
          </w:p>
        </w:tc>
        <w:tc>
          <w:tcPr>
            <w:tcW w:w="265" w:type="pct"/>
            <w:noWrap/>
            <w:vAlign w:val="bottom"/>
          </w:tcPr>
          <w:p w14:paraId="6AB29C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0.366 </w:t>
            </w:r>
          </w:p>
        </w:tc>
        <w:tc>
          <w:tcPr>
            <w:tcW w:w="265" w:type="pct"/>
            <w:noWrap/>
            <w:vAlign w:val="bottom"/>
          </w:tcPr>
          <w:p w14:paraId="5E4F12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0.386 </w:t>
            </w:r>
          </w:p>
        </w:tc>
        <w:tc>
          <w:tcPr>
            <w:tcW w:w="265" w:type="pct"/>
            <w:noWrap/>
            <w:vAlign w:val="bottom"/>
          </w:tcPr>
          <w:p w14:paraId="746FD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0.409 </w:t>
            </w:r>
          </w:p>
        </w:tc>
        <w:tc>
          <w:tcPr>
            <w:tcW w:w="265" w:type="pct"/>
            <w:noWrap/>
            <w:vAlign w:val="bottom"/>
          </w:tcPr>
          <w:p w14:paraId="1F2FFC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0.427 </w:t>
            </w:r>
          </w:p>
        </w:tc>
        <w:tc>
          <w:tcPr>
            <w:tcW w:w="265" w:type="pct"/>
            <w:noWrap/>
            <w:vAlign w:val="bottom"/>
          </w:tcPr>
          <w:p w14:paraId="12261E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0.449 </w:t>
            </w:r>
          </w:p>
        </w:tc>
        <w:tc>
          <w:tcPr>
            <w:tcW w:w="265" w:type="pct"/>
            <w:noWrap/>
            <w:vAlign w:val="bottom"/>
          </w:tcPr>
          <w:p w14:paraId="35B6B2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0.478 </w:t>
            </w:r>
          </w:p>
        </w:tc>
        <w:tc>
          <w:tcPr>
            <w:tcW w:w="265" w:type="pct"/>
            <w:noWrap/>
            <w:vAlign w:val="bottom"/>
          </w:tcPr>
          <w:p w14:paraId="671841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0.507 </w:t>
            </w:r>
          </w:p>
        </w:tc>
        <w:tc>
          <w:tcPr>
            <w:tcW w:w="265" w:type="pct"/>
            <w:noWrap/>
            <w:vAlign w:val="bottom"/>
          </w:tcPr>
          <w:p w14:paraId="7DB414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0.530 </w:t>
            </w:r>
          </w:p>
        </w:tc>
      </w:tr>
      <w:tr w14:paraId="1B71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069659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Hunan</w:t>
            </w:r>
          </w:p>
        </w:tc>
        <w:tc>
          <w:tcPr>
            <w:tcW w:w="264" w:type="pct"/>
            <w:noWrap/>
            <w:vAlign w:val="bottom"/>
          </w:tcPr>
          <w:p w14:paraId="65A81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0.206 </w:t>
            </w:r>
          </w:p>
        </w:tc>
        <w:tc>
          <w:tcPr>
            <w:tcW w:w="264" w:type="pct"/>
            <w:noWrap/>
            <w:vAlign w:val="bottom"/>
          </w:tcPr>
          <w:p w14:paraId="0BAE12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0.224 </w:t>
            </w:r>
          </w:p>
        </w:tc>
        <w:tc>
          <w:tcPr>
            <w:tcW w:w="264" w:type="pct"/>
            <w:noWrap/>
            <w:vAlign w:val="bottom"/>
          </w:tcPr>
          <w:p w14:paraId="6B5D7D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0.238 </w:t>
            </w:r>
          </w:p>
        </w:tc>
        <w:tc>
          <w:tcPr>
            <w:tcW w:w="264" w:type="pct"/>
            <w:noWrap/>
            <w:vAlign w:val="bottom"/>
          </w:tcPr>
          <w:p w14:paraId="6E3964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0.252 </w:t>
            </w:r>
          </w:p>
        </w:tc>
        <w:tc>
          <w:tcPr>
            <w:tcW w:w="264" w:type="pct"/>
            <w:noWrap/>
            <w:vAlign w:val="bottom"/>
          </w:tcPr>
          <w:p w14:paraId="7F57A1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0.260 </w:t>
            </w:r>
          </w:p>
        </w:tc>
        <w:tc>
          <w:tcPr>
            <w:tcW w:w="265" w:type="pct"/>
            <w:noWrap/>
            <w:vAlign w:val="bottom"/>
          </w:tcPr>
          <w:p w14:paraId="724B8F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0.271 </w:t>
            </w:r>
          </w:p>
        </w:tc>
        <w:tc>
          <w:tcPr>
            <w:tcW w:w="265" w:type="pct"/>
            <w:noWrap/>
            <w:vAlign w:val="bottom"/>
          </w:tcPr>
          <w:p w14:paraId="392E9D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0.285 </w:t>
            </w:r>
          </w:p>
        </w:tc>
        <w:tc>
          <w:tcPr>
            <w:tcW w:w="265" w:type="pct"/>
            <w:noWrap/>
            <w:vAlign w:val="bottom"/>
          </w:tcPr>
          <w:p w14:paraId="17FCF4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0.301 </w:t>
            </w:r>
          </w:p>
        </w:tc>
        <w:tc>
          <w:tcPr>
            <w:tcW w:w="265" w:type="pct"/>
            <w:noWrap/>
            <w:vAlign w:val="bottom"/>
          </w:tcPr>
          <w:p w14:paraId="2A5806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0.329 </w:t>
            </w:r>
          </w:p>
        </w:tc>
        <w:tc>
          <w:tcPr>
            <w:tcW w:w="265" w:type="pct"/>
            <w:noWrap/>
            <w:vAlign w:val="bottom"/>
          </w:tcPr>
          <w:p w14:paraId="5CA793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0.344 </w:t>
            </w:r>
          </w:p>
        </w:tc>
        <w:tc>
          <w:tcPr>
            <w:tcW w:w="265" w:type="pct"/>
            <w:noWrap/>
            <w:vAlign w:val="bottom"/>
          </w:tcPr>
          <w:p w14:paraId="2F0C26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0.368 </w:t>
            </w:r>
          </w:p>
        </w:tc>
        <w:tc>
          <w:tcPr>
            <w:tcW w:w="265" w:type="pct"/>
            <w:noWrap/>
            <w:vAlign w:val="bottom"/>
          </w:tcPr>
          <w:p w14:paraId="5ABD8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0.381 </w:t>
            </w:r>
          </w:p>
        </w:tc>
        <w:tc>
          <w:tcPr>
            <w:tcW w:w="265" w:type="pct"/>
            <w:noWrap/>
            <w:vAlign w:val="bottom"/>
          </w:tcPr>
          <w:p w14:paraId="295F53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0.401 </w:t>
            </w:r>
          </w:p>
        </w:tc>
        <w:tc>
          <w:tcPr>
            <w:tcW w:w="265" w:type="pct"/>
            <w:noWrap/>
            <w:vAlign w:val="bottom"/>
          </w:tcPr>
          <w:p w14:paraId="716DB7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0.422 </w:t>
            </w:r>
          </w:p>
        </w:tc>
        <w:tc>
          <w:tcPr>
            <w:tcW w:w="265" w:type="pct"/>
            <w:noWrap/>
            <w:vAlign w:val="bottom"/>
          </w:tcPr>
          <w:p w14:paraId="4EBE68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0.450 </w:t>
            </w:r>
          </w:p>
        </w:tc>
        <w:tc>
          <w:tcPr>
            <w:tcW w:w="265" w:type="pct"/>
            <w:noWrap/>
            <w:vAlign w:val="bottom"/>
          </w:tcPr>
          <w:p w14:paraId="22AD0D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0.479 </w:t>
            </w:r>
          </w:p>
        </w:tc>
      </w:tr>
      <w:tr w14:paraId="1B8E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50AAD6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b/>
                <w:bCs/>
                <w:color w:val="auto"/>
                <w:sz w:val="16"/>
                <w:szCs w:val="16"/>
                <w:highlight w:val="none"/>
              </w:rPr>
              <w:t>Northeastern Region</w:t>
            </w:r>
          </w:p>
        </w:tc>
        <w:tc>
          <w:tcPr>
            <w:tcW w:w="264" w:type="pct"/>
            <w:noWrap/>
            <w:vAlign w:val="center"/>
          </w:tcPr>
          <w:p w14:paraId="308290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0.215 </w:t>
            </w:r>
          </w:p>
        </w:tc>
        <w:tc>
          <w:tcPr>
            <w:tcW w:w="264" w:type="pct"/>
            <w:noWrap/>
            <w:vAlign w:val="center"/>
          </w:tcPr>
          <w:p w14:paraId="257525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0.225 </w:t>
            </w:r>
          </w:p>
        </w:tc>
        <w:tc>
          <w:tcPr>
            <w:tcW w:w="264" w:type="pct"/>
            <w:noWrap/>
            <w:vAlign w:val="center"/>
          </w:tcPr>
          <w:p w14:paraId="697CA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0.242 </w:t>
            </w:r>
          </w:p>
        </w:tc>
        <w:tc>
          <w:tcPr>
            <w:tcW w:w="264" w:type="pct"/>
            <w:noWrap/>
            <w:vAlign w:val="center"/>
          </w:tcPr>
          <w:p w14:paraId="449AE0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0.250 </w:t>
            </w:r>
          </w:p>
        </w:tc>
        <w:tc>
          <w:tcPr>
            <w:tcW w:w="264" w:type="pct"/>
            <w:noWrap/>
            <w:vAlign w:val="center"/>
          </w:tcPr>
          <w:p w14:paraId="37D53B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0.254 </w:t>
            </w:r>
          </w:p>
        </w:tc>
        <w:tc>
          <w:tcPr>
            <w:tcW w:w="265" w:type="pct"/>
            <w:noWrap/>
            <w:vAlign w:val="center"/>
          </w:tcPr>
          <w:p w14:paraId="1680B8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0.264 </w:t>
            </w:r>
          </w:p>
        </w:tc>
        <w:tc>
          <w:tcPr>
            <w:tcW w:w="265" w:type="pct"/>
            <w:noWrap/>
            <w:vAlign w:val="center"/>
          </w:tcPr>
          <w:p w14:paraId="57A826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0.274 </w:t>
            </w:r>
          </w:p>
        </w:tc>
        <w:tc>
          <w:tcPr>
            <w:tcW w:w="265" w:type="pct"/>
            <w:noWrap/>
            <w:vAlign w:val="center"/>
          </w:tcPr>
          <w:p w14:paraId="55975E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0.286 </w:t>
            </w:r>
          </w:p>
        </w:tc>
        <w:tc>
          <w:tcPr>
            <w:tcW w:w="265" w:type="pct"/>
            <w:noWrap/>
            <w:vAlign w:val="center"/>
          </w:tcPr>
          <w:p w14:paraId="75077A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0.306 </w:t>
            </w:r>
          </w:p>
        </w:tc>
        <w:tc>
          <w:tcPr>
            <w:tcW w:w="265" w:type="pct"/>
            <w:noWrap/>
            <w:vAlign w:val="center"/>
          </w:tcPr>
          <w:p w14:paraId="23498E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0.321 </w:t>
            </w:r>
          </w:p>
        </w:tc>
        <w:tc>
          <w:tcPr>
            <w:tcW w:w="265" w:type="pct"/>
            <w:noWrap/>
            <w:vAlign w:val="center"/>
          </w:tcPr>
          <w:p w14:paraId="470D12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0.330 </w:t>
            </w:r>
          </w:p>
        </w:tc>
        <w:tc>
          <w:tcPr>
            <w:tcW w:w="265" w:type="pct"/>
            <w:noWrap/>
            <w:vAlign w:val="center"/>
          </w:tcPr>
          <w:p w14:paraId="004F0A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0.333 </w:t>
            </w:r>
          </w:p>
        </w:tc>
        <w:tc>
          <w:tcPr>
            <w:tcW w:w="265" w:type="pct"/>
            <w:noWrap/>
            <w:vAlign w:val="center"/>
          </w:tcPr>
          <w:p w14:paraId="3189A0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0.349 </w:t>
            </w:r>
          </w:p>
        </w:tc>
        <w:tc>
          <w:tcPr>
            <w:tcW w:w="265" w:type="pct"/>
            <w:noWrap/>
            <w:vAlign w:val="center"/>
          </w:tcPr>
          <w:p w14:paraId="5AB0A6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0.360 </w:t>
            </w:r>
          </w:p>
        </w:tc>
        <w:tc>
          <w:tcPr>
            <w:tcW w:w="265" w:type="pct"/>
            <w:noWrap/>
            <w:vAlign w:val="center"/>
          </w:tcPr>
          <w:p w14:paraId="4B89CC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0.368 </w:t>
            </w:r>
          </w:p>
        </w:tc>
        <w:tc>
          <w:tcPr>
            <w:tcW w:w="265" w:type="pct"/>
            <w:noWrap/>
            <w:vAlign w:val="center"/>
          </w:tcPr>
          <w:p w14:paraId="3DA476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kern w:val="0"/>
                <w:sz w:val="16"/>
                <w:szCs w:val="16"/>
                <w:highlight w:val="none"/>
                <w:lang w:bidi="ar"/>
              </w:rPr>
            </w:pPr>
            <w:r>
              <w:rPr>
                <w:rFonts w:hint="default" w:ascii="Times New Roman" w:hAnsi="Times New Roman" w:cs="Times New Roman"/>
                <w:color w:val="auto"/>
                <w:kern w:val="0"/>
                <w:sz w:val="16"/>
                <w:szCs w:val="16"/>
                <w:highlight w:val="none"/>
                <w:lang w:bidi="ar"/>
              </w:rPr>
              <w:t xml:space="preserve">0.374 </w:t>
            </w:r>
          </w:p>
        </w:tc>
      </w:tr>
      <w:tr w14:paraId="5539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2A4CF3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Liaoning</w:t>
            </w:r>
          </w:p>
        </w:tc>
        <w:tc>
          <w:tcPr>
            <w:tcW w:w="264" w:type="pct"/>
            <w:noWrap/>
            <w:vAlign w:val="bottom"/>
          </w:tcPr>
          <w:p w14:paraId="4A2FE6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0.246 </w:t>
            </w:r>
          </w:p>
        </w:tc>
        <w:tc>
          <w:tcPr>
            <w:tcW w:w="264" w:type="pct"/>
            <w:noWrap/>
            <w:vAlign w:val="bottom"/>
          </w:tcPr>
          <w:p w14:paraId="6D42C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0.259 </w:t>
            </w:r>
          </w:p>
        </w:tc>
        <w:tc>
          <w:tcPr>
            <w:tcW w:w="264" w:type="pct"/>
            <w:noWrap/>
            <w:vAlign w:val="bottom"/>
          </w:tcPr>
          <w:p w14:paraId="29FA20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0.274 </w:t>
            </w:r>
          </w:p>
        </w:tc>
        <w:tc>
          <w:tcPr>
            <w:tcW w:w="264" w:type="pct"/>
            <w:noWrap/>
            <w:vAlign w:val="bottom"/>
          </w:tcPr>
          <w:p w14:paraId="4FEF84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0.288 </w:t>
            </w:r>
          </w:p>
        </w:tc>
        <w:tc>
          <w:tcPr>
            <w:tcW w:w="264" w:type="pct"/>
            <w:noWrap/>
            <w:vAlign w:val="bottom"/>
          </w:tcPr>
          <w:p w14:paraId="2DACA9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0.291 </w:t>
            </w:r>
          </w:p>
        </w:tc>
        <w:tc>
          <w:tcPr>
            <w:tcW w:w="265" w:type="pct"/>
            <w:noWrap/>
            <w:vAlign w:val="bottom"/>
          </w:tcPr>
          <w:p w14:paraId="380E72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0.306 </w:t>
            </w:r>
          </w:p>
        </w:tc>
        <w:tc>
          <w:tcPr>
            <w:tcW w:w="265" w:type="pct"/>
            <w:noWrap/>
            <w:vAlign w:val="bottom"/>
          </w:tcPr>
          <w:p w14:paraId="30E9DD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0.320 </w:t>
            </w:r>
          </w:p>
        </w:tc>
        <w:tc>
          <w:tcPr>
            <w:tcW w:w="265" w:type="pct"/>
            <w:noWrap/>
            <w:vAlign w:val="bottom"/>
          </w:tcPr>
          <w:p w14:paraId="4F3F7F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0.334 </w:t>
            </w:r>
          </w:p>
        </w:tc>
        <w:tc>
          <w:tcPr>
            <w:tcW w:w="265" w:type="pct"/>
            <w:noWrap/>
            <w:vAlign w:val="bottom"/>
          </w:tcPr>
          <w:p w14:paraId="19EA91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0.354 </w:t>
            </w:r>
          </w:p>
        </w:tc>
        <w:tc>
          <w:tcPr>
            <w:tcW w:w="265" w:type="pct"/>
            <w:noWrap/>
            <w:vAlign w:val="bottom"/>
          </w:tcPr>
          <w:p w14:paraId="7CBD3E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0.372 </w:t>
            </w:r>
          </w:p>
        </w:tc>
        <w:tc>
          <w:tcPr>
            <w:tcW w:w="265" w:type="pct"/>
            <w:noWrap/>
            <w:vAlign w:val="bottom"/>
          </w:tcPr>
          <w:p w14:paraId="1F3EAB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0.383 </w:t>
            </w:r>
          </w:p>
        </w:tc>
        <w:tc>
          <w:tcPr>
            <w:tcW w:w="265" w:type="pct"/>
            <w:noWrap/>
            <w:vAlign w:val="bottom"/>
          </w:tcPr>
          <w:p w14:paraId="05772A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0.387 </w:t>
            </w:r>
          </w:p>
        </w:tc>
        <w:tc>
          <w:tcPr>
            <w:tcW w:w="265" w:type="pct"/>
            <w:noWrap/>
            <w:vAlign w:val="bottom"/>
          </w:tcPr>
          <w:p w14:paraId="4768E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0.401 </w:t>
            </w:r>
          </w:p>
        </w:tc>
        <w:tc>
          <w:tcPr>
            <w:tcW w:w="265" w:type="pct"/>
            <w:noWrap/>
            <w:vAlign w:val="bottom"/>
          </w:tcPr>
          <w:p w14:paraId="272026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0.413 </w:t>
            </w:r>
          </w:p>
        </w:tc>
        <w:tc>
          <w:tcPr>
            <w:tcW w:w="265" w:type="pct"/>
            <w:noWrap/>
            <w:vAlign w:val="bottom"/>
          </w:tcPr>
          <w:p w14:paraId="7B9416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0.423 </w:t>
            </w:r>
          </w:p>
        </w:tc>
        <w:tc>
          <w:tcPr>
            <w:tcW w:w="265" w:type="pct"/>
            <w:noWrap/>
            <w:vAlign w:val="bottom"/>
          </w:tcPr>
          <w:p w14:paraId="32A86E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0.431 </w:t>
            </w:r>
          </w:p>
        </w:tc>
      </w:tr>
      <w:tr w14:paraId="5069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16408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Jilin</w:t>
            </w:r>
          </w:p>
        </w:tc>
        <w:tc>
          <w:tcPr>
            <w:tcW w:w="264" w:type="pct"/>
            <w:noWrap/>
            <w:vAlign w:val="bottom"/>
          </w:tcPr>
          <w:p w14:paraId="7A6C20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0.207 </w:t>
            </w:r>
          </w:p>
        </w:tc>
        <w:tc>
          <w:tcPr>
            <w:tcW w:w="264" w:type="pct"/>
            <w:noWrap/>
            <w:vAlign w:val="bottom"/>
          </w:tcPr>
          <w:p w14:paraId="299518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0.213 </w:t>
            </w:r>
          </w:p>
        </w:tc>
        <w:tc>
          <w:tcPr>
            <w:tcW w:w="264" w:type="pct"/>
            <w:noWrap/>
            <w:vAlign w:val="bottom"/>
          </w:tcPr>
          <w:p w14:paraId="718CD1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0.229 </w:t>
            </w:r>
          </w:p>
        </w:tc>
        <w:tc>
          <w:tcPr>
            <w:tcW w:w="264" w:type="pct"/>
            <w:noWrap/>
            <w:vAlign w:val="bottom"/>
          </w:tcPr>
          <w:p w14:paraId="3DFBE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0.229 </w:t>
            </w:r>
          </w:p>
        </w:tc>
        <w:tc>
          <w:tcPr>
            <w:tcW w:w="264" w:type="pct"/>
            <w:noWrap/>
            <w:vAlign w:val="bottom"/>
          </w:tcPr>
          <w:p w14:paraId="7AFBDF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0.232 </w:t>
            </w:r>
          </w:p>
        </w:tc>
        <w:tc>
          <w:tcPr>
            <w:tcW w:w="265" w:type="pct"/>
            <w:noWrap/>
            <w:vAlign w:val="bottom"/>
          </w:tcPr>
          <w:p w14:paraId="0A2E5D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0.240 </w:t>
            </w:r>
          </w:p>
        </w:tc>
        <w:tc>
          <w:tcPr>
            <w:tcW w:w="265" w:type="pct"/>
            <w:noWrap/>
            <w:vAlign w:val="bottom"/>
          </w:tcPr>
          <w:p w14:paraId="63D238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0.247 </w:t>
            </w:r>
          </w:p>
        </w:tc>
        <w:tc>
          <w:tcPr>
            <w:tcW w:w="265" w:type="pct"/>
            <w:noWrap/>
            <w:vAlign w:val="bottom"/>
          </w:tcPr>
          <w:p w14:paraId="2C112F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0.256 </w:t>
            </w:r>
          </w:p>
        </w:tc>
        <w:tc>
          <w:tcPr>
            <w:tcW w:w="265" w:type="pct"/>
            <w:noWrap/>
            <w:vAlign w:val="bottom"/>
          </w:tcPr>
          <w:p w14:paraId="7AB623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0.274 </w:t>
            </w:r>
          </w:p>
        </w:tc>
        <w:tc>
          <w:tcPr>
            <w:tcW w:w="265" w:type="pct"/>
            <w:noWrap/>
            <w:vAlign w:val="bottom"/>
          </w:tcPr>
          <w:p w14:paraId="1C1F33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0.292 </w:t>
            </w:r>
          </w:p>
        </w:tc>
        <w:tc>
          <w:tcPr>
            <w:tcW w:w="265" w:type="pct"/>
            <w:noWrap/>
            <w:vAlign w:val="bottom"/>
          </w:tcPr>
          <w:p w14:paraId="47FB0B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0.300 </w:t>
            </w:r>
          </w:p>
        </w:tc>
        <w:tc>
          <w:tcPr>
            <w:tcW w:w="265" w:type="pct"/>
            <w:noWrap/>
            <w:vAlign w:val="bottom"/>
          </w:tcPr>
          <w:p w14:paraId="0AE67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0.302 </w:t>
            </w:r>
          </w:p>
        </w:tc>
        <w:tc>
          <w:tcPr>
            <w:tcW w:w="265" w:type="pct"/>
            <w:noWrap/>
            <w:vAlign w:val="bottom"/>
          </w:tcPr>
          <w:p w14:paraId="6D1D6A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0.323 </w:t>
            </w:r>
          </w:p>
        </w:tc>
        <w:tc>
          <w:tcPr>
            <w:tcW w:w="265" w:type="pct"/>
            <w:noWrap/>
            <w:vAlign w:val="bottom"/>
          </w:tcPr>
          <w:p w14:paraId="0F558F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0.331 </w:t>
            </w:r>
          </w:p>
        </w:tc>
        <w:tc>
          <w:tcPr>
            <w:tcW w:w="265" w:type="pct"/>
            <w:noWrap/>
            <w:vAlign w:val="bottom"/>
          </w:tcPr>
          <w:p w14:paraId="46549E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0.337 </w:t>
            </w:r>
          </w:p>
        </w:tc>
        <w:tc>
          <w:tcPr>
            <w:tcW w:w="265" w:type="pct"/>
            <w:noWrap/>
            <w:vAlign w:val="bottom"/>
          </w:tcPr>
          <w:p w14:paraId="7F4C2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0.342 </w:t>
            </w:r>
          </w:p>
        </w:tc>
      </w:tr>
      <w:tr w14:paraId="3C47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05E87F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Heilongjiang</w:t>
            </w:r>
          </w:p>
        </w:tc>
        <w:tc>
          <w:tcPr>
            <w:tcW w:w="264" w:type="pct"/>
            <w:noWrap/>
            <w:vAlign w:val="bottom"/>
          </w:tcPr>
          <w:p w14:paraId="364D3A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0.191 </w:t>
            </w:r>
          </w:p>
        </w:tc>
        <w:tc>
          <w:tcPr>
            <w:tcW w:w="264" w:type="pct"/>
            <w:noWrap/>
            <w:vAlign w:val="bottom"/>
          </w:tcPr>
          <w:p w14:paraId="2DF10B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0.205 </w:t>
            </w:r>
          </w:p>
        </w:tc>
        <w:tc>
          <w:tcPr>
            <w:tcW w:w="264" w:type="pct"/>
            <w:noWrap/>
            <w:vAlign w:val="bottom"/>
          </w:tcPr>
          <w:p w14:paraId="658586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0.223 </w:t>
            </w:r>
          </w:p>
        </w:tc>
        <w:tc>
          <w:tcPr>
            <w:tcW w:w="264" w:type="pct"/>
            <w:noWrap/>
            <w:vAlign w:val="bottom"/>
          </w:tcPr>
          <w:p w14:paraId="6C5B11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0.232 </w:t>
            </w:r>
          </w:p>
        </w:tc>
        <w:tc>
          <w:tcPr>
            <w:tcW w:w="264" w:type="pct"/>
            <w:noWrap/>
            <w:vAlign w:val="bottom"/>
          </w:tcPr>
          <w:p w14:paraId="4FEBF4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0.238 </w:t>
            </w:r>
          </w:p>
        </w:tc>
        <w:tc>
          <w:tcPr>
            <w:tcW w:w="265" w:type="pct"/>
            <w:noWrap/>
            <w:vAlign w:val="bottom"/>
          </w:tcPr>
          <w:p w14:paraId="254E82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0.245 </w:t>
            </w:r>
          </w:p>
        </w:tc>
        <w:tc>
          <w:tcPr>
            <w:tcW w:w="265" w:type="pct"/>
            <w:noWrap/>
            <w:vAlign w:val="bottom"/>
          </w:tcPr>
          <w:p w14:paraId="444065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0.255 </w:t>
            </w:r>
          </w:p>
        </w:tc>
        <w:tc>
          <w:tcPr>
            <w:tcW w:w="265" w:type="pct"/>
            <w:noWrap/>
            <w:vAlign w:val="bottom"/>
          </w:tcPr>
          <w:p w14:paraId="3F58E6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0.269 </w:t>
            </w:r>
          </w:p>
        </w:tc>
        <w:tc>
          <w:tcPr>
            <w:tcW w:w="265" w:type="pct"/>
            <w:noWrap/>
            <w:vAlign w:val="bottom"/>
          </w:tcPr>
          <w:p w14:paraId="7E9CCA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0.289 </w:t>
            </w:r>
          </w:p>
        </w:tc>
        <w:tc>
          <w:tcPr>
            <w:tcW w:w="265" w:type="pct"/>
            <w:noWrap/>
            <w:vAlign w:val="bottom"/>
          </w:tcPr>
          <w:p w14:paraId="709EA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0.298 </w:t>
            </w:r>
          </w:p>
        </w:tc>
        <w:tc>
          <w:tcPr>
            <w:tcW w:w="265" w:type="pct"/>
            <w:noWrap/>
            <w:vAlign w:val="bottom"/>
          </w:tcPr>
          <w:p w14:paraId="373766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0.306 </w:t>
            </w:r>
          </w:p>
        </w:tc>
        <w:tc>
          <w:tcPr>
            <w:tcW w:w="265" w:type="pct"/>
            <w:noWrap/>
            <w:vAlign w:val="bottom"/>
          </w:tcPr>
          <w:p w14:paraId="7ED6FC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0.312 </w:t>
            </w:r>
          </w:p>
        </w:tc>
        <w:tc>
          <w:tcPr>
            <w:tcW w:w="265" w:type="pct"/>
            <w:noWrap/>
            <w:vAlign w:val="bottom"/>
          </w:tcPr>
          <w:p w14:paraId="6FC171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0.323 </w:t>
            </w:r>
          </w:p>
        </w:tc>
        <w:tc>
          <w:tcPr>
            <w:tcW w:w="265" w:type="pct"/>
            <w:noWrap/>
            <w:vAlign w:val="bottom"/>
          </w:tcPr>
          <w:p w14:paraId="5D37DD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0.335 </w:t>
            </w:r>
          </w:p>
        </w:tc>
        <w:tc>
          <w:tcPr>
            <w:tcW w:w="265" w:type="pct"/>
            <w:noWrap/>
            <w:vAlign w:val="bottom"/>
          </w:tcPr>
          <w:p w14:paraId="2CB580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0.344 </w:t>
            </w:r>
          </w:p>
        </w:tc>
        <w:tc>
          <w:tcPr>
            <w:tcW w:w="265" w:type="pct"/>
            <w:noWrap/>
            <w:vAlign w:val="bottom"/>
          </w:tcPr>
          <w:p w14:paraId="651CC0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0.348 </w:t>
            </w:r>
          </w:p>
        </w:tc>
      </w:tr>
      <w:tr w14:paraId="5553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4509B8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b/>
                <w:bCs/>
                <w:color w:val="auto"/>
                <w:sz w:val="16"/>
                <w:szCs w:val="16"/>
                <w:highlight w:val="none"/>
              </w:rPr>
              <w:t>Western Region</w:t>
            </w:r>
          </w:p>
        </w:tc>
        <w:tc>
          <w:tcPr>
            <w:tcW w:w="264" w:type="pct"/>
            <w:noWrap/>
            <w:vAlign w:val="center"/>
          </w:tcPr>
          <w:p w14:paraId="57143E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0.187 </w:t>
            </w:r>
          </w:p>
        </w:tc>
        <w:tc>
          <w:tcPr>
            <w:tcW w:w="264" w:type="pct"/>
            <w:noWrap/>
            <w:vAlign w:val="center"/>
          </w:tcPr>
          <w:p w14:paraId="48012F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0.197 </w:t>
            </w:r>
          </w:p>
        </w:tc>
        <w:tc>
          <w:tcPr>
            <w:tcW w:w="264" w:type="pct"/>
            <w:noWrap/>
            <w:vAlign w:val="center"/>
          </w:tcPr>
          <w:p w14:paraId="0BDAF6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0.210 </w:t>
            </w:r>
          </w:p>
        </w:tc>
        <w:tc>
          <w:tcPr>
            <w:tcW w:w="264" w:type="pct"/>
            <w:noWrap/>
            <w:vAlign w:val="center"/>
          </w:tcPr>
          <w:p w14:paraId="5D04D9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0.220 </w:t>
            </w:r>
          </w:p>
        </w:tc>
        <w:tc>
          <w:tcPr>
            <w:tcW w:w="264" w:type="pct"/>
            <w:noWrap/>
            <w:vAlign w:val="center"/>
          </w:tcPr>
          <w:p w14:paraId="3C270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0.225 </w:t>
            </w:r>
          </w:p>
        </w:tc>
        <w:tc>
          <w:tcPr>
            <w:tcW w:w="265" w:type="pct"/>
            <w:noWrap/>
            <w:vAlign w:val="center"/>
          </w:tcPr>
          <w:p w14:paraId="1C6EC9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0.234 </w:t>
            </w:r>
          </w:p>
        </w:tc>
        <w:tc>
          <w:tcPr>
            <w:tcW w:w="265" w:type="pct"/>
            <w:noWrap/>
            <w:vAlign w:val="center"/>
          </w:tcPr>
          <w:p w14:paraId="1534DB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0.245 </w:t>
            </w:r>
          </w:p>
        </w:tc>
        <w:tc>
          <w:tcPr>
            <w:tcW w:w="265" w:type="pct"/>
            <w:noWrap/>
            <w:vAlign w:val="center"/>
          </w:tcPr>
          <w:p w14:paraId="201278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0.255 </w:t>
            </w:r>
          </w:p>
        </w:tc>
        <w:tc>
          <w:tcPr>
            <w:tcW w:w="265" w:type="pct"/>
            <w:noWrap/>
            <w:vAlign w:val="center"/>
          </w:tcPr>
          <w:p w14:paraId="2B0B93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0.270 </w:t>
            </w:r>
          </w:p>
        </w:tc>
        <w:tc>
          <w:tcPr>
            <w:tcW w:w="265" w:type="pct"/>
            <w:noWrap/>
            <w:vAlign w:val="center"/>
          </w:tcPr>
          <w:p w14:paraId="1B470D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0.284 </w:t>
            </w:r>
          </w:p>
        </w:tc>
        <w:tc>
          <w:tcPr>
            <w:tcW w:w="265" w:type="pct"/>
            <w:noWrap/>
            <w:vAlign w:val="center"/>
          </w:tcPr>
          <w:p w14:paraId="7CB691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0.295 </w:t>
            </w:r>
          </w:p>
        </w:tc>
        <w:tc>
          <w:tcPr>
            <w:tcW w:w="265" w:type="pct"/>
            <w:noWrap/>
            <w:vAlign w:val="center"/>
          </w:tcPr>
          <w:p w14:paraId="7C8D72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0.303 </w:t>
            </w:r>
          </w:p>
        </w:tc>
        <w:tc>
          <w:tcPr>
            <w:tcW w:w="265" w:type="pct"/>
            <w:noWrap/>
            <w:vAlign w:val="center"/>
          </w:tcPr>
          <w:p w14:paraId="657394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0.312 </w:t>
            </w:r>
          </w:p>
        </w:tc>
        <w:tc>
          <w:tcPr>
            <w:tcW w:w="265" w:type="pct"/>
            <w:noWrap/>
            <w:vAlign w:val="center"/>
          </w:tcPr>
          <w:p w14:paraId="39E390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0.323 </w:t>
            </w:r>
          </w:p>
        </w:tc>
        <w:tc>
          <w:tcPr>
            <w:tcW w:w="265" w:type="pct"/>
            <w:noWrap/>
            <w:vAlign w:val="center"/>
          </w:tcPr>
          <w:p w14:paraId="527399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0.332 </w:t>
            </w:r>
          </w:p>
        </w:tc>
        <w:tc>
          <w:tcPr>
            <w:tcW w:w="265" w:type="pct"/>
            <w:noWrap/>
            <w:vAlign w:val="center"/>
          </w:tcPr>
          <w:p w14:paraId="205CC2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center"/>
              <w:rPr>
                <w:rFonts w:hint="default" w:ascii="Times New Roman" w:hAnsi="Times New Roman" w:cs="Times New Roman"/>
                <w:b/>
                <w:bCs/>
                <w:color w:val="auto"/>
                <w:sz w:val="16"/>
                <w:szCs w:val="16"/>
                <w:highlight w:val="none"/>
              </w:rPr>
            </w:pPr>
            <w:r>
              <w:rPr>
                <w:rFonts w:hint="default" w:ascii="Times New Roman" w:hAnsi="Times New Roman" w:cs="Times New Roman"/>
                <w:color w:val="auto"/>
                <w:kern w:val="0"/>
                <w:sz w:val="16"/>
                <w:szCs w:val="16"/>
                <w:highlight w:val="none"/>
                <w:lang w:bidi="ar"/>
              </w:rPr>
              <w:t xml:space="preserve">0.340 </w:t>
            </w:r>
          </w:p>
        </w:tc>
      </w:tr>
      <w:tr w14:paraId="376E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21F246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Inner Mongolia</w:t>
            </w:r>
          </w:p>
        </w:tc>
        <w:tc>
          <w:tcPr>
            <w:tcW w:w="264" w:type="pct"/>
            <w:noWrap/>
            <w:vAlign w:val="bottom"/>
          </w:tcPr>
          <w:p w14:paraId="2F3753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0.156 </w:t>
            </w:r>
          </w:p>
        </w:tc>
        <w:tc>
          <w:tcPr>
            <w:tcW w:w="264" w:type="pct"/>
            <w:noWrap/>
            <w:vAlign w:val="bottom"/>
          </w:tcPr>
          <w:p w14:paraId="516663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0.167 </w:t>
            </w:r>
          </w:p>
        </w:tc>
        <w:tc>
          <w:tcPr>
            <w:tcW w:w="264" w:type="pct"/>
            <w:noWrap/>
            <w:vAlign w:val="bottom"/>
          </w:tcPr>
          <w:p w14:paraId="75C620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0.181 </w:t>
            </w:r>
          </w:p>
        </w:tc>
        <w:tc>
          <w:tcPr>
            <w:tcW w:w="264" w:type="pct"/>
            <w:noWrap/>
            <w:vAlign w:val="bottom"/>
          </w:tcPr>
          <w:p w14:paraId="56465A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0.191 </w:t>
            </w:r>
          </w:p>
        </w:tc>
        <w:tc>
          <w:tcPr>
            <w:tcW w:w="264" w:type="pct"/>
            <w:noWrap/>
            <w:vAlign w:val="bottom"/>
          </w:tcPr>
          <w:p w14:paraId="1195C9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0.198 </w:t>
            </w:r>
          </w:p>
        </w:tc>
        <w:tc>
          <w:tcPr>
            <w:tcW w:w="265" w:type="pct"/>
            <w:noWrap/>
            <w:vAlign w:val="bottom"/>
          </w:tcPr>
          <w:p w14:paraId="094420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0.209 </w:t>
            </w:r>
          </w:p>
        </w:tc>
        <w:tc>
          <w:tcPr>
            <w:tcW w:w="265" w:type="pct"/>
            <w:noWrap/>
            <w:vAlign w:val="bottom"/>
          </w:tcPr>
          <w:p w14:paraId="3EBB6D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0.215 </w:t>
            </w:r>
          </w:p>
        </w:tc>
        <w:tc>
          <w:tcPr>
            <w:tcW w:w="265" w:type="pct"/>
            <w:noWrap/>
            <w:vAlign w:val="bottom"/>
          </w:tcPr>
          <w:p w14:paraId="53E787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0.223 </w:t>
            </w:r>
          </w:p>
        </w:tc>
        <w:tc>
          <w:tcPr>
            <w:tcW w:w="265" w:type="pct"/>
            <w:noWrap/>
            <w:vAlign w:val="bottom"/>
          </w:tcPr>
          <w:p w14:paraId="2E199F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0.236 </w:t>
            </w:r>
          </w:p>
        </w:tc>
        <w:tc>
          <w:tcPr>
            <w:tcW w:w="265" w:type="pct"/>
            <w:noWrap/>
            <w:vAlign w:val="bottom"/>
          </w:tcPr>
          <w:p w14:paraId="408105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0.252 </w:t>
            </w:r>
          </w:p>
        </w:tc>
        <w:tc>
          <w:tcPr>
            <w:tcW w:w="265" w:type="pct"/>
            <w:noWrap/>
            <w:vAlign w:val="bottom"/>
          </w:tcPr>
          <w:p w14:paraId="75A8C2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0.264 </w:t>
            </w:r>
          </w:p>
        </w:tc>
        <w:tc>
          <w:tcPr>
            <w:tcW w:w="265" w:type="pct"/>
            <w:noWrap/>
            <w:vAlign w:val="bottom"/>
          </w:tcPr>
          <w:p w14:paraId="17DEEC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0.270 </w:t>
            </w:r>
          </w:p>
        </w:tc>
        <w:tc>
          <w:tcPr>
            <w:tcW w:w="265" w:type="pct"/>
            <w:noWrap/>
            <w:vAlign w:val="bottom"/>
          </w:tcPr>
          <w:p w14:paraId="70542A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0.277 </w:t>
            </w:r>
          </w:p>
        </w:tc>
        <w:tc>
          <w:tcPr>
            <w:tcW w:w="265" w:type="pct"/>
            <w:noWrap/>
            <w:vAlign w:val="bottom"/>
          </w:tcPr>
          <w:p w14:paraId="29DFB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0.284 </w:t>
            </w:r>
          </w:p>
        </w:tc>
        <w:tc>
          <w:tcPr>
            <w:tcW w:w="265" w:type="pct"/>
            <w:noWrap/>
            <w:vAlign w:val="bottom"/>
          </w:tcPr>
          <w:p w14:paraId="72AFA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0.283 </w:t>
            </w:r>
          </w:p>
        </w:tc>
        <w:tc>
          <w:tcPr>
            <w:tcW w:w="265" w:type="pct"/>
            <w:noWrap/>
            <w:vAlign w:val="bottom"/>
          </w:tcPr>
          <w:p w14:paraId="2496C4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0.292 </w:t>
            </w:r>
          </w:p>
        </w:tc>
      </w:tr>
      <w:tr w14:paraId="728B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58D6E3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Guangxi</w:t>
            </w:r>
          </w:p>
        </w:tc>
        <w:tc>
          <w:tcPr>
            <w:tcW w:w="264" w:type="pct"/>
            <w:noWrap/>
            <w:vAlign w:val="bottom"/>
          </w:tcPr>
          <w:p w14:paraId="7F7DDE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0.171 </w:t>
            </w:r>
          </w:p>
        </w:tc>
        <w:tc>
          <w:tcPr>
            <w:tcW w:w="264" w:type="pct"/>
            <w:noWrap/>
            <w:vAlign w:val="bottom"/>
          </w:tcPr>
          <w:p w14:paraId="39BBB4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0.183 </w:t>
            </w:r>
          </w:p>
        </w:tc>
        <w:tc>
          <w:tcPr>
            <w:tcW w:w="264" w:type="pct"/>
            <w:noWrap/>
            <w:vAlign w:val="bottom"/>
          </w:tcPr>
          <w:p w14:paraId="53E043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0.199 </w:t>
            </w:r>
          </w:p>
        </w:tc>
        <w:tc>
          <w:tcPr>
            <w:tcW w:w="264" w:type="pct"/>
            <w:noWrap/>
            <w:vAlign w:val="bottom"/>
          </w:tcPr>
          <w:p w14:paraId="20BA89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0.207 </w:t>
            </w:r>
          </w:p>
        </w:tc>
        <w:tc>
          <w:tcPr>
            <w:tcW w:w="264" w:type="pct"/>
            <w:noWrap/>
            <w:vAlign w:val="bottom"/>
          </w:tcPr>
          <w:p w14:paraId="0FE334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0.217 </w:t>
            </w:r>
          </w:p>
        </w:tc>
        <w:tc>
          <w:tcPr>
            <w:tcW w:w="265" w:type="pct"/>
            <w:noWrap/>
            <w:vAlign w:val="bottom"/>
          </w:tcPr>
          <w:p w14:paraId="3E053E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0.229 </w:t>
            </w:r>
          </w:p>
        </w:tc>
        <w:tc>
          <w:tcPr>
            <w:tcW w:w="265" w:type="pct"/>
            <w:noWrap/>
            <w:vAlign w:val="bottom"/>
          </w:tcPr>
          <w:p w14:paraId="39702C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0.242 </w:t>
            </w:r>
          </w:p>
        </w:tc>
        <w:tc>
          <w:tcPr>
            <w:tcW w:w="265" w:type="pct"/>
            <w:noWrap/>
            <w:vAlign w:val="bottom"/>
          </w:tcPr>
          <w:p w14:paraId="732CD6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0.252 </w:t>
            </w:r>
          </w:p>
        </w:tc>
        <w:tc>
          <w:tcPr>
            <w:tcW w:w="265" w:type="pct"/>
            <w:noWrap/>
            <w:vAlign w:val="bottom"/>
          </w:tcPr>
          <w:p w14:paraId="17243D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0.267 </w:t>
            </w:r>
          </w:p>
        </w:tc>
        <w:tc>
          <w:tcPr>
            <w:tcW w:w="265" w:type="pct"/>
            <w:noWrap/>
            <w:vAlign w:val="bottom"/>
          </w:tcPr>
          <w:p w14:paraId="4B3D1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0.282 </w:t>
            </w:r>
          </w:p>
        </w:tc>
        <w:tc>
          <w:tcPr>
            <w:tcW w:w="265" w:type="pct"/>
            <w:noWrap/>
            <w:vAlign w:val="bottom"/>
          </w:tcPr>
          <w:p w14:paraId="0FA41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0.291 </w:t>
            </w:r>
          </w:p>
        </w:tc>
        <w:tc>
          <w:tcPr>
            <w:tcW w:w="265" w:type="pct"/>
            <w:noWrap/>
            <w:vAlign w:val="bottom"/>
          </w:tcPr>
          <w:p w14:paraId="52A8A6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0.300 </w:t>
            </w:r>
          </w:p>
        </w:tc>
        <w:tc>
          <w:tcPr>
            <w:tcW w:w="265" w:type="pct"/>
            <w:noWrap/>
            <w:vAlign w:val="bottom"/>
          </w:tcPr>
          <w:p w14:paraId="160A40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0.308 </w:t>
            </w:r>
          </w:p>
        </w:tc>
        <w:tc>
          <w:tcPr>
            <w:tcW w:w="265" w:type="pct"/>
            <w:noWrap/>
            <w:vAlign w:val="bottom"/>
          </w:tcPr>
          <w:p w14:paraId="6494D4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0.320 </w:t>
            </w:r>
          </w:p>
        </w:tc>
        <w:tc>
          <w:tcPr>
            <w:tcW w:w="265" w:type="pct"/>
            <w:noWrap/>
            <w:vAlign w:val="bottom"/>
          </w:tcPr>
          <w:p w14:paraId="721D6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0.347 </w:t>
            </w:r>
          </w:p>
        </w:tc>
        <w:tc>
          <w:tcPr>
            <w:tcW w:w="265" w:type="pct"/>
            <w:noWrap/>
            <w:vAlign w:val="bottom"/>
          </w:tcPr>
          <w:p w14:paraId="40E882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0.342 </w:t>
            </w:r>
          </w:p>
        </w:tc>
      </w:tr>
      <w:tr w14:paraId="30BE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2544A4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Chongqing</w:t>
            </w:r>
          </w:p>
        </w:tc>
        <w:tc>
          <w:tcPr>
            <w:tcW w:w="264" w:type="pct"/>
            <w:noWrap/>
            <w:vAlign w:val="bottom"/>
          </w:tcPr>
          <w:p w14:paraId="1808B4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0.224 </w:t>
            </w:r>
          </w:p>
        </w:tc>
        <w:tc>
          <w:tcPr>
            <w:tcW w:w="264" w:type="pct"/>
            <w:noWrap/>
            <w:vAlign w:val="bottom"/>
          </w:tcPr>
          <w:p w14:paraId="033D1F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0.241 </w:t>
            </w:r>
          </w:p>
        </w:tc>
        <w:tc>
          <w:tcPr>
            <w:tcW w:w="264" w:type="pct"/>
            <w:noWrap/>
            <w:vAlign w:val="bottom"/>
          </w:tcPr>
          <w:p w14:paraId="59C3D7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0.254 </w:t>
            </w:r>
          </w:p>
        </w:tc>
        <w:tc>
          <w:tcPr>
            <w:tcW w:w="264" w:type="pct"/>
            <w:noWrap/>
            <w:vAlign w:val="bottom"/>
          </w:tcPr>
          <w:p w14:paraId="5C7A40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0.270 </w:t>
            </w:r>
          </w:p>
        </w:tc>
        <w:tc>
          <w:tcPr>
            <w:tcW w:w="264" w:type="pct"/>
            <w:noWrap/>
            <w:vAlign w:val="bottom"/>
          </w:tcPr>
          <w:p w14:paraId="4DCAA5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0.278 </w:t>
            </w:r>
          </w:p>
        </w:tc>
        <w:tc>
          <w:tcPr>
            <w:tcW w:w="265" w:type="pct"/>
            <w:noWrap/>
            <w:vAlign w:val="bottom"/>
          </w:tcPr>
          <w:p w14:paraId="6327BC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0.285 </w:t>
            </w:r>
          </w:p>
        </w:tc>
        <w:tc>
          <w:tcPr>
            <w:tcW w:w="265" w:type="pct"/>
            <w:noWrap/>
            <w:vAlign w:val="bottom"/>
          </w:tcPr>
          <w:p w14:paraId="7373A8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0.293 </w:t>
            </w:r>
          </w:p>
        </w:tc>
        <w:tc>
          <w:tcPr>
            <w:tcW w:w="265" w:type="pct"/>
            <w:noWrap/>
            <w:vAlign w:val="bottom"/>
          </w:tcPr>
          <w:p w14:paraId="2BFE29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0.305 </w:t>
            </w:r>
          </w:p>
        </w:tc>
        <w:tc>
          <w:tcPr>
            <w:tcW w:w="265" w:type="pct"/>
            <w:noWrap/>
            <w:vAlign w:val="bottom"/>
          </w:tcPr>
          <w:p w14:paraId="406652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0.322 </w:t>
            </w:r>
          </w:p>
        </w:tc>
        <w:tc>
          <w:tcPr>
            <w:tcW w:w="265" w:type="pct"/>
            <w:noWrap/>
            <w:vAlign w:val="bottom"/>
          </w:tcPr>
          <w:p w14:paraId="728530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0.337 </w:t>
            </w:r>
          </w:p>
        </w:tc>
        <w:tc>
          <w:tcPr>
            <w:tcW w:w="265" w:type="pct"/>
            <w:noWrap/>
            <w:vAlign w:val="bottom"/>
          </w:tcPr>
          <w:p w14:paraId="1DC866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0.347 </w:t>
            </w:r>
          </w:p>
        </w:tc>
        <w:tc>
          <w:tcPr>
            <w:tcW w:w="265" w:type="pct"/>
            <w:noWrap/>
            <w:vAlign w:val="bottom"/>
          </w:tcPr>
          <w:p w14:paraId="4ECAB6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0.360 </w:t>
            </w:r>
          </w:p>
        </w:tc>
        <w:tc>
          <w:tcPr>
            <w:tcW w:w="265" w:type="pct"/>
            <w:noWrap/>
            <w:vAlign w:val="bottom"/>
          </w:tcPr>
          <w:p w14:paraId="694BB7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0.373 </w:t>
            </w:r>
          </w:p>
        </w:tc>
        <w:tc>
          <w:tcPr>
            <w:tcW w:w="265" w:type="pct"/>
            <w:noWrap/>
            <w:vAlign w:val="bottom"/>
          </w:tcPr>
          <w:p w14:paraId="08A2DA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0.391 </w:t>
            </w:r>
          </w:p>
        </w:tc>
        <w:tc>
          <w:tcPr>
            <w:tcW w:w="265" w:type="pct"/>
            <w:noWrap/>
            <w:vAlign w:val="bottom"/>
          </w:tcPr>
          <w:p w14:paraId="15219F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0.405 </w:t>
            </w:r>
          </w:p>
        </w:tc>
        <w:tc>
          <w:tcPr>
            <w:tcW w:w="265" w:type="pct"/>
            <w:noWrap/>
            <w:vAlign w:val="bottom"/>
          </w:tcPr>
          <w:p w14:paraId="3DD75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0.418 </w:t>
            </w:r>
          </w:p>
        </w:tc>
      </w:tr>
      <w:tr w14:paraId="2069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60BDB6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Sichuan</w:t>
            </w:r>
          </w:p>
        </w:tc>
        <w:tc>
          <w:tcPr>
            <w:tcW w:w="264" w:type="pct"/>
            <w:noWrap/>
            <w:vAlign w:val="bottom"/>
          </w:tcPr>
          <w:p w14:paraId="1E26A9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0.229 </w:t>
            </w:r>
          </w:p>
        </w:tc>
        <w:tc>
          <w:tcPr>
            <w:tcW w:w="264" w:type="pct"/>
            <w:noWrap/>
            <w:vAlign w:val="bottom"/>
          </w:tcPr>
          <w:p w14:paraId="470BC8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0.252 </w:t>
            </w:r>
          </w:p>
        </w:tc>
        <w:tc>
          <w:tcPr>
            <w:tcW w:w="264" w:type="pct"/>
            <w:noWrap/>
            <w:vAlign w:val="bottom"/>
          </w:tcPr>
          <w:p w14:paraId="450970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0.271 </w:t>
            </w:r>
          </w:p>
        </w:tc>
        <w:tc>
          <w:tcPr>
            <w:tcW w:w="264" w:type="pct"/>
            <w:noWrap/>
            <w:vAlign w:val="bottom"/>
          </w:tcPr>
          <w:p w14:paraId="1CF462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0.284 </w:t>
            </w:r>
          </w:p>
        </w:tc>
        <w:tc>
          <w:tcPr>
            <w:tcW w:w="264" w:type="pct"/>
            <w:noWrap/>
            <w:vAlign w:val="bottom"/>
          </w:tcPr>
          <w:p w14:paraId="68FAD8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0.294 </w:t>
            </w:r>
          </w:p>
        </w:tc>
        <w:tc>
          <w:tcPr>
            <w:tcW w:w="265" w:type="pct"/>
            <w:noWrap/>
            <w:vAlign w:val="bottom"/>
          </w:tcPr>
          <w:p w14:paraId="07BD8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0.310 </w:t>
            </w:r>
          </w:p>
        </w:tc>
        <w:tc>
          <w:tcPr>
            <w:tcW w:w="265" w:type="pct"/>
            <w:noWrap/>
            <w:vAlign w:val="bottom"/>
          </w:tcPr>
          <w:p w14:paraId="220012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0.331 </w:t>
            </w:r>
          </w:p>
        </w:tc>
        <w:tc>
          <w:tcPr>
            <w:tcW w:w="265" w:type="pct"/>
            <w:noWrap/>
            <w:vAlign w:val="bottom"/>
          </w:tcPr>
          <w:p w14:paraId="4E3D75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0.344 </w:t>
            </w:r>
          </w:p>
        </w:tc>
        <w:tc>
          <w:tcPr>
            <w:tcW w:w="265" w:type="pct"/>
            <w:noWrap/>
            <w:vAlign w:val="bottom"/>
          </w:tcPr>
          <w:p w14:paraId="1858CE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0.372 </w:t>
            </w:r>
          </w:p>
        </w:tc>
        <w:tc>
          <w:tcPr>
            <w:tcW w:w="265" w:type="pct"/>
            <w:noWrap/>
            <w:vAlign w:val="bottom"/>
          </w:tcPr>
          <w:p w14:paraId="46C966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0.401 </w:t>
            </w:r>
          </w:p>
        </w:tc>
        <w:tc>
          <w:tcPr>
            <w:tcW w:w="265" w:type="pct"/>
            <w:noWrap/>
            <w:vAlign w:val="bottom"/>
          </w:tcPr>
          <w:p w14:paraId="1D1806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0.422 </w:t>
            </w:r>
          </w:p>
        </w:tc>
        <w:tc>
          <w:tcPr>
            <w:tcW w:w="265" w:type="pct"/>
            <w:noWrap/>
            <w:vAlign w:val="bottom"/>
          </w:tcPr>
          <w:p w14:paraId="2A0C9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0.439 </w:t>
            </w:r>
          </w:p>
        </w:tc>
        <w:tc>
          <w:tcPr>
            <w:tcW w:w="265" w:type="pct"/>
            <w:noWrap/>
            <w:vAlign w:val="bottom"/>
          </w:tcPr>
          <w:p w14:paraId="236215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0.453 </w:t>
            </w:r>
          </w:p>
        </w:tc>
        <w:tc>
          <w:tcPr>
            <w:tcW w:w="265" w:type="pct"/>
            <w:noWrap/>
            <w:vAlign w:val="bottom"/>
          </w:tcPr>
          <w:p w14:paraId="4B6481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0.477 </w:t>
            </w:r>
          </w:p>
        </w:tc>
        <w:tc>
          <w:tcPr>
            <w:tcW w:w="265" w:type="pct"/>
            <w:noWrap/>
            <w:vAlign w:val="bottom"/>
          </w:tcPr>
          <w:p w14:paraId="1A6925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0.501 </w:t>
            </w:r>
          </w:p>
        </w:tc>
        <w:tc>
          <w:tcPr>
            <w:tcW w:w="265" w:type="pct"/>
            <w:noWrap/>
            <w:vAlign w:val="bottom"/>
          </w:tcPr>
          <w:p w14:paraId="232F7F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0.521 </w:t>
            </w:r>
          </w:p>
        </w:tc>
      </w:tr>
      <w:tr w14:paraId="1040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3B2159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Guizhou</w:t>
            </w:r>
          </w:p>
        </w:tc>
        <w:tc>
          <w:tcPr>
            <w:tcW w:w="264" w:type="pct"/>
            <w:noWrap/>
            <w:vAlign w:val="bottom"/>
          </w:tcPr>
          <w:p w14:paraId="38B655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0.181 </w:t>
            </w:r>
          </w:p>
        </w:tc>
        <w:tc>
          <w:tcPr>
            <w:tcW w:w="264" w:type="pct"/>
            <w:noWrap/>
            <w:vAlign w:val="bottom"/>
          </w:tcPr>
          <w:p w14:paraId="30BD1B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0.186 </w:t>
            </w:r>
          </w:p>
        </w:tc>
        <w:tc>
          <w:tcPr>
            <w:tcW w:w="264" w:type="pct"/>
            <w:noWrap/>
            <w:vAlign w:val="bottom"/>
          </w:tcPr>
          <w:p w14:paraId="24C4EF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0.199 </w:t>
            </w:r>
          </w:p>
        </w:tc>
        <w:tc>
          <w:tcPr>
            <w:tcW w:w="264" w:type="pct"/>
            <w:noWrap/>
            <w:vAlign w:val="bottom"/>
          </w:tcPr>
          <w:p w14:paraId="1AAE0A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0.209 </w:t>
            </w:r>
          </w:p>
        </w:tc>
        <w:tc>
          <w:tcPr>
            <w:tcW w:w="264" w:type="pct"/>
            <w:noWrap/>
            <w:vAlign w:val="bottom"/>
          </w:tcPr>
          <w:p w14:paraId="01B004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0.214 </w:t>
            </w:r>
          </w:p>
        </w:tc>
        <w:tc>
          <w:tcPr>
            <w:tcW w:w="265" w:type="pct"/>
            <w:noWrap/>
            <w:vAlign w:val="bottom"/>
          </w:tcPr>
          <w:p w14:paraId="0D8AAE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0.220 </w:t>
            </w:r>
          </w:p>
        </w:tc>
        <w:tc>
          <w:tcPr>
            <w:tcW w:w="265" w:type="pct"/>
            <w:noWrap/>
            <w:vAlign w:val="bottom"/>
          </w:tcPr>
          <w:p w14:paraId="1216C1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0.228 </w:t>
            </w:r>
          </w:p>
        </w:tc>
        <w:tc>
          <w:tcPr>
            <w:tcW w:w="265" w:type="pct"/>
            <w:noWrap/>
            <w:vAlign w:val="bottom"/>
          </w:tcPr>
          <w:p w14:paraId="57F930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0.237 </w:t>
            </w:r>
          </w:p>
        </w:tc>
        <w:tc>
          <w:tcPr>
            <w:tcW w:w="265" w:type="pct"/>
            <w:noWrap/>
            <w:vAlign w:val="bottom"/>
          </w:tcPr>
          <w:p w14:paraId="5D48B8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0.247 </w:t>
            </w:r>
          </w:p>
        </w:tc>
        <w:tc>
          <w:tcPr>
            <w:tcW w:w="265" w:type="pct"/>
            <w:noWrap/>
            <w:vAlign w:val="bottom"/>
          </w:tcPr>
          <w:p w14:paraId="3B94F0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0.260 </w:t>
            </w:r>
          </w:p>
        </w:tc>
        <w:tc>
          <w:tcPr>
            <w:tcW w:w="265" w:type="pct"/>
            <w:noWrap/>
            <w:vAlign w:val="bottom"/>
          </w:tcPr>
          <w:p w14:paraId="41DCCC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0.272 </w:t>
            </w:r>
          </w:p>
        </w:tc>
        <w:tc>
          <w:tcPr>
            <w:tcW w:w="265" w:type="pct"/>
            <w:noWrap/>
            <w:vAlign w:val="bottom"/>
          </w:tcPr>
          <w:p w14:paraId="59D179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0.284 </w:t>
            </w:r>
          </w:p>
        </w:tc>
        <w:tc>
          <w:tcPr>
            <w:tcW w:w="265" w:type="pct"/>
            <w:noWrap/>
            <w:vAlign w:val="bottom"/>
          </w:tcPr>
          <w:p w14:paraId="386D7E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0.297 </w:t>
            </w:r>
          </w:p>
        </w:tc>
        <w:tc>
          <w:tcPr>
            <w:tcW w:w="265" w:type="pct"/>
            <w:noWrap/>
            <w:vAlign w:val="bottom"/>
          </w:tcPr>
          <w:p w14:paraId="6CFFE7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0.303 </w:t>
            </w:r>
          </w:p>
        </w:tc>
        <w:tc>
          <w:tcPr>
            <w:tcW w:w="265" w:type="pct"/>
            <w:noWrap/>
            <w:vAlign w:val="bottom"/>
          </w:tcPr>
          <w:p w14:paraId="11EFFE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0.307 </w:t>
            </w:r>
          </w:p>
        </w:tc>
        <w:tc>
          <w:tcPr>
            <w:tcW w:w="265" w:type="pct"/>
            <w:noWrap/>
            <w:vAlign w:val="bottom"/>
          </w:tcPr>
          <w:p w14:paraId="5D9897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0.316 </w:t>
            </w:r>
          </w:p>
        </w:tc>
      </w:tr>
      <w:tr w14:paraId="5129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77315D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Yunnan</w:t>
            </w:r>
          </w:p>
        </w:tc>
        <w:tc>
          <w:tcPr>
            <w:tcW w:w="264" w:type="pct"/>
            <w:noWrap/>
            <w:vAlign w:val="bottom"/>
          </w:tcPr>
          <w:p w14:paraId="0CD6C6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0.191 </w:t>
            </w:r>
          </w:p>
        </w:tc>
        <w:tc>
          <w:tcPr>
            <w:tcW w:w="264" w:type="pct"/>
            <w:noWrap/>
            <w:vAlign w:val="bottom"/>
          </w:tcPr>
          <w:p w14:paraId="678D46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0.207 </w:t>
            </w:r>
          </w:p>
        </w:tc>
        <w:tc>
          <w:tcPr>
            <w:tcW w:w="264" w:type="pct"/>
            <w:noWrap/>
            <w:vAlign w:val="bottom"/>
          </w:tcPr>
          <w:p w14:paraId="0CED58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0.219 </w:t>
            </w:r>
          </w:p>
        </w:tc>
        <w:tc>
          <w:tcPr>
            <w:tcW w:w="264" w:type="pct"/>
            <w:noWrap/>
            <w:vAlign w:val="bottom"/>
          </w:tcPr>
          <w:p w14:paraId="2A195A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0.225 </w:t>
            </w:r>
          </w:p>
        </w:tc>
        <w:tc>
          <w:tcPr>
            <w:tcW w:w="264" w:type="pct"/>
            <w:noWrap/>
            <w:vAlign w:val="bottom"/>
          </w:tcPr>
          <w:p w14:paraId="12BC6B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0.226 </w:t>
            </w:r>
          </w:p>
        </w:tc>
        <w:tc>
          <w:tcPr>
            <w:tcW w:w="265" w:type="pct"/>
            <w:noWrap/>
            <w:vAlign w:val="bottom"/>
          </w:tcPr>
          <w:p w14:paraId="6E190B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0.234 </w:t>
            </w:r>
          </w:p>
        </w:tc>
        <w:tc>
          <w:tcPr>
            <w:tcW w:w="265" w:type="pct"/>
            <w:noWrap/>
            <w:vAlign w:val="bottom"/>
          </w:tcPr>
          <w:p w14:paraId="2A6F5A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0.244 </w:t>
            </w:r>
          </w:p>
        </w:tc>
        <w:tc>
          <w:tcPr>
            <w:tcW w:w="265" w:type="pct"/>
            <w:noWrap/>
            <w:vAlign w:val="bottom"/>
          </w:tcPr>
          <w:p w14:paraId="4D943F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0.253 </w:t>
            </w:r>
          </w:p>
        </w:tc>
        <w:tc>
          <w:tcPr>
            <w:tcW w:w="265" w:type="pct"/>
            <w:noWrap/>
            <w:vAlign w:val="bottom"/>
          </w:tcPr>
          <w:p w14:paraId="732C1C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0.268 </w:t>
            </w:r>
          </w:p>
        </w:tc>
        <w:tc>
          <w:tcPr>
            <w:tcW w:w="265" w:type="pct"/>
            <w:noWrap/>
            <w:vAlign w:val="bottom"/>
          </w:tcPr>
          <w:p w14:paraId="6840BC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0.280 </w:t>
            </w:r>
          </w:p>
        </w:tc>
        <w:tc>
          <w:tcPr>
            <w:tcW w:w="265" w:type="pct"/>
            <w:noWrap/>
            <w:vAlign w:val="bottom"/>
          </w:tcPr>
          <w:p w14:paraId="74C408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0.290 </w:t>
            </w:r>
          </w:p>
        </w:tc>
        <w:tc>
          <w:tcPr>
            <w:tcW w:w="265" w:type="pct"/>
            <w:noWrap/>
            <w:vAlign w:val="bottom"/>
          </w:tcPr>
          <w:p w14:paraId="17CB05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0.298 </w:t>
            </w:r>
          </w:p>
        </w:tc>
        <w:tc>
          <w:tcPr>
            <w:tcW w:w="265" w:type="pct"/>
            <w:noWrap/>
            <w:vAlign w:val="bottom"/>
          </w:tcPr>
          <w:p w14:paraId="5CFCCB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0.305 </w:t>
            </w:r>
          </w:p>
        </w:tc>
        <w:tc>
          <w:tcPr>
            <w:tcW w:w="265" w:type="pct"/>
            <w:noWrap/>
            <w:vAlign w:val="bottom"/>
          </w:tcPr>
          <w:p w14:paraId="291BC0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0.312 </w:t>
            </w:r>
          </w:p>
        </w:tc>
        <w:tc>
          <w:tcPr>
            <w:tcW w:w="265" w:type="pct"/>
            <w:noWrap/>
            <w:vAlign w:val="bottom"/>
          </w:tcPr>
          <w:p w14:paraId="5C13DF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0.319 </w:t>
            </w:r>
          </w:p>
        </w:tc>
        <w:tc>
          <w:tcPr>
            <w:tcW w:w="265" w:type="pct"/>
            <w:noWrap/>
            <w:vAlign w:val="bottom"/>
          </w:tcPr>
          <w:p w14:paraId="270A0F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0.329 </w:t>
            </w:r>
          </w:p>
        </w:tc>
      </w:tr>
      <w:tr w14:paraId="336B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3ABB3F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Shaanxi</w:t>
            </w:r>
          </w:p>
        </w:tc>
        <w:tc>
          <w:tcPr>
            <w:tcW w:w="264" w:type="pct"/>
            <w:noWrap/>
            <w:vAlign w:val="bottom"/>
          </w:tcPr>
          <w:p w14:paraId="35ADE0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0.216 </w:t>
            </w:r>
          </w:p>
        </w:tc>
        <w:tc>
          <w:tcPr>
            <w:tcW w:w="264" w:type="pct"/>
            <w:noWrap/>
            <w:vAlign w:val="bottom"/>
          </w:tcPr>
          <w:p w14:paraId="5A172F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0.226 </w:t>
            </w:r>
          </w:p>
        </w:tc>
        <w:tc>
          <w:tcPr>
            <w:tcW w:w="264" w:type="pct"/>
            <w:noWrap/>
            <w:vAlign w:val="bottom"/>
          </w:tcPr>
          <w:p w14:paraId="34C874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0.241 </w:t>
            </w:r>
          </w:p>
        </w:tc>
        <w:tc>
          <w:tcPr>
            <w:tcW w:w="264" w:type="pct"/>
            <w:noWrap/>
            <w:vAlign w:val="bottom"/>
          </w:tcPr>
          <w:p w14:paraId="0A391C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0.254 </w:t>
            </w:r>
          </w:p>
        </w:tc>
        <w:tc>
          <w:tcPr>
            <w:tcW w:w="264" w:type="pct"/>
            <w:noWrap/>
            <w:vAlign w:val="bottom"/>
          </w:tcPr>
          <w:p w14:paraId="66D4DB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0.259 </w:t>
            </w:r>
          </w:p>
        </w:tc>
        <w:tc>
          <w:tcPr>
            <w:tcW w:w="265" w:type="pct"/>
            <w:noWrap/>
            <w:vAlign w:val="bottom"/>
          </w:tcPr>
          <w:p w14:paraId="76945E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0.270 </w:t>
            </w:r>
          </w:p>
        </w:tc>
        <w:tc>
          <w:tcPr>
            <w:tcW w:w="265" w:type="pct"/>
            <w:noWrap/>
            <w:vAlign w:val="bottom"/>
          </w:tcPr>
          <w:p w14:paraId="333B9C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0.291 </w:t>
            </w:r>
          </w:p>
        </w:tc>
        <w:tc>
          <w:tcPr>
            <w:tcW w:w="265" w:type="pct"/>
            <w:noWrap/>
            <w:vAlign w:val="bottom"/>
          </w:tcPr>
          <w:p w14:paraId="68A38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0.306 </w:t>
            </w:r>
          </w:p>
        </w:tc>
        <w:tc>
          <w:tcPr>
            <w:tcW w:w="265" w:type="pct"/>
            <w:noWrap/>
            <w:vAlign w:val="bottom"/>
          </w:tcPr>
          <w:p w14:paraId="4608B3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0.327 </w:t>
            </w:r>
          </w:p>
        </w:tc>
        <w:tc>
          <w:tcPr>
            <w:tcW w:w="265" w:type="pct"/>
            <w:noWrap/>
            <w:vAlign w:val="bottom"/>
          </w:tcPr>
          <w:p w14:paraId="101A88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0.341 </w:t>
            </w:r>
          </w:p>
        </w:tc>
        <w:tc>
          <w:tcPr>
            <w:tcW w:w="265" w:type="pct"/>
            <w:noWrap/>
            <w:vAlign w:val="bottom"/>
          </w:tcPr>
          <w:p w14:paraId="033857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0.355 </w:t>
            </w:r>
          </w:p>
        </w:tc>
        <w:tc>
          <w:tcPr>
            <w:tcW w:w="265" w:type="pct"/>
            <w:noWrap/>
            <w:vAlign w:val="bottom"/>
          </w:tcPr>
          <w:p w14:paraId="1AD25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0.369 </w:t>
            </w:r>
          </w:p>
        </w:tc>
        <w:tc>
          <w:tcPr>
            <w:tcW w:w="265" w:type="pct"/>
            <w:noWrap/>
            <w:vAlign w:val="bottom"/>
          </w:tcPr>
          <w:p w14:paraId="1460CF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0.387 </w:t>
            </w:r>
          </w:p>
        </w:tc>
        <w:tc>
          <w:tcPr>
            <w:tcW w:w="265" w:type="pct"/>
            <w:noWrap/>
            <w:vAlign w:val="bottom"/>
          </w:tcPr>
          <w:p w14:paraId="5458B7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0.406 </w:t>
            </w:r>
          </w:p>
        </w:tc>
        <w:tc>
          <w:tcPr>
            <w:tcW w:w="265" w:type="pct"/>
            <w:noWrap/>
            <w:vAlign w:val="bottom"/>
          </w:tcPr>
          <w:p w14:paraId="1010B5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0.425 </w:t>
            </w:r>
          </w:p>
        </w:tc>
        <w:tc>
          <w:tcPr>
            <w:tcW w:w="265" w:type="pct"/>
            <w:noWrap/>
            <w:vAlign w:val="bottom"/>
          </w:tcPr>
          <w:p w14:paraId="57B9C1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0.443 </w:t>
            </w:r>
          </w:p>
        </w:tc>
      </w:tr>
      <w:tr w14:paraId="2426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763436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Gansu</w:t>
            </w:r>
          </w:p>
        </w:tc>
        <w:tc>
          <w:tcPr>
            <w:tcW w:w="264" w:type="pct"/>
            <w:noWrap/>
            <w:vAlign w:val="bottom"/>
          </w:tcPr>
          <w:p w14:paraId="33FD60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0.172 </w:t>
            </w:r>
          </w:p>
        </w:tc>
        <w:tc>
          <w:tcPr>
            <w:tcW w:w="264" w:type="pct"/>
            <w:noWrap/>
            <w:vAlign w:val="bottom"/>
          </w:tcPr>
          <w:p w14:paraId="2B7190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0.181 </w:t>
            </w:r>
          </w:p>
        </w:tc>
        <w:tc>
          <w:tcPr>
            <w:tcW w:w="264" w:type="pct"/>
            <w:noWrap/>
            <w:vAlign w:val="bottom"/>
          </w:tcPr>
          <w:p w14:paraId="404FA2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0.195 </w:t>
            </w:r>
          </w:p>
        </w:tc>
        <w:tc>
          <w:tcPr>
            <w:tcW w:w="264" w:type="pct"/>
            <w:noWrap/>
            <w:vAlign w:val="bottom"/>
          </w:tcPr>
          <w:p w14:paraId="266F61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0.202 </w:t>
            </w:r>
          </w:p>
        </w:tc>
        <w:tc>
          <w:tcPr>
            <w:tcW w:w="264" w:type="pct"/>
            <w:noWrap/>
            <w:vAlign w:val="bottom"/>
          </w:tcPr>
          <w:p w14:paraId="5D37EA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0.206 </w:t>
            </w:r>
          </w:p>
        </w:tc>
        <w:tc>
          <w:tcPr>
            <w:tcW w:w="265" w:type="pct"/>
            <w:noWrap/>
            <w:vAlign w:val="bottom"/>
          </w:tcPr>
          <w:p w14:paraId="1C48B4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0.217 </w:t>
            </w:r>
          </w:p>
        </w:tc>
        <w:tc>
          <w:tcPr>
            <w:tcW w:w="265" w:type="pct"/>
            <w:noWrap/>
            <w:vAlign w:val="bottom"/>
          </w:tcPr>
          <w:p w14:paraId="53A1A0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0.228 </w:t>
            </w:r>
          </w:p>
        </w:tc>
        <w:tc>
          <w:tcPr>
            <w:tcW w:w="265" w:type="pct"/>
            <w:noWrap/>
            <w:vAlign w:val="bottom"/>
          </w:tcPr>
          <w:p w14:paraId="028881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0.240 </w:t>
            </w:r>
          </w:p>
        </w:tc>
        <w:tc>
          <w:tcPr>
            <w:tcW w:w="265" w:type="pct"/>
            <w:noWrap/>
            <w:vAlign w:val="bottom"/>
          </w:tcPr>
          <w:p w14:paraId="40864C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0.256 </w:t>
            </w:r>
          </w:p>
        </w:tc>
        <w:tc>
          <w:tcPr>
            <w:tcW w:w="265" w:type="pct"/>
            <w:noWrap/>
            <w:vAlign w:val="bottom"/>
          </w:tcPr>
          <w:p w14:paraId="114028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0.269 </w:t>
            </w:r>
          </w:p>
        </w:tc>
        <w:tc>
          <w:tcPr>
            <w:tcW w:w="265" w:type="pct"/>
            <w:noWrap/>
            <w:vAlign w:val="bottom"/>
          </w:tcPr>
          <w:p w14:paraId="07A9A4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0.278 </w:t>
            </w:r>
          </w:p>
        </w:tc>
        <w:tc>
          <w:tcPr>
            <w:tcW w:w="265" w:type="pct"/>
            <w:noWrap/>
            <w:vAlign w:val="bottom"/>
          </w:tcPr>
          <w:p w14:paraId="51A387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0.282 </w:t>
            </w:r>
          </w:p>
        </w:tc>
        <w:tc>
          <w:tcPr>
            <w:tcW w:w="265" w:type="pct"/>
            <w:noWrap/>
            <w:vAlign w:val="bottom"/>
          </w:tcPr>
          <w:p w14:paraId="24100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0.290 </w:t>
            </w:r>
          </w:p>
        </w:tc>
        <w:tc>
          <w:tcPr>
            <w:tcW w:w="265" w:type="pct"/>
            <w:noWrap/>
            <w:vAlign w:val="bottom"/>
          </w:tcPr>
          <w:p w14:paraId="592657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0.300 </w:t>
            </w:r>
          </w:p>
        </w:tc>
        <w:tc>
          <w:tcPr>
            <w:tcW w:w="265" w:type="pct"/>
            <w:noWrap/>
            <w:vAlign w:val="bottom"/>
          </w:tcPr>
          <w:p w14:paraId="73CDAF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0.304 </w:t>
            </w:r>
          </w:p>
        </w:tc>
        <w:tc>
          <w:tcPr>
            <w:tcW w:w="265" w:type="pct"/>
            <w:noWrap/>
            <w:vAlign w:val="bottom"/>
          </w:tcPr>
          <w:p w14:paraId="5CA273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0.307 </w:t>
            </w:r>
          </w:p>
        </w:tc>
      </w:tr>
      <w:tr w14:paraId="4D78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6C2613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Qinghai</w:t>
            </w:r>
          </w:p>
        </w:tc>
        <w:tc>
          <w:tcPr>
            <w:tcW w:w="264" w:type="pct"/>
            <w:noWrap/>
            <w:vAlign w:val="bottom"/>
          </w:tcPr>
          <w:p w14:paraId="33E283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0.153 </w:t>
            </w:r>
          </w:p>
        </w:tc>
        <w:tc>
          <w:tcPr>
            <w:tcW w:w="264" w:type="pct"/>
            <w:noWrap/>
            <w:vAlign w:val="bottom"/>
          </w:tcPr>
          <w:p w14:paraId="39C32A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0.155 </w:t>
            </w:r>
          </w:p>
        </w:tc>
        <w:tc>
          <w:tcPr>
            <w:tcW w:w="264" w:type="pct"/>
            <w:noWrap/>
            <w:vAlign w:val="bottom"/>
          </w:tcPr>
          <w:p w14:paraId="4F53B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0.167 </w:t>
            </w:r>
          </w:p>
        </w:tc>
        <w:tc>
          <w:tcPr>
            <w:tcW w:w="264" w:type="pct"/>
            <w:noWrap/>
            <w:vAlign w:val="bottom"/>
          </w:tcPr>
          <w:p w14:paraId="717785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0.179 </w:t>
            </w:r>
          </w:p>
        </w:tc>
        <w:tc>
          <w:tcPr>
            <w:tcW w:w="264" w:type="pct"/>
            <w:noWrap/>
            <w:vAlign w:val="bottom"/>
          </w:tcPr>
          <w:p w14:paraId="41FCBC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0.177 </w:t>
            </w:r>
          </w:p>
        </w:tc>
        <w:tc>
          <w:tcPr>
            <w:tcW w:w="265" w:type="pct"/>
            <w:noWrap/>
            <w:vAlign w:val="bottom"/>
          </w:tcPr>
          <w:p w14:paraId="76B442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0.185 </w:t>
            </w:r>
          </w:p>
        </w:tc>
        <w:tc>
          <w:tcPr>
            <w:tcW w:w="265" w:type="pct"/>
            <w:noWrap/>
            <w:vAlign w:val="bottom"/>
          </w:tcPr>
          <w:p w14:paraId="00F078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0.189 </w:t>
            </w:r>
          </w:p>
        </w:tc>
        <w:tc>
          <w:tcPr>
            <w:tcW w:w="265" w:type="pct"/>
            <w:noWrap/>
            <w:vAlign w:val="bottom"/>
          </w:tcPr>
          <w:p w14:paraId="6718D6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0.195 </w:t>
            </w:r>
          </w:p>
        </w:tc>
        <w:tc>
          <w:tcPr>
            <w:tcW w:w="265" w:type="pct"/>
            <w:noWrap/>
            <w:vAlign w:val="bottom"/>
          </w:tcPr>
          <w:p w14:paraId="021561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0.207 </w:t>
            </w:r>
          </w:p>
        </w:tc>
        <w:tc>
          <w:tcPr>
            <w:tcW w:w="265" w:type="pct"/>
            <w:noWrap/>
            <w:vAlign w:val="bottom"/>
          </w:tcPr>
          <w:p w14:paraId="7EC717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0.210 </w:t>
            </w:r>
          </w:p>
        </w:tc>
        <w:tc>
          <w:tcPr>
            <w:tcW w:w="265" w:type="pct"/>
            <w:noWrap/>
            <w:vAlign w:val="bottom"/>
          </w:tcPr>
          <w:p w14:paraId="1512DD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0.221 </w:t>
            </w:r>
          </w:p>
        </w:tc>
        <w:tc>
          <w:tcPr>
            <w:tcW w:w="265" w:type="pct"/>
            <w:noWrap/>
            <w:vAlign w:val="bottom"/>
          </w:tcPr>
          <w:p w14:paraId="045AB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0.220 </w:t>
            </w:r>
          </w:p>
        </w:tc>
        <w:tc>
          <w:tcPr>
            <w:tcW w:w="265" w:type="pct"/>
            <w:noWrap/>
            <w:vAlign w:val="bottom"/>
          </w:tcPr>
          <w:p w14:paraId="32A6D9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0.219 </w:t>
            </w:r>
          </w:p>
        </w:tc>
        <w:tc>
          <w:tcPr>
            <w:tcW w:w="265" w:type="pct"/>
            <w:noWrap/>
            <w:vAlign w:val="bottom"/>
          </w:tcPr>
          <w:p w14:paraId="181A69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0.221 </w:t>
            </w:r>
          </w:p>
        </w:tc>
        <w:tc>
          <w:tcPr>
            <w:tcW w:w="265" w:type="pct"/>
            <w:noWrap/>
            <w:vAlign w:val="bottom"/>
          </w:tcPr>
          <w:p w14:paraId="692576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0.221 </w:t>
            </w:r>
          </w:p>
        </w:tc>
        <w:tc>
          <w:tcPr>
            <w:tcW w:w="265" w:type="pct"/>
            <w:noWrap/>
            <w:vAlign w:val="bottom"/>
          </w:tcPr>
          <w:p w14:paraId="7B62C1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0.220 </w:t>
            </w:r>
          </w:p>
        </w:tc>
      </w:tr>
      <w:tr w14:paraId="5C60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2603B9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Ningxia</w:t>
            </w:r>
          </w:p>
        </w:tc>
        <w:tc>
          <w:tcPr>
            <w:tcW w:w="264" w:type="pct"/>
            <w:noWrap/>
            <w:vAlign w:val="bottom"/>
          </w:tcPr>
          <w:p w14:paraId="638A7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0.184 </w:t>
            </w:r>
          </w:p>
        </w:tc>
        <w:tc>
          <w:tcPr>
            <w:tcW w:w="264" w:type="pct"/>
            <w:noWrap/>
            <w:vAlign w:val="bottom"/>
          </w:tcPr>
          <w:p w14:paraId="5CEA75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0.185 </w:t>
            </w:r>
          </w:p>
        </w:tc>
        <w:tc>
          <w:tcPr>
            <w:tcW w:w="264" w:type="pct"/>
            <w:noWrap/>
            <w:vAlign w:val="bottom"/>
          </w:tcPr>
          <w:p w14:paraId="5CAADA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0.192 </w:t>
            </w:r>
          </w:p>
        </w:tc>
        <w:tc>
          <w:tcPr>
            <w:tcW w:w="264" w:type="pct"/>
            <w:noWrap/>
            <w:vAlign w:val="bottom"/>
          </w:tcPr>
          <w:p w14:paraId="7269DB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0.198 </w:t>
            </w:r>
          </w:p>
        </w:tc>
        <w:tc>
          <w:tcPr>
            <w:tcW w:w="264" w:type="pct"/>
            <w:noWrap/>
            <w:vAlign w:val="bottom"/>
          </w:tcPr>
          <w:p w14:paraId="0D7A6B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0.198 </w:t>
            </w:r>
          </w:p>
        </w:tc>
        <w:tc>
          <w:tcPr>
            <w:tcW w:w="265" w:type="pct"/>
            <w:noWrap/>
            <w:vAlign w:val="bottom"/>
          </w:tcPr>
          <w:p w14:paraId="047CD4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0.205 </w:t>
            </w:r>
          </w:p>
        </w:tc>
        <w:tc>
          <w:tcPr>
            <w:tcW w:w="265" w:type="pct"/>
            <w:noWrap/>
            <w:vAlign w:val="bottom"/>
          </w:tcPr>
          <w:p w14:paraId="6087E7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0.212 </w:t>
            </w:r>
          </w:p>
        </w:tc>
        <w:tc>
          <w:tcPr>
            <w:tcW w:w="265" w:type="pct"/>
            <w:noWrap/>
            <w:vAlign w:val="bottom"/>
          </w:tcPr>
          <w:p w14:paraId="10CC54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0.219 </w:t>
            </w:r>
          </w:p>
        </w:tc>
        <w:tc>
          <w:tcPr>
            <w:tcW w:w="265" w:type="pct"/>
            <w:noWrap/>
            <w:vAlign w:val="bottom"/>
          </w:tcPr>
          <w:p w14:paraId="11A8C0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0.227 </w:t>
            </w:r>
          </w:p>
        </w:tc>
        <w:tc>
          <w:tcPr>
            <w:tcW w:w="265" w:type="pct"/>
            <w:noWrap/>
            <w:vAlign w:val="bottom"/>
          </w:tcPr>
          <w:p w14:paraId="3FA213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0.236 </w:t>
            </w:r>
          </w:p>
        </w:tc>
        <w:tc>
          <w:tcPr>
            <w:tcW w:w="265" w:type="pct"/>
            <w:noWrap/>
            <w:vAlign w:val="bottom"/>
          </w:tcPr>
          <w:p w14:paraId="11F5E0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0.244 </w:t>
            </w:r>
          </w:p>
        </w:tc>
        <w:tc>
          <w:tcPr>
            <w:tcW w:w="265" w:type="pct"/>
            <w:noWrap/>
            <w:vAlign w:val="bottom"/>
          </w:tcPr>
          <w:p w14:paraId="2A2330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0.249 </w:t>
            </w:r>
          </w:p>
        </w:tc>
        <w:tc>
          <w:tcPr>
            <w:tcW w:w="265" w:type="pct"/>
            <w:noWrap/>
            <w:vAlign w:val="bottom"/>
          </w:tcPr>
          <w:p w14:paraId="12D19C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0.253 </w:t>
            </w:r>
          </w:p>
        </w:tc>
        <w:tc>
          <w:tcPr>
            <w:tcW w:w="265" w:type="pct"/>
            <w:noWrap/>
            <w:vAlign w:val="bottom"/>
          </w:tcPr>
          <w:p w14:paraId="380CD3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0.257 </w:t>
            </w:r>
          </w:p>
        </w:tc>
        <w:tc>
          <w:tcPr>
            <w:tcW w:w="265" w:type="pct"/>
            <w:noWrap/>
            <w:vAlign w:val="bottom"/>
          </w:tcPr>
          <w:p w14:paraId="4C057B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0.259 </w:t>
            </w:r>
          </w:p>
        </w:tc>
        <w:tc>
          <w:tcPr>
            <w:tcW w:w="265" w:type="pct"/>
            <w:noWrap/>
            <w:vAlign w:val="bottom"/>
          </w:tcPr>
          <w:p w14:paraId="603A9C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0.261 </w:t>
            </w:r>
          </w:p>
        </w:tc>
      </w:tr>
      <w:tr w14:paraId="0CF3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759" w:type="pct"/>
            <w:noWrap/>
            <w:vAlign w:val="center"/>
          </w:tcPr>
          <w:p w14:paraId="66B305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left"/>
              <w:textAlignment w:val="center"/>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Xinjiang</w:t>
            </w:r>
          </w:p>
        </w:tc>
        <w:tc>
          <w:tcPr>
            <w:tcW w:w="264" w:type="pct"/>
            <w:noWrap/>
            <w:vAlign w:val="bottom"/>
          </w:tcPr>
          <w:p w14:paraId="3D902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0.178 </w:t>
            </w:r>
          </w:p>
        </w:tc>
        <w:tc>
          <w:tcPr>
            <w:tcW w:w="264" w:type="pct"/>
            <w:noWrap/>
            <w:vAlign w:val="bottom"/>
          </w:tcPr>
          <w:p w14:paraId="78B011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0.181 </w:t>
            </w:r>
          </w:p>
        </w:tc>
        <w:tc>
          <w:tcPr>
            <w:tcW w:w="264" w:type="pct"/>
            <w:noWrap/>
            <w:vAlign w:val="bottom"/>
          </w:tcPr>
          <w:p w14:paraId="11D895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0.194 </w:t>
            </w:r>
          </w:p>
        </w:tc>
        <w:tc>
          <w:tcPr>
            <w:tcW w:w="264" w:type="pct"/>
            <w:noWrap/>
            <w:vAlign w:val="bottom"/>
          </w:tcPr>
          <w:p w14:paraId="2165AE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0.201 </w:t>
            </w:r>
          </w:p>
        </w:tc>
        <w:tc>
          <w:tcPr>
            <w:tcW w:w="264" w:type="pct"/>
            <w:noWrap/>
            <w:vAlign w:val="bottom"/>
          </w:tcPr>
          <w:p w14:paraId="233E14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0.203 </w:t>
            </w:r>
          </w:p>
        </w:tc>
        <w:tc>
          <w:tcPr>
            <w:tcW w:w="265" w:type="pct"/>
            <w:noWrap/>
            <w:vAlign w:val="bottom"/>
          </w:tcPr>
          <w:p w14:paraId="522B9A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0.212 </w:t>
            </w:r>
          </w:p>
        </w:tc>
        <w:tc>
          <w:tcPr>
            <w:tcW w:w="265" w:type="pct"/>
            <w:noWrap/>
            <w:vAlign w:val="bottom"/>
          </w:tcPr>
          <w:p w14:paraId="46273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0.221 </w:t>
            </w:r>
          </w:p>
        </w:tc>
        <w:tc>
          <w:tcPr>
            <w:tcW w:w="265" w:type="pct"/>
            <w:noWrap/>
            <w:vAlign w:val="bottom"/>
          </w:tcPr>
          <w:p w14:paraId="08A620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0.230 </w:t>
            </w:r>
          </w:p>
        </w:tc>
        <w:tc>
          <w:tcPr>
            <w:tcW w:w="265" w:type="pct"/>
            <w:noWrap/>
            <w:vAlign w:val="bottom"/>
          </w:tcPr>
          <w:p w14:paraId="56D6B9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0.241 </w:t>
            </w:r>
          </w:p>
        </w:tc>
        <w:tc>
          <w:tcPr>
            <w:tcW w:w="265" w:type="pct"/>
            <w:noWrap/>
            <w:vAlign w:val="bottom"/>
          </w:tcPr>
          <w:p w14:paraId="25A357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0.252 </w:t>
            </w:r>
          </w:p>
        </w:tc>
        <w:tc>
          <w:tcPr>
            <w:tcW w:w="265" w:type="pct"/>
            <w:noWrap/>
            <w:vAlign w:val="bottom"/>
          </w:tcPr>
          <w:p w14:paraId="36EF51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0.261 </w:t>
            </w:r>
          </w:p>
        </w:tc>
        <w:tc>
          <w:tcPr>
            <w:tcW w:w="265" w:type="pct"/>
            <w:noWrap/>
            <w:vAlign w:val="bottom"/>
          </w:tcPr>
          <w:p w14:paraId="78C911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0.264 </w:t>
            </w:r>
          </w:p>
        </w:tc>
        <w:tc>
          <w:tcPr>
            <w:tcW w:w="265" w:type="pct"/>
            <w:noWrap/>
            <w:vAlign w:val="bottom"/>
          </w:tcPr>
          <w:p w14:paraId="369AA6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0.271 </w:t>
            </w:r>
          </w:p>
        </w:tc>
        <w:tc>
          <w:tcPr>
            <w:tcW w:w="265" w:type="pct"/>
            <w:noWrap/>
            <w:vAlign w:val="bottom"/>
          </w:tcPr>
          <w:p w14:paraId="4B79F2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0.280 </w:t>
            </w:r>
          </w:p>
        </w:tc>
        <w:tc>
          <w:tcPr>
            <w:tcW w:w="265" w:type="pct"/>
            <w:noWrap/>
            <w:vAlign w:val="bottom"/>
          </w:tcPr>
          <w:p w14:paraId="63A18D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0.282 </w:t>
            </w:r>
          </w:p>
        </w:tc>
        <w:tc>
          <w:tcPr>
            <w:tcW w:w="265" w:type="pct"/>
            <w:noWrap/>
            <w:vAlign w:val="bottom"/>
          </w:tcPr>
          <w:p w14:paraId="7EAD3F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firstLine="0" w:firstLineChars="0"/>
              <w:jc w:val="right"/>
              <w:textAlignment w:val="bottom"/>
              <w:rPr>
                <w:rFonts w:hint="default" w:ascii="Times New Roman" w:hAnsi="Times New Roman" w:cs="Times New Roman"/>
                <w:color w:val="auto"/>
                <w:sz w:val="16"/>
                <w:szCs w:val="16"/>
                <w:highlight w:val="none"/>
              </w:rPr>
            </w:pPr>
            <w:r>
              <w:rPr>
                <w:rFonts w:hint="default" w:ascii="Times New Roman" w:hAnsi="Times New Roman" w:cs="Times New Roman"/>
                <w:color w:val="auto"/>
                <w:kern w:val="0"/>
                <w:sz w:val="16"/>
                <w:szCs w:val="16"/>
                <w:highlight w:val="none"/>
                <w:lang w:bidi="ar"/>
              </w:rPr>
              <w:t xml:space="preserve">0.290 </w:t>
            </w:r>
          </w:p>
        </w:tc>
      </w:tr>
    </w:tbl>
    <w:p w14:paraId="2528AEFD">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Temporal Evolution Characteristics of the Coupling Coordination Degree</w:t>
      </w:r>
    </w:p>
    <w:p w14:paraId="474125DB">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textAlignment w:val="auto"/>
        <w:rPr>
          <w:rFonts w:hint="default" w:ascii="Times New Roman" w:hAnsi="Times New Roman" w:eastAsia="宋体" w:cs="Times New Roman"/>
          <w:b/>
          <w:bCs/>
          <w:i/>
          <w:iCs/>
          <w:color w:val="auto"/>
          <w:sz w:val="24"/>
          <w:szCs w:val="24"/>
          <w:highlight w:val="none"/>
        </w:rPr>
      </w:pPr>
      <w:r>
        <w:rPr>
          <w:rFonts w:hint="default" w:ascii="Times New Roman" w:hAnsi="Times New Roman" w:eastAsia="宋体" w:cs="Times New Roman"/>
          <w:b/>
          <w:bCs/>
          <w:i/>
          <w:iCs/>
          <w:color w:val="auto"/>
          <w:sz w:val="24"/>
          <w:szCs w:val="24"/>
          <w:highlight w:val="none"/>
        </w:rPr>
        <w:t>Overall Evolution Trends</w:t>
      </w:r>
    </w:p>
    <w:p w14:paraId="2C4AB253">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Figure 5 presents the annual average CCD values for China and the four major economic regions from 2007 to 2022. CCD increased over time at both the national and regional levels. This implies that the coordinated</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relationship between FA and GTI has gotten better during the study period.</w:t>
      </w:r>
    </w:p>
    <w:p w14:paraId="6B95CA81">
      <w:pPr>
        <w:keepNext w:val="0"/>
        <w:keepLines w:val="0"/>
        <w:pageBreakBefore w:val="0"/>
        <w:widowControl w:val="0"/>
        <w:kinsoku/>
        <w:wordWrap/>
        <w:overflowPunct/>
        <w:topLinePunct w:val="0"/>
        <w:autoSpaceDE/>
        <w:autoSpaceDN/>
        <w:bidi w:val="0"/>
        <w:adjustRightInd/>
        <w:snapToGrid/>
        <w:spacing w:before="240" w:afterLines="0" w:line="240" w:lineRule="auto"/>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Between 2007 and 2009, CCD was highest in Eastern China, then Northeastern, Central and Western China. However, from 2010 onwards, Central China surpassed Northeastern China in terms of ranking and became the second-best performing region. On the other hand, Eastern China continued to outperform the national average, while Western China stayed below it.</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Since 2011, Central China's CCD has moved closer to the national level. The gap between Northeastern and Western China also narrowed. Although CCD improved in all regions, regional differences were still apparent.</w:t>
      </w:r>
    </w:p>
    <w:p w14:paraId="28BA95E8">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color w:val="auto"/>
          <w:highlight w:val="none"/>
        </w:rPr>
        <w:drawing>
          <wp:inline distT="0" distB="0" distL="114300" distR="114300">
            <wp:extent cx="6760210" cy="2440940"/>
            <wp:effectExtent l="0" t="0" r="6350" b="12700"/>
            <wp:docPr id="12" name="图表 5" descr="7b0a202020202263686172745265734964223a202232303436383635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r>
        <w:rPr>
          <w:rFonts w:hint="default" w:ascii="Times New Roman" w:hAnsi="Times New Roman" w:eastAsia="宋体" w:cs="Times New Roman"/>
          <w:b/>
          <w:bCs/>
          <w:color w:val="auto"/>
          <w:sz w:val="24"/>
          <w:szCs w:val="24"/>
          <w:highlight w:val="none"/>
        </w:rPr>
        <w:br w:type="textWrapping"/>
      </w:r>
      <w:r>
        <w:rPr>
          <w:rFonts w:hint="default" w:ascii="Times New Roman" w:hAnsi="Times New Roman" w:cs="Times New Roman"/>
          <w:b/>
          <w:bCs/>
          <w:color w:val="auto"/>
          <w:sz w:val="24"/>
          <w:szCs w:val="24"/>
          <w:highlight w:val="none"/>
        </w:rPr>
        <w:t xml:space="preserve">Figure </w:t>
      </w:r>
      <w:r>
        <w:rPr>
          <w:rFonts w:hint="default" w:ascii="Times New Roman" w:hAnsi="Times New Roman"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w:t>
      </w:r>
      <w:r>
        <w:rPr>
          <w:rFonts w:hint="default" w:ascii="Times New Roman" w:hAnsi="Times New Roman" w:cs="Times New Roman"/>
          <w:b/>
          <w:bCs/>
          <w:color w:val="auto"/>
          <w:sz w:val="24"/>
          <w:szCs w:val="24"/>
          <w:highlight w:val="none"/>
        </w:rPr>
        <w:t xml:space="preserve"> Annual Average</w:t>
      </w:r>
      <w:r>
        <w:rPr>
          <w:rFonts w:hint="default" w:ascii="Times New Roman" w:hAnsi="Times New Roman" w:eastAsia="宋体" w:cs="Times New Roman"/>
          <w:b/>
          <w:bCs/>
          <w:color w:val="auto"/>
          <w:sz w:val="24"/>
          <w:szCs w:val="24"/>
          <w:highlight w:val="none"/>
        </w:rPr>
        <w:t xml:space="preserve"> CCD </w:t>
      </w:r>
      <w:r>
        <w:rPr>
          <w:rFonts w:hint="default" w:ascii="Times New Roman" w:hAnsi="Times New Roman" w:cs="Times New Roman"/>
          <w:b/>
          <w:bCs/>
          <w:color w:val="auto"/>
          <w:sz w:val="24"/>
          <w:szCs w:val="24"/>
          <w:highlight w:val="none"/>
        </w:rPr>
        <w:t>for China and Its Four Major Economic Regions</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rPr>
        <w:t>2007–2022</w:t>
      </w:r>
    </w:p>
    <w:p w14:paraId="0C7E86BC">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textAlignment w:val="auto"/>
        <w:rPr>
          <w:rFonts w:hint="default" w:ascii="Times New Roman" w:hAnsi="Times New Roman" w:cs="Times New Roman"/>
          <w:b/>
          <w:bCs/>
          <w:i/>
          <w:iCs/>
          <w:color w:val="auto"/>
          <w:sz w:val="24"/>
          <w:szCs w:val="24"/>
          <w:highlight w:val="none"/>
          <w:lang w:val="en-US" w:eastAsia="zh-CN"/>
        </w:rPr>
      </w:pPr>
      <w:r>
        <w:rPr>
          <w:rFonts w:hint="default" w:ascii="Times New Roman" w:hAnsi="Times New Roman" w:eastAsia="宋体" w:cs="Times New Roman"/>
          <w:b/>
          <w:bCs/>
          <w:i/>
          <w:iCs/>
          <w:color w:val="auto"/>
          <w:sz w:val="24"/>
          <w:szCs w:val="24"/>
          <w:highlight w:val="none"/>
        </w:rPr>
        <w:t>Growth Dynamics of</w:t>
      </w:r>
      <w:r>
        <w:rPr>
          <w:rFonts w:hint="default" w:ascii="Times New Roman" w:hAnsi="Times New Roman" w:cs="Times New Roman"/>
          <w:b/>
          <w:bCs/>
          <w:i/>
          <w:iCs/>
          <w:color w:val="auto"/>
          <w:sz w:val="24"/>
          <w:szCs w:val="24"/>
          <w:highlight w:val="none"/>
          <w:lang w:val="en-US" w:eastAsia="zh-CN"/>
        </w:rPr>
        <w:t xml:space="preserve"> CCD</w:t>
      </w:r>
    </w:p>
    <w:p w14:paraId="2E31F564">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 xml:space="preserve">Figure </w:t>
      </w:r>
      <w:r>
        <w:rPr>
          <w:rFonts w:hint="default" w:ascii="Times New Roman" w:hAnsi="Times New Roman" w:cs="Times New Roman"/>
          <w:b w:val="0"/>
          <w:bCs w:val="0"/>
          <w:color w:val="auto"/>
          <w:sz w:val="24"/>
          <w:szCs w:val="24"/>
          <w:highlight w:val="none"/>
          <w:lang w:val="en-US" w:eastAsia="zh-CN"/>
        </w:rPr>
        <w:t>6 shows</w:t>
      </w:r>
      <w:r>
        <w:rPr>
          <w:rFonts w:hint="default" w:ascii="Times New Roman" w:hAnsi="Times New Roman" w:eastAsia="宋体" w:cs="Times New Roman"/>
          <w:b w:val="0"/>
          <w:bCs w:val="0"/>
          <w:color w:val="auto"/>
          <w:sz w:val="24"/>
          <w:szCs w:val="24"/>
          <w:highlight w:val="none"/>
        </w:rPr>
        <w:t xml:space="preserve"> the Compound Annual Growth Rate (CAGR)</w:t>
      </w:r>
      <w:r>
        <w:rPr>
          <w:rFonts w:hint="default" w:ascii="Times New Roman" w:hAnsi="Times New Roman" w:cs="Times New Roman"/>
          <w:b w:val="0"/>
          <w:bCs w:val="0"/>
          <w:color w:val="auto"/>
          <w:sz w:val="24"/>
          <w:szCs w:val="24"/>
          <w:highlight w:val="none"/>
          <w:lang w:val="en-US" w:eastAsia="zh-CN"/>
        </w:rPr>
        <w:t xml:space="preserve"> of CCD. The</w:t>
      </w:r>
      <w:r>
        <w:rPr>
          <w:rFonts w:hint="default" w:ascii="Times New Roman" w:hAnsi="Times New Roman" w:eastAsia="宋体" w:cs="Times New Roman"/>
          <w:b w:val="0"/>
          <w:bCs w:val="0"/>
          <w:color w:val="auto"/>
          <w:sz w:val="24"/>
          <w:szCs w:val="24"/>
          <w:highlight w:val="none"/>
        </w:rPr>
        <w:t xml:space="preserve"> CAGR of the CCD at the national level is 4.863%. Regional differences in CCD growth were evident. Eastern China recorded a CAGR of 5.401%, slightly higher than that of Central China (5.353%). Western China and Northeastern China grew at a slower pace, with rates of 4.068% and 3.759%, respectively. Across provinces, Guangdong showed the strongest growth (6.839%), whereas Ningxia experienced the weakest growth (2.375%). </w:t>
      </w:r>
    </w:p>
    <w:p w14:paraId="5F30A347">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T</w:t>
      </w:r>
      <w:r>
        <w:rPr>
          <w:rFonts w:hint="default" w:ascii="Times New Roman" w:hAnsi="Times New Roman" w:eastAsia="宋体" w:cs="Times New Roman"/>
          <w:b w:val="0"/>
          <w:bCs w:val="0"/>
          <w:color w:val="auto"/>
          <w:sz w:val="24"/>
          <w:szCs w:val="24"/>
          <w:highlight w:val="none"/>
        </w:rPr>
        <w:t>he</w:t>
      </w:r>
      <w:r>
        <w:rPr>
          <w:rFonts w:hint="default" w:ascii="Times New Roman" w:hAnsi="Times New Roman" w:cs="Times New Roman"/>
          <w:b w:val="0"/>
          <w:bCs w:val="0"/>
          <w:color w:val="auto"/>
          <w:sz w:val="24"/>
          <w:szCs w:val="24"/>
          <w:highlight w:val="none"/>
          <w:lang w:val="en-US" w:eastAsia="zh-CN"/>
        </w:rPr>
        <w:t xml:space="preserve"> CCD</w:t>
      </w:r>
      <w:r>
        <w:rPr>
          <w:rFonts w:hint="default" w:ascii="Times New Roman" w:hAnsi="Times New Roman" w:eastAsia="宋体" w:cs="Times New Roman"/>
          <w:b w:val="0"/>
          <w:bCs w:val="0"/>
          <w:color w:val="auto"/>
          <w:sz w:val="24"/>
          <w:szCs w:val="24"/>
          <w:highlight w:val="none"/>
        </w:rPr>
        <w:t xml:space="preserve"> between </w:t>
      </w:r>
      <w:r>
        <w:rPr>
          <w:rFonts w:hint="default" w:ascii="Times New Roman" w:hAnsi="Times New Roman" w:cs="Times New Roman"/>
          <w:b w:val="0"/>
          <w:bCs w:val="0"/>
          <w:color w:val="auto"/>
          <w:sz w:val="24"/>
          <w:szCs w:val="24"/>
          <w:highlight w:val="none"/>
          <w:lang w:val="en-US" w:eastAsia="zh-CN"/>
        </w:rPr>
        <w:t>FA</w:t>
      </w:r>
      <w:r>
        <w:rPr>
          <w:rFonts w:hint="default" w:ascii="Times New Roman" w:hAnsi="Times New Roman" w:eastAsia="宋体" w:cs="Times New Roman"/>
          <w:b w:val="0"/>
          <w:bCs w:val="0"/>
          <w:color w:val="auto"/>
          <w:sz w:val="24"/>
          <w:szCs w:val="24"/>
          <w:highlight w:val="none"/>
        </w:rPr>
        <w:t xml:space="preserve"> and </w:t>
      </w:r>
      <w:r>
        <w:rPr>
          <w:rFonts w:hint="default" w:ascii="Times New Roman" w:hAnsi="Times New Roman" w:cs="Times New Roman"/>
          <w:b w:val="0"/>
          <w:bCs w:val="0"/>
          <w:color w:val="auto"/>
          <w:sz w:val="24"/>
          <w:szCs w:val="24"/>
          <w:highlight w:val="none"/>
          <w:lang w:val="en-US" w:eastAsia="zh-CN"/>
        </w:rPr>
        <w:t>GTI</w:t>
      </w:r>
      <w:r>
        <w:rPr>
          <w:rFonts w:hint="default" w:ascii="Times New Roman" w:hAnsi="Times New Roman" w:eastAsia="宋体" w:cs="Times New Roman"/>
          <w:b w:val="0"/>
          <w:bCs w:val="0"/>
          <w:color w:val="auto"/>
          <w:sz w:val="24"/>
          <w:szCs w:val="24"/>
          <w:highlight w:val="none"/>
        </w:rPr>
        <w:t xml:space="preserve"> keeps getting better during the sample period. The </w:t>
      </w:r>
      <w:r>
        <w:rPr>
          <w:rFonts w:hint="default" w:ascii="Times New Roman" w:hAnsi="Times New Roman" w:cs="Times New Roman"/>
          <w:b w:val="0"/>
          <w:bCs w:val="0"/>
          <w:color w:val="auto"/>
          <w:sz w:val="24"/>
          <w:szCs w:val="24"/>
          <w:highlight w:val="none"/>
          <w:lang w:val="en-US" w:eastAsia="zh-CN"/>
        </w:rPr>
        <w:t>E</w:t>
      </w:r>
      <w:r>
        <w:rPr>
          <w:rFonts w:hint="default" w:ascii="Times New Roman" w:hAnsi="Times New Roman" w:eastAsia="宋体" w:cs="Times New Roman"/>
          <w:b w:val="0"/>
          <w:bCs w:val="0"/>
          <w:color w:val="auto"/>
          <w:sz w:val="24"/>
          <w:szCs w:val="24"/>
          <w:highlight w:val="none"/>
        </w:rPr>
        <w:t xml:space="preserve">astern and </w:t>
      </w:r>
      <w:r>
        <w:rPr>
          <w:rFonts w:hint="default" w:ascii="Times New Roman" w:hAnsi="Times New Roman" w:cs="Times New Roman"/>
          <w:b w:val="0"/>
          <w:bCs w:val="0"/>
          <w:color w:val="auto"/>
          <w:sz w:val="24"/>
          <w:szCs w:val="24"/>
          <w:highlight w:val="none"/>
          <w:lang w:val="en-US" w:eastAsia="zh-CN"/>
        </w:rPr>
        <w:t>C</w:t>
      </w:r>
      <w:r>
        <w:rPr>
          <w:rFonts w:hint="default" w:ascii="Times New Roman" w:hAnsi="Times New Roman" w:eastAsia="宋体" w:cs="Times New Roman"/>
          <w:b w:val="0"/>
          <w:bCs w:val="0"/>
          <w:color w:val="auto"/>
          <w:sz w:val="24"/>
          <w:szCs w:val="24"/>
          <w:highlight w:val="none"/>
        </w:rPr>
        <w:t xml:space="preserve">entral </w:t>
      </w:r>
      <w:r>
        <w:rPr>
          <w:rFonts w:hint="default" w:ascii="Times New Roman" w:hAnsi="Times New Roman" w:cs="Times New Roman"/>
          <w:b w:val="0"/>
          <w:bCs w:val="0"/>
          <w:color w:val="auto"/>
          <w:sz w:val="24"/>
          <w:szCs w:val="24"/>
          <w:highlight w:val="none"/>
          <w:lang w:val="en-US" w:eastAsia="zh-CN"/>
        </w:rPr>
        <w:t>region</w:t>
      </w:r>
      <w:r>
        <w:rPr>
          <w:rFonts w:hint="default" w:ascii="Times New Roman" w:hAnsi="Times New Roman" w:eastAsia="宋体" w:cs="Times New Roman"/>
          <w:b w:val="0"/>
          <w:bCs w:val="0"/>
          <w:color w:val="auto"/>
          <w:sz w:val="24"/>
          <w:szCs w:val="24"/>
          <w:highlight w:val="none"/>
        </w:rPr>
        <w:t>s enjoy sound economic conditions, so their coordination degree rises at a higher speed</w:t>
      </w:r>
      <w:r>
        <w:rPr>
          <w:rFonts w:hint="default" w:ascii="Times New Roman" w:hAnsi="Times New Roman" w:cs="Times New Roman"/>
          <w:b w:val="0"/>
          <w:bCs w:val="0"/>
          <w:color w:val="auto"/>
          <w:sz w:val="24"/>
          <w:szCs w:val="24"/>
          <w:highlight w:val="none"/>
          <w:lang w:val="en-US" w:eastAsia="zh-CN"/>
        </w:rPr>
        <w:t>. The western and northeastern regions advance at a much lower rate. In view of such regional differentiation, it is urgent to strengthen the integration of financial industry and green innovation in backward region</w:t>
      </w:r>
    </w:p>
    <w:p w14:paraId="5DCCAD4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color w:val="auto"/>
          <w:highlight w:val="none"/>
        </w:rPr>
        <w:drawing>
          <wp:inline distT="0" distB="0" distL="114300" distR="114300">
            <wp:extent cx="5161915" cy="5098415"/>
            <wp:effectExtent l="0" t="0" r="4445" b="6985"/>
            <wp:docPr id="3" name="图表 1" descr="7b0a202020202263686172745265734964223a20223436353030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28BA95F1">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 xml:space="preserve">Figure </w:t>
      </w:r>
      <w:r>
        <w:rPr>
          <w:rFonts w:hint="default" w:ascii="Times New Roman" w:hAnsi="Times New Roman"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 xml:space="preserve">: Compound Annual Growth Rate of the CCD for China, Its Four Major Economic Regions, and 30 Provincial-Level Administrative </w:t>
      </w:r>
      <w:r>
        <w:rPr>
          <w:rFonts w:hint="default" w:ascii="Times New Roman" w:hAnsi="Times New Roman" w:cs="Times New Roman"/>
          <w:b/>
          <w:bCs/>
          <w:color w:val="auto"/>
          <w:sz w:val="24"/>
          <w:szCs w:val="24"/>
          <w:highlight w:val="none"/>
        </w:rPr>
        <w:t>Regions</w:t>
      </w:r>
      <w:r>
        <w:rPr>
          <w:rFonts w:hint="default" w:ascii="Times New Roman" w:hAnsi="Times New Roman" w:eastAsia="宋体" w:cs="Times New Roman"/>
          <w:b/>
          <w:bCs/>
          <w:color w:val="auto"/>
          <w:sz w:val="24"/>
          <w:szCs w:val="24"/>
          <w:highlight w:val="none"/>
        </w:rPr>
        <w:t>,</w:t>
      </w:r>
      <w:r>
        <w:rPr>
          <w:rFonts w:hint="default" w:ascii="Times New Roman" w:hAnsi="Times New Roman" w:cs="Times New Roman"/>
          <w:b/>
          <w:bCs/>
          <w:color w:val="auto"/>
          <w:sz w:val="24"/>
          <w:szCs w:val="24"/>
          <w:highlight w:val="none"/>
        </w:rPr>
        <w:t xml:space="preserve"> 2007–2022</w:t>
      </w:r>
    </w:p>
    <w:p w14:paraId="24F8FA56">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textAlignment w:val="auto"/>
        <w:rPr>
          <w:rFonts w:hint="default" w:ascii="Times New Roman" w:hAnsi="Times New Roman" w:cs="Times New Roman"/>
          <w:b/>
          <w:bCs/>
          <w:i/>
          <w:iCs/>
          <w:color w:val="auto"/>
          <w:sz w:val="24"/>
          <w:szCs w:val="24"/>
          <w:highlight w:val="none"/>
          <w:lang w:val="en-US" w:eastAsia="zh-CN"/>
        </w:rPr>
      </w:pPr>
      <w:r>
        <w:rPr>
          <w:rFonts w:hint="default" w:ascii="Times New Roman" w:hAnsi="Times New Roman" w:eastAsia="宋体" w:cs="Times New Roman"/>
          <w:b/>
          <w:bCs/>
          <w:i/>
          <w:iCs/>
          <w:color w:val="auto"/>
          <w:sz w:val="24"/>
          <w:szCs w:val="24"/>
          <w:highlight w:val="none"/>
        </w:rPr>
        <w:t xml:space="preserve">Provincial Disparities in </w:t>
      </w:r>
      <w:r>
        <w:rPr>
          <w:rFonts w:hint="default" w:ascii="Times New Roman" w:hAnsi="Times New Roman" w:cs="Times New Roman"/>
          <w:b/>
          <w:bCs/>
          <w:i/>
          <w:iCs/>
          <w:color w:val="auto"/>
          <w:sz w:val="24"/>
          <w:szCs w:val="24"/>
          <w:highlight w:val="none"/>
          <w:lang w:val="en-US" w:eastAsia="zh-CN"/>
        </w:rPr>
        <w:t>CCD</w:t>
      </w:r>
    </w:p>
    <w:p w14:paraId="7FA37CE2">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textAlignment w:val="auto"/>
        <w:rPr>
          <w:rFonts w:hint="default" w:ascii="Times New Roman" w:hAnsi="Times New Roman" w:eastAsia="宋体" w:cs="Times New Roman"/>
          <w:b w:val="0"/>
          <w:bCs w:val="0"/>
          <w:i w:val="0"/>
          <w:iCs w:val="0"/>
          <w:color w:val="auto"/>
          <w:sz w:val="24"/>
          <w:szCs w:val="24"/>
          <w:highlight w:val="none"/>
        </w:rPr>
      </w:pPr>
      <w:r>
        <w:rPr>
          <w:rFonts w:hint="default" w:ascii="Times New Roman" w:hAnsi="Times New Roman" w:eastAsia="宋体" w:cs="Times New Roman"/>
          <w:b w:val="0"/>
          <w:bCs w:val="0"/>
          <w:i w:val="0"/>
          <w:iCs w:val="0"/>
          <w:color w:val="auto"/>
          <w:sz w:val="24"/>
          <w:szCs w:val="24"/>
          <w:highlight w:val="none"/>
        </w:rPr>
        <w:t xml:space="preserve">Figure 7 tracks the yearly changes in the FA-GTI coupling coordination index covering 30 provinces. </w:t>
      </w:r>
      <w:r>
        <w:rPr>
          <w:rFonts w:hint="default" w:ascii="Times New Roman" w:hAnsi="Times New Roman" w:cs="Times New Roman"/>
          <w:b w:val="0"/>
          <w:bCs w:val="0"/>
          <w:i w:val="0"/>
          <w:iCs w:val="0"/>
          <w:color w:val="auto"/>
          <w:sz w:val="24"/>
          <w:szCs w:val="24"/>
          <w:highlight w:val="none"/>
          <w:lang w:val="en-US" w:eastAsia="zh-CN"/>
        </w:rPr>
        <w:t>T</w:t>
      </w:r>
      <w:r>
        <w:rPr>
          <w:rFonts w:hint="default" w:ascii="Times New Roman" w:hAnsi="Times New Roman" w:eastAsia="宋体" w:cs="Times New Roman"/>
          <w:b w:val="0"/>
          <w:bCs w:val="0"/>
          <w:i w:val="0"/>
          <w:iCs w:val="0"/>
          <w:color w:val="auto"/>
          <w:sz w:val="24"/>
          <w:szCs w:val="24"/>
          <w:highlight w:val="none"/>
        </w:rPr>
        <w:t xml:space="preserve">he majority of provinces saw steady growth in this </w:t>
      </w:r>
      <w:r>
        <w:rPr>
          <w:rFonts w:hint="default" w:ascii="Times New Roman" w:hAnsi="Times New Roman" w:cs="Times New Roman"/>
          <w:b w:val="0"/>
          <w:bCs w:val="0"/>
          <w:i w:val="0"/>
          <w:iCs w:val="0"/>
          <w:color w:val="auto"/>
          <w:sz w:val="24"/>
          <w:szCs w:val="24"/>
          <w:highlight w:val="none"/>
          <w:lang w:val="en-US" w:eastAsia="zh-CN"/>
        </w:rPr>
        <w:t xml:space="preserve">CCD </w:t>
      </w:r>
      <w:r>
        <w:rPr>
          <w:rFonts w:hint="default" w:ascii="Times New Roman" w:hAnsi="Times New Roman" w:eastAsia="宋体" w:cs="Times New Roman"/>
          <w:b w:val="0"/>
          <w:bCs w:val="0"/>
          <w:i w:val="0"/>
          <w:iCs w:val="0"/>
          <w:color w:val="auto"/>
          <w:sz w:val="24"/>
          <w:szCs w:val="24"/>
          <w:highlight w:val="none"/>
        </w:rPr>
        <w:t>throughout the sample period, which reflects widespread progress in the</w:t>
      </w:r>
      <w:r>
        <w:rPr>
          <w:rFonts w:hint="default" w:ascii="Times New Roman" w:hAnsi="Times New Roman" w:cs="Times New Roman"/>
          <w:b w:val="0"/>
          <w:bCs w:val="0"/>
          <w:i w:val="0"/>
          <w:iCs w:val="0"/>
          <w:color w:val="auto"/>
          <w:sz w:val="24"/>
          <w:szCs w:val="24"/>
          <w:highlight w:val="none"/>
          <w:lang w:val="en-US" w:eastAsia="zh-CN"/>
        </w:rPr>
        <w:t xml:space="preserve"> coordinated</w:t>
      </w:r>
      <w:r>
        <w:rPr>
          <w:rFonts w:hint="default" w:ascii="Times New Roman" w:hAnsi="Times New Roman" w:eastAsia="宋体" w:cs="Times New Roman"/>
          <w:b w:val="0"/>
          <w:bCs w:val="0"/>
          <w:i w:val="0"/>
          <w:iCs w:val="0"/>
          <w:color w:val="auto"/>
          <w:sz w:val="24"/>
          <w:szCs w:val="24"/>
          <w:highlight w:val="none"/>
        </w:rPr>
        <w:t xml:space="preserve"> development of </w:t>
      </w:r>
      <w:r>
        <w:rPr>
          <w:rFonts w:hint="default" w:ascii="Times New Roman" w:hAnsi="Times New Roman" w:cs="Times New Roman"/>
          <w:b w:val="0"/>
          <w:bCs w:val="0"/>
          <w:i w:val="0"/>
          <w:iCs w:val="0"/>
          <w:color w:val="auto"/>
          <w:sz w:val="24"/>
          <w:szCs w:val="24"/>
          <w:highlight w:val="none"/>
          <w:lang w:val="en-US" w:eastAsia="zh-CN"/>
        </w:rPr>
        <w:t>FA</w:t>
      </w:r>
      <w:r>
        <w:rPr>
          <w:rFonts w:hint="default" w:ascii="Times New Roman" w:hAnsi="Times New Roman" w:eastAsia="宋体" w:cs="Times New Roman"/>
          <w:b w:val="0"/>
          <w:bCs w:val="0"/>
          <w:i w:val="0"/>
          <w:iCs w:val="0"/>
          <w:color w:val="auto"/>
          <w:sz w:val="24"/>
          <w:szCs w:val="24"/>
          <w:highlight w:val="none"/>
        </w:rPr>
        <w:t xml:space="preserve"> and </w:t>
      </w:r>
      <w:r>
        <w:rPr>
          <w:rFonts w:hint="default" w:ascii="Times New Roman" w:hAnsi="Times New Roman" w:cs="Times New Roman"/>
          <w:b w:val="0"/>
          <w:bCs w:val="0"/>
          <w:i w:val="0"/>
          <w:iCs w:val="0"/>
          <w:color w:val="auto"/>
          <w:sz w:val="24"/>
          <w:szCs w:val="24"/>
          <w:highlight w:val="none"/>
          <w:lang w:val="en-US" w:eastAsia="zh-CN"/>
        </w:rPr>
        <w:t>GTI</w:t>
      </w:r>
      <w:r>
        <w:rPr>
          <w:rFonts w:hint="default" w:ascii="Times New Roman" w:hAnsi="Times New Roman" w:eastAsia="宋体" w:cs="Times New Roman"/>
          <w:b w:val="0"/>
          <w:bCs w:val="0"/>
          <w:i w:val="0"/>
          <w:iCs w:val="0"/>
          <w:color w:val="auto"/>
          <w:sz w:val="24"/>
          <w:szCs w:val="24"/>
          <w:highlight w:val="none"/>
        </w:rPr>
        <w:t>. Minor short-term drops only emerged in individual years for a small number of regions: Shanxi in 2011, Hubei in 2012, Inner Mongolia and Hainan in 2021, Guangxi in 2022, and Qinghai in 2011, 2018, 2019 and 2022.</w:t>
      </w:r>
    </w:p>
    <w:p w14:paraId="400E8051">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both"/>
        <w:textAlignment w:val="auto"/>
        <w:rPr>
          <w:rFonts w:hint="default" w:ascii="Times New Roman" w:hAnsi="Times New Roman" w:eastAsia="宋体" w:cs="Times New Roman"/>
          <w:b w:val="0"/>
          <w:bCs w:val="0"/>
          <w:i w:val="0"/>
          <w:iCs w:val="0"/>
          <w:color w:val="auto"/>
          <w:sz w:val="24"/>
          <w:szCs w:val="24"/>
          <w:highlight w:val="none"/>
        </w:rPr>
      </w:pPr>
      <w:r>
        <w:rPr>
          <w:rFonts w:hint="default" w:ascii="Times New Roman" w:hAnsi="Times New Roman" w:eastAsia="宋体" w:cs="Times New Roman"/>
          <w:b w:val="0"/>
          <w:bCs w:val="0"/>
          <w:i w:val="0"/>
          <w:iCs w:val="0"/>
          <w:color w:val="auto"/>
          <w:sz w:val="24"/>
          <w:szCs w:val="24"/>
          <w:highlight w:val="none"/>
        </w:rPr>
        <w:t>The fluctuations were largely driven by imbalances between FA and GTI. In Shanxi, Inner Mongolia, Guangxi, and Hainan, CCD declined because FA weakened while GTI continued to grow. The case of Hubei was an exception where there was a divergence between the growth rates of FA and GTI. Qinghai had the highest variability in terms of growth rates. It indicates that both subsystems have an unstable nature of development. Despite such differences, CCD in most cases grew up.</w:t>
      </w:r>
      <w:r>
        <w:rPr>
          <w:rFonts w:hint="eastAsia" w:cs="Times New Roman"/>
          <w:b w:val="0"/>
          <w:bCs w:val="0"/>
          <w:i w:val="0"/>
          <w:iCs w:val="0"/>
          <w:color w:val="auto"/>
          <w:sz w:val="24"/>
          <w:szCs w:val="24"/>
          <w:highlight w:val="none"/>
          <w:lang w:val="en-US" w:eastAsia="zh-CN"/>
        </w:rPr>
        <w:t xml:space="preserve"> </w:t>
      </w:r>
      <w:r>
        <w:rPr>
          <w:rFonts w:hint="default" w:ascii="Times New Roman" w:hAnsi="Times New Roman" w:eastAsia="宋体" w:cs="Times New Roman"/>
          <w:b w:val="0"/>
          <w:bCs w:val="0"/>
          <w:i w:val="0"/>
          <w:iCs w:val="0"/>
          <w:color w:val="auto"/>
          <w:sz w:val="24"/>
          <w:szCs w:val="24"/>
          <w:highlight w:val="none"/>
        </w:rPr>
        <w:t>Regional differences, however, were still present.</w:t>
      </w:r>
    </w:p>
    <w:p w14:paraId="056DA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66055" cy="3223260"/>
            <wp:effectExtent l="0" t="0" r="6985" b="7620"/>
            <wp:docPr id="10"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6"/>
                    <pic:cNvPicPr>
                      <a:picLocks noChangeAspect="1"/>
                    </pic:cNvPicPr>
                  </pic:nvPicPr>
                  <pic:blipFill>
                    <a:blip r:embed="rId187"/>
                    <a:stretch>
                      <a:fillRect/>
                    </a:stretch>
                  </pic:blipFill>
                  <pic:spPr>
                    <a:xfrm>
                      <a:off x="0" y="0"/>
                      <a:ext cx="5266055" cy="3223260"/>
                    </a:xfrm>
                    <a:prstGeom prst="rect">
                      <a:avLst/>
                    </a:prstGeom>
                    <a:noFill/>
                    <a:ln>
                      <a:noFill/>
                    </a:ln>
                  </pic:spPr>
                </pic:pic>
              </a:graphicData>
            </a:graphic>
          </wp:inline>
        </w:drawing>
      </w:r>
    </w:p>
    <w:p w14:paraId="60529D90">
      <w:pPr>
        <w:keepNext w:val="0"/>
        <w:keepLines w:val="0"/>
        <w:pageBreakBefore w:val="0"/>
        <w:widowControl w:val="0"/>
        <w:kinsoku/>
        <w:wordWrap/>
        <w:overflowPunct/>
        <w:topLinePunct w:val="0"/>
        <w:autoSpaceDE/>
        <w:autoSpaceDN/>
        <w:bidi w:val="0"/>
        <w:adjustRightInd w:val="0"/>
        <w:snapToGrid w:val="0"/>
        <w:spacing w:after="240" w:afterLines="0" w:line="240" w:lineRule="auto"/>
        <w:ind w:firstLine="0" w:firstLineChars="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 xml:space="preserve">Figure </w:t>
      </w:r>
      <w:r>
        <w:rPr>
          <w:rFonts w:hint="default" w:ascii="Times New Roman" w:hAnsi="Times New Roman"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w:t>
      </w:r>
      <w:r>
        <w:rPr>
          <w:rFonts w:hint="default" w:ascii="Times New Roman" w:hAnsi="Times New Roman" w:cs="Times New Roman"/>
          <w:b/>
          <w:bCs/>
          <w:color w:val="auto"/>
          <w:sz w:val="24"/>
          <w:szCs w:val="24"/>
          <w:highlight w:val="none"/>
        </w:rPr>
        <w:t xml:space="preserve"> Scatter Plot of </w:t>
      </w:r>
      <w:r>
        <w:rPr>
          <w:rFonts w:hint="default" w:ascii="Times New Roman" w:hAnsi="Times New Roman" w:eastAsia="宋体" w:cs="Times New Roman"/>
          <w:b/>
          <w:bCs/>
          <w:color w:val="auto"/>
          <w:sz w:val="24"/>
          <w:szCs w:val="24"/>
          <w:highlight w:val="none"/>
        </w:rPr>
        <w:t>CCD</w:t>
      </w:r>
      <w:r>
        <w:rPr>
          <w:rFonts w:hint="default" w:ascii="Times New Roman" w:hAnsi="Times New Roman" w:cs="Times New Roman"/>
          <w:b/>
          <w:bCs/>
          <w:color w:val="auto"/>
          <w:sz w:val="24"/>
          <w:szCs w:val="24"/>
          <w:highlight w:val="none"/>
        </w:rPr>
        <w:t xml:space="preserve"> for 30 Provincial-Level Administrative</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rPr>
        <w:t>Regions in China</w:t>
      </w:r>
      <w:r>
        <w:rPr>
          <w:rFonts w:hint="default" w:ascii="Times New Roman" w:hAnsi="Times New Roman" w:eastAsia="宋体" w:cs="Times New Roman"/>
          <w:b/>
          <w:bCs/>
          <w:color w:val="auto"/>
          <w:sz w:val="24"/>
          <w:szCs w:val="24"/>
          <w:highlight w:val="none"/>
        </w:rPr>
        <w:t>,</w:t>
      </w:r>
      <w:r>
        <w:rPr>
          <w:rFonts w:hint="default" w:ascii="Times New Roman" w:hAnsi="Times New Roman" w:cs="Times New Roman"/>
          <w:b/>
          <w:bCs/>
          <w:color w:val="auto"/>
          <w:sz w:val="24"/>
          <w:szCs w:val="24"/>
          <w:highlight w:val="none"/>
        </w:rPr>
        <w:t xml:space="preserve"> 2007–2022</w:t>
      </w:r>
    </w:p>
    <w:p w14:paraId="334B61D4">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textAlignment w:val="auto"/>
        <w:rPr>
          <w:rFonts w:hint="default" w:ascii="Times New Roman" w:hAnsi="Times New Roman" w:eastAsia="宋体" w:cs="Times New Roman"/>
          <w:b/>
          <w:bCs/>
          <w:i/>
          <w:iCs/>
          <w:color w:val="auto"/>
          <w:sz w:val="24"/>
          <w:szCs w:val="24"/>
          <w:highlight w:val="none"/>
        </w:rPr>
      </w:pPr>
      <w:r>
        <w:rPr>
          <w:rFonts w:hint="default" w:ascii="Times New Roman" w:hAnsi="Times New Roman" w:eastAsia="宋体" w:cs="Times New Roman"/>
          <w:b/>
          <w:bCs/>
          <w:i/>
          <w:iCs/>
          <w:color w:val="auto"/>
          <w:sz w:val="24"/>
          <w:szCs w:val="24"/>
          <w:highlight w:val="none"/>
        </w:rPr>
        <w:t>Evolution of CCD Classification Levels</w:t>
      </w:r>
    </w:p>
    <w:p w14:paraId="233351AA">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Figure 8 displays the CCD classification level changes from 2007 to 2022. The country level classification has evolved from Moderate Uncoordination to Marginal Uncoordination. This means that there has been a gradual improvement of the </w:t>
      </w:r>
      <w:r>
        <w:rPr>
          <w:rFonts w:hint="eastAsia" w:cs="Times New Roman"/>
          <w:color w:val="auto"/>
          <w:highlight w:val="none"/>
          <w:lang w:val="en-US" w:eastAsia="zh-CN"/>
        </w:rPr>
        <w:t>CCD between</w:t>
      </w:r>
      <w:r>
        <w:rPr>
          <w:rFonts w:hint="default" w:ascii="Times New Roman" w:hAnsi="Times New Roman" w:cs="Times New Roman"/>
          <w:color w:val="auto"/>
          <w:highlight w:val="none"/>
        </w:rPr>
        <w:t xml:space="preserve"> FA and GTI over the period. Nevertheless, there has not yet been any coordination in the CCD by 2022. There is room for further improvements.</w:t>
      </w:r>
    </w:p>
    <w:p w14:paraId="1D68AF22">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There have been different patterns for different regions. For instance, Eastern China was able to make the greatest achievement since its classification improved by four levels from Moderate Uncoordination to Primary Coordination. Central and Western China experienced two-level advancement, and Northeastern China made one-level improvement. Even though all regions were able to make improvements, there was still regional disparity.</w:t>
      </w:r>
    </w:p>
    <w:p w14:paraId="771FBD95">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In 2022, the provincial difference was still noticeable. In most cases, Eastern China had reached the coordination level. Guangdong province was High-Quality Coordination. Bejing, Shanghai, Jiangsu, and Zhejiang reached Moderate Coordination. In the other regions (Central, Western, and Northeastern), most provinces were at the uncoordination level. Only a few provinces like Hubei and Sichuan reached the coordination level.</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These patterns point to an uneven spatial distribution of CCD. Eastern China continued to outperform the rest of the country.</w:t>
      </w:r>
    </w:p>
    <w:p w14:paraId="1EC1FD6C">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drawing>
          <wp:inline distT="0" distB="0" distL="114300" distR="114300">
            <wp:extent cx="6510655" cy="3249930"/>
            <wp:effectExtent l="0" t="0" r="12065" b="11430"/>
            <wp:docPr id="57" name="图片 57" descr="174969069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49690694846"/>
                    <pic:cNvPicPr>
                      <a:picLocks noChangeAspect="1"/>
                    </pic:cNvPicPr>
                  </pic:nvPicPr>
                  <pic:blipFill>
                    <a:blip r:embed="rId188"/>
                    <a:stretch>
                      <a:fillRect/>
                    </a:stretch>
                  </pic:blipFill>
                  <pic:spPr>
                    <a:xfrm>
                      <a:off x="0" y="0"/>
                      <a:ext cx="6510655" cy="3249930"/>
                    </a:xfrm>
                    <a:prstGeom prst="rect">
                      <a:avLst/>
                    </a:prstGeom>
                  </pic:spPr>
                </pic:pic>
              </a:graphicData>
            </a:graphic>
          </wp:inline>
        </w:drawing>
      </w:r>
      <w:r>
        <w:rPr>
          <w:rFonts w:hint="default" w:ascii="Times New Roman" w:hAnsi="Times New Roman" w:eastAsia="宋体" w:cs="Times New Roman"/>
          <w:b/>
          <w:bCs/>
          <w:color w:val="auto"/>
          <w:sz w:val="24"/>
          <w:szCs w:val="24"/>
          <w:highlight w:val="none"/>
        </w:rPr>
        <w:br w:type="textWrapping"/>
      </w:r>
      <w:r>
        <w:rPr>
          <w:rStyle w:val="14"/>
          <w:rFonts w:hint="default" w:ascii="Times New Roman" w:hAnsi="Times New Roman" w:eastAsia="宋体" w:cs="Times New Roman"/>
          <w:color w:val="auto"/>
          <w:sz w:val="24"/>
          <w:szCs w:val="24"/>
          <w:highlight w:val="none"/>
        </w:rPr>
        <w:t xml:space="preserve">Figure </w:t>
      </w:r>
      <w:r>
        <w:rPr>
          <w:rStyle w:val="14"/>
          <w:rFonts w:hint="default" w:ascii="Times New Roman" w:hAnsi="Times New Roman" w:cs="Times New Roman"/>
          <w:color w:val="auto"/>
          <w:sz w:val="24"/>
          <w:szCs w:val="24"/>
          <w:highlight w:val="none"/>
          <w:lang w:val="en-US" w:eastAsia="zh-CN"/>
        </w:rPr>
        <w:t>8</w:t>
      </w:r>
      <w:r>
        <w:rPr>
          <w:rStyle w:val="14"/>
          <w:rFonts w:hint="default" w:ascii="Times New Roman" w:hAnsi="Times New Roman" w:eastAsia="宋体" w:cs="Times New Roman"/>
          <w:color w:val="auto"/>
          <w:sz w:val="24"/>
          <w:szCs w:val="24"/>
          <w:highlight w:val="none"/>
        </w:rPr>
        <w:t>: CCD Classification Levels for China, Its Four Major Economic Regions, and 30 Provincial-Level Administrative Regions, 2007–2022</w:t>
      </w:r>
    </w:p>
    <w:p w14:paraId="1323C8A4">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Note: The numerical codes in the figure correspond to the CCD classification levels defined in Table </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w:t>
      </w:r>
    </w:p>
    <w:p w14:paraId="1467FD60">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jc w:val="left"/>
        <w:textAlignment w:val="auto"/>
        <w:rPr>
          <w:rFonts w:hint="default" w:ascii="Times New Roman" w:hAnsi="Times New Roman" w:eastAsia="宋体" w:cs="Times New Roman"/>
          <w:b/>
          <w:bCs/>
          <w:i/>
          <w:iCs/>
          <w:color w:val="auto"/>
          <w:sz w:val="24"/>
          <w:szCs w:val="24"/>
          <w:highlight w:val="none"/>
        </w:rPr>
      </w:pPr>
      <w:r>
        <w:rPr>
          <w:rFonts w:hint="default" w:ascii="Times New Roman" w:hAnsi="Times New Roman" w:eastAsia="宋体" w:cs="Times New Roman"/>
          <w:b/>
          <w:bCs/>
          <w:i/>
          <w:iCs/>
          <w:color w:val="auto"/>
          <w:sz w:val="24"/>
          <w:szCs w:val="24"/>
          <w:highlight w:val="none"/>
        </w:rPr>
        <w:t xml:space="preserve">Evolution of </w:t>
      </w:r>
      <w:r>
        <w:rPr>
          <w:rFonts w:hint="default" w:ascii="Times New Roman" w:hAnsi="Times New Roman" w:cs="Times New Roman"/>
          <w:b/>
          <w:bCs/>
          <w:i/>
          <w:iCs/>
          <w:color w:val="auto"/>
          <w:sz w:val="24"/>
          <w:szCs w:val="24"/>
          <w:highlight w:val="none"/>
          <w:lang w:val="en-US" w:eastAsia="zh-CN"/>
        </w:rPr>
        <w:t>CCD</w:t>
      </w:r>
      <w:r>
        <w:rPr>
          <w:rFonts w:hint="default" w:ascii="Times New Roman" w:hAnsi="Times New Roman" w:eastAsia="宋体" w:cs="Times New Roman"/>
          <w:b/>
          <w:bCs/>
          <w:i/>
          <w:iCs/>
          <w:color w:val="auto"/>
          <w:sz w:val="24"/>
          <w:szCs w:val="24"/>
          <w:highlight w:val="none"/>
        </w:rPr>
        <w:t xml:space="preserve"> Types</w:t>
      </w:r>
    </w:p>
    <w:p w14:paraId="795AB0EE">
      <w:pPr>
        <w:keepNext w:val="0"/>
        <w:keepLines w:val="0"/>
        <w:pageBreakBefore w:val="0"/>
        <w:widowControl w:val="0"/>
        <w:kinsoku/>
        <w:wordWrap/>
        <w:overflowPunct/>
        <w:topLinePunct w:val="0"/>
        <w:autoSpaceDE/>
        <w:autoSpaceDN/>
        <w:bidi w:val="0"/>
        <w:adjustRightInd w:val="0"/>
        <w:snapToGrid w:val="0"/>
        <w:spacing w:before="240" w:beforeAutospacing="0" w:after="240" w:afterAutospacing="0" w:line="240" w:lineRule="auto"/>
        <w:ind w:firstLine="0" w:firstLineChars="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Figure </w:t>
      </w:r>
      <w:r>
        <w:rPr>
          <w:rFonts w:hint="default"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 xml:space="preserve"> presents changes</w:t>
      </w:r>
      <w:r>
        <w:rPr>
          <w:rFonts w:hint="default" w:ascii="Times New Roman" w:hAnsi="Times New Roman" w:cs="Times New Roman"/>
          <w:color w:val="auto"/>
          <w:sz w:val="24"/>
          <w:szCs w:val="24"/>
          <w:highlight w:val="none"/>
          <w:lang w:val="en-US" w:eastAsia="zh-CN"/>
        </w:rPr>
        <w:t xml:space="preserve"> in CCD</w:t>
      </w:r>
      <w:r>
        <w:rPr>
          <w:rFonts w:hint="default" w:ascii="Times New Roman" w:hAnsi="Times New Roman" w:cs="Times New Roman"/>
          <w:color w:val="auto"/>
          <w:sz w:val="24"/>
          <w:szCs w:val="24"/>
          <w:highlight w:val="none"/>
        </w:rPr>
        <w:t xml:space="preserve"> types</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 xml:space="preserve"> From 2007 to 2022, </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 xml:space="preserve"> provinces consistently </w:t>
      </w:r>
      <w:r>
        <w:rPr>
          <w:rFonts w:hint="default" w:ascii="Times New Roman" w:hAnsi="Times New Roman" w:cs="Times New Roman"/>
          <w:color w:val="auto"/>
          <w:sz w:val="24"/>
          <w:szCs w:val="24"/>
          <w:highlight w:val="none"/>
          <w:lang w:val="en-US" w:eastAsia="zh-CN"/>
        </w:rPr>
        <w:t>are</w:t>
      </w:r>
      <w:r>
        <w:rPr>
          <w:rFonts w:hint="default" w:ascii="Times New Roman" w:hAnsi="Times New Roman" w:cs="Times New Roman"/>
          <w:color w:val="auto"/>
          <w:sz w:val="24"/>
          <w:szCs w:val="24"/>
          <w:highlight w:val="none"/>
        </w:rPr>
        <w:t xml:space="preserve"> the GTI-lagging type</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In these provinces, the growth of GTI did not keep pace with the expansion of FA. The provinces can be grouped into several categories according to their development patterns.</w:t>
      </w:r>
      <w:r>
        <w:rPr>
          <w:rFonts w:hint="default" w:ascii="Times New Roman" w:hAnsi="Times New Roman" w:cs="Times New Roman"/>
          <w:color w:val="auto"/>
          <w:sz w:val="24"/>
          <w:szCs w:val="24"/>
          <w:highlight w:val="none"/>
          <w:lang w:val="en-US" w:eastAsia="zh-CN"/>
        </w:rPr>
        <w:t xml:space="preserve"> (1) </w:t>
      </w:r>
      <w:r>
        <w:rPr>
          <w:rFonts w:hint="default" w:ascii="Times New Roman" w:hAnsi="Times New Roman" w:cs="Times New Roman"/>
          <w:color w:val="auto"/>
          <w:sz w:val="24"/>
          <w:szCs w:val="24"/>
          <w:highlight w:val="none"/>
        </w:rPr>
        <w:t>High-financial-agglomeration regions.</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 xml:space="preserve">Beijing and Shanghai are China's leading financial and innovation centres. Both cities exhibit high levels of </w:t>
      </w:r>
      <w:r>
        <w:rPr>
          <w:rFonts w:hint="default" w:ascii="Times New Roman" w:hAnsi="Times New Roman" w:cs="Times New Roman"/>
          <w:color w:val="auto"/>
          <w:sz w:val="24"/>
          <w:szCs w:val="24"/>
          <w:highlight w:val="none"/>
          <w:lang w:eastAsia="zh-CN"/>
        </w:rPr>
        <w:t>FA</w:t>
      </w:r>
      <w:r>
        <w:rPr>
          <w:rFonts w:hint="default" w:ascii="Times New Roman" w:hAnsi="Times New Roman" w:cs="Times New Roman"/>
          <w:color w:val="auto"/>
          <w:sz w:val="24"/>
          <w:szCs w:val="24"/>
          <w:highlight w:val="none"/>
        </w:rPr>
        <w:t>. However, GTI has grown more slowly than FA, resulting in a GTI-lagging pattern.</w:t>
      </w:r>
      <w:r>
        <w:rPr>
          <w:rFonts w:hint="default" w:ascii="Times New Roman" w:hAnsi="Times New Roman" w:cs="Times New Roman"/>
          <w:color w:val="auto"/>
          <w:sz w:val="24"/>
          <w:szCs w:val="24"/>
          <w:highlight w:val="none"/>
          <w:lang w:val="en-US" w:eastAsia="zh-CN"/>
        </w:rPr>
        <w:t xml:space="preserve"> (2) </w:t>
      </w:r>
      <w:r>
        <w:rPr>
          <w:rFonts w:hint="default" w:ascii="Times New Roman" w:hAnsi="Times New Roman" w:cs="Times New Roman"/>
          <w:color w:val="auto"/>
          <w:sz w:val="24"/>
          <w:szCs w:val="24"/>
          <w:highlight w:val="none"/>
        </w:rPr>
        <w:t>Traditional industrial bases.</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 xml:space="preserve">Hebei and Liaoning are heavily reliant on resource-intensive industries, and their </w:t>
      </w:r>
      <w:r>
        <w:rPr>
          <w:rFonts w:hint="default" w:ascii="Times New Roman" w:hAnsi="Times New Roman" w:cs="Times New Roman"/>
          <w:color w:val="auto"/>
          <w:sz w:val="24"/>
          <w:szCs w:val="24"/>
          <w:highlight w:val="none"/>
          <w:lang w:val="en-US" w:eastAsia="zh-CN"/>
        </w:rPr>
        <w:t>GTI</w:t>
      </w:r>
      <w:r>
        <w:rPr>
          <w:rFonts w:hint="default" w:ascii="Times New Roman" w:hAnsi="Times New Roman" w:cs="Times New Roman"/>
          <w:color w:val="auto"/>
          <w:sz w:val="24"/>
          <w:szCs w:val="24"/>
          <w:highlight w:val="none"/>
        </w:rPr>
        <w:t xml:space="preserve"> foundations are fragile. Trapped by resource path dependence and arduous industrial upgrading tasks, local </w:t>
      </w:r>
      <w:r>
        <w:rPr>
          <w:rFonts w:hint="default" w:ascii="Times New Roman" w:hAnsi="Times New Roman" w:cs="Times New Roman"/>
          <w:color w:val="auto"/>
          <w:sz w:val="24"/>
          <w:szCs w:val="24"/>
          <w:highlight w:val="none"/>
          <w:lang w:val="en-US" w:eastAsia="zh-CN"/>
        </w:rPr>
        <w:t>GTI</w:t>
      </w:r>
      <w:r>
        <w:rPr>
          <w:rFonts w:hint="default" w:ascii="Times New Roman" w:hAnsi="Times New Roman" w:cs="Times New Roman"/>
          <w:color w:val="auto"/>
          <w:sz w:val="24"/>
          <w:szCs w:val="24"/>
          <w:highlight w:val="none"/>
        </w:rPr>
        <w:t xml:space="preserve"> cannot achieve rapid expansion.</w:t>
      </w:r>
      <w:r>
        <w:rPr>
          <w:rFonts w:hint="default" w:ascii="Times New Roman" w:hAnsi="Times New Roman" w:cs="Times New Roman"/>
          <w:color w:val="auto"/>
          <w:sz w:val="24"/>
          <w:szCs w:val="24"/>
          <w:highlight w:val="none"/>
          <w:lang w:val="en-US" w:eastAsia="zh-CN"/>
        </w:rPr>
        <w:t xml:space="preserve"> (3) </w:t>
      </w:r>
      <w:r>
        <w:rPr>
          <w:rFonts w:hint="default" w:ascii="Times New Roman" w:hAnsi="Times New Roman" w:cs="Times New Roman"/>
          <w:color w:val="auto"/>
          <w:sz w:val="24"/>
          <w:szCs w:val="24"/>
          <w:highlight w:val="none"/>
        </w:rPr>
        <w:t>Resource-based economies.</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 xml:space="preserve">Shanxi, Inner Mongolia, Guizhou, Qinghai, Ningxia, and Xinjiang are representative resource-based regions. </w:t>
      </w:r>
      <w:r>
        <w:rPr>
          <w:rFonts w:hint="default" w:ascii="Times New Roman" w:hAnsi="Times New Roman" w:cs="Times New Roman"/>
          <w:color w:val="auto"/>
          <w:sz w:val="24"/>
          <w:szCs w:val="24"/>
          <w:highlight w:val="none"/>
        </w:rPr>
        <w:t>Their economic growth depends on coal, minerals and other natural resources. They have energy-consuming industries which comprise a significant part of the economy. Such situation hinders the development of GTI. (4)</w:t>
      </w:r>
      <w:r>
        <w:rPr>
          <w:rFonts w:hint="default" w:ascii="Times New Roman" w:hAnsi="Times New Roman" w:cs="Times New Roman"/>
          <w:color w:val="auto"/>
          <w:sz w:val="24"/>
          <w:szCs w:val="24"/>
          <w:highlight w:val="none"/>
        </w:rPr>
        <w:t xml:space="preserve"> Ecological resources abundant regions with poor innovation conversion. Guangxi, Chongqing, Sichuan and Yunnan have many resources such as hydroelectric power and forest ecological resources but they cannot convert ecological advantages into GTI output. (5) Traditional industry-based region. Fujian province has a traditional industrial sector which includes textile production, food processing and construction materials production. There is low level of technology in these industries and they do not have enough incentives for GTI investment.</w:t>
      </w:r>
    </w:p>
    <w:p w14:paraId="4D69681E">
      <w:pPr>
        <w:keepNext w:val="0"/>
        <w:keepLines w:val="0"/>
        <w:pageBreakBefore w:val="0"/>
        <w:widowControl w:val="0"/>
        <w:kinsoku/>
        <w:wordWrap/>
        <w:overflowPunct/>
        <w:topLinePunct w:val="0"/>
        <w:autoSpaceDE/>
        <w:autoSpaceDN/>
        <w:bidi w:val="0"/>
        <w:adjustRightInd w:val="0"/>
        <w:snapToGrid w:val="0"/>
        <w:spacing w:before="240" w:after="240" w:line="240" w:lineRule="auto"/>
        <w:ind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The rest of 15 provinces had transitions among three types of CCD during the period from 2007 to 2022. These transitions show that the relationship between FA and GTI was not static. (1) The transition of Tianjin, Jilin and Gansu was between the synchronous type and GTI-lagging type. In the recent years the GTI-lagging type became more typical. FA level was quite stable in these provinces while GTI was changing. (2) The transition of Zhejiang and Guangdong was between the GTI-lagging type and the synchronous type. The latter became more typical in the later years. (3) In case of Henan Province the transition was from the synchronous type to the GTI-lagging type and then to the synchronous type again. (4) Jiangsu, Shandong, Hubei, Anhui and Hunan provinces had transition between the synchronous type and FA-lagging type. Sometimes FA development was slower than GTI development. (5) In Hainan, Jiangxi, Heilongjiang and Shaanxi provinces there were transitions between all three types of CCD. Periodic mismatch between FA and GTI happened in these regions.</w:t>
      </w:r>
    </w:p>
    <w:p w14:paraId="27ACF53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left"/>
        <w:textAlignment w:val="auto"/>
        <w:rPr>
          <w:rFonts w:hint="default" w:ascii="Times New Roman" w:hAnsi="Times New Roman" w:eastAsia="宋体" w:cs="Times New Roman"/>
          <w:b/>
          <w:bCs/>
          <w:i/>
          <w:iCs/>
          <w:color w:val="auto"/>
          <w:sz w:val="24"/>
          <w:szCs w:val="24"/>
          <w:highlight w:val="none"/>
        </w:rPr>
      </w:pPr>
      <w:r>
        <w:rPr>
          <w:rFonts w:hint="default" w:ascii="Times New Roman" w:hAnsi="Times New Roman" w:cs="Times New Roman"/>
          <w:bCs/>
          <w:color w:val="auto"/>
          <w:szCs w:val="21"/>
          <w:highlight w:val="none"/>
        </w:rPr>
        <w:drawing>
          <wp:inline distT="0" distB="0" distL="114300" distR="114300">
            <wp:extent cx="6739255" cy="2630170"/>
            <wp:effectExtent l="0" t="0" r="12065" b="6350"/>
            <wp:docPr id="15" name="图片 15" descr="174704365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7043651773"/>
                    <pic:cNvPicPr>
                      <a:picLocks noChangeAspect="1"/>
                    </pic:cNvPicPr>
                  </pic:nvPicPr>
                  <pic:blipFill>
                    <a:blip r:embed="rId189"/>
                    <a:stretch>
                      <a:fillRect/>
                    </a:stretch>
                  </pic:blipFill>
                  <pic:spPr>
                    <a:xfrm>
                      <a:off x="0" y="0"/>
                      <a:ext cx="6739255" cy="2630170"/>
                    </a:xfrm>
                    <a:prstGeom prst="rect">
                      <a:avLst/>
                    </a:prstGeom>
                  </pic:spPr>
                </pic:pic>
              </a:graphicData>
            </a:graphic>
          </wp:inline>
        </w:drawing>
      </w:r>
    </w:p>
    <w:p w14:paraId="28BA960C">
      <w:pPr>
        <w:keepNext w:val="0"/>
        <w:keepLines w:val="0"/>
        <w:pageBreakBefore w:val="0"/>
        <w:widowControl w:val="0"/>
        <w:tabs>
          <w:tab w:val="left" w:pos="1880"/>
        </w:tabs>
        <w:kinsoku/>
        <w:wordWrap/>
        <w:overflowPunct/>
        <w:topLinePunct w:val="0"/>
        <w:autoSpaceDE/>
        <w:autoSpaceDN/>
        <w:bidi w:val="0"/>
        <w:adjustRightInd w:val="0"/>
        <w:snapToGrid w:val="0"/>
        <w:spacing w:after="0" w:afterLines="0" w:line="240" w:lineRule="auto"/>
        <w:ind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Figure</w:t>
      </w:r>
      <w:r>
        <w:rPr>
          <w:rFonts w:hint="default" w:ascii="Times New Roman" w:hAnsi="Times New Roman" w:cs="Times New Roman"/>
          <w:b/>
          <w:bCs/>
          <w:color w:val="auto"/>
          <w:sz w:val="24"/>
          <w:szCs w:val="24"/>
          <w:highlight w:val="none"/>
          <w:lang w:val="en-US" w:eastAsia="zh-CN"/>
        </w:rPr>
        <w:t xml:space="preserve"> 9:</w:t>
      </w:r>
      <w:r>
        <w:rPr>
          <w:rFonts w:hint="default" w:ascii="Times New Roman" w:hAnsi="Times New Roman" w:eastAsia="宋体" w:cs="Times New Roman"/>
          <w:b/>
          <w:bCs/>
          <w:color w:val="auto"/>
          <w:sz w:val="24"/>
          <w:szCs w:val="24"/>
          <w:highlight w:val="none"/>
        </w:rPr>
        <w:t xml:space="preserve"> CCD Types for 30 Provincial-Level Administrative Regions in China, 2007–2022</w:t>
      </w:r>
    </w:p>
    <w:p w14:paraId="2C8C0393">
      <w:pPr>
        <w:keepNext w:val="0"/>
        <w:keepLines w:val="0"/>
        <w:pageBreakBefore w:val="0"/>
        <w:widowControl w:val="0"/>
        <w:tabs>
          <w:tab w:val="left" w:pos="1880"/>
        </w:tabs>
        <w:kinsoku/>
        <w:wordWrap/>
        <w:overflowPunct/>
        <w:topLinePunct w:val="0"/>
        <w:autoSpaceDE/>
        <w:autoSpaceDN/>
        <w:bidi w:val="0"/>
        <w:adjustRightInd w:val="0"/>
        <w:snapToGrid w:val="0"/>
        <w:spacing w:after="240" w:afterLines="0" w:line="240" w:lineRule="auto"/>
        <w:ind w:firstLine="0" w:firstLineChars="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 xml:space="preserve">Note: Types are defined as follows: 1 = </w:t>
      </w:r>
      <w:r>
        <w:rPr>
          <w:rFonts w:hint="default" w:ascii="Times New Roman" w:hAnsi="Times New Roman" w:cs="Times New Roman"/>
          <w:bCs/>
          <w:color w:val="auto"/>
          <w:sz w:val="24"/>
          <w:szCs w:val="24"/>
          <w:highlight w:val="none"/>
          <w:lang w:eastAsia="zh-CN"/>
        </w:rPr>
        <w:t>FA</w:t>
      </w:r>
      <w:r>
        <w:rPr>
          <w:rFonts w:hint="default" w:ascii="Times New Roman" w:hAnsi="Times New Roman" w:cs="Times New Roman"/>
          <w:bCs/>
          <w:color w:val="auto"/>
          <w:sz w:val="24"/>
          <w:szCs w:val="24"/>
          <w:highlight w:val="none"/>
        </w:rPr>
        <w:t xml:space="preserve"> Lag</w:t>
      </w:r>
      <w:r>
        <w:rPr>
          <w:rFonts w:hint="default" w:ascii="Times New Roman" w:hAnsi="Times New Roman" w:eastAsia="宋体" w:cs="Times New Roman"/>
          <w:bCs/>
          <w:color w:val="auto"/>
          <w:sz w:val="24"/>
          <w:szCs w:val="24"/>
          <w:highlight w:val="none"/>
        </w:rPr>
        <w:t>ging</w:t>
      </w:r>
      <w:r>
        <w:rPr>
          <w:rFonts w:hint="default" w:ascii="Times New Roman" w:hAnsi="Times New Roman" w:cs="Times New Roman"/>
          <w:bCs/>
          <w:color w:val="auto"/>
          <w:sz w:val="24"/>
          <w:szCs w:val="24"/>
          <w:highlight w:val="none"/>
        </w:rPr>
        <w:t xml:space="preserve"> Type, 2 = Synchronous Type, 3 = </w:t>
      </w:r>
      <w:r>
        <w:rPr>
          <w:rFonts w:hint="default" w:ascii="Times New Roman" w:hAnsi="Times New Roman" w:cs="Times New Roman"/>
          <w:bCs/>
          <w:color w:val="auto"/>
          <w:sz w:val="24"/>
          <w:szCs w:val="24"/>
          <w:highlight w:val="none"/>
          <w:lang w:eastAsia="zh-CN"/>
        </w:rPr>
        <w:t>GTI</w:t>
      </w:r>
      <w:r>
        <w:rPr>
          <w:rFonts w:hint="default" w:ascii="Times New Roman" w:hAnsi="Times New Roman" w:cs="Times New Roman"/>
          <w:bCs/>
          <w:color w:val="auto"/>
          <w:sz w:val="24"/>
          <w:szCs w:val="24"/>
          <w:highlight w:val="none"/>
        </w:rPr>
        <w:t xml:space="preserve"> </w:t>
      </w:r>
      <w:r>
        <w:rPr>
          <w:rFonts w:hint="default" w:ascii="Times New Roman" w:hAnsi="Times New Roman" w:eastAsia="宋体" w:cs="Times New Roman"/>
          <w:bCs/>
          <w:color w:val="auto"/>
          <w:sz w:val="24"/>
          <w:szCs w:val="24"/>
          <w:highlight w:val="none"/>
        </w:rPr>
        <w:t xml:space="preserve">Lagging </w:t>
      </w:r>
      <w:r>
        <w:rPr>
          <w:rFonts w:hint="default" w:ascii="Times New Roman" w:hAnsi="Times New Roman" w:cs="Times New Roman"/>
          <w:bCs/>
          <w:color w:val="auto"/>
          <w:sz w:val="24"/>
          <w:szCs w:val="24"/>
          <w:highlight w:val="none"/>
        </w:rPr>
        <w:t>Type.</w:t>
      </w:r>
    </w:p>
    <w:p w14:paraId="2EF6E854">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Spatial Distribution Characteristics of the Coupling Coordination Degree</w:t>
      </w:r>
    </w:p>
    <w:p w14:paraId="7A31A49E">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left"/>
        <w:textAlignment w:val="auto"/>
        <w:rPr>
          <w:rFonts w:hint="default" w:ascii="Times New Roman" w:hAnsi="Times New Roman" w:eastAsia="宋体" w:cs="Times New Roman"/>
          <w:b/>
          <w:bCs/>
          <w:i/>
          <w:iCs/>
          <w:color w:val="auto"/>
          <w:sz w:val="24"/>
          <w:szCs w:val="24"/>
          <w:highlight w:val="none"/>
        </w:rPr>
      </w:pPr>
      <w:r>
        <w:rPr>
          <w:rFonts w:hint="default" w:ascii="Times New Roman" w:hAnsi="Times New Roman" w:eastAsia="宋体" w:cs="Times New Roman"/>
          <w:b/>
          <w:bCs/>
          <w:i/>
          <w:iCs/>
          <w:color w:val="auto"/>
          <w:sz w:val="24"/>
          <w:szCs w:val="24"/>
          <w:highlight w:val="none"/>
        </w:rPr>
        <w:t>Spatial Distribution Patterns</w:t>
      </w:r>
    </w:p>
    <w:p w14:paraId="2DE3E865">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Figure 10 shows the spatial distribution of the CCD in 2007, 2012, 2017, and 2022. Differences could be easily seen across the provinces. All the provinces witnessed an increase in the value of the CCD, even if to different degrees. This reflects greater coordination between the FA and GTI.</w:t>
      </w:r>
    </w:p>
    <w:p w14:paraId="163E703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There were differences in the spatial distribution of the CCD. Provinces in</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Eastern China saw higher CCD levels compared to other regions. Among the provinces in Central and Western China, Hubei and Sichuan showed good results. Only Guangdong Province attained the High-Quality Coordination in 2022. Despite improvements in the CCD, differences existed in the regional context. The East-Central-West trend prevailed, and few provinces managed to reach the high coordination level.</w:t>
      </w:r>
    </w:p>
    <w:p w14:paraId="0C34C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4591050</wp:posOffset>
                </wp:positionH>
                <wp:positionV relativeFrom="paragraph">
                  <wp:posOffset>88265</wp:posOffset>
                </wp:positionV>
                <wp:extent cx="1094105" cy="33337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09410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21024D">
                            <w:pPr>
                              <w:numPr>
                                <w:ilvl w:val="0"/>
                                <w:numId w:val="0"/>
                              </w:numPr>
                              <w:ind w:firstLine="400" w:firstLineChars="200"/>
                              <w:rPr>
                                <w:rFonts w:hint="default" w:eastAsia="宋体"/>
                                <w:sz w:val="20"/>
                                <w:szCs w:val="20"/>
                                <w:lang w:val="en-US" w:eastAsia="zh-CN"/>
                              </w:rPr>
                            </w:pPr>
                            <w:r>
                              <w:rPr>
                                <w:rFonts w:hint="default" w:ascii="Times New Roman" w:hAnsi="Times New Roman" w:eastAsia="宋体" w:cs="宋体"/>
                                <w:kern w:val="0"/>
                                <w:sz w:val="20"/>
                                <w:szCs w:val="20"/>
                                <w:lang w:val="en-US" w:eastAsia="zh-CN" w:bidi="ar-SA"/>
                              </w:rPr>
                              <w:t>(</w:t>
                            </w:r>
                            <w:r>
                              <w:rPr>
                                <w:rFonts w:hint="eastAsia" w:cs="宋体"/>
                                <w:kern w:val="0"/>
                                <w:sz w:val="20"/>
                                <w:szCs w:val="20"/>
                                <w:lang w:val="en-US" w:eastAsia="zh-CN" w:bidi="ar-SA"/>
                              </w:rPr>
                              <w:t>b</w:t>
                            </w:r>
                            <w:r>
                              <w:rPr>
                                <w:rFonts w:hint="default" w:ascii="Times New Roman" w:hAnsi="Times New Roman" w:eastAsia="宋体" w:cs="宋体"/>
                                <w:kern w:val="0"/>
                                <w:sz w:val="20"/>
                                <w:szCs w:val="20"/>
                                <w:lang w:val="en-US" w:eastAsia="zh-CN" w:bidi="ar-SA"/>
                              </w:rPr>
                              <w:t>)</w:t>
                            </w:r>
                            <w:r>
                              <w:rPr>
                                <w:rFonts w:hint="eastAsia" w:cs="宋体"/>
                                <w:kern w:val="0"/>
                                <w:sz w:val="20"/>
                                <w:szCs w:val="20"/>
                                <w:lang w:val="en-US" w:eastAsia="zh-CN" w:bidi="ar-SA"/>
                              </w:rPr>
                              <w:t xml:space="preserve"> </w:t>
                            </w:r>
                            <w:r>
                              <w:rPr>
                                <w:rFonts w:hint="eastAsia"/>
                                <w:sz w:val="20"/>
                                <w:szCs w:val="20"/>
                                <w:lang w:val="en-US" w:eastAsia="zh-CN"/>
                              </w:rPr>
                              <w:t>2012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5pt;margin-top:6.95pt;height:26.25pt;width:86.15pt;z-index:251660288;mso-width-relative:page;mso-height-relative:page;" filled="f" stroked="f" coordsize="21600,21600" o:gfxdata="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ik8FdsAAAAJAQAADwAAAAAAAAABACAAAAAiAAAAZHJz&#10;L2Rvd25yZXYueG1sUEsBAhQAFAAAAAgAh07iQE2jH0s6AgAAZgQAAA4AAAAAAAAAAQAgAAAAKgEA&#10;AGRycy9lMm9Eb2MueG1sUEsFBgAAAAAGAAYAWQEAANYFAAAAAA==&#10;">
                <v:fill on="f" focussize="0,0"/>
                <v:stroke on="f" weight="0.5pt"/>
                <v:imagedata o:title=""/>
                <o:lock v:ext="edit" aspectratio="f"/>
                <v:textbox>
                  <w:txbxContent>
                    <w:p w14:paraId="1921024D">
                      <w:pPr>
                        <w:numPr>
                          <w:ilvl w:val="0"/>
                          <w:numId w:val="0"/>
                        </w:numPr>
                        <w:ind w:firstLine="400" w:firstLineChars="200"/>
                        <w:rPr>
                          <w:rFonts w:hint="default" w:eastAsia="宋体"/>
                          <w:sz w:val="20"/>
                          <w:szCs w:val="20"/>
                          <w:lang w:val="en-US" w:eastAsia="zh-CN"/>
                        </w:rPr>
                      </w:pPr>
                      <w:r>
                        <w:rPr>
                          <w:rFonts w:hint="default" w:ascii="Times New Roman" w:hAnsi="Times New Roman" w:eastAsia="宋体" w:cs="宋体"/>
                          <w:kern w:val="0"/>
                          <w:sz w:val="20"/>
                          <w:szCs w:val="20"/>
                          <w:lang w:val="en-US" w:eastAsia="zh-CN" w:bidi="ar-SA"/>
                        </w:rPr>
                        <w:t>(</w:t>
                      </w:r>
                      <w:r>
                        <w:rPr>
                          <w:rFonts w:hint="eastAsia" w:cs="宋体"/>
                          <w:kern w:val="0"/>
                          <w:sz w:val="20"/>
                          <w:szCs w:val="20"/>
                          <w:lang w:val="en-US" w:eastAsia="zh-CN" w:bidi="ar-SA"/>
                        </w:rPr>
                        <w:t>b</w:t>
                      </w:r>
                      <w:r>
                        <w:rPr>
                          <w:rFonts w:hint="default" w:ascii="Times New Roman" w:hAnsi="Times New Roman" w:eastAsia="宋体" w:cs="宋体"/>
                          <w:kern w:val="0"/>
                          <w:sz w:val="20"/>
                          <w:szCs w:val="20"/>
                          <w:lang w:val="en-US" w:eastAsia="zh-CN" w:bidi="ar-SA"/>
                        </w:rPr>
                        <w:t>)</w:t>
                      </w:r>
                      <w:r>
                        <w:rPr>
                          <w:rFonts w:hint="eastAsia" w:cs="宋体"/>
                          <w:kern w:val="0"/>
                          <w:sz w:val="20"/>
                          <w:szCs w:val="20"/>
                          <w:lang w:val="en-US" w:eastAsia="zh-CN" w:bidi="ar-SA"/>
                        </w:rPr>
                        <w:t xml:space="preserve"> </w:t>
                      </w:r>
                      <w:r>
                        <w:rPr>
                          <w:rFonts w:hint="eastAsia"/>
                          <w:sz w:val="20"/>
                          <w:szCs w:val="20"/>
                          <w:lang w:val="en-US" w:eastAsia="zh-CN"/>
                        </w:rPr>
                        <w:t>2012</w:t>
                      </w:r>
                    </w:p>
                  </w:txbxContent>
                </v:textbox>
              </v:shape>
            </w:pict>
          </mc:Fallback>
        </mc:AlternateContent>
      </w:r>
      <w:r>
        <w:rPr>
          <w:rFonts w:hint="default" w:ascii="Times New Roman" w:hAnsi="Times New Roman" w:eastAsia="宋体" w:cs="Times New Roman"/>
          <w:bCs/>
          <w:color w:val="auto"/>
          <w:szCs w:val="21"/>
          <w:highlight w:val="none"/>
        </w:rPr>
        <w:drawing>
          <wp:inline distT="0" distB="0" distL="114300" distR="114300">
            <wp:extent cx="3178810" cy="2252345"/>
            <wp:effectExtent l="0" t="0" r="6350" b="3175"/>
            <wp:docPr id="37" name="图片 37" descr="CCD-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CD-2007"/>
                    <pic:cNvPicPr>
                      <a:picLocks noChangeAspect="1"/>
                    </pic:cNvPicPr>
                  </pic:nvPicPr>
                  <pic:blipFill>
                    <a:blip r:embed="rId190"/>
                    <a:stretch>
                      <a:fillRect/>
                    </a:stretch>
                  </pic:blipFill>
                  <pic:spPr>
                    <a:xfrm>
                      <a:off x="0" y="0"/>
                      <a:ext cx="3178810" cy="2252345"/>
                    </a:xfrm>
                    <a:prstGeom prst="rect">
                      <a:avLst/>
                    </a:prstGeom>
                  </pic:spPr>
                </pic:pic>
              </a:graphicData>
            </a:graphic>
          </wp:inline>
        </w:drawing>
      </w:r>
      <w:r>
        <w:rPr>
          <w:rFonts w:hint="default" w:ascii="Times New Roman" w:hAnsi="Times New Roman" w:cs="Times New Roman"/>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1183005</wp:posOffset>
                </wp:positionH>
                <wp:positionV relativeFrom="paragraph">
                  <wp:posOffset>74930</wp:posOffset>
                </wp:positionV>
                <wp:extent cx="1094105" cy="3333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09410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C96364">
                            <w:pPr>
                              <w:numPr>
                                <w:ilvl w:val="0"/>
                                <w:numId w:val="1"/>
                              </w:numPr>
                              <w:rPr>
                                <w:rFonts w:hint="default" w:eastAsia="宋体"/>
                                <w:sz w:val="20"/>
                                <w:szCs w:val="20"/>
                                <w:lang w:val="en-US" w:eastAsia="zh-CN"/>
                              </w:rPr>
                            </w:pPr>
                            <w:r>
                              <w:rPr>
                                <w:rFonts w:hint="eastAsia"/>
                                <w:sz w:val="20"/>
                                <w:szCs w:val="20"/>
                                <w:lang w:val="en-US" w:eastAsia="zh-CN"/>
                              </w:rPr>
                              <w:t>2007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15pt;margin-top:5.9pt;height:26.25pt;width:86.15pt;z-index:251659264;mso-width-relative:page;mso-height-relative:page;" filled="f" stroked="f" coordsize="21600,21600" o:gfxdata="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NDd/2QAAAAkBAAAPAAAAAAAAAAEAIAAAACIAAABkcnMv&#10;ZG93bnJldi54bWxQSwECFAAUAAAACACHTuJAybUF4DsCAABmBAAADgAAAAAAAAABACAAAAAoAQAA&#10;ZHJzL2Uyb0RvYy54bWxQSwUGAAAAAAYABgBZAQAA1QUAAAAA&#10;">
                <v:fill on="f" focussize="0,0"/>
                <v:stroke on="f" weight="0.5pt"/>
                <v:imagedata o:title=""/>
                <o:lock v:ext="edit" aspectratio="f"/>
                <v:textbox>
                  <w:txbxContent>
                    <w:p w14:paraId="3BC96364">
                      <w:pPr>
                        <w:numPr>
                          <w:ilvl w:val="0"/>
                          <w:numId w:val="1"/>
                        </w:numPr>
                        <w:rPr>
                          <w:rFonts w:hint="default" w:eastAsia="宋体"/>
                          <w:sz w:val="20"/>
                          <w:szCs w:val="20"/>
                          <w:lang w:val="en-US" w:eastAsia="zh-CN"/>
                        </w:rPr>
                      </w:pPr>
                      <w:r>
                        <w:rPr>
                          <w:rFonts w:hint="eastAsia"/>
                          <w:sz w:val="20"/>
                          <w:szCs w:val="20"/>
                          <w:lang w:val="en-US" w:eastAsia="zh-CN"/>
                        </w:rPr>
                        <w:t>2007</w:t>
                      </w:r>
                    </w:p>
                  </w:txbxContent>
                </v:textbox>
              </v:shape>
            </w:pict>
          </mc:Fallback>
        </mc:AlternateContent>
      </w:r>
      <w:r>
        <w:rPr>
          <w:rFonts w:hint="default" w:ascii="Times New Roman" w:hAnsi="Times New Roman"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rPr>
        <w:drawing>
          <wp:inline distT="0" distB="0" distL="114300" distR="114300">
            <wp:extent cx="3206115" cy="2229485"/>
            <wp:effectExtent l="0" t="0" r="9525" b="10795"/>
            <wp:docPr id="38" name="图片 38" descr="CCD-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CD-2012"/>
                    <pic:cNvPicPr>
                      <a:picLocks noChangeAspect="1"/>
                    </pic:cNvPicPr>
                  </pic:nvPicPr>
                  <pic:blipFill>
                    <a:blip r:embed="rId191"/>
                    <a:stretch>
                      <a:fillRect/>
                    </a:stretch>
                  </pic:blipFill>
                  <pic:spPr>
                    <a:xfrm>
                      <a:off x="0" y="0"/>
                      <a:ext cx="3206115" cy="2229485"/>
                    </a:xfrm>
                    <a:prstGeom prst="rect">
                      <a:avLst/>
                    </a:prstGeom>
                  </pic:spPr>
                </pic:pic>
              </a:graphicData>
            </a:graphic>
          </wp:inline>
        </w:drawing>
      </w:r>
    </w:p>
    <w:p w14:paraId="4194E8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cs="Times New Roman"/>
          <w:bCs/>
          <w:color w:val="auto"/>
          <w:szCs w:val="21"/>
          <w:highlight w:val="none"/>
        </w:rPr>
        <w:drawing>
          <wp:inline distT="0" distB="0" distL="114300" distR="114300">
            <wp:extent cx="3173730" cy="2248535"/>
            <wp:effectExtent l="0" t="0" r="11430" b="6985"/>
            <wp:docPr id="40" name="图片 40" descr="CCD-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CD-2017"/>
                    <pic:cNvPicPr>
                      <a:picLocks noChangeAspect="1"/>
                    </pic:cNvPicPr>
                  </pic:nvPicPr>
                  <pic:blipFill>
                    <a:blip r:embed="rId192"/>
                    <a:stretch>
                      <a:fillRect/>
                    </a:stretch>
                  </pic:blipFill>
                  <pic:spPr>
                    <a:xfrm>
                      <a:off x="0" y="0"/>
                      <a:ext cx="3173730" cy="2248535"/>
                    </a:xfrm>
                    <a:prstGeom prst="rect">
                      <a:avLst/>
                    </a:prstGeom>
                  </pic:spPr>
                </pic:pic>
              </a:graphicData>
            </a:graphic>
          </wp:inline>
        </w:drawing>
      </w:r>
      <w:r>
        <w:rPr>
          <w:rFonts w:hint="default" w:ascii="Times New Roman" w:hAnsi="Times New Roman"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4390390</wp:posOffset>
                </wp:positionH>
                <wp:positionV relativeFrom="paragraph">
                  <wp:posOffset>62865</wp:posOffset>
                </wp:positionV>
                <wp:extent cx="1883410" cy="42354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83410" cy="423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54B76">
                            <w:pPr>
                              <w:rPr>
                                <w:rFonts w:hint="default" w:eastAsia="宋体"/>
                                <w:sz w:val="20"/>
                                <w:szCs w:val="20"/>
                                <w:lang w:val="en-US" w:eastAsia="zh-CN"/>
                              </w:rPr>
                            </w:pPr>
                            <w:r>
                              <w:rPr>
                                <w:rFonts w:hint="eastAsia"/>
                                <w:sz w:val="20"/>
                                <w:szCs w:val="20"/>
                                <w:lang w:val="en-US" w:eastAsia="zh-CN"/>
                              </w:rPr>
                              <w:t>(d ) 2017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7pt;margin-top:4.95pt;height:33.35pt;width:148.3pt;z-index:251662336;mso-width-relative:page;mso-height-relative:page;" filled="f" stroked="f" coordsize="21600,21600" o:gfxdata="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mtgDL2QAAAAgBAAAPAAAAAAAAAAEAIAAAACIAAABkcnMv&#10;ZG93bnJldi54bWxQSwECFAAUAAAACACHTuJA0lnumzsCAABoBAAADgAAAAAAAAABACAAAAAoAQAA&#10;ZHJzL2Uyb0RvYy54bWxQSwUGAAAAAAYABgBZAQAA1QUAAAAA&#10;">
                <v:fill on="f" focussize="0,0"/>
                <v:stroke on="f" weight="0.5pt"/>
                <v:imagedata o:title=""/>
                <o:lock v:ext="edit" aspectratio="f"/>
                <v:textbox>
                  <w:txbxContent>
                    <w:p w14:paraId="0E654B76">
                      <w:pPr>
                        <w:rPr>
                          <w:rFonts w:hint="default" w:eastAsia="宋体"/>
                          <w:sz w:val="20"/>
                          <w:szCs w:val="20"/>
                          <w:lang w:val="en-US" w:eastAsia="zh-CN"/>
                        </w:rPr>
                      </w:pPr>
                      <w:r>
                        <w:rPr>
                          <w:rFonts w:hint="eastAsia"/>
                          <w:sz w:val="20"/>
                          <w:szCs w:val="20"/>
                          <w:lang w:val="en-US" w:eastAsia="zh-CN"/>
                        </w:rPr>
                        <w:t>(d ) 2017</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1134745</wp:posOffset>
                </wp:positionH>
                <wp:positionV relativeFrom="paragraph">
                  <wp:posOffset>55880</wp:posOffset>
                </wp:positionV>
                <wp:extent cx="1883410" cy="423545"/>
                <wp:effectExtent l="0" t="0" r="0" b="0"/>
                <wp:wrapNone/>
                <wp:docPr id="11" name="文本框 11"/>
                <wp:cNvGraphicFramePr/>
                <a:graphic xmlns:a="http://schemas.openxmlformats.org/drawingml/2006/main">
                  <a:graphicData uri="http://schemas.microsoft.com/office/word/2010/wordprocessingShape">
                    <wps:wsp>
                      <wps:cNvSpPr txBox="1"/>
                      <wps:spPr>
                        <a:xfrm>
                          <a:off x="1795780" y="909955"/>
                          <a:ext cx="1883410" cy="423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51699">
                            <w:pPr>
                              <w:rPr>
                                <w:rFonts w:hint="default" w:eastAsia="宋体"/>
                                <w:sz w:val="20"/>
                                <w:szCs w:val="20"/>
                                <w:lang w:val="en-US" w:eastAsia="zh-CN"/>
                              </w:rPr>
                            </w:pPr>
                            <w:r>
                              <w:rPr>
                                <w:rFonts w:hint="eastAsia"/>
                                <w:sz w:val="20"/>
                                <w:szCs w:val="20"/>
                                <w:lang w:val="en-US" w:eastAsia="zh-CN"/>
                              </w:rPr>
                              <w:t>(c) 2017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5pt;margin-top:4.4pt;height:33.35pt;width:148.3pt;z-index:251661312;mso-width-relative:page;mso-height-relative:page;" filled="f" stroked="f" coordsize="21600,21600" o:gfxdata="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BBWGzYAAAACAEAAA8AAAAAAAAAAQAg&#10;AAAAIgAAAGRycy9kb3ducmV2LnhtbFBLAQIUABQAAAAIAIdO4kBMBCnpRwIAAHMEAAAOAAAAAAAA&#10;AAEAIAAAACcBAABkcnMvZTJvRG9jLnhtbFBLBQYAAAAABgAGAFkBAADgBQAAAAA=&#10;">
                <v:fill on="f" focussize="0,0"/>
                <v:stroke on="f" weight="0.5pt"/>
                <v:imagedata o:title=""/>
                <o:lock v:ext="edit" aspectratio="f"/>
                <v:textbox>
                  <w:txbxContent>
                    <w:p w14:paraId="0CE51699">
                      <w:pPr>
                        <w:rPr>
                          <w:rFonts w:hint="default" w:eastAsia="宋体"/>
                          <w:sz w:val="20"/>
                          <w:szCs w:val="20"/>
                          <w:lang w:val="en-US" w:eastAsia="zh-CN"/>
                        </w:rPr>
                      </w:pPr>
                      <w:r>
                        <w:rPr>
                          <w:rFonts w:hint="eastAsia"/>
                          <w:sz w:val="20"/>
                          <w:szCs w:val="20"/>
                          <w:lang w:val="en-US" w:eastAsia="zh-CN"/>
                        </w:rPr>
                        <w:t>(c) 2017</w:t>
                      </w:r>
                    </w:p>
                  </w:txbxContent>
                </v:textbox>
              </v:shape>
            </w:pict>
          </mc:Fallback>
        </mc:AlternateContent>
      </w:r>
      <w:r>
        <w:rPr>
          <w:rFonts w:hint="default" w:ascii="Times New Roman" w:hAnsi="Times New Roman"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rPr>
        <w:drawing>
          <wp:inline distT="0" distB="0" distL="114300" distR="114300">
            <wp:extent cx="3234055" cy="2240915"/>
            <wp:effectExtent l="0" t="0" r="12065" b="14605"/>
            <wp:docPr id="41" name="图片 41" descr="CCD-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CD-2022"/>
                    <pic:cNvPicPr>
                      <a:picLocks noChangeAspect="1"/>
                    </pic:cNvPicPr>
                  </pic:nvPicPr>
                  <pic:blipFill>
                    <a:blip r:embed="rId193"/>
                    <a:stretch>
                      <a:fillRect/>
                    </a:stretch>
                  </pic:blipFill>
                  <pic:spPr>
                    <a:xfrm>
                      <a:off x="0" y="0"/>
                      <a:ext cx="3234055" cy="2240915"/>
                    </a:xfrm>
                    <a:prstGeom prst="rect">
                      <a:avLst/>
                    </a:prstGeom>
                  </pic:spPr>
                </pic:pic>
              </a:graphicData>
            </a:graphic>
          </wp:inline>
        </w:drawing>
      </w:r>
    </w:p>
    <w:p w14:paraId="7215E6DE">
      <w:pPr>
        <w:keepNext w:val="0"/>
        <w:keepLines w:val="0"/>
        <w:pageBreakBefore w:val="0"/>
        <w:widowControl w:val="0"/>
        <w:tabs>
          <w:tab w:val="left" w:pos="1880"/>
        </w:tabs>
        <w:kinsoku/>
        <w:wordWrap/>
        <w:overflowPunct/>
        <w:topLinePunct w:val="0"/>
        <w:autoSpaceDE/>
        <w:autoSpaceDN/>
        <w:bidi w:val="0"/>
        <w:adjustRightInd w:val="0"/>
        <w:snapToGrid w:val="0"/>
        <w:spacing w:after="0" w:afterLines="0" w:line="240" w:lineRule="auto"/>
        <w:ind w:firstLine="0" w:firstLineChars="0"/>
        <w:textAlignment w:val="auto"/>
        <w:rPr>
          <w:rFonts w:hint="default" w:ascii="Times New Roman" w:hAnsi="Times New Roman" w:cs="Times New Roman"/>
          <w:bCs/>
          <w:color w:val="auto"/>
          <w:szCs w:val="21"/>
          <w:highlight w:val="none"/>
        </w:rPr>
      </w:pPr>
      <w:r>
        <w:rPr>
          <w:rFonts w:hint="default" w:ascii="Times New Roman" w:hAnsi="Times New Roman" w:eastAsia="宋体" w:cs="Times New Roman"/>
          <w:b/>
          <w:color w:val="auto"/>
          <w:sz w:val="24"/>
          <w:szCs w:val="24"/>
          <w:highlight w:val="none"/>
        </w:rPr>
        <w:t xml:space="preserve">Figure </w:t>
      </w:r>
      <w:r>
        <w:rPr>
          <w:rFonts w:hint="default" w:ascii="Times New Roman" w:hAnsi="Times New Roman" w:cs="Times New Roman"/>
          <w:b/>
          <w:color w:val="auto"/>
          <w:sz w:val="24"/>
          <w:szCs w:val="24"/>
          <w:highlight w:val="none"/>
          <w:lang w:val="en-US" w:eastAsia="zh-CN"/>
        </w:rPr>
        <w:t>10</w:t>
      </w:r>
      <w:r>
        <w:rPr>
          <w:rFonts w:hint="default" w:ascii="Times New Roman" w:hAnsi="Times New Roman" w:eastAsia="宋体" w:cs="Times New Roman"/>
          <w:b/>
          <w:color w:val="auto"/>
          <w:sz w:val="24"/>
          <w:szCs w:val="24"/>
          <w:highlight w:val="none"/>
        </w:rPr>
        <w:t>: Spatial Distribution of CCD in China</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2007, 2012, 2017, and 2022</w:t>
      </w:r>
    </w:p>
    <w:p w14:paraId="016D4128">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left"/>
        <w:textAlignment w:val="auto"/>
        <w:rPr>
          <w:rFonts w:hint="default" w:ascii="Times New Roman" w:hAnsi="Times New Roman" w:eastAsia="宋体" w:cs="Times New Roman"/>
          <w:b/>
          <w:bCs/>
          <w:i/>
          <w:iCs/>
          <w:color w:val="auto"/>
          <w:sz w:val="24"/>
          <w:szCs w:val="24"/>
          <w:highlight w:val="none"/>
        </w:rPr>
      </w:pPr>
      <w:r>
        <w:rPr>
          <w:rFonts w:hint="default" w:ascii="Times New Roman" w:hAnsi="Times New Roman" w:eastAsia="宋体" w:cs="Times New Roman"/>
          <w:b/>
          <w:bCs/>
          <w:i/>
          <w:iCs/>
          <w:color w:val="auto"/>
          <w:sz w:val="24"/>
          <w:szCs w:val="24"/>
          <w:highlight w:val="none"/>
        </w:rPr>
        <w:t>Global Spatial Autocorrelation Analysis</w:t>
      </w:r>
    </w:p>
    <w:p w14:paraId="5624CEAD">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Table 6 reports the results of the Global Moran's I test. Under all three spatial weight matrices, Moran's I values are positive and significant at the 10% level or better. This points to the presence of positive spatial dependence in CCD. Provinces with similar CCD levels are more likely to be located near each other. As a result, H</w:t>
      </w:r>
      <w:r>
        <w:rPr>
          <w:rFonts w:hint="default" w:ascii="Times New Roman" w:hAnsi="Times New Roman" w:cs="Times New Roman"/>
          <w:color w:val="auto"/>
          <w:highlight w:val="none"/>
          <w:lang w:val="en-US" w:eastAsia="zh-CN"/>
        </w:rPr>
        <w:t>igh-</w:t>
      </w:r>
      <w:r>
        <w:rPr>
          <w:rFonts w:hint="default" w:ascii="Times New Roman" w:hAnsi="Times New Roman" w:cs="Times New Roman"/>
          <w:color w:val="auto"/>
          <w:highlight w:val="none"/>
        </w:rPr>
        <w:t>H</w:t>
      </w:r>
      <w:r>
        <w:rPr>
          <w:rFonts w:hint="default" w:ascii="Times New Roman" w:hAnsi="Times New Roman" w:cs="Times New Roman"/>
          <w:color w:val="auto"/>
          <w:highlight w:val="none"/>
          <w:lang w:val="en-US" w:eastAsia="zh-CN"/>
        </w:rPr>
        <w:t>igh</w:t>
      </w:r>
      <w:r>
        <w:rPr>
          <w:rFonts w:hint="default" w:ascii="Times New Roman" w:hAnsi="Times New Roman" w:cs="Times New Roman"/>
          <w:color w:val="auto"/>
          <w:highlight w:val="none"/>
        </w:rPr>
        <w:t xml:space="preserve"> and L</w:t>
      </w:r>
      <w:r>
        <w:rPr>
          <w:rFonts w:hint="default" w:ascii="Times New Roman" w:hAnsi="Times New Roman" w:cs="Times New Roman"/>
          <w:color w:val="auto"/>
          <w:highlight w:val="none"/>
          <w:lang w:val="en-US" w:eastAsia="zh-CN"/>
        </w:rPr>
        <w:t>ow-</w:t>
      </w:r>
      <w:r>
        <w:rPr>
          <w:rFonts w:hint="default" w:ascii="Times New Roman" w:hAnsi="Times New Roman" w:cs="Times New Roman"/>
          <w:color w:val="auto"/>
          <w:highlight w:val="none"/>
        </w:rPr>
        <w:t>L</w:t>
      </w:r>
      <w:r>
        <w:rPr>
          <w:rFonts w:hint="default" w:ascii="Times New Roman" w:hAnsi="Times New Roman" w:cs="Times New Roman"/>
          <w:color w:val="auto"/>
          <w:highlight w:val="none"/>
          <w:lang w:val="en-US" w:eastAsia="zh-CN"/>
        </w:rPr>
        <w:t>ow</w:t>
      </w:r>
      <w:r>
        <w:rPr>
          <w:rFonts w:hint="default" w:ascii="Times New Roman" w:hAnsi="Times New Roman" w:cs="Times New Roman"/>
          <w:color w:val="auto"/>
          <w:highlight w:val="none"/>
        </w:rPr>
        <w:t>clusters can be observed.</w:t>
      </w:r>
    </w:p>
    <w:p w14:paraId="69C1B2B2">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Moran's I followed different patterns under the three spatial weight matrices. Under the geographic distance matrix, the values showed an overall downward trend. Under the economic distance matrix, the decline was more consistent. Under the spatial contiguity matrix, the values changed only slightly. Spatial clustering remained significant throughout the period, but its strength gradually weakened.</w:t>
      </w:r>
    </w:p>
    <w:p w14:paraId="28BA9619">
      <w:pPr>
        <w:keepNext w:val="0"/>
        <w:keepLines w:val="0"/>
        <w:pageBreakBefore w:val="0"/>
        <w:widowControl w:val="0"/>
        <w:tabs>
          <w:tab w:val="left" w:pos="1880"/>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rPr>
        <w:t xml:space="preserve">Table </w:t>
      </w:r>
      <w:r>
        <w:rPr>
          <w:rFonts w:hint="default" w:ascii="Times New Roman" w:hAnsi="Times New Roman"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w:t>
      </w:r>
      <w:r>
        <w:rPr>
          <w:rFonts w:hint="default" w:ascii="Times New Roman" w:hAnsi="Times New Roman" w:cs="Times New Roman"/>
          <w:b/>
          <w:color w:val="auto"/>
          <w:sz w:val="24"/>
          <w:szCs w:val="24"/>
          <w:highlight w:val="none"/>
        </w:rPr>
        <w:t xml:space="preserve"> Global Moran’s I </w:t>
      </w:r>
      <w:r>
        <w:rPr>
          <w:rFonts w:hint="default" w:ascii="Times New Roman" w:hAnsi="Times New Roman" w:eastAsia="宋体" w:cs="Times New Roman"/>
          <w:b/>
          <w:color w:val="auto"/>
          <w:sz w:val="24"/>
          <w:szCs w:val="24"/>
          <w:highlight w:val="none"/>
        </w:rPr>
        <w:t xml:space="preserve">of </w:t>
      </w:r>
      <w:r>
        <w:rPr>
          <w:rFonts w:hint="default" w:ascii="Times New Roman" w:hAnsi="Times New Roman" w:cs="Times New Roman"/>
          <w:b/>
          <w:color w:val="auto"/>
          <w:sz w:val="24"/>
          <w:szCs w:val="24"/>
          <w:highlight w:val="none"/>
        </w:rPr>
        <w:t>CCD</w:t>
      </w:r>
      <w:r>
        <w:rPr>
          <w:rFonts w:hint="default" w:ascii="Times New Roman" w:hAnsi="Times New Roman" w:eastAsia="宋体" w:cs="Times New Roman"/>
          <w:b/>
          <w:color w:val="auto"/>
          <w:sz w:val="24"/>
          <w:szCs w:val="24"/>
          <w:highlight w:val="none"/>
        </w:rPr>
        <w:t>, 2007–2022</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139"/>
        <w:gridCol w:w="1096"/>
        <w:gridCol w:w="1105"/>
        <w:gridCol w:w="1140"/>
        <w:gridCol w:w="1096"/>
        <w:gridCol w:w="1105"/>
        <w:gridCol w:w="1140"/>
        <w:gridCol w:w="1096"/>
        <w:gridCol w:w="1105"/>
      </w:tblGrid>
      <w:tr w14:paraId="28BA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Merge w:val="restart"/>
            <w:vAlign w:val="center"/>
          </w:tcPr>
          <w:p w14:paraId="28BA961A">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b/>
                <w:bCs/>
                <w:color w:val="auto"/>
                <w:kern w:val="0"/>
                <w:sz w:val="20"/>
                <w:szCs w:val="20"/>
                <w:highlight w:val="none"/>
              </w:rPr>
            </w:pPr>
            <w:r>
              <w:rPr>
                <w:rFonts w:hint="default" w:ascii="Times New Roman" w:hAnsi="Times New Roman" w:eastAsia="等线" w:cs="Times New Roman"/>
                <w:b/>
                <w:bCs/>
                <w:color w:val="auto"/>
                <w:kern w:val="0"/>
                <w:sz w:val="20"/>
                <w:szCs w:val="20"/>
                <w:highlight w:val="none"/>
                <w:lang w:bidi="ar"/>
              </w:rPr>
              <w:t xml:space="preserve">Year </w:t>
            </w:r>
          </w:p>
        </w:tc>
        <w:tc>
          <w:tcPr>
            <w:tcW w:w="1530" w:type="pct"/>
            <w:gridSpan w:val="3"/>
            <w:vAlign w:val="center"/>
          </w:tcPr>
          <w:p w14:paraId="28BA961B">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eastAsia="宋体" w:cs="Times New Roman"/>
                <w:color w:val="auto"/>
                <w:kern w:val="0"/>
                <w:sz w:val="20"/>
                <w:szCs w:val="20"/>
                <w:highlight w:val="none"/>
                <w:lang w:bidi="ar"/>
              </w:rPr>
            </w:pPr>
            <w:r>
              <w:rPr>
                <w:rFonts w:hint="default" w:ascii="Times New Roman" w:hAnsi="Times New Roman" w:cs="Times New Roman"/>
                <w:b/>
                <w:bCs/>
                <w:color w:val="auto"/>
                <w:sz w:val="20"/>
                <w:szCs w:val="20"/>
                <w:highlight w:val="none"/>
                <w:shd w:val="clear" w:color="auto" w:fill="FFFFFF" w:themeFill="background1"/>
              </w:rPr>
              <w:t>Geographic Distance Matrix</w:t>
            </w:r>
            <w:r>
              <w:rPr>
                <w:rFonts w:hint="default" w:ascii="Times New Roman" w:hAnsi="Times New Roman" w:eastAsia="宋体" w:cs="Times New Roman"/>
                <w:b/>
                <w:bCs/>
                <w:color w:val="auto"/>
                <w:sz w:val="20"/>
                <w:szCs w:val="20"/>
                <w:highlight w:val="none"/>
                <w:shd w:val="clear" w:color="auto" w:fill="FFFFFF" w:themeFill="background1"/>
              </w:rPr>
              <w:t xml:space="preserve"> (</w:t>
            </w:r>
            <w:r>
              <w:rPr>
                <w:rFonts w:hint="default" w:ascii="Times New Roman" w:hAnsi="Times New Roman" w:eastAsia="宋体" w:cs="Times New Roman"/>
                <w:b/>
                <w:bCs/>
                <w:color w:val="auto"/>
                <w:position w:val="-14"/>
                <w:sz w:val="20"/>
                <w:szCs w:val="20"/>
                <w:highlight w:val="none"/>
                <w:shd w:val="clear" w:color="auto" w:fill="FFFFFF" w:themeFill="background1"/>
              </w:rPr>
              <w:object>
                <v:shape id="_x0000_i1114" o:spt="75" type="#_x0000_t75" style="height:18pt;width:18pt;" o:ole="t" filled="f" o:preferrelative="t" stroked="f" coordsize="21600,21600">
                  <v:path/>
                  <v:fill on="f" focussize="0,0"/>
                  <v:stroke on="f" joinstyle="miter"/>
                  <v:imagedata r:id="rId195" o:title=""/>
                  <o:lock v:ext="edit" aspectratio="t"/>
                  <w10:wrap type="none"/>
                  <w10:anchorlock/>
                </v:shape>
                <o:OLEObject Type="Embed" ProgID="Equation.DSMT4" ShapeID="_x0000_i1114" DrawAspect="Content" ObjectID="_1468075814" r:id="rId194">
                  <o:LockedField>false</o:LockedField>
                </o:OLEObject>
              </w:object>
            </w:r>
            <w:r>
              <w:rPr>
                <w:rFonts w:hint="default" w:ascii="Times New Roman" w:hAnsi="Times New Roman" w:eastAsia="宋体" w:cs="Times New Roman"/>
                <w:b/>
                <w:bCs/>
                <w:color w:val="auto"/>
                <w:sz w:val="20"/>
                <w:szCs w:val="20"/>
                <w:highlight w:val="none"/>
                <w:shd w:val="clear" w:color="auto" w:fill="FFFFFF" w:themeFill="background1"/>
              </w:rPr>
              <w:t>)</w:t>
            </w:r>
          </w:p>
        </w:tc>
        <w:tc>
          <w:tcPr>
            <w:tcW w:w="1530" w:type="pct"/>
            <w:gridSpan w:val="3"/>
            <w:vAlign w:val="center"/>
          </w:tcPr>
          <w:p w14:paraId="28BA961C">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eastAsia="宋体" w:cs="Times New Roman"/>
                <w:color w:val="auto"/>
                <w:kern w:val="0"/>
                <w:sz w:val="20"/>
                <w:szCs w:val="20"/>
                <w:highlight w:val="none"/>
                <w:lang w:bidi="ar"/>
              </w:rPr>
            </w:pPr>
            <w:r>
              <w:rPr>
                <w:rFonts w:hint="default" w:ascii="Times New Roman" w:hAnsi="Times New Roman" w:cs="Times New Roman"/>
                <w:b/>
                <w:bCs/>
                <w:color w:val="auto"/>
                <w:sz w:val="20"/>
                <w:szCs w:val="20"/>
                <w:highlight w:val="none"/>
                <w:shd w:val="clear" w:color="auto" w:fill="FFFFFF" w:themeFill="background1"/>
              </w:rPr>
              <w:t>Economic Distance Matrix</w:t>
            </w:r>
            <w:r>
              <w:rPr>
                <w:rFonts w:hint="default" w:ascii="Times New Roman" w:hAnsi="Times New Roman" w:eastAsia="宋体" w:cs="Times New Roman"/>
                <w:b/>
                <w:bCs/>
                <w:color w:val="auto"/>
                <w:sz w:val="20"/>
                <w:szCs w:val="20"/>
                <w:highlight w:val="none"/>
                <w:shd w:val="clear" w:color="auto" w:fill="FFFFFF" w:themeFill="background1"/>
              </w:rPr>
              <w:t xml:space="preserve"> (</w:t>
            </w:r>
            <w:r>
              <w:rPr>
                <w:rFonts w:hint="default" w:ascii="Times New Roman" w:hAnsi="Times New Roman" w:eastAsia="宋体" w:cs="Times New Roman"/>
                <w:b/>
                <w:bCs/>
                <w:color w:val="auto"/>
                <w:position w:val="-12"/>
                <w:sz w:val="20"/>
                <w:szCs w:val="20"/>
                <w:highlight w:val="none"/>
                <w:shd w:val="clear" w:color="auto" w:fill="FFFFFF" w:themeFill="background1"/>
              </w:rPr>
              <w:object>
                <v:shape id="_x0000_i1115" o:spt="75" type="#_x0000_t75" style="height:18pt;width:23.8pt;" o:ole="t" filled="f" o:preferrelative="t" stroked="f" coordsize="21600,21600">
                  <v:path/>
                  <v:fill on="f" focussize="0,0"/>
                  <v:stroke on="f" joinstyle="miter"/>
                  <v:imagedata r:id="rId197" o:title=""/>
                  <o:lock v:ext="edit" aspectratio="t"/>
                  <w10:wrap type="none"/>
                  <w10:anchorlock/>
                </v:shape>
                <o:OLEObject Type="Embed" ProgID="Equation.DSMT4" ShapeID="_x0000_i1115" DrawAspect="Content" ObjectID="_1468075815" r:id="rId196">
                  <o:LockedField>false</o:LockedField>
                </o:OLEObject>
              </w:object>
            </w:r>
            <w:r>
              <w:rPr>
                <w:rFonts w:hint="default" w:ascii="Times New Roman" w:hAnsi="Times New Roman" w:eastAsia="宋体" w:cs="Times New Roman"/>
                <w:b/>
                <w:bCs/>
                <w:color w:val="auto"/>
                <w:sz w:val="20"/>
                <w:szCs w:val="20"/>
                <w:highlight w:val="none"/>
                <w:shd w:val="clear" w:color="auto" w:fill="FFFFFF" w:themeFill="background1"/>
              </w:rPr>
              <w:t>)</w:t>
            </w:r>
          </w:p>
        </w:tc>
        <w:tc>
          <w:tcPr>
            <w:tcW w:w="1530" w:type="pct"/>
            <w:gridSpan w:val="3"/>
            <w:vAlign w:val="center"/>
          </w:tcPr>
          <w:p w14:paraId="28BA961D">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eastAsia="宋体" w:cs="Times New Roman"/>
                <w:b/>
                <w:bCs/>
                <w:color w:val="auto"/>
                <w:sz w:val="20"/>
                <w:szCs w:val="20"/>
                <w:highlight w:val="none"/>
                <w:shd w:val="clear" w:color="auto" w:fill="FFFFFF" w:themeFill="background1"/>
              </w:rPr>
            </w:pPr>
            <w:r>
              <w:rPr>
                <w:rFonts w:hint="default" w:ascii="Times New Roman" w:hAnsi="Times New Roman" w:cs="Times New Roman"/>
                <w:b/>
                <w:bCs/>
                <w:color w:val="auto"/>
                <w:sz w:val="20"/>
                <w:szCs w:val="20"/>
                <w:highlight w:val="none"/>
                <w:shd w:val="clear" w:color="auto" w:fill="FFFFFF" w:themeFill="background1"/>
              </w:rPr>
              <w:t xml:space="preserve">Spatial </w:t>
            </w:r>
            <w:r>
              <w:rPr>
                <w:rFonts w:hint="default" w:ascii="Times New Roman" w:hAnsi="Times New Roman" w:eastAsia="宋体" w:cs="Times New Roman"/>
                <w:b/>
                <w:bCs/>
                <w:color w:val="auto"/>
                <w:sz w:val="20"/>
                <w:szCs w:val="20"/>
                <w:highlight w:val="none"/>
                <w:shd w:val="clear" w:color="auto" w:fill="FFFFFF" w:themeFill="background1"/>
              </w:rPr>
              <w:t xml:space="preserve">Contiguity </w:t>
            </w:r>
            <w:r>
              <w:rPr>
                <w:rFonts w:hint="default" w:ascii="Times New Roman" w:hAnsi="Times New Roman" w:cs="Times New Roman"/>
                <w:b/>
                <w:bCs/>
                <w:color w:val="auto"/>
                <w:sz w:val="20"/>
                <w:szCs w:val="20"/>
                <w:highlight w:val="none"/>
                <w:shd w:val="clear" w:color="auto" w:fill="FFFFFF" w:themeFill="background1"/>
              </w:rPr>
              <w:t>Matrix</w:t>
            </w:r>
            <w:r>
              <w:rPr>
                <w:rFonts w:hint="default" w:ascii="Times New Roman" w:hAnsi="Times New Roman" w:eastAsia="宋体" w:cs="Times New Roman"/>
                <w:b/>
                <w:bCs/>
                <w:color w:val="auto"/>
                <w:sz w:val="20"/>
                <w:szCs w:val="20"/>
                <w:highlight w:val="none"/>
                <w:shd w:val="clear" w:color="auto" w:fill="FFFFFF" w:themeFill="background1"/>
              </w:rPr>
              <w:t xml:space="preserve"> (</w:t>
            </w:r>
            <w:r>
              <w:rPr>
                <w:rFonts w:hint="default" w:ascii="Times New Roman" w:hAnsi="Times New Roman" w:eastAsia="宋体" w:cs="Times New Roman"/>
                <w:b/>
                <w:bCs/>
                <w:color w:val="auto"/>
                <w:position w:val="-12"/>
                <w:sz w:val="20"/>
                <w:szCs w:val="20"/>
                <w:highlight w:val="none"/>
                <w:shd w:val="clear" w:color="auto" w:fill="FFFFFF" w:themeFill="background1"/>
              </w:rPr>
              <w:object>
                <v:shape id="_x0000_i1116" o:spt="75" type="#_x0000_t75" style="height:18pt;width:18pt;" o:ole="t" filled="f" o:preferrelative="t" stroked="f" coordsize="21600,21600">
                  <v:path/>
                  <v:fill on="f" focussize="0,0"/>
                  <v:stroke on="f" joinstyle="miter"/>
                  <v:imagedata r:id="rId199" o:title=""/>
                  <o:lock v:ext="edit" aspectratio="t"/>
                  <w10:wrap type="none"/>
                  <w10:anchorlock/>
                </v:shape>
                <o:OLEObject Type="Embed" ProgID="Equation.DSMT4" ShapeID="_x0000_i1116" DrawAspect="Content" ObjectID="_1468075816" r:id="rId198">
                  <o:LockedField>false</o:LockedField>
                </o:OLEObject>
              </w:object>
            </w:r>
            <w:r>
              <w:rPr>
                <w:rFonts w:hint="default" w:ascii="Times New Roman" w:hAnsi="Times New Roman" w:eastAsia="宋体" w:cs="Times New Roman"/>
                <w:b/>
                <w:bCs/>
                <w:color w:val="auto"/>
                <w:sz w:val="20"/>
                <w:szCs w:val="20"/>
                <w:highlight w:val="none"/>
                <w:shd w:val="clear" w:color="auto" w:fill="FFFFFF" w:themeFill="background1"/>
              </w:rPr>
              <w:t>)</w:t>
            </w:r>
          </w:p>
        </w:tc>
      </w:tr>
      <w:tr w14:paraId="28BA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Merge w:val="continue"/>
            <w:vAlign w:val="center"/>
          </w:tcPr>
          <w:p w14:paraId="28BA961F">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p>
        </w:tc>
        <w:tc>
          <w:tcPr>
            <w:tcW w:w="522" w:type="pct"/>
            <w:vAlign w:val="center"/>
          </w:tcPr>
          <w:p w14:paraId="28BA9620">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sz w:val="20"/>
                <w:szCs w:val="20"/>
                <w:highlight w:val="none"/>
              </w:rPr>
              <w:t>Moran’s I</w:t>
            </w:r>
          </w:p>
        </w:tc>
        <w:tc>
          <w:tcPr>
            <w:tcW w:w="502" w:type="pct"/>
            <w:vAlign w:val="center"/>
          </w:tcPr>
          <w:p w14:paraId="28BA9621">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Z-Score</w:t>
            </w:r>
          </w:p>
        </w:tc>
        <w:tc>
          <w:tcPr>
            <w:tcW w:w="505" w:type="pct"/>
            <w:vAlign w:val="center"/>
          </w:tcPr>
          <w:p w14:paraId="28BA9622">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b/>
                <w:bCs/>
                <w:color w:val="auto"/>
                <w:kern w:val="0"/>
                <w:sz w:val="20"/>
                <w:szCs w:val="20"/>
                <w:highlight w:val="none"/>
              </w:rPr>
            </w:pPr>
            <w:r>
              <w:rPr>
                <w:rFonts w:hint="default" w:ascii="Times New Roman" w:hAnsi="Times New Roman" w:eastAsia="等线" w:cs="Times New Roman"/>
                <w:b/>
                <w:bCs/>
                <w:color w:val="auto"/>
                <w:kern w:val="0"/>
                <w:sz w:val="20"/>
                <w:szCs w:val="20"/>
                <w:highlight w:val="none"/>
                <w:lang w:bidi="ar"/>
              </w:rPr>
              <w:t>P-Value</w:t>
            </w:r>
          </w:p>
        </w:tc>
        <w:tc>
          <w:tcPr>
            <w:tcW w:w="522" w:type="pct"/>
            <w:vAlign w:val="center"/>
          </w:tcPr>
          <w:p w14:paraId="28BA9623">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eastAsia="等线" w:cs="Times New Roman"/>
                <w:b/>
                <w:bCs/>
                <w:color w:val="auto"/>
                <w:kern w:val="0"/>
                <w:sz w:val="20"/>
                <w:szCs w:val="20"/>
                <w:highlight w:val="none"/>
                <w:lang w:bidi="ar"/>
              </w:rPr>
            </w:pPr>
            <w:r>
              <w:rPr>
                <w:rFonts w:hint="default" w:ascii="Times New Roman" w:hAnsi="Times New Roman" w:cs="Times New Roman"/>
                <w:b/>
                <w:bCs/>
                <w:color w:val="auto"/>
                <w:sz w:val="20"/>
                <w:szCs w:val="20"/>
                <w:highlight w:val="none"/>
              </w:rPr>
              <w:t>Moran’s I</w:t>
            </w:r>
          </w:p>
        </w:tc>
        <w:tc>
          <w:tcPr>
            <w:tcW w:w="502" w:type="pct"/>
            <w:vAlign w:val="center"/>
          </w:tcPr>
          <w:p w14:paraId="28BA9624">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eastAsia="等线" w:cs="Times New Roman"/>
                <w:b/>
                <w:bCs/>
                <w:color w:val="auto"/>
                <w:kern w:val="0"/>
                <w:sz w:val="20"/>
                <w:szCs w:val="20"/>
                <w:highlight w:val="none"/>
                <w:lang w:bidi="ar"/>
              </w:rPr>
            </w:pPr>
            <w:r>
              <w:rPr>
                <w:rFonts w:hint="default" w:ascii="Times New Roman" w:hAnsi="Times New Roman" w:cs="Times New Roman"/>
                <w:b/>
                <w:bCs/>
                <w:color w:val="auto"/>
                <w:kern w:val="0"/>
                <w:sz w:val="20"/>
                <w:szCs w:val="20"/>
                <w:highlight w:val="none"/>
              </w:rPr>
              <w:t>Z-Score</w:t>
            </w:r>
          </w:p>
        </w:tc>
        <w:tc>
          <w:tcPr>
            <w:tcW w:w="505" w:type="pct"/>
            <w:vAlign w:val="center"/>
          </w:tcPr>
          <w:p w14:paraId="28BA9625">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eastAsia="等线" w:cs="Times New Roman"/>
                <w:b/>
                <w:bCs/>
                <w:color w:val="auto"/>
                <w:kern w:val="0"/>
                <w:sz w:val="20"/>
                <w:szCs w:val="20"/>
                <w:highlight w:val="none"/>
                <w:lang w:bidi="ar"/>
              </w:rPr>
            </w:pPr>
            <w:r>
              <w:rPr>
                <w:rFonts w:hint="default" w:ascii="Times New Roman" w:hAnsi="Times New Roman" w:eastAsia="等线" w:cs="Times New Roman"/>
                <w:b/>
                <w:bCs/>
                <w:color w:val="auto"/>
                <w:kern w:val="0"/>
                <w:sz w:val="20"/>
                <w:szCs w:val="20"/>
                <w:highlight w:val="none"/>
                <w:lang w:bidi="ar"/>
              </w:rPr>
              <w:t>P-Value</w:t>
            </w:r>
          </w:p>
        </w:tc>
        <w:tc>
          <w:tcPr>
            <w:tcW w:w="522" w:type="pct"/>
            <w:vAlign w:val="center"/>
          </w:tcPr>
          <w:p w14:paraId="28BA9626">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eastAsia="等线" w:cs="Times New Roman"/>
                <w:b/>
                <w:bCs/>
                <w:color w:val="auto"/>
                <w:kern w:val="0"/>
                <w:sz w:val="20"/>
                <w:szCs w:val="20"/>
                <w:highlight w:val="none"/>
                <w:lang w:bidi="ar"/>
              </w:rPr>
            </w:pPr>
            <w:r>
              <w:rPr>
                <w:rFonts w:hint="default" w:ascii="Times New Roman" w:hAnsi="Times New Roman" w:cs="Times New Roman"/>
                <w:b/>
                <w:bCs/>
                <w:color w:val="auto"/>
                <w:sz w:val="20"/>
                <w:szCs w:val="20"/>
                <w:highlight w:val="none"/>
              </w:rPr>
              <w:t>Moran’s I</w:t>
            </w:r>
          </w:p>
        </w:tc>
        <w:tc>
          <w:tcPr>
            <w:tcW w:w="502" w:type="pct"/>
            <w:vAlign w:val="center"/>
          </w:tcPr>
          <w:p w14:paraId="28BA9627">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eastAsia="等线" w:cs="Times New Roman"/>
                <w:b/>
                <w:bCs/>
                <w:color w:val="auto"/>
                <w:kern w:val="0"/>
                <w:sz w:val="20"/>
                <w:szCs w:val="20"/>
                <w:highlight w:val="none"/>
                <w:lang w:bidi="ar"/>
              </w:rPr>
            </w:pPr>
            <w:r>
              <w:rPr>
                <w:rFonts w:hint="default" w:ascii="Times New Roman" w:hAnsi="Times New Roman" w:cs="Times New Roman"/>
                <w:b/>
                <w:bCs/>
                <w:color w:val="auto"/>
                <w:kern w:val="0"/>
                <w:sz w:val="20"/>
                <w:szCs w:val="20"/>
                <w:highlight w:val="none"/>
              </w:rPr>
              <w:t>Z-Score</w:t>
            </w:r>
          </w:p>
        </w:tc>
        <w:tc>
          <w:tcPr>
            <w:tcW w:w="506" w:type="pct"/>
            <w:vAlign w:val="center"/>
          </w:tcPr>
          <w:p w14:paraId="28BA9628">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eastAsia="等线" w:cs="Times New Roman"/>
                <w:b/>
                <w:bCs/>
                <w:color w:val="auto"/>
                <w:kern w:val="0"/>
                <w:sz w:val="20"/>
                <w:szCs w:val="20"/>
                <w:highlight w:val="none"/>
                <w:lang w:bidi="ar"/>
              </w:rPr>
            </w:pPr>
            <w:r>
              <w:rPr>
                <w:rFonts w:hint="default" w:ascii="Times New Roman" w:hAnsi="Times New Roman" w:eastAsia="等线" w:cs="Times New Roman"/>
                <w:b/>
                <w:bCs/>
                <w:color w:val="auto"/>
                <w:kern w:val="0"/>
                <w:sz w:val="20"/>
                <w:szCs w:val="20"/>
                <w:highlight w:val="none"/>
                <w:lang w:bidi="ar"/>
              </w:rPr>
              <w:t>P-Value</w:t>
            </w:r>
          </w:p>
        </w:tc>
      </w:tr>
      <w:tr w14:paraId="28BA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2A">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2007 </w:t>
            </w:r>
          </w:p>
        </w:tc>
        <w:tc>
          <w:tcPr>
            <w:tcW w:w="522" w:type="pct"/>
            <w:vAlign w:val="center"/>
          </w:tcPr>
          <w:p w14:paraId="28BA962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0.232 </w:t>
            </w:r>
          </w:p>
        </w:tc>
        <w:tc>
          <w:tcPr>
            <w:tcW w:w="502" w:type="pct"/>
            <w:vAlign w:val="center"/>
          </w:tcPr>
          <w:p w14:paraId="28BA962C">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2.956 </w:t>
            </w:r>
          </w:p>
        </w:tc>
        <w:tc>
          <w:tcPr>
            <w:tcW w:w="505" w:type="pct"/>
            <w:vAlign w:val="center"/>
          </w:tcPr>
          <w:p w14:paraId="28BA962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0.003 </w:t>
            </w:r>
          </w:p>
        </w:tc>
        <w:tc>
          <w:tcPr>
            <w:tcW w:w="522" w:type="pct"/>
            <w:vAlign w:val="center"/>
          </w:tcPr>
          <w:p w14:paraId="28BA962E">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0.312</w:t>
            </w:r>
          </w:p>
        </w:tc>
        <w:tc>
          <w:tcPr>
            <w:tcW w:w="502" w:type="pct"/>
            <w:vAlign w:val="center"/>
          </w:tcPr>
          <w:p w14:paraId="28BA962F">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3.672</w:t>
            </w:r>
          </w:p>
        </w:tc>
        <w:tc>
          <w:tcPr>
            <w:tcW w:w="505" w:type="pct"/>
            <w:vAlign w:val="center"/>
          </w:tcPr>
          <w:p w14:paraId="28BA963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0.000</w:t>
            </w:r>
          </w:p>
        </w:tc>
        <w:tc>
          <w:tcPr>
            <w:tcW w:w="522" w:type="pct"/>
            <w:vAlign w:val="center"/>
          </w:tcPr>
          <w:p w14:paraId="28BA963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0.217 </w:t>
            </w:r>
          </w:p>
        </w:tc>
        <w:tc>
          <w:tcPr>
            <w:tcW w:w="502" w:type="pct"/>
            <w:vAlign w:val="center"/>
          </w:tcPr>
          <w:p w14:paraId="28BA963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2.095 </w:t>
            </w:r>
          </w:p>
        </w:tc>
        <w:tc>
          <w:tcPr>
            <w:tcW w:w="506" w:type="pct"/>
            <w:vAlign w:val="center"/>
          </w:tcPr>
          <w:p w14:paraId="28BA9633">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0.036 </w:t>
            </w:r>
          </w:p>
        </w:tc>
      </w:tr>
      <w:tr w14:paraId="28BA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35">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2008 </w:t>
            </w:r>
          </w:p>
        </w:tc>
        <w:tc>
          <w:tcPr>
            <w:tcW w:w="522" w:type="pct"/>
            <w:vAlign w:val="center"/>
          </w:tcPr>
          <w:p w14:paraId="28BA9636">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0.231 </w:t>
            </w:r>
          </w:p>
        </w:tc>
        <w:tc>
          <w:tcPr>
            <w:tcW w:w="502" w:type="pct"/>
            <w:vAlign w:val="center"/>
          </w:tcPr>
          <w:p w14:paraId="28BA9637">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2.910 </w:t>
            </w:r>
          </w:p>
        </w:tc>
        <w:tc>
          <w:tcPr>
            <w:tcW w:w="505" w:type="pct"/>
            <w:vAlign w:val="center"/>
          </w:tcPr>
          <w:p w14:paraId="28BA963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0.004 </w:t>
            </w:r>
          </w:p>
        </w:tc>
        <w:tc>
          <w:tcPr>
            <w:tcW w:w="522" w:type="pct"/>
            <w:vAlign w:val="center"/>
          </w:tcPr>
          <w:p w14:paraId="28BA963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0.296</w:t>
            </w:r>
          </w:p>
        </w:tc>
        <w:tc>
          <w:tcPr>
            <w:tcW w:w="502" w:type="pct"/>
            <w:vAlign w:val="center"/>
          </w:tcPr>
          <w:p w14:paraId="28BA963A">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3.469</w:t>
            </w:r>
          </w:p>
        </w:tc>
        <w:tc>
          <w:tcPr>
            <w:tcW w:w="505" w:type="pct"/>
            <w:vAlign w:val="center"/>
          </w:tcPr>
          <w:p w14:paraId="28BA963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0.001</w:t>
            </w:r>
          </w:p>
        </w:tc>
        <w:tc>
          <w:tcPr>
            <w:tcW w:w="522" w:type="pct"/>
            <w:vAlign w:val="center"/>
          </w:tcPr>
          <w:p w14:paraId="28BA963C">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0.227 </w:t>
            </w:r>
          </w:p>
        </w:tc>
        <w:tc>
          <w:tcPr>
            <w:tcW w:w="502" w:type="pct"/>
            <w:vAlign w:val="center"/>
          </w:tcPr>
          <w:p w14:paraId="28BA963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2.163 </w:t>
            </w:r>
          </w:p>
        </w:tc>
        <w:tc>
          <w:tcPr>
            <w:tcW w:w="506" w:type="pct"/>
            <w:vAlign w:val="center"/>
          </w:tcPr>
          <w:p w14:paraId="28BA963E">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0.031 </w:t>
            </w:r>
          </w:p>
        </w:tc>
      </w:tr>
      <w:tr w14:paraId="28BA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40">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2009 </w:t>
            </w:r>
          </w:p>
        </w:tc>
        <w:tc>
          <w:tcPr>
            <w:tcW w:w="522" w:type="pct"/>
            <w:vAlign w:val="center"/>
          </w:tcPr>
          <w:p w14:paraId="28BA964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0.222 </w:t>
            </w:r>
          </w:p>
        </w:tc>
        <w:tc>
          <w:tcPr>
            <w:tcW w:w="502" w:type="pct"/>
            <w:vAlign w:val="center"/>
          </w:tcPr>
          <w:p w14:paraId="28BA964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2.805 </w:t>
            </w:r>
          </w:p>
        </w:tc>
        <w:tc>
          <w:tcPr>
            <w:tcW w:w="505" w:type="pct"/>
            <w:vAlign w:val="center"/>
          </w:tcPr>
          <w:p w14:paraId="28BA9643">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0.005 </w:t>
            </w:r>
          </w:p>
        </w:tc>
        <w:tc>
          <w:tcPr>
            <w:tcW w:w="522" w:type="pct"/>
            <w:vAlign w:val="center"/>
          </w:tcPr>
          <w:p w14:paraId="28BA9644">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0.286</w:t>
            </w:r>
          </w:p>
        </w:tc>
        <w:tc>
          <w:tcPr>
            <w:tcW w:w="502" w:type="pct"/>
            <w:vAlign w:val="center"/>
          </w:tcPr>
          <w:p w14:paraId="28BA964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3.353</w:t>
            </w:r>
          </w:p>
        </w:tc>
        <w:tc>
          <w:tcPr>
            <w:tcW w:w="505" w:type="pct"/>
            <w:vAlign w:val="center"/>
          </w:tcPr>
          <w:p w14:paraId="28BA9646">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0.001</w:t>
            </w:r>
          </w:p>
        </w:tc>
        <w:tc>
          <w:tcPr>
            <w:tcW w:w="522" w:type="pct"/>
            <w:vAlign w:val="center"/>
          </w:tcPr>
          <w:p w14:paraId="28BA9647">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0.227 </w:t>
            </w:r>
          </w:p>
        </w:tc>
        <w:tc>
          <w:tcPr>
            <w:tcW w:w="502" w:type="pct"/>
            <w:vAlign w:val="center"/>
          </w:tcPr>
          <w:p w14:paraId="28BA964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2.153 </w:t>
            </w:r>
          </w:p>
        </w:tc>
        <w:tc>
          <w:tcPr>
            <w:tcW w:w="506" w:type="pct"/>
            <w:vAlign w:val="center"/>
          </w:tcPr>
          <w:p w14:paraId="28BA964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0.031 </w:t>
            </w:r>
          </w:p>
        </w:tc>
      </w:tr>
      <w:tr w14:paraId="28BA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4B">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2010 </w:t>
            </w:r>
          </w:p>
        </w:tc>
        <w:tc>
          <w:tcPr>
            <w:tcW w:w="522" w:type="pct"/>
            <w:vAlign w:val="center"/>
          </w:tcPr>
          <w:p w14:paraId="28BA964C">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0.213 </w:t>
            </w:r>
          </w:p>
        </w:tc>
        <w:tc>
          <w:tcPr>
            <w:tcW w:w="502" w:type="pct"/>
            <w:vAlign w:val="center"/>
          </w:tcPr>
          <w:p w14:paraId="28BA964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2.707 </w:t>
            </w:r>
          </w:p>
        </w:tc>
        <w:tc>
          <w:tcPr>
            <w:tcW w:w="505" w:type="pct"/>
            <w:vAlign w:val="center"/>
          </w:tcPr>
          <w:p w14:paraId="28BA964E">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0.007 </w:t>
            </w:r>
          </w:p>
        </w:tc>
        <w:tc>
          <w:tcPr>
            <w:tcW w:w="522" w:type="pct"/>
            <w:vAlign w:val="center"/>
          </w:tcPr>
          <w:p w14:paraId="28BA964F">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0.282</w:t>
            </w:r>
          </w:p>
        </w:tc>
        <w:tc>
          <w:tcPr>
            <w:tcW w:w="502" w:type="pct"/>
            <w:vAlign w:val="center"/>
          </w:tcPr>
          <w:p w14:paraId="28BA965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3.309</w:t>
            </w:r>
          </w:p>
        </w:tc>
        <w:tc>
          <w:tcPr>
            <w:tcW w:w="505" w:type="pct"/>
            <w:vAlign w:val="center"/>
          </w:tcPr>
          <w:p w14:paraId="28BA965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0.001</w:t>
            </w:r>
          </w:p>
        </w:tc>
        <w:tc>
          <w:tcPr>
            <w:tcW w:w="522" w:type="pct"/>
            <w:vAlign w:val="center"/>
          </w:tcPr>
          <w:p w14:paraId="28BA965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0.231 </w:t>
            </w:r>
          </w:p>
        </w:tc>
        <w:tc>
          <w:tcPr>
            <w:tcW w:w="502" w:type="pct"/>
            <w:vAlign w:val="center"/>
          </w:tcPr>
          <w:p w14:paraId="28BA9653">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2.180 </w:t>
            </w:r>
          </w:p>
        </w:tc>
        <w:tc>
          <w:tcPr>
            <w:tcW w:w="506" w:type="pct"/>
            <w:vAlign w:val="center"/>
          </w:tcPr>
          <w:p w14:paraId="28BA9654">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0.029 </w:t>
            </w:r>
          </w:p>
        </w:tc>
      </w:tr>
      <w:tr w14:paraId="28BA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56">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2011 </w:t>
            </w:r>
          </w:p>
        </w:tc>
        <w:tc>
          <w:tcPr>
            <w:tcW w:w="522" w:type="pct"/>
            <w:vAlign w:val="center"/>
          </w:tcPr>
          <w:p w14:paraId="28BA9657">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0.221 </w:t>
            </w:r>
          </w:p>
        </w:tc>
        <w:tc>
          <w:tcPr>
            <w:tcW w:w="502" w:type="pct"/>
            <w:vAlign w:val="center"/>
          </w:tcPr>
          <w:p w14:paraId="28BA965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2.785 </w:t>
            </w:r>
          </w:p>
        </w:tc>
        <w:tc>
          <w:tcPr>
            <w:tcW w:w="505" w:type="pct"/>
            <w:vAlign w:val="center"/>
          </w:tcPr>
          <w:p w14:paraId="28BA965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0.005 </w:t>
            </w:r>
          </w:p>
        </w:tc>
        <w:tc>
          <w:tcPr>
            <w:tcW w:w="522" w:type="pct"/>
            <w:vAlign w:val="center"/>
          </w:tcPr>
          <w:p w14:paraId="28BA965A">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0.279</w:t>
            </w:r>
          </w:p>
        </w:tc>
        <w:tc>
          <w:tcPr>
            <w:tcW w:w="502" w:type="pct"/>
            <w:vAlign w:val="center"/>
          </w:tcPr>
          <w:p w14:paraId="28BA965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3.266</w:t>
            </w:r>
          </w:p>
        </w:tc>
        <w:tc>
          <w:tcPr>
            <w:tcW w:w="505" w:type="pct"/>
            <w:vAlign w:val="center"/>
          </w:tcPr>
          <w:p w14:paraId="28BA965C">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0.001</w:t>
            </w:r>
          </w:p>
        </w:tc>
        <w:tc>
          <w:tcPr>
            <w:tcW w:w="522" w:type="pct"/>
            <w:vAlign w:val="center"/>
          </w:tcPr>
          <w:p w14:paraId="28BA965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0.242 </w:t>
            </w:r>
          </w:p>
        </w:tc>
        <w:tc>
          <w:tcPr>
            <w:tcW w:w="502" w:type="pct"/>
            <w:vAlign w:val="center"/>
          </w:tcPr>
          <w:p w14:paraId="28BA965E">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2.263 </w:t>
            </w:r>
          </w:p>
        </w:tc>
        <w:tc>
          <w:tcPr>
            <w:tcW w:w="506" w:type="pct"/>
            <w:vAlign w:val="center"/>
          </w:tcPr>
          <w:p w14:paraId="28BA965F">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0.024 </w:t>
            </w:r>
          </w:p>
        </w:tc>
      </w:tr>
      <w:tr w14:paraId="28BA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61">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2012 </w:t>
            </w:r>
          </w:p>
        </w:tc>
        <w:tc>
          <w:tcPr>
            <w:tcW w:w="522" w:type="pct"/>
            <w:vAlign w:val="center"/>
          </w:tcPr>
          <w:p w14:paraId="28BA966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0.211 </w:t>
            </w:r>
          </w:p>
        </w:tc>
        <w:tc>
          <w:tcPr>
            <w:tcW w:w="502" w:type="pct"/>
            <w:vAlign w:val="center"/>
          </w:tcPr>
          <w:p w14:paraId="28BA9663">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2.665 </w:t>
            </w:r>
          </w:p>
        </w:tc>
        <w:tc>
          <w:tcPr>
            <w:tcW w:w="505" w:type="pct"/>
            <w:vAlign w:val="center"/>
          </w:tcPr>
          <w:p w14:paraId="28BA9664">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0.008 </w:t>
            </w:r>
          </w:p>
        </w:tc>
        <w:tc>
          <w:tcPr>
            <w:tcW w:w="522" w:type="pct"/>
            <w:vAlign w:val="center"/>
          </w:tcPr>
          <w:p w14:paraId="28BA966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0.276</w:t>
            </w:r>
          </w:p>
        </w:tc>
        <w:tc>
          <w:tcPr>
            <w:tcW w:w="502" w:type="pct"/>
            <w:vAlign w:val="center"/>
          </w:tcPr>
          <w:p w14:paraId="28BA9666">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3.231</w:t>
            </w:r>
          </w:p>
        </w:tc>
        <w:tc>
          <w:tcPr>
            <w:tcW w:w="505" w:type="pct"/>
            <w:vAlign w:val="center"/>
          </w:tcPr>
          <w:p w14:paraId="28BA9667">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0.001</w:t>
            </w:r>
          </w:p>
        </w:tc>
        <w:tc>
          <w:tcPr>
            <w:tcW w:w="522" w:type="pct"/>
            <w:vAlign w:val="center"/>
          </w:tcPr>
          <w:p w14:paraId="28BA966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0.227 </w:t>
            </w:r>
          </w:p>
        </w:tc>
        <w:tc>
          <w:tcPr>
            <w:tcW w:w="502" w:type="pct"/>
            <w:vAlign w:val="center"/>
          </w:tcPr>
          <w:p w14:paraId="28BA966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2.135 </w:t>
            </w:r>
          </w:p>
        </w:tc>
        <w:tc>
          <w:tcPr>
            <w:tcW w:w="506" w:type="pct"/>
            <w:vAlign w:val="center"/>
          </w:tcPr>
          <w:p w14:paraId="28BA966A">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0.033 </w:t>
            </w:r>
          </w:p>
        </w:tc>
      </w:tr>
      <w:tr w14:paraId="28BA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6C">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2013 </w:t>
            </w:r>
          </w:p>
        </w:tc>
        <w:tc>
          <w:tcPr>
            <w:tcW w:w="522" w:type="pct"/>
            <w:vAlign w:val="center"/>
          </w:tcPr>
          <w:p w14:paraId="28BA966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0.212 </w:t>
            </w:r>
          </w:p>
        </w:tc>
        <w:tc>
          <w:tcPr>
            <w:tcW w:w="502" w:type="pct"/>
            <w:vAlign w:val="center"/>
          </w:tcPr>
          <w:p w14:paraId="28BA966E">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2.683 </w:t>
            </w:r>
          </w:p>
        </w:tc>
        <w:tc>
          <w:tcPr>
            <w:tcW w:w="505" w:type="pct"/>
            <w:vAlign w:val="center"/>
          </w:tcPr>
          <w:p w14:paraId="28BA966F">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0.007 </w:t>
            </w:r>
          </w:p>
        </w:tc>
        <w:tc>
          <w:tcPr>
            <w:tcW w:w="522" w:type="pct"/>
            <w:vAlign w:val="center"/>
          </w:tcPr>
          <w:p w14:paraId="28BA967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0.262</w:t>
            </w:r>
          </w:p>
        </w:tc>
        <w:tc>
          <w:tcPr>
            <w:tcW w:w="502" w:type="pct"/>
            <w:vAlign w:val="center"/>
          </w:tcPr>
          <w:p w14:paraId="28BA967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3.091</w:t>
            </w:r>
          </w:p>
        </w:tc>
        <w:tc>
          <w:tcPr>
            <w:tcW w:w="505" w:type="pct"/>
            <w:vAlign w:val="center"/>
          </w:tcPr>
          <w:p w14:paraId="28BA967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0.002</w:t>
            </w:r>
          </w:p>
        </w:tc>
        <w:tc>
          <w:tcPr>
            <w:tcW w:w="522" w:type="pct"/>
            <w:vAlign w:val="center"/>
          </w:tcPr>
          <w:p w14:paraId="28BA9673">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0.237 </w:t>
            </w:r>
          </w:p>
        </w:tc>
        <w:tc>
          <w:tcPr>
            <w:tcW w:w="502" w:type="pct"/>
            <w:vAlign w:val="center"/>
          </w:tcPr>
          <w:p w14:paraId="28BA9674">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2.224 </w:t>
            </w:r>
          </w:p>
        </w:tc>
        <w:tc>
          <w:tcPr>
            <w:tcW w:w="506" w:type="pct"/>
            <w:vAlign w:val="center"/>
          </w:tcPr>
          <w:p w14:paraId="28BA967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0.026 </w:t>
            </w:r>
          </w:p>
        </w:tc>
      </w:tr>
      <w:tr w14:paraId="28BA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77">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2014 </w:t>
            </w:r>
          </w:p>
        </w:tc>
        <w:tc>
          <w:tcPr>
            <w:tcW w:w="522" w:type="pct"/>
            <w:vAlign w:val="center"/>
          </w:tcPr>
          <w:p w14:paraId="28BA967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0.206 </w:t>
            </w:r>
          </w:p>
        </w:tc>
        <w:tc>
          <w:tcPr>
            <w:tcW w:w="502" w:type="pct"/>
            <w:vAlign w:val="center"/>
          </w:tcPr>
          <w:p w14:paraId="28BA967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2.624 </w:t>
            </w:r>
          </w:p>
        </w:tc>
        <w:tc>
          <w:tcPr>
            <w:tcW w:w="505" w:type="pct"/>
            <w:vAlign w:val="center"/>
          </w:tcPr>
          <w:p w14:paraId="28BA967A">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0.009 </w:t>
            </w:r>
          </w:p>
        </w:tc>
        <w:tc>
          <w:tcPr>
            <w:tcW w:w="522" w:type="pct"/>
            <w:vAlign w:val="center"/>
          </w:tcPr>
          <w:p w14:paraId="28BA967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0.260</w:t>
            </w:r>
          </w:p>
        </w:tc>
        <w:tc>
          <w:tcPr>
            <w:tcW w:w="502" w:type="pct"/>
            <w:vAlign w:val="center"/>
          </w:tcPr>
          <w:p w14:paraId="28BA967C">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3.069</w:t>
            </w:r>
          </w:p>
        </w:tc>
        <w:tc>
          <w:tcPr>
            <w:tcW w:w="505" w:type="pct"/>
            <w:vAlign w:val="center"/>
          </w:tcPr>
          <w:p w14:paraId="28BA967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0.002</w:t>
            </w:r>
          </w:p>
        </w:tc>
        <w:tc>
          <w:tcPr>
            <w:tcW w:w="522" w:type="pct"/>
            <w:vAlign w:val="center"/>
          </w:tcPr>
          <w:p w14:paraId="28BA967E">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0.235 </w:t>
            </w:r>
          </w:p>
        </w:tc>
        <w:tc>
          <w:tcPr>
            <w:tcW w:w="502" w:type="pct"/>
            <w:vAlign w:val="center"/>
          </w:tcPr>
          <w:p w14:paraId="28BA967F">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2.212 </w:t>
            </w:r>
          </w:p>
        </w:tc>
        <w:tc>
          <w:tcPr>
            <w:tcW w:w="506" w:type="pct"/>
            <w:vAlign w:val="center"/>
          </w:tcPr>
          <w:p w14:paraId="28BA968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0.027 </w:t>
            </w:r>
          </w:p>
        </w:tc>
      </w:tr>
      <w:tr w14:paraId="28BA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82">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2015 </w:t>
            </w:r>
          </w:p>
        </w:tc>
        <w:tc>
          <w:tcPr>
            <w:tcW w:w="522" w:type="pct"/>
            <w:vAlign w:val="center"/>
          </w:tcPr>
          <w:p w14:paraId="28BA9683">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0.197 </w:t>
            </w:r>
          </w:p>
        </w:tc>
        <w:tc>
          <w:tcPr>
            <w:tcW w:w="502" w:type="pct"/>
            <w:vAlign w:val="center"/>
          </w:tcPr>
          <w:p w14:paraId="28BA9684">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2.524 </w:t>
            </w:r>
          </w:p>
        </w:tc>
        <w:tc>
          <w:tcPr>
            <w:tcW w:w="505" w:type="pct"/>
            <w:vAlign w:val="center"/>
          </w:tcPr>
          <w:p w14:paraId="28BA968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0.012 </w:t>
            </w:r>
          </w:p>
        </w:tc>
        <w:tc>
          <w:tcPr>
            <w:tcW w:w="522" w:type="pct"/>
            <w:vAlign w:val="center"/>
          </w:tcPr>
          <w:p w14:paraId="28BA9686">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0.254</w:t>
            </w:r>
          </w:p>
        </w:tc>
        <w:tc>
          <w:tcPr>
            <w:tcW w:w="502" w:type="pct"/>
            <w:vAlign w:val="center"/>
          </w:tcPr>
          <w:p w14:paraId="28BA9687">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3.015</w:t>
            </w:r>
          </w:p>
        </w:tc>
        <w:tc>
          <w:tcPr>
            <w:tcW w:w="505" w:type="pct"/>
            <w:vAlign w:val="center"/>
          </w:tcPr>
          <w:p w14:paraId="28BA968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0.003</w:t>
            </w:r>
          </w:p>
        </w:tc>
        <w:tc>
          <w:tcPr>
            <w:tcW w:w="522" w:type="pct"/>
            <w:vAlign w:val="center"/>
          </w:tcPr>
          <w:p w14:paraId="28BA968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0.220 </w:t>
            </w:r>
          </w:p>
        </w:tc>
        <w:tc>
          <w:tcPr>
            <w:tcW w:w="502" w:type="pct"/>
            <w:vAlign w:val="center"/>
          </w:tcPr>
          <w:p w14:paraId="28BA968A">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2.088 </w:t>
            </w:r>
          </w:p>
        </w:tc>
        <w:tc>
          <w:tcPr>
            <w:tcW w:w="506" w:type="pct"/>
            <w:vAlign w:val="center"/>
          </w:tcPr>
          <w:p w14:paraId="28BA968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0.037 </w:t>
            </w:r>
          </w:p>
        </w:tc>
      </w:tr>
      <w:tr w14:paraId="28BA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8D">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2016 </w:t>
            </w:r>
          </w:p>
        </w:tc>
        <w:tc>
          <w:tcPr>
            <w:tcW w:w="522" w:type="pct"/>
            <w:vAlign w:val="center"/>
          </w:tcPr>
          <w:p w14:paraId="28BA968E">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0.188 </w:t>
            </w:r>
          </w:p>
        </w:tc>
        <w:tc>
          <w:tcPr>
            <w:tcW w:w="502" w:type="pct"/>
            <w:vAlign w:val="center"/>
          </w:tcPr>
          <w:p w14:paraId="28BA968F">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2.434 </w:t>
            </w:r>
          </w:p>
        </w:tc>
        <w:tc>
          <w:tcPr>
            <w:tcW w:w="505" w:type="pct"/>
            <w:vAlign w:val="center"/>
          </w:tcPr>
          <w:p w14:paraId="28BA969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0.015 </w:t>
            </w:r>
          </w:p>
        </w:tc>
        <w:tc>
          <w:tcPr>
            <w:tcW w:w="522" w:type="pct"/>
            <w:vAlign w:val="center"/>
          </w:tcPr>
          <w:p w14:paraId="28BA969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0.247</w:t>
            </w:r>
          </w:p>
        </w:tc>
        <w:tc>
          <w:tcPr>
            <w:tcW w:w="502" w:type="pct"/>
            <w:vAlign w:val="center"/>
          </w:tcPr>
          <w:p w14:paraId="28BA969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2.944</w:t>
            </w:r>
          </w:p>
        </w:tc>
        <w:tc>
          <w:tcPr>
            <w:tcW w:w="505" w:type="pct"/>
            <w:vAlign w:val="center"/>
          </w:tcPr>
          <w:p w14:paraId="28BA9693">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0.003</w:t>
            </w:r>
          </w:p>
        </w:tc>
        <w:tc>
          <w:tcPr>
            <w:tcW w:w="522" w:type="pct"/>
            <w:vAlign w:val="center"/>
          </w:tcPr>
          <w:p w14:paraId="28BA9694">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0.205 </w:t>
            </w:r>
          </w:p>
        </w:tc>
        <w:tc>
          <w:tcPr>
            <w:tcW w:w="502" w:type="pct"/>
            <w:vAlign w:val="center"/>
          </w:tcPr>
          <w:p w14:paraId="28BA969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1.972 </w:t>
            </w:r>
          </w:p>
        </w:tc>
        <w:tc>
          <w:tcPr>
            <w:tcW w:w="506" w:type="pct"/>
            <w:vAlign w:val="center"/>
          </w:tcPr>
          <w:p w14:paraId="28BA9696">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0.049 </w:t>
            </w:r>
          </w:p>
        </w:tc>
      </w:tr>
      <w:tr w14:paraId="28BA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98">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2017 </w:t>
            </w:r>
          </w:p>
        </w:tc>
        <w:tc>
          <w:tcPr>
            <w:tcW w:w="522" w:type="pct"/>
            <w:vAlign w:val="center"/>
          </w:tcPr>
          <w:p w14:paraId="28BA969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0.177 </w:t>
            </w:r>
          </w:p>
        </w:tc>
        <w:tc>
          <w:tcPr>
            <w:tcW w:w="502" w:type="pct"/>
            <w:vAlign w:val="center"/>
          </w:tcPr>
          <w:p w14:paraId="28BA969A">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2.318 </w:t>
            </w:r>
          </w:p>
        </w:tc>
        <w:tc>
          <w:tcPr>
            <w:tcW w:w="505" w:type="pct"/>
            <w:vAlign w:val="center"/>
          </w:tcPr>
          <w:p w14:paraId="28BA969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0.021 </w:t>
            </w:r>
          </w:p>
        </w:tc>
        <w:tc>
          <w:tcPr>
            <w:tcW w:w="522" w:type="pct"/>
            <w:vAlign w:val="center"/>
          </w:tcPr>
          <w:p w14:paraId="28BA969C">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0.230</w:t>
            </w:r>
          </w:p>
        </w:tc>
        <w:tc>
          <w:tcPr>
            <w:tcW w:w="502" w:type="pct"/>
            <w:vAlign w:val="center"/>
          </w:tcPr>
          <w:p w14:paraId="28BA969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2.765</w:t>
            </w:r>
          </w:p>
        </w:tc>
        <w:tc>
          <w:tcPr>
            <w:tcW w:w="505" w:type="pct"/>
            <w:vAlign w:val="center"/>
          </w:tcPr>
          <w:p w14:paraId="28BA969E">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0.006</w:t>
            </w:r>
          </w:p>
        </w:tc>
        <w:tc>
          <w:tcPr>
            <w:tcW w:w="522" w:type="pct"/>
            <w:vAlign w:val="center"/>
          </w:tcPr>
          <w:p w14:paraId="28BA969F">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0.193 </w:t>
            </w:r>
          </w:p>
        </w:tc>
        <w:tc>
          <w:tcPr>
            <w:tcW w:w="502" w:type="pct"/>
            <w:vAlign w:val="center"/>
          </w:tcPr>
          <w:p w14:paraId="28BA96A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1.874 </w:t>
            </w:r>
          </w:p>
        </w:tc>
        <w:tc>
          <w:tcPr>
            <w:tcW w:w="506" w:type="pct"/>
            <w:vAlign w:val="center"/>
          </w:tcPr>
          <w:p w14:paraId="28BA96A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0.061 </w:t>
            </w:r>
          </w:p>
        </w:tc>
      </w:tr>
      <w:tr w14:paraId="28BA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A3">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2018 </w:t>
            </w:r>
          </w:p>
        </w:tc>
        <w:tc>
          <w:tcPr>
            <w:tcW w:w="522" w:type="pct"/>
            <w:vAlign w:val="center"/>
          </w:tcPr>
          <w:p w14:paraId="28BA96A4">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0.184 </w:t>
            </w:r>
          </w:p>
        </w:tc>
        <w:tc>
          <w:tcPr>
            <w:tcW w:w="502" w:type="pct"/>
            <w:vAlign w:val="center"/>
          </w:tcPr>
          <w:p w14:paraId="28BA96A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2.385 </w:t>
            </w:r>
          </w:p>
        </w:tc>
        <w:tc>
          <w:tcPr>
            <w:tcW w:w="505" w:type="pct"/>
            <w:vAlign w:val="center"/>
          </w:tcPr>
          <w:p w14:paraId="28BA96A6">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0.017 </w:t>
            </w:r>
          </w:p>
        </w:tc>
        <w:tc>
          <w:tcPr>
            <w:tcW w:w="522" w:type="pct"/>
            <w:vAlign w:val="center"/>
          </w:tcPr>
          <w:p w14:paraId="28BA96A7">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0.216</w:t>
            </w:r>
          </w:p>
        </w:tc>
        <w:tc>
          <w:tcPr>
            <w:tcW w:w="502" w:type="pct"/>
            <w:vAlign w:val="center"/>
          </w:tcPr>
          <w:p w14:paraId="28BA96A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2.615</w:t>
            </w:r>
          </w:p>
        </w:tc>
        <w:tc>
          <w:tcPr>
            <w:tcW w:w="505" w:type="pct"/>
            <w:vAlign w:val="center"/>
          </w:tcPr>
          <w:p w14:paraId="28BA96A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0.009</w:t>
            </w:r>
          </w:p>
        </w:tc>
        <w:tc>
          <w:tcPr>
            <w:tcW w:w="522" w:type="pct"/>
            <w:vAlign w:val="center"/>
          </w:tcPr>
          <w:p w14:paraId="28BA96AA">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0.202 </w:t>
            </w:r>
          </w:p>
        </w:tc>
        <w:tc>
          <w:tcPr>
            <w:tcW w:w="502" w:type="pct"/>
            <w:vAlign w:val="center"/>
          </w:tcPr>
          <w:p w14:paraId="28BA96A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1.948 </w:t>
            </w:r>
          </w:p>
        </w:tc>
        <w:tc>
          <w:tcPr>
            <w:tcW w:w="506" w:type="pct"/>
            <w:vAlign w:val="center"/>
          </w:tcPr>
          <w:p w14:paraId="28BA96AC">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0.052 </w:t>
            </w:r>
          </w:p>
        </w:tc>
      </w:tr>
      <w:tr w14:paraId="28BA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AE">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2019 </w:t>
            </w:r>
          </w:p>
        </w:tc>
        <w:tc>
          <w:tcPr>
            <w:tcW w:w="522" w:type="pct"/>
            <w:vAlign w:val="center"/>
          </w:tcPr>
          <w:p w14:paraId="28BA96AF">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0.183 </w:t>
            </w:r>
          </w:p>
        </w:tc>
        <w:tc>
          <w:tcPr>
            <w:tcW w:w="502" w:type="pct"/>
            <w:vAlign w:val="center"/>
          </w:tcPr>
          <w:p w14:paraId="28BA96B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2.382 </w:t>
            </w:r>
          </w:p>
        </w:tc>
        <w:tc>
          <w:tcPr>
            <w:tcW w:w="505" w:type="pct"/>
            <w:vAlign w:val="center"/>
          </w:tcPr>
          <w:p w14:paraId="28BA96B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0.017 </w:t>
            </w:r>
          </w:p>
        </w:tc>
        <w:tc>
          <w:tcPr>
            <w:tcW w:w="522" w:type="pct"/>
            <w:vAlign w:val="center"/>
          </w:tcPr>
          <w:p w14:paraId="28BA96B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0.215</w:t>
            </w:r>
          </w:p>
        </w:tc>
        <w:tc>
          <w:tcPr>
            <w:tcW w:w="502" w:type="pct"/>
            <w:vAlign w:val="center"/>
          </w:tcPr>
          <w:p w14:paraId="28BA96B3">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2.606</w:t>
            </w:r>
          </w:p>
        </w:tc>
        <w:tc>
          <w:tcPr>
            <w:tcW w:w="505" w:type="pct"/>
            <w:vAlign w:val="center"/>
          </w:tcPr>
          <w:p w14:paraId="28BA96B4">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0.009</w:t>
            </w:r>
          </w:p>
        </w:tc>
        <w:tc>
          <w:tcPr>
            <w:tcW w:w="522" w:type="pct"/>
            <w:vAlign w:val="center"/>
          </w:tcPr>
          <w:p w14:paraId="28BA96B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0.201 </w:t>
            </w:r>
          </w:p>
        </w:tc>
        <w:tc>
          <w:tcPr>
            <w:tcW w:w="502" w:type="pct"/>
            <w:vAlign w:val="center"/>
          </w:tcPr>
          <w:p w14:paraId="28BA96B6">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1.937 </w:t>
            </w:r>
          </w:p>
        </w:tc>
        <w:tc>
          <w:tcPr>
            <w:tcW w:w="506" w:type="pct"/>
            <w:vAlign w:val="center"/>
          </w:tcPr>
          <w:p w14:paraId="28BA96B7">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0.053 </w:t>
            </w:r>
          </w:p>
        </w:tc>
      </w:tr>
      <w:tr w14:paraId="28BA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B9">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2020 </w:t>
            </w:r>
          </w:p>
        </w:tc>
        <w:tc>
          <w:tcPr>
            <w:tcW w:w="522" w:type="pct"/>
            <w:vAlign w:val="center"/>
          </w:tcPr>
          <w:p w14:paraId="28BA96BA">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0.187 </w:t>
            </w:r>
          </w:p>
        </w:tc>
        <w:tc>
          <w:tcPr>
            <w:tcW w:w="502" w:type="pct"/>
            <w:vAlign w:val="center"/>
          </w:tcPr>
          <w:p w14:paraId="28BA96B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2.425 </w:t>
            </w:r>
          </w:p>
        </w:tc>
        <w:tc>
          <w:tcPr>
            <w:tcW w:w="505" w:type="pct"/>
            <w:vAlign w:val="center"/>
          </w:tcPr>
          <w:p w14:paraId="28BA96BC">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0.015 </w:t>
            </w:r>
          </w:p>
        </w:tc>
        <w:tc>
          <w:tcPr>
            <w:tcW w:w="522" w:type="pct"/>
            <w:vAlign w:val="center"/>
          </w:tcPr>
          <w:p w14:paraId="28BA96B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0.207</w:t>
            </w:r>
          </w:p>
        </w:tc>
        <w:tc>
          <w:tcPr>
            <w:tcW w:w="502" w:type="pct"/>
            <w:vAlign w:val="center"/>
          </w:tcPr>
          <w:p w14:paraId="28BA96BE">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2.529</w:t>
            </w:r>
          </w:p>
        </w:tc>
        <w:tc>
          <w:tcPr>
            <w:tcW w:w="505" w:type="pct"/>
            <w:vAlign w:val="center"/>
          </w:tcPr>
          <w:p w14:paraId="28BA96BF">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0.011</w:t>
            </w:r>
          </w:p>
        </w:tc>
        <w:tc>
          <w:tcPr>
            <w:tcW w:w="522" w:type="pct"/>
            <w:vAlign w:val="center"/>
          </w:tcPr>
          <w:p w14:paraId="28BA96C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0.210 </w:t>
            </w:r>
          </w:p>
        </w:tc>
        <w:tc>
          <w:tcPr>
            <w:tcW w:w="502" w:type="pct"/>
            <w:vAlign w:val="center"/>
          </w:tcPr>
          <w:p w14:paraId="28BA96C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2.014 </w:t>
            </w:r>
          </w:p>
        </w:tc>
        <w:tc>
          <w:tcPr>
            <w:tcW w:w="506" w:type="pct"/>
            <w:vAlign w:val="center"/>
          </w:tcPr>
          <w:p w14:paraId="28BA96C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0.044 </w:t>
            </w:r>
          </w:p>
        </w:tc>
      </w:tr>
      <w:tr w14:paraId="28BA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C4">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2021 </w:t>
            </w:r>
          </w:p>
        </w:tc>
        <w:tc>
          <w:tcPr>
            <w:tcW w:w="522" w:type="pct"/>
            <w:vAlign w:val="center"/>
          </w:tcPr>
          <w:p w14:paraId="28BA96C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0.190 </w:t>
            </w:r>
          </w:p>
        </w:tc>
        <w:tc>
          <w:tcPr>
            <w:tcW w:w="502" w:type="pct"/>
            <w:vAlign w:val="center"/>
          </w:tcPr>
          <w:p w14:paraId="28BA96C6">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2.450 </w:t>
            </w:r>
          </w:p>
        </w:tc>
        <w:tc>
          <w:tcPr>
            <w:tcW w:w="505" w:type="pct"/>
            <w:vAlign w:val="center"/>
          </w:tcPr>
          <w:p w14:paraId="28BA96C7">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0.014 </w:t>
            </w:r>
          </w:p>
        </w:tc>
        <w:tc>
          <w:tcPr>
            <w:tcW w:w="522" w:type="pct"/>
            <w:vAlign w:val="center"/>
          </w:tcPr>
          <w:p w14:paraId="28BA96C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0.204</w:t>
            </w:r>
          </w:p>
        </w:tc>
        <w:tc>
          <w:tcPr>
            <w:tcW w:w="502" w:type="pct"/>
            <w:vAlign w:val="center"/>
          </w:tcPr>
          <w:p w14:paraId="28BA96C9">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2.495</w:t>
            </w:r>
          </w:p>
        </w:tc>
        <w:tc>
          <w:tcPr>
            <w:tcW w:w="505" w:type="pct"/>
            <w:vAlign w:val="center"/>
          </w:tcPr>
          <w:p w14:paraId="28BA96CA">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0.013</w:t>
            </w:r>
          </w:p>
        </w:tc>
        <w:tc>
          <w:tcPr>
            <w:tcW w:w="522" w:type="pct"/>
            <w:vAlign w:val="center"/>
          </w:tcPr>
          <w:p w14:paraId="28BA96CB">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0.218 </w:t>
            </w:r>
          </w:p>
        </w:tc>
        <w:tc>
          <w:tcPr>
            <w:tcW w:w="502" w:type="pct"/>
            <w:vAlign w:val="center"/>
          </w:tcPr>
          <w:p w14:paraId="28BA96CC">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2.076 </w:t>
            </w:r>
          </w:p>
        </w:tc>
        <w:tc>
          <w:tcPr>
            <w:tcW w:w="506" w:type="pct"/>
            <w:vAlign w:val="center"/>
          </w:tcPr>
          <w:p w14:paraId="28BA96CD">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0.038 </w:t>
            </w:r>
          </w:p>
        </w:tc>
      </w:tr>
      <w:tr w14:paraId="28BA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08" w:type="pct"/>
            <w:vAlign w:val="center"/>
          </w:tcPr>
          <w:p w14:paraId="28BA96CF">
            <w:pPr>
              <w:keepNext w:val="0"/>
              <w:keepLines w:val="0"/>
              <w:pageBreakBefore w:val="0"/>
              <w:suppressLineNumbers w:val="0"/>
              <w:kinsoku/>
              <w:wordWrap/>
              <w:overflowPunct/>
              <w:topLinePunct w:val="0"/>
              <w:autoSpaceDE w:val="0"/>
              <w:autoSpaceDN w:val="0"/>
              <w:bidi w:val="0"/>
              <w:adjustRightInd w:val="0"/>
              <w:snapToGrid w:val="0"/>
              <w:spacing w:beforeAutospacing="0" w:afterAutospacing="0" w:line="240" w:lineRule="auto"/>
              <w:ind w:left="0" w:right="0" w:firstLine="0" w:firstLineChars="0"/>
              <w:jc w:val="center"/>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2022 </w:t>
            </w:r>
          </w:p>
        </w:tc>
        <w:tc>
          <w:tcPr>
            <w:tcW w:w="522" w:type="pct"/>
            <w:vAlign w:val="center"/>
          </w:tcPr>
          <w:p w14:paraId="28BA96D0">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0.198 </w:t>
            </w:r>
          </w:p>
        </w:tc>
        <w:tc>
          <w:tcPr>
            <w:tcW w:w="502" w:type="pct"/>
            <w:vAlign w:val="center"/>
          </w:tcPr>
          <w:p w14:paraId="28BA96D1">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2.530 </w:t>
            </w:r>
          </w:p>
        </w:tc>
        <w:tc>
          <w:tcPr>
            <w:tcW w:w="505" w:type="pct"/>
            <w:vAlign w:val="center"/>
          </w:tcPr>
          <w:p w14:paraId="28BA96D2">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rPr>
            </w:pPr>
            <w:r>
              <w:rPr>
                <w:rFonts w:hint="default" w:ascii="Times New Roman" w:hAnsi="Times New Roman" w:eastAsia="等线" w:cs="Times New Roman"/>
                <w:color w:val="auto"/>
                <w:kern w:val="0"/>
                <w:sz w:val="20"/>
                <w:szCs w:val="20"/>
                <w:highlight w:val="none"/>
                <w:lang w:bidi="ar"/>
              </w:rPr>
              <w:t xml:space="preserve">0.011 </w:t>
            </w:r>
          </w:p>
        </w:tc>
        <w:tc>
          <w:tcPr>
            <w:tcW w:w="522" w:type="pct"/>
            <w:vAlign w:val="center"/>
          </w:tcPr>
          <w:p w14:paraId="28BA96D3">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0.204</w:t>
            </w:r>
          </w:p>
        </w:tc>
        <w:tc>
          <w:tcPr>
            <w:tcW w:w="502" w:type="pct"/>
            <w:vAlign w:val="center"/>
          </w:tcPr>
          <w:p w14:paraId="28BA96D4">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2.490</w:t>
            </w:r>
          </w:p>
        </w:tc>
        <w:tc>
          <w:tcPr>
            <w:tcW w:w="505" w:type="pct"/>
            <w:vAlign w:val="center"/>
          </w:tcPr>
          <w:p w14:paraId="28BA96D5">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0.013</w:t>
            </w:r>
          </w:p>
        </w:tc>
        <w:tc>
          <w:tcPr>
            <w:tcW w:w="522" w:type="pct"/>
            <w:vAlign w:val="center"/>
          </w:tcPr>
          <w:p w14:paraId="28BA96D6">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0.225 </w:t>
            </w:r>
          </w:p>
        </w:tc>
        <w:tc>
          <w:tcPr>
            <w:tcW w:w="502" w:type="pct"/>
            <w:vAlign w:val="center"/>
          </w:tcPr>
          <w:p w14:paraId="28BA96D7">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2.130 </w:t>
            </w:r>
          </w:p>
        </w:tc>
        <w:tc>
          <w:tcPr>
            <w:tcW w:w="506" w:type="pct"/>
            <w:vAlign w:val="center"/>
          </w:tcPr>
          <w:p w14:paraId="28BA96D8">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top"/>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 xml:space="preserve">0.033 </w:t>
            </w:r>
          </w:p>
        </w:tc>
      </w:tr>
    </w:tbl>
    <w:p w14:paraId="5D973454">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left"/>
        <w:textAlignment w:val="auto"/>
        <w:rPr>
          <w:rFonts w:hint="default" w:ascii="Times New Roman" w:hAnsi="Times New Roman" w:eastAsia="宋体" w:cs="Times New Roman"/>
          <w:b/>
          <w:bCs/>
          <w:i/>
          <w:iCs/>
          <w:color w:val="auto"/>
          <w:sz w:val="24"/>
          <w:szCs w:val="24"/>
          <w:highlight w:val="none"/>
        </w:rPr>
      </w:pPr>
      <w:r>
        <w:rPr>
          <w:rFonts w:hint="default" w:ascii="Times New Roman" w:hAnsi="Times New Roman" w:eastAsia="宋体" w:cs="Times New Roman"/>
          <w:b/>
          <w:bCs/>
          <w:i/>
          <w:iCs/>
          <w:color w:val="auto"/>
          <w:sz w:val="24"/>
          <w:szCs w:val="24"/>
          <w:highlight w:val="none"/>
        </w:rPr>
        <w:t>Local Spatial Autocorrelation Analysis</w:t>
      </w:r>
    </w:p>
    <w:p w14:paraId="7CBF3E19">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Local Moran's I was used to examine spatial autocorrelation at the provincial level under the geographic distance, economic distance, and spatial contiguity matrices. Figure 11 reports the LISA cluster maps for 2007 and 2022.</w:t>
      </w:r>
    </w:p>
    <w:p w14:paraId="017A90C6">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eastAsia="宋体" w:cs="Times New Roman"/>
          <w:b w:val="0"/>
          <w:bCs/>
          <w:color w:val="auto"/>
          <w:highlight w:val="none"/>
          <w:lang w:val="en-US" w:eastAsia="zh-CN"/>
        </w:rPr>
      </w:pPr>
      <w:r>
        <w:rPr>
          <w:rStyle w:val="14"/>
          <w:rFonts w:hint="default" w:ascii="Times New Roman" w:hAnsi="Times New Roman" w:cs="Times New Roman"/>
          <w:b w:val="0"/>
          <w:bCs/>
          <w:color w:val="auto"/>
          <w:highlight w:val="none"/>
        </w:rPr>
        <w:t>High–High</w:t>
      </w:r>
      <w:r>
        <w:rPr>
          <w:rStyle w:val="14"/>
          <w:rFonts w:hint="default" w:ascii="Times New Roman" w:hAnsi="Times New Roman" w:cs="Times New Roman"/>
          <w:b w:val="0"/>
          <w:bCs/>
          <w:color w:val="auto"/>
          <w:highlight w:val="none"/>
          <w:lang w:val="en-US" w:eastAsia="zh-CN"/>
        </w:rPr>
        <w:t xml:space="preserve"> </w:t>
      </w:r>
      <w:r>
        <w:rPr>
          <w:rStyle w:val="14"/>
          <w:rFonts w:hint="default" w:ascii="Times New Roman" w:hAnsi="Times New Roman" w:cs="Times New Roman"/>
          <w:b w:val="0"/>
          <w:bCs/>
          <w:color w:val="auto"/>
          <w:highlight w:val="none"/>
        </w:rPr>
        <w:t xml:space="preserve">clusters were </w:t>
      </w:r>
      <w:r>
        <w:rPr>
          <w:rStyle w:val="14"/>
          <w:rFonts w:hint="default" w:ascii="Times New Roman" w:hAnsi="Times New Roman" w:cs="Times New Roman"/>
          <w:b w:val="0"/>
          <w:bCs/>
          <w:color w:val="auto"/>
          <w:highlight w:val="none"/>
          <w:lang w:val="en-US" w:eastAsia="zh-CN"/>
        </w:rPr>
        <w:t>observe</w:t>
      </w:r>
      <w:r>
        <w:rPr>
          <w:rStyle w:val="14"/>
          <w:rFonts w:hint="default" w:ascii="Times New Roman" w:hAnsi="Times New Roman" w:cs="Times New Roman"/>
          <w:b w:val="0"/>
          <w:bCs/>
          <w:color w:val="auto"/>
          <w:highlight w:val="none"/>
        </w:rPr>
        <w:t>d mainly in Eastern China</w:t>
      </w:r>
      <w:r>
        <w:rPr>
          <w:rStyle w:val="14"/>
          <w:rFonts w:hint="default" w:ascii="Times New Roman" w:hAnsi="Times New Roman" w:cs="Times New Roman"/>
          <w:b w:val="0"/>
          <w:bCs/>
          <w:color w:val="auto"/>
          <w:highlight w:val="none"/>
          <w:lang w:val="en-US" w:eastAsia="zh-CN"/>
        </w:rPr>
        <w:t>.</w:t>
      </w:r>
      <w:r>
        <w:rPr>
          <w:rStyle w:val="14"/>
          <w:rFonts w:hint="default" w:ascii="Times New Roman" w:hAnsi="Times New Roman" w:cs="Times New Roman"/>
          <w:b w:val="0"/>
          <w:bCs/>
          <w:color w:val="auto"/>
          <w:highlight w:val="none"/>
        </w:rPr>
        <w:t xml:space="preserve"> Low–Low clusters were more common in Western China. This pattern points to clear spatial clustering in the coordinated development of FA and GTI.</w:t>
      </w:r>
      <w:r>
        <w:rPr>
          <w:rStyle w:val="14"/>
          <w:rFonts w:hint="default" w:ascii="Times New Roman" w:hAnsi="Times New Roman" w:cs="Times New Roman"/>
          <w:b w:val="0"/>
          <w:bCs/>
          <w:color w:val="auto"/>
          <w:highlight w:val="none"/>
          <w:lang w:val="en-US" w:eastAsia="zh-CN"/>
        </w:rPr>
        <w:t xml:space="preserve"> </w:t>
      </w:r>
    </w:p>
    <w:p w14:paraId="7BAF6243">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Style w:val="14"/>
          <w:rFonts w:hint="default" w:ascii="Times New Roman" w:hAnsi="Times New Roman" w:cs="Times New Roman"/>
          <w:b w:val="0"/>
          <w:bCs/>
          <w:color w:val="auto"/>
          <w:highlight w:val="none"/>
        </w:rPr>
      </w:pPr>
      <w:r>
        <w:rPr>
          <w:rStyle w:val="14"/>
          <w:rFonts w:hint="default" w:ascii="Times New Roman" w:hAnsi="Times New Roman" w:cs="Times New Roman"/>
          <w:b w:val="0"/>
          <w:bCs/>
          <w:color w:val="auto"/>
          <w:highlight w:val="none"/>
        </w:rPr>
        <w:t>Under the economic distance matrix, Hainan belonged to the</w:t>
      </w:r>
      <w:r>
        <w:rPr>
          <w:rStyle w:val="14"/>
          <w:rFonts w:hint="default" w:ascii="Times New Roman" w:hAnsi="Times New Roman" w:cs="Times New Roman"/>
          <w:b w:val="0"/>
          <w:bCs/>
          <w:color w:val="auto"/>
          <w:highlight w:val="none"/>
          <w:lang w:val="en-US" w:eastAsia="zh-CN"/>
        </w:rPr>
        <w:t xml:space="preserve"> </w:t>
      </w:r>
      <w:r>
        <w:rPr>
          <w:rStyle w:val="14"/>
          <w:rFonts w:hint="default" w:ascii="Times New Roman" w:hAnsi="Times New Roman" w:cs="Times New Roman"/>
          <w:b w:val="0"/>
          <w:bCs/>
          <w:color w:val="auto"/>
          <w:highlight w:val="none"/>
        </w:rPr>
        <w:t>Low–Low cluster in 2022. Although located in Eastern China, Hainan's economic structure differs from that of the more developed coastal provinces and is closer to that of less-developed regions.</w:t>
      </w:r>
      <w:r>
        <w:rPr>
          <w:rStyle w:val="14"/>
          <w:rFonts w:hint="default" w:ascii="Times New Roman" w:hAnsi="Times New Roman" w:cs="Times New Roman"/>
          <w:b w:val="0"/>
          <w:bCs/>
          <w:color w:val="auto"/>
          <w:highlight w:val="none"/>
        </w:rPr>
        <w:t xml:space="preserve"> </w:t>
      </w:r>
      <w:r>
        <w:rPr>
          <w:rStyle w:val="14"/>
          <w:rFonts w:hint="default" w:ascii="Times New Roman" w:hAnsi="Times New Roman" w:cs="Times New Roman"/>
          <w:b w:val="0"/>
          <w:bCs/>
          <w:color w:val="auto"/>
          <w:highlight w:val="none"/>
        </w:rPr>
        <w:t xml:space="preserve">Both tourism and real estate sectors have continued to play an important part in the economy, although the performance of FA and GTI is still weak. Based on the spatial contiguity matrix, Hainan has been identified as an Low–High </w:t>
      </w:r>
      <w:r>
        <w:rPr>
          <w:rStyle w:val="14"/>
          <w:rFonts w:hint="eastAsia" w:cs="Times New Roman"/>
          <w:b w:val="0"/>
          <w:bCs/>
          <w:color w:val="auto"/>
          <w:highlight w:val="none"/>
          <w:lang w:val="en-US" w:eastAsia="zh-CN"/>
        </w:rPr>
        <w:t>pattern</w:t>
      </w:r>
      <w:r>
        <w:rPr>
          <w:rStyle w:val="14"/>
          <w:rFonts w:hint="default" w:ascii="Times New Roman" w:hAnsi="Times New Roman" w:cs="Times New Roman"/>
          <w:b w:val="0"/>
          <w:bCs/>
          <w:color w:val="auto"/>
          <w:highlight w:val="none"/>
        </w:rPr>
        <w:t>. There is only one adjoining province for Hainan, which is Guangdong, whose CCD level is much higher than Hainan’s.</w:t>
      </w:r>
    </w:p>
    <w:p w14:paraId="2D72C277">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Style w:val="14"/>
          <w:rFonts w:hint="default" w:ascii="Times New Roman" w:hAnsi="Times New Roman" w:cs="Times New Roman"/>
          <w:b w:val="0"/>
          <w:bCs/>
          <w:color w:val="auto"/>
          <w:highlight w:val="none"/>
        </w:rPr>
      </w:pPr>
      <w:r>
        <w:rPr>
          <w:rStyle w:val="14"/>
          <w:rFonts w:hint="default" w:ascii="Times New Roman" w:hAnsi="Times New Roman" w:cs="Times New Roman"/>
          <w:b w:val="0"/>
          <w:bCs/>
          <w:color w:val="auto"/>
          <w:highlight w:val="none"/>
        </w:rPr>
        <w:t xml:space="preserve">Guangdong belongs to the High-Low </w:t>
      </w:r>
      <w:r>
        <w:rPr>
          <w:rStyle w:val="14"/>
          <w:rFonts w:hint="eastAsia" w:cs="Times New Roman"/>
          <w:b w:val="0"/>
          <w:bCs/>
          <w:color w:val="auto"/>
          <w:highlight w:val="none"/>
          <w:lang w:val="en-US" w:eastAsia="zh-CN"/>
        </w:rPr>
        <w:t>pattern</w:t>
      </w:r>
      <w:r>
        <w:rPr>
          <w:rStyle w:val="14"/>
          <w:rFonts w:hint="default" w:ascii="Times New Roman" w:hAnsi="Times New Roman" w:cs="Times New Roman"/>
          <w:b w:val="0"/>
          <w:bCs/>
          <w:color w:val="auto"/>
          <w:highlight w:val="none"/>
        </w:rPr>
        <w:t xml:space="preserve"> based on both the geographic distance and spatial contiguity matrices. Its CCD level is much higher than those of other adjoining provinces. There seems to be no significant spatial spillover effect from Guangdong to other provinces.</w:t>
      </w:r>
    </w:p>
    <w:p w14:paraId="54FCC854">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color w:val="auto"/>
          <w:highlight w:val="none"/>
        </w:rPr>
      </w:pPr>
      <w:r>
        <w:rPr>
          <w:rStyle w:val="14"/>
          <w:rFonts w:hint="eastAsia" w:cs="Times New Roman"/>
          <w:b w:val="0"/>
          <w:bCs/>
          <w:color w:val="auto"/>
          <w:highlight w:val="none"/>
          <w:lang w:val="en-US" w:eastAsia="zh-CN"/>
        </w:rPr>
        <w:t xml:space="preserve">More provinces had statistically significant Local Moran’s I values in 2022 compared to 2007. </w:t>
      </w:r>
      <w:r>
        <w:rPr>
          <w:rFonts w:hint="default" w:ascii="Times New Roman" w:hAnsi="Times New Roman" w:cs="Times New Roman"/>
          <w:color w:val="auto"/>
          <w:highlight w:val="none"/>
        </w:rPr>
        <w:t>This points to stronger local spatial dependence. The coordinated development of FA and GTI became increasingly interconnected across regions. Spatial spillovers and interregional linkages were more evident than before. These findings highlight the importance of regional cooperation and the cross-regional flow of financial and innovation resources.</w:t>
      </w:r>
    </w:p>
    <w:p w14:paraId="3CDBDC3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i/>
          <w:iCs/>
          <w:color w:val="auto"/>
          <w:sz w:val="24"/>
          <w:szCs w:val="24"/>
          <w:highlight w:val="none"/>
        </w:rPr>
      </w:pPr>
      <w:r>
        <w:rPr>
          <w:rFonts w:hint="default" w:ascii="Times New Roman" w:hAnsi="Times New Roman" w:cs="Times New Roman"/>
          <w:color w:val="auto"/>
          <w:sz w:val="20"/>
          <w:highlight w:val="none"/>
        </w:rPr>
        <mc:AlternateContent>
          <mc:Choice Requires="wps">
            <w:drawing>
              <wp:anchor distT="0" distB="0" distL="114300" distR="114300" simplePos="0" relativeHeight="251665408" behindDoc="0" locked="0" layoutInCell="1" allowOverlap="1">
                <wp:simplePos x="0" y="0"/>
                <wp:positionH relativeFrom="column">
                  <wp:posOffset>3000375</wp:posOffset>
                </wp:positionH>
                <wp:positionV relativeFrom="paragraph">
                  <wp:posOffset>1270</wp:posOffset>
                </wp:positionV>
                <wp:extent cx="921385" cy="31178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21385" cy="311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D78CB">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(c) 2007 (</w:t>
                            </w:r>
                            <w:r>
                              <w:rPr>
                                <w:rFonts w:hint="eastAsia"/>
                                <w:i/>
                                <w:iCs/>
                                <w:sz w:val="16"/>
                                <w:szCs w:val="16"/>
                                <w:lang w:val="en-US" w:eastAsia="zh-CN"/>
                              </w:rPr>
                              <w:t>W</w:t>
                            </w:r>
                            <w:r>
                              <w:rPr>
                                <w:rFonts w:hint="eastAsia"/>
                                <w:i/>
                                <w:iCs/>
                                <w:sz w:val="16"/>
                                <w:szCs w:val="16"/>
                                <w:vertAlign w:val="subscript"/>
                                <w:lang w:val="en-US" w:eastAsia="zh-CN"/>
                              </w:rPr>
                              <w:t>eco</w:t>
                            </w:r>
                            <w:r>
                              <w:rPr>
                                <w:rFonts w:hint="eastAsia"/>
                                <w:sz w:val="16"/>
                                <w:szCs w:val="16"/>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25pt;margin-top:0.1pt;height:24.55pt;width:72.55pt;z-index:251665408;mso-width-relative:page;mso-height-relative:page;" filled="f" stroked="f" coordsize="21600,21600" o:gfxdata="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6Dr7nYAAAABwEAAA8AAAAAAAAAAQAgAAAAIgAAAGRycy9k&#10;b3ducmV2LnhtbFBLAQIUABQAAAAIAIdO4kDFlyPPOwIAAGUEAAAOAAAAAAAAAAEAIAAAACcBAABk&#10;cnMvZTJvRG9jLnhtbFBLBQYAAAAABgAGAFkBAADUBQAAAAA=&#10;">
                <v:fill on="f" focussize="0,0"/>
                <v:stroke on="f" weight="0.5pt"/>
                <v:imagedata o:title=""/>
                <o:lock v:ext="edit" aspectratio="f"/>
                <v:textbox>
                  <w:txbxContent>
                    <w:p w14:paraId="3CDD78CB">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(c) 2007 (</w:t>
                      </w:r>
                      <w:r>
                        <w:rPr>
                          <w:rFonts w:hint="eastAsia"/>
                          <w:i/>
                          <w:iCs/>
                          <w:sz w:val="16"/>
                          <w:szCs w:val="16"/>
                          <w:lang w:val="en-US" w:eastAsia="zh-CN"/>
                        </w:rPr>
                        <w:t>W</w:t>
                      </w:r>
                      <w:r>
                        <w:rPr>
                          <w:rFonts w:hint="eastAsia"/>
                          <w:i/>
                          <w:iCs/>
                          <w:sz w:val="16"/>
                          <w:szCs w:val="16"/>
                          <w:vertAlign w:val="subscript"/>
                          <w:lang w:val="en-US" w:eastAsia="zh-CN"/>
                        </w:rPr>
                        <w:t>eco</w:t>
                      </w:r>
                      <w:r>
                        <w:rPr>
                          <w:rFonts w:hint="eastAsia"/>
                          <w:sz w:val="16"/>
                          <w:szCs w:val="16"/>
                          <w:lang w:val="en-US" w:eastAsia="zh-CN"/>
                        </w:rPr>
                        <w:t>)</w:t>
                      </w:r>
                    </w:p>
                  </w:txbxContent>
                </v:textbox>
              </v:shape>
            </w:pict>
          </mc:Fallback>
        </mc:AlternateContent>
      </w:r>
      <w:r>
        <w:rPr>
          <w:rFonts w:hint="default" w:ascii="Times New Roman" w:hAnsi="Times New Roman" w:cs="Times New Roman"/>
          <w:color w:val="auto"/>
          <w:sz w:val="20"/>
          <w:highlight w:val="none"/>
        </w:rPr>
        <mc:AlternateContent>
          <mc:Choice Requires="wps">
            <w:drawing>
              <wp:anchor distT="0" distB="0" distL="114300" distR="114300" simplePos="0" relativeHeight="251667456" behindDoc="0" locked="0" layoutInCell="1" allowOverlap="1">
                <wp:simplePos x="0" y="0"/>
                <wp:positionH relativeFrom="column">
                  <wp:posOffset>5052060</wp:posOffset>
                </wp:positionH>
                <wp:positionV relativeFrom="paragraph">
                  <wp:posOffset>46990</wp:posOffset>
                </wp:positionV>
                <wp:extent cx="921385" cy="31178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21385" cy="311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2209F">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(e) 2007 (</w:t>
                            </w:r>
                            <w:r>
                              <w:rPr>
                                <w:rFonts w:hint="eastAsia"/>
                                <w:i/>
                                <w:iCs/>
                                <w:sz w:val="16"/>
                                <w:szCs w:val="16"/>
                                <w:lang w:val="en-US" w:eastAsia="zh-CN"/>
                              </w:rPr>
                              <w:t>W</w:t>
                            </w:r>
                            <w:r>
                              <w:rPr>
                                <w:rFonts w:hint="eastAsia"/>
                                <w:i/>
                                <w:iCs/>
                                <w:sz w:val="16"/>
                                <w:szCs w:val="16"/>
                                <w:vertAlign w:val="subscript"/>
                                <w:lang w:val="en-US" w:eastAsia="zh-CN"/>
                              </w:rPr>
                              <w:t>01</w:t>
                            </w:r>
                            <w:r>
                              <w:rPr>
                                <w:rFonts w:hint="eastAsia"/>
                                <w:sz w:val="16"/>
                                <w:szCs w:val="16"/>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8pt;margin-top:3.7pt;height:24.55pt;width:72.55pt;z-index:251667456;mso-width-relative:page;mso-height-relative:page;" filled="f" stroked="f" coordsize="21600,21600" o:gfxdata="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EHwRtoAAAAIAQAADwAAAAAAAAABACAAAAAiAAAAZHJz&#10;L2Rvd25yZXYueG1sUEsBAhQAFAAAAAgAh07iQBU2lmI7AgAAZwQAAA4AAAAAAAAAAQAgAAAAKQEA&#10;AGRycy9lMm9Eb2MueG1sUEsFBgAAAAAGAAYAWQEAANYFAAAAAA==&#10;">
                <v:fill on="f" focussize="0,0"/>
                <v:stroke on="f" weight="0.5pt"/>
                <v:imagedata o:title=""/>
                <o:lock v:ext="edit" aspectratio="f"/>
                <v:textbox>
                  <w:txbxContent>
                    <w:p w14:paraId="7FF2209F">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(e) 2007 (</w:t>
                      </w:r>
                      <w:r>
                        <w:rPr>
                          <w:rFonts w:hint="eastAsia"/>
                          <w:i/>
                          <w:iCs/>
                          <w:sz w:val="16"/>
                          <w:szCs w:val="16"/>
                          <w:lang w:val="en-US" w:eastAsia="zh-CN"/>
                        </w:rPr>
                        <w:t>W</w:t>
                      </w:r>
                      <w:r>
                        <w:rPr>
                          <w:rFonts w:hint="eastAsia"/>
                          <w:i/>
                          <w:iCs/>
                          <w:sz w:val="16"/>
                          <w:szCs w:val="16"/>
                          <w:vertAlign w:val="subscript"/>
                          <w:lang w:val="en-US" w:eastAsia="zh-CN"/>
                        </w:rPr>
                        <w:t>01</w:t>
                      </w:r>
                      <w:r>
                        <w:rPr>
                          <w:rFonts w:hint="eastAsia"/>
                          <w:sz w:val="16"/>
                          <w:szCs w:val="16"/>
                          <w:lang w:val="en-US" w:eastAsia="zh-CN"/>
                        </w:rPr>
                        <w:t>)</w:t>
                      </w:r>
                    </w:p>
                  </w:txbxContent>
                </v:textbox>
              </v:shape>
            </w:pict>
          </mc:Fallback>
        </mc:AlternateContent>
      </w:r>
      <w:r>
        <w:rPr>
          <w:rFonts w:hint="default" w:ascii="Times New Roman" w:hAnsi="Times New Roman" w:cs="Times New Roman"/>
          <w:color w:val="auto"/>
          <w:sz w:val="20"/>
          <w:highlight w:val="none"/>
        </w:rPr>
        <mc:AlternateContent>
          <mc:Choice Requires="wps">
            <w:drawing>
              <wp:anchor distT="0" distB="0" distL="114300" distR="114300" simplePos="0" relativeHeight="251663360" behindDoc="0" locked="0" layoutInCell="1" allowOverlap="1">
                <wp:simplePos x="0" y="0"/>
                <wp:positionH relativeFrom="column">
                  <wp:posOffset>694690</wp:posOffset>
                </wp:positionH>
                <wp:positionV relativeFrom="paragraph">
                  <wp:posOffset>12065</wp:posOffset>
                </wp:positionV>
                <wp:extent cx="914400" cy="311785"/>
                <wp:effectExtent l="0" t="0" r="0" b="0"/>
                <wp:wrapNone/>
                <wp:docPr id="2" name="文本框 2"/>
                <wp:cNvGraphicFramePr/>
                <a:graphic xmlns:a="http://schemas.openxmlformats.org/drawingml/2006/main">
                  <a:graphicData uri="http://schemas.microsoft.com/office/word/2010/wordprocessingShape">
                    <wps:wsp>
                      <wps:cNvSpPr txBox="1"/>
                      <wps:spPr>
                        <a:xfrm>
                          <a:off x="1341755" y="7432675"/>
                          <a:ext cx="914400" cy="311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08B3A">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(a) 2007 (</w:t>
                            </w:r>
                            <w:r>
                              <w:rPr>
                                <w:rFonts w:hint="eastAsia"/>
                                <w:i/>
                                <w:iCs/>
                                <w:sz w:val="16"/>
                                <w:szCs w:val="16"/>
                                <w:lang w:val="en-US" w:eastAsia="zh-CN"/>
                              </w:rPr>
                              <w:t>W</w:t>
                            </w:r>
                            <w:r>
                              <w:rPr>
                                <w:rFonts w:hint="eastAsia"/>
                                <w:i/>
                                <w:iCs/>
                                <w:sz w:val="16"/>
                                <w:szCs w:val="16"/>
                                <w:vertAlign w:val="subscript"/>
                                <w:lang w:val="en-US" w:eastAsia="zh-CN"/>
                              </w:rPr>
                              <w:t>d2</w:t>
                            </w:r>
                            <w:r>
                              <w:rPr>
                                <w:rFonts w:hint="eastAsia"/>
                                <w:sz w:val="16"/>
                                <w:szCs w:val="16"/>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7pt;margin-top:0.95pt;height:24.55pt;width:72pt;z-index:251663360;mso-width-relative:page;mso-height-relative:page;" filled="f" stroked="f" coordsize="21600,21600" o:gfxdata="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MO5ZbYAAAACAEAAA8AAAAAAAAAAQAg&#10;AAAAIgAAAGRycy9kb3ducmV2LnhtbFBLAQIUABQAAAAIAIdO4kCZmd4WRwIAAHEEAAAOAAAAAAAA&#10;AAEAIAAAACcBAABkcnMvZTJvRG9jLnhtbFBLBQYAAAAABgAGAFkBAADgBQAAAAA=&#10;">
                <v:fill on="f" focussize="0,0"/>
                <v:stroke on="f" weight="0.5pt"/>
                <v:imagedata o:title=""/>
                <o:lock v:ext="edit" aspectratio="f"/>
                <v:textbox>
                  <w:txbxContent>
                    <w:p w14:paraId="2FB08B3A">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(a) 2007 (</w:t>
                      </w:r>
                      <w:r>
                        <w:rPr>
                          <w:rFonts w:hint="eastAsia"/>
                          <w:i/>
                          <w:iCs/>
                          <w:sz w:val="16"/>
                          <w:szCs w:val="16"/>
                          <w:lang w:val="en-US" w:eastAsia="zh-CN"/>
                        </w:rPr>
                        <w:t>W</w:t>
                      </w:r>
                      <w:r>
                        <w:rPr>
                          <w:rFonts w:hint="eastAsia"/>
                          <w:i/>
                          <w:iCs/>
                          <w:sz w:val="16"/>
                          <w:szCs w:val="16"/>
                          <w:vertAlign w:val="subscript"/>
                          <w:lang w:val="en-US" w:eastAsia="zh-CN"/>
                        </w:rPr>
                        <w:t>d2</w:t>
                      </w:r>
                      <w:r>
                        <w:rPr>
                          <w:rFonts w:hint="eastAsia"/>
                          <w:sz w:val="16"/>
                          <w:szCs w:val="16"/>
                          <w:lang w:val="en-US" w:eastAsia="zh-CN"/>
                        </w:rPr>
                        <w:t>)</w:t>
                      </w:r>
                    </w:p>
                  </w:txbxContent>
                </v:textbox>
              </v:shape>
            </w:pict>
          </mc:Fallback>
        </mc:AlternateContent>
      </w:r>
      <w:r>
        <w:rPr>
          <w:rFonts w:hint="default" w:ascii="Times New Roman" w:hAnsi="Times New Roman" w:eastAsia="宋体" w:cs="Times New Roman"/>
          <w:color w:val="auto"/>
          <w:sz w:val="20"/>
          <w:szCs w:val="20"/>
          <w:highlight w:val="none"/>
        </w:rPr>
        <w:drawing>
          <wp:inline distT="0" distB="0" distL="114300" distR="114300">
            <wp:extent cx="2211070" cy="1564640"/>
            <wp:effectExtent l="0" t="0" r="13970" b="5080"/>
            <wp:docPr id="19" name="图片 19" descr="Wd2-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d2-2007"/>
                    <pic:cNvPicPr>
                      <a:picLocks noChangeAspect="1"/>
                    </pic:cNvPicPr>
                  </pic:nvPicPr>
                  <pic:blipFill>
                    <a:blip r:embed="rId200"/>
                    <a:stretch>
                      <a:fillRect/>
                    </a:stretch>
                  </pic:blipFill>
                  <pic:spPr>
                    <a:xfrm>
                      <a:off x="0" y="0"/>
                      <a:ext cx="2211070" cy="1564640"/>
                    </a:xfrm>
                    <a:prstGeom prst="rect">
                      <a:avLst/>
                    </a:prstGeom>
                  </pic:spPr>
                </pic:pic>
              </a:graphicData>
            </a:graphic>
          </wp:inline>
        </w:drawing>
      </w:r>
      <w:r>
        <w:rPr>
          <w:rFonts w:hint="default" w:ascii="Times New Roman" w:hAnsi="Times New Roman" w:cs="Times New Roman"/>
          <w:color w:val="auto"/>
          <w:sz w:val="20"/>
          <w:szCs w:val="20"/>
          <w:highlight w:val="none"/>
          <w:lang w:val="en-US" w:eastAsia="zh-CN"/>
        </w:rPr>
        <w:t xml:space="preserve"> </w:t>
      </w:r>
      <w:r>
        <w:rPr>
          <w:rFonts w:hint="default" w:ascii="Times New Roman" w:hAnsi="Times New Roman" w:cs="Times New Roman"/>
          <w:color w:val="auto"/>
          <w:sz w:val="20"/>
          <w:szCs w:val="20"/>
          <w:highlight w:val="none"/>
        </w:rPr>
        <w:drawing>
          <wp:inline distT="0" distB="0" distL="114300" distR="114300">
            <wp:extent cx="2195830" cy="1554480"/>
            <wp:effectExtent l="0" t="0" r="13970" b="0"/>
            <wp:docPr id="29" name="图片 29" descr="Weco-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Weco-2007"/>
                    <pic:cNvPicPr>
                      <a:picLocks noChangeAspect="1"/>
                    </pic:cNvPicPr>
                  </pic:nvPicPr>
                  <pic:blipFill>
                    <a:blip r:embed="rId201"/>
                    <a:stretch>
                      <a:fillRect/>
                    </a:stretch>
                  </pic:blipFill>
                  <pic:spPr>
                    <a:xfrm>
                      <a:off x="0" y="0"/>
                      <a:ext cx="2195830" cy="1554480"/>
                    </a:xfrm>
                    <a:prstGeom prst="rect">
                      <a:avLst/>
                    </a:prstGeom>
                  </pic:spPr>
                </pic:pic>
              </a:graphicData>
            </a:graphic>
          </wp:inline>
        </w:drawing>
      </w:r>
      <w:r>
        <w:rPr>
          <w:rFonts w:hint="default" w:ascii="Times New Roman" w:hAnsi="Times New Roman" w:cs="Times New Roman"/>
          <w:color w:val="auto"/>
          <w:sz w:val="20"/>
          <w:szCs w:val="20"/>
          <w:highlight w:val="none"/>
          <w:lang w:val="en-US" w:eastAsia="zh-CN"/>
        </w:rPr>
        <w:t xml:space="preserve"> </w:t>
      </w:r>
      <w:r>
        <w:rPr>
          <w:rFonts w:hint="default" w:ascii="Times New Roman" w:hAnsi="Times New Roman" w:eastAsia="宋体" w:cs="Times New Roman"/>
          <w:color w:val="auto"/>
          <w:sz w:val="20"/>
          <w:szCs w:val="20"/>
          <w:highlight w:val="none"/>
        </w:rPr>
        <w:drawing>
          <wp:inline distT="0" distB="0" distL="114300" distR="114300">
            <wp:extent cx="2197735" cy="1530350"/>
            <wp:effectExtent l="0" t="0" r="12065" b="8890"/>
            <wp:docPr id="34" name="图片 34" descr="W01-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01-2007"/>
                    <pic:cNvPicPr>
                      <a:picLocks noChangeAspect="1"/>
                    </pic:cNvPicPr>
                  </pic:nvPicPr>
                  <pic:blipFill>
                    <a:blip r:embed="rId202"/>
                    <a:stretch>
                      <a:fillRect/>
                    </a:stretch>
                  </pic:blipFill>
                  <pic:spPr>
                    <a:xfrm>
                      <a:off x="0" y="0"/>
                      <a:ext cx="2197735" cy="1530350"/>
                    </a:xfrm>
                    <a:prstGeom prst="rect">
                      <a:avLst/>
                    </a:prstGeom>
                  </pic:spPr>
                </pic:pic>
              </a:graphicData>
            </a:graphic>
          </wp:inline>
        </w:drawing>
      </w:r>
    </w:p>
    <w:p w14:paraId="620D5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i/>
          <w:iCs/>
          <w:color w:val="auto"/>
          <w:sz w:val="24"/>
          <w:szCs w:val="24"/>
          <w:highlight w:val="none"/>
        </w:rPr>
      </w:pPr>
      <w:r>
        <w:rPr>
          <w:rFonts w:hint="default" w:ascii="Times New Roman" w:hAnsi="Times New Roman" w:cs="Times New Roman"/>
          <w:color w:val="auto"/>
          <w:sz w:val="20"/>
          <w:highlight w:val="none"/>
        </w:rPr>
        <mc:AlternateContent>
          <mc:Choice Requires="wps">
            <w:drawing>
              <wp:anchor distT="0" distB="0" distL="114300" distR="114300" simplePos="0" relativeHeight="251668480" behindDoc="0" locked="0" layoutInCell="1" allowOverlap="1">
                <wp:simplePos x="0" y="0"/>
                <wp:positionH relativeFrom="column">
                  <wp:posOffset>5197475</wp:posOffset>
                </wp:positionH>
                <wp:positionV relativeFrom="paragraph">
                  <wp:posOffset>18415</wp:posOffset>
                </wp:positionV>
                <wp:extent cx="921385" cy="31178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921385" cy="311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553A2">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(f) 2022 (</w:t>
                            </w:r>
                            <w:r>
                              <w:rPr>
                                <w:rFonts w:hint="eastAsia"/>
                                <w:i/>
                                <w:iCs/>
                                <w:sz w:val="16"/>
                                <w:szCs w:val="16"/>
                                <w:lang w:val="en-US" w:eastAsia="zh-CN"/>
                              </w:rPr>
                              <w:t>W</w:t>
                            </w:r>
                            <w:r>
                              <w:rPr>
                                <w:rFonts w:hint="eastAsia"/>
                                <w:i/>
                                <w:iCs/>
                                <w:sz w:val="16"/>
                                <w:szCs w:val="16"/>
                                <w:vertAlign w:val="subscript"/>
                                <w:lang w:val="en-US" w:eastAsia="zh-CN"/>
                              </w:rPr>
                              <w:t>01</w:t>
                            </w:r>
                            <w:r>
                              <w:rPr>
                                <w:rFonts w:hint="eastAsia"/>
                                <w:sz w:val="16"/>
                                <w:szCs w:val="16"/>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25pt;margin-top:1.45pt;height:24.55pt;width:72.55pt;z-index:251668480;mso-width-relative:page;mso-height-relative:page;" filled="f" stroked="f" coordsize="21600,21600" o:gfxdata="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rcgntoAAAAIAQAADwAAAAAAAAABACAAAAAiAAAAZHJz&#10;L2Rvd25yZXYueG1sUEsBAhQAFAAAAAgAh07iQODOYWg7AgAAZwQAAA4AAAAAAAAAAQAgAAAAKQEA&#10;AGRycy9lMm9Eb2MueG1sUEsFBgAAAAAGAAYAWQEAANYFAAAAAA==&#10;">
                <v:fill on="f" focussize="0,0"/>
                <v:stroke on="f" weight="0.5pt"/>
                <v:imagedata o:title=""/>
                <o:lock v:ext="edit" aspectratio="f"/>
                <v:textbox>
                  <w:txbxContent>
                    <w:p w14:paraId="17C553A2">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(f) 2022 (</w:t>
                      </w:r>
                      <w:r>
                        <w:rPr>
                          <w:rFonts w:hint="eastAsia"/>
                          <w:i/>
                          <w:iCs/>
                          <w:sz w:val="16"/>
                          <w:szCs w:val="16"/>
                          <w:lang w:val="en-US" w:eastAsia="zh-CN"/>
                        </w:rPr>
                        <w:t>W</w:t>
                      </w:r>
                      <w:r>
                        <w:rPr>
                          <w:rFonts w:hint="eastAsia"/>
                          <w:i/>
                          <w:iCs/>
                          <w:sz w:val="16"/>
                          <w:szCs w:val="16"/>
                          <w:vertAlign w:val="subscript"/>
                          <w:lang w:val="en-US" w:eastAsia="zh-CN"/>
                        </w:rPr>
                        <w:t>01</w:t>
                      </w:r>
                      <w:r>
                        <w:rPr>
                          <w:rFonts w:hint="eastAsia"/>
                          <w:sz w:val="16"/>
                          <w:szCs w:val="16"/>
                          <w:lang w:val="en-US" w:eastAsia="zh-CN"/>
                        </w:rPr>
                        <w:t>)</w:t>
                      </w:r>
                    </w:p>
                  </w:txbxContent>
                </v:textbox>
              </v:shape>
            </w:pict>
          </mc:Fallback>
        </mc:AlternateContent>
      </w:r>
      <w:r>
        <w:rPr>
          <w:rFonts w:hint="default" w:ascii="Times New Roman" w:hAnsi="Times New Roman" w:cs="Times New Roman"/>
          <w:color w:val="auto"/>
          <w:sz w:val="20"/>
          <w:highlight w:val="none"/>
        </w:rPr>
        <mc:AlternateContent>
          <mc:Choice Requires="wps">
            <w:drawing>
              <wp:anchor distT="0" distB="0" distL="114300" distR="114300" simplePos="0" relativeHeight="251666432" behindDoc="0" locked="0" layoutInCell="1" allowOverlap="1">
                <wp:simplePos x="0" y="0"/>
                <wp:positionH relativeFrom="column">
                  <wp:posOffset>2960370</wp:posOffset>
                </wp:positionH>
                <wp:positionV relativeFrom="paragraph">
                  <wp:posOffset>5080</wp:posOffset>
                </wp:positionV>
                <wp:extent cx="921385" cy="311785"/>
                <wp:effectExtent l="0" t="0" r="0" b="0"/>
                <wp:wrapNone/>
                <wp:docPr id="9" name="文本框 9"/>
                <wp:cNvGraphicFramePr/>
                <a:graphic xmlns:a="http://schemas.openxmlformats.org/drawingml/2006/main">
                  <a:graphicData uri="http://schemas.microsoft.com/office/word/2010/wordprocessingShape">
                    <wps:wsp>
                      <wps:cNvSpPr txBox="1"/>
                      <wps:spPr>
                        <a:xfrm>
                          <a:off x="0" y="0"/>
                          <a:ext cx="921385" cy="311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08255">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(d) 2022 (</w:t>
                            </w:r>
                            <w:r>
                              <w:rPr>
                                <w:rFonts w:hint="eastAsia"/>
                                <w:i/>
                                <w:iCs/>
                                <w:sz w:val="16"/>
                                <w:szCs w:val="16"/>
                                <w:lang w:val="en-US" w:eastAsia="zh-CN"/>
                              </w:rPr>
                              <w:t>W</w:t>
                            </w:r>
                            <w:r>
                              <w:rPr>
                                <w:rFonts w:hint="eastAsia"/>
                                <w:i/>
                                <w:iCs/>
                                <w:sz w:val="16"/>
                                <w:szCs w:val="16"/>
                                <w:vertAlign w:val="subscript"/>
                                <w:lang w:val="en-US" w:eastAsia="zh-CN"/>
                              </w:rPr>
                              <w:t>eco</w:t>
                            </w:r>
                            <w:r>
                              <w:rPr>
                                <w:rFonts w:hint="eastAsia"/>
                                <w:sz w:val="16"/>
                                <w:szCs w:val="16"/>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1pt;margin-top:0.4pt;height:24.55pt;width:72.55pt;z-index:251666432;mso-width-relative:page;mso-height-relative:page;" filled="f" stroked="f" coordsize="21600,21600" o:gfxdata="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j6Nz2AAAAAcBAAAPAAAAAAAAAAEAIAAAACIAAABkcnMv&#10;ZG93bnJldi54bWxQSwECFAAUAAAACACHTuJAcvoORzwCAABlBAAADgAAAAAAAAABACAAAAAnAQAA&#10;ZHJzL2Uyb0RvYy54bWxQSwUGAAAAAAYABgBZAQAA1QUAAAAA&#10;">
                <v:fill on="f" focussize="0,0"/>
                <v:stroke on="f" weight="0.5pt"/>
                <v:imagedata o:title=""/>
                <o:lock v:ext="edit" aspectratio="f"/>
                <v:textbox>
                  <w:txbxContent>
                    <w:p w14:paraId="4EE08255">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(d) 2022 (</w:t>
                      </w:r>
                      <w:r>
                        <w:rPr>
                          <w:rFonts w:hint="eastAsia"/>
                          <w:i/>
                          <w:iCs/>
                          <w:sz w:val="16"/>
                          <w:szCs w:val="16"/>
                          <w:lang w:val="en-US" w:eastAsia="zh-CN"/>
                        </w:rPr>
                        <w:t>W</w:t>
                      </w:r>
                      <w:r>
                        <w:rPr>
                          <w:rFonts w:hint="eastAsia"/>
                          <w:i/>
                          <w:iCs/>
                          <w:sz w:val="16"/>
                          <w:szCs w:val="16"/>
                          <w:vertAlign w:val="subscript"/>
                          <w:lang w:val="en-US" w:eastAsia="zh-CN"/>
                        </w:rPr>
                        <w:t>eco</w:t>
                      </w:r>
                      <w:r>
                        <w:rPr>
                          <w:rFonts w:hint="eastAsia"/>
                          <w:sz w:val="16"/>
                          <w:szCs w:val="16"/>
                          <w:lang w:val="en-US" w:eastAsia="zh-CN"/>
                        </w:rPr>
                        <w:t>)</w:t>
                      </w:r>
                    </w:p>
                  </w:txbxContent>
                </v:textbox>
              </v:shape>
            </w:pict>
          </mc:Fallback>
        </mc:AlternateContent>
      </w:r>
      <w:r>
        <w:rPr>
          <w:rFonts w:hint="default" w:ascii="Times New Roman" w:hAnsi="Times New Roman" w:cs="Times New Roman"/>
          <w:color w:val="auto"/>
          <w:sz w:val="20"/>
          <w:highlight w:val="none"/>
        </w:rPr>
        <mc:AlternateContent>
          <mc:Choice Requires="wps">
            <w:drawing>
              <wp:anchor distT="0" distB="0" distL="114300" distR="114300" simplePos="0" relativeHeight="251664384" behindDoc="0" locked="0" layoutInCell="1" allowOverlap="1">
                <wp:simplePos x="0" y="0"/>
                <wp:positionH relativeFrom="column">
                  <wp:posOffset>701675</wp:posOffset>
                </wp:positionH>
                <wp:positionV relativeFrom="paragraph">
                  <wp:posOffset>4445</wp:posOffset>
                </wp:positionV>
                <wp:extent cx="914400" cy="311785"/>
                <wp:effectExtent l="0" t="0" r="0" b="0"/>
                <wp:wrapNone/>
                <wp:docPr id="5" name="文本框 5"/>
                <wp:cNvGraphicFramePr/>
                <a:graphic xmlns:a="http://schemas.openxmlformats.org/drawingml/2006/main">
                  <a:graphicData uri="http://schemas.microsoft.com/office/word/2010/wordprocessingShape">
                    <wps:wsp>
                      <wps:cNvSpPr txBox="1"/>
                      <wps:spPr>
                        <a:xfrm>
                          <a:off x="0" y="0"/>
                          <a:ext cx="914400" cy="311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B98EB">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(b) 2022 (</w:t>
                            </w:r>
                            <w:r>
                              <w:rPr>
                                <w:rFonts w:hint="eastAsia"/>
                                <w:i/>
                                <w:iCs/>
                                <w:sz w:val="16"/>
                                <w:szCs w:val="16"/>
                                <w:lang w:val="en-US" w:eastAsia="zh-CN"/>
                              </w:rPr>
                              <w:t>W</w:t>
                            </w:r>
                            <w:r>
                              <w:rPr>
                                <w:rFonts w:hint="eastAsia"/>
                                <w:i/>
                                <w:iCs/>
                                <w:sz w:val="16"/>
                                <w:szCs w:val="16"/>
                                <w:vertAlign w:val="subscript"/>
                                <w:lang w:val="en-US" w:eastAsia="zh-CN"/>
                              </w:rPr>
                              <w:t>d2</w:t>
                            </w:r>
                            <w:r>
                              <w:rPr>
                                <w:rFonts w:hint="eastAsia"/>
                                <w:sz w:val="16"/>
                                <w:szCs w:val="16"/>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25pt;margin-top:0.35pt;height:24.55pt;width:72pt;z-index:251664384;mso-width-relative:page;mso-height-relative:page;" filled="f" stroked="f" coordsize="21600,21600" o:gfxdata="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CvVZvWAAAABwEAAA8AAAAAAAAAAQAgAAAAIgAAAGRycy9kb3du&#10;cmV2LnhtbFBLAQIUABQAAAAIAIdO4kBZfszGOgIAAGUEAAAOAAAAAAAAAAEAIAAAACUBAABkcnMv&#10;ZTJvRG9jLnhtbFBLBQYAAAAABgAGAFkBAADRBQAAAAA=&#10;">
                <v:fill on="f" focussize="0,0"/>
                <v:stroke on="f" weight="0.5pt"/>
                <v:imagedata o:title=""/>
                <o:lock v:ext="edit" aspectratio="f"/>
                <v:textbox>
                  <w:txbxContent>
                    <w:p w14:paraId="343B98EB">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eastAsia="宋体"/>
                          <w:sz w:val="16"/>
                          <w:szCs w:val="16"/>
                          <w:lang w:val="en-US" w:eastAsia="zh-CN"/>
                        </w:rPr>
                      </w:pPr>
                      <w:r>
                        <w:rPr>
                          <w:rFonts w:hint="eastAsia"/>
                          <w:sz w:val="16"/>
                          <w:szCs w:val="16"/>
                          <w:lang w:val="en-US" w:eastAsia="zh-CN"/>
                        </w:rPr>
                        <w:t>(b) 2022 (</w:t>
                      </w:r>
                      <w:r>
                        <w:rPr>
                          <w:rFonts w:hint="eastAsia"/>
                          <w:i/>
                          <w:iCs/>
                          <w:sz w:val="16"/>
                          <w:szCs w:val="16"/>
                          <w:lang w:val="en-US" w:eastAsia="zh-CN"/>
                        </w:rPr>
                        <w:t>W</w:t>
                      </w:r>
                      <w:r>
                        <w:rPr>
                          <w:rFonts w:hint="eastAsia"/>
                          <w:i/>
                          <w:iCs/>
                          <w:sz w:val="16"/>
                          <w:szCs w:val="16"/>
                          <w:vertAlign w:val="subscript"/>
                          <w:lang w:val="en-US" w:eastAsia="zh-CN"/>
                        </w:rPr>
                        <w:t>d2</w:t>
                      </w:r>
                      <w:r>
                        <w:rPr>
                          <w:rFonts w:hint="eastAsia"/>
                          <w:sz w:val="16"/>
                          <w:szCs w:val="16"/>
                          <w:lang w:val="en-US" w:eastAsia="zh-CN"/>
                        </w:rPr>
                        <w:t>)</w:t>
                      </w:r>
                    </w:p>
                  </w:txbxContent>
                </v:textbox>
              </v:shape>
            </w:pict>
          </mc:Fallback>
        </mc:AlternateContent>
      </w:r>
      <w:r>
        <w:rPr>
          <w:rFonts w:hint="default" w:ascii="Times New Roman" w:hAnsi="Times New Roman" w:eastAsia="宋体" w:cs="Times New Roman"/>
          <w:color w:val="auto"/>
          <w:sz w:val="20"/>
          <w:szCs w:val="20"/>
          <w:highlight w:val="none"/>
        </w:rPr>
        <w:drawing>
          <wp:inline distT="0" distB="0" distL="114300" distR="114300">
            <wp:extent cx="2235835" cy="1577975"/>
            <wp:effectExtent l="0" t="0" r="4445" b="6985"/>
            <wp:docPr id="35" name="图片 35" descr="Wd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Wd2-2022"/>
                    <pic:cNvPicPr>
                      <a:picLocks noChangeAspect="1"/>
                    </pic:cNvPicPr>
                  </pic:nvPicPr>
                  <pic:blipFill>
                    <a:blip r:embed="rId203"/>
                    <a:stretch>
                      <a:fillRect/>
                    </a:stretch>
                  </pic:blipFill>
                  <pic:spPr>
                    <a:xfrm>
                      <a:off x="0" y="0"/>
                      <a:ext cx="2235835" cy="1577975"/>
                    </a:xfrm>
                    <a:prstGeom prst="rect">
                      <a:avLst/>
                    </a:prstGeom>
                  </pic:spPr>
                </pic:pic>
              </a:graphicData>
            </a:graphic>
          </wp:inline>
        </w:drawing>
      </w:r>
      <w:r>
        <w:rPr>
          <w:rFonts w:hint="default" w:ascii="Times New Roman" w:hAnsi="Times New Roman" w:cs="Times New Roman"/>
          <w:color w:val="auto"/>
          <w:sz w:val="20"/>
          <w:szCs w:val="20"/>
          <w:highlight w:val="none"/>
          <w:lang w:val="en-US" w:eastAsia="zh-CN"/>
        </w:rPr>
        <w:t xml:space="preserve"> </w:t>
      </w:r>
      <w:r>
        <w:rPr>
          <w:rFonts w:hint="default" w:ascii="Times New Roman" w:hAnsi="Times New Roman" w:eastAsia="宋体" w:cs="Times New Roman"/>
          <w:color w:val="auto"/>
          <w:sz w:val="20"/>
          <w:szCs w:val="20"/>
          <w:highlight w:val="none"/>
        </w:rPr>
        <w:drawing>
          <wp:inline distT="0" distB="0" distL="114300" distR="114300">
            <wp:extent cx="2203450" cy="1570990"/>
            <wp:effectExtent l="0" t="0" r="6350" b="13970"/>
            <wp:docPr id="39" name="图片 39" descr="Weco-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eco-2022"/>
                    <pic:cNvPicPr>
                      <a:picLocks noChangeAspect="1"/>
                    </pic:cNvPicPr>
                  </pic:nvPicPr>
                  <pic:blipFill>
                    <a:blip r:embed="rId204"/>
                    <a:stretch>
                      <a:fillRect/>
                    </a:stretch>
                  </pic:blipFill>
                  <pic:spPr>
                    <a:xfrm>
                      <a:off x="0" y="0"/>
                      <a:ext cx="2203450" cy="1570990"/>
                    </a:xfrm>
                    <a:prstGeom prst="rect">
                      <a:avLst/>
                    </a:prstGeom>
                  </pic:spPr>
                </pic:pic>
              </a:graphicData>
            </a:graphic>
          </wp:inline>
        </w:drawing>
      </w:r>
      <w:r>
        <w:rPr>
          <w:rFonts w:hint="default" w:ascii="Times New Roman" w:hAnsi="Times New Roman" w:cs="Times New Roman"/>
          <w:color w:val="auto"/>
          <w:sz w:val="20"/>
          <w:szCs w:val="20"/>
          <w:highlight w:val="none"/>
          <w:lang w:val="en-US" w:eastAsia="zh-CN"/>
        </w:rPr>
        <w:t xml:space="preserve"> </w:t>
      </w:r>
      <w:r>
        <w:rPr>
          <w:rFonts w:hint="default" w:ascii="Times New Roman" w:hAnsi="Times New Roman" w:eastAsia="宋体" w:cs="Times New Roman"/>
          <w:color w:val="auto"/>
          <w:sz w:val="20"/>
          <w:szCs w:val="20"/>
          <w:highlight w:val="none"/>
        </w:rPr>
        <w:drawing>
          <wp:inline distT="0" distB="0" distL="114300" distR="114300">
            <wp:extent cx="2189480" cy="1572895"/>
            <wp:effectExtent l="0" t="0" r="5080" b="12065"/>
            <wp:docPr id="42" name="图片 42" descr="W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W01-2022"/>
                    <pic:cNvPicPr>
                      <a:picLocks noChangeAspect="1"/>
                    </pic:cNvPicPr>
                  </pic:nvPicPr>
                  <pic:blipFill>
                    <a:blip r:embed="rId205"/>
                    <a:stretch>
                      <a:fillRect/>
                    </a:stretch>
                  </pic:blipFill>
                  <pic:spPr>
                    <a:xfrm>
                      <a:off x="0" y="0"/>
                      <a:ext cx="2189480" cy="1572895"/>
                    </a:xfrm>
                    <a:prstGeom prst="rect">
                      <a:avLst/>
                    </a:prstGeom>
                  </pic:spPr>
                </pic:pic>
              </a:graphicData>
            </a:graphic>
          </wp:inline>
        </w:drawing>
      </w:r>
    </w:p>
    <w:p w14:paraId="7695AB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 xml:space="preserve">Figure </w:t>
      </w:r>
      <w:r>
        <w:rPr>
          <w:rFonts w:hint="default" w:ascii="Times New Roman" w:hAnsi="Times New Roman" w:cs="Times New Roman"/>
          <w:b/>
          <w:bCs/>
          <w:color w:val="auto"/>
          <w:sz w:val="24"/>
          <w:szCs w:val="24"/>
          <w:highlight w:val="none"/>
          <w:vertAlign w:val="baseline"/>
          <w:lang w:val="en-US" w:eastAsia="zh-CN"/>
        </w:rPr>
        <w:t>11</w:t>
      </w:r>
      <w:r>
        <w:rPr>
          <w:rFonts w:hint="default" w:ascii="Times New Roman" w:hAnsi="Times New Roman" w:eastAsia="宋体" w:cs="Times New Roman"/>
          <w:b/>
          <w:bCs/>
          <w:color w:val="auto"/>
          <w:sz w:val="24"/>
          <w:szCs w:val="24"/>
          <w:highlight w:val="none"/>
          <w:vertAlign w:val="baseline"/>
          <w:lang w:val="en-US" w:eastAsia="zh-CN"/>
        </w:rPr>
        <w:t>:</w:t>
      </w:r>
      <w:r>
        <w:rPr>
          <w:rFonts w:hint="default" w:ascii="Times New Roman" w:hAnsi="Times New Roman" w:cs="Times New Roman"/>
          <w:b/>
          <w:bCs/>
          <w:color w:val="auto"/>
          <w:sz w:val="24"/>
          <w:szCs w:val="24"/>
          <w:highlight w:val="none"/>
          <w:vertAlign w:val="baseline"/>
          <w:lang w:val="en-US" w:eastAsia="zh-CN"/>
        </w:rPr>
        <w:t xml:space="preserve"> </w:t>
      </w:r>
      <w:r>
        <w:rPr>
          <w:rFonts w:hint="default" w:ascii="Times New Roman" w:hAnsi="Times New Roman" w:eastAsia="宋体" w:cs="Times New Roman"/>
          <w:b/>
          <w:bCs/>
          <w:color w:val="auto"/>
          <w:sz w:val="24"/>
          <w:szCs w:val="24"/>
          <w:highlight w:val="none"/>
          <w:vertAlign w:val="baseline"/>
          <w:lang w:val="en-US" w:eastAsia="zh-CN"/>
        </w:rPr>
        <w:t>LISA cluster maps of CCD under Three Types of Spatial Weight Matrices in 2007 and 2022</w:t>
      </w:r>
    </w:p>
    <w:p w14:paraId="078BD59F">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bCs/>
          <w:color w:val="auto"/>
          <w:sz w:val="28"/>
          <w:szCs w:val="28"/>
          <w:highlight w:val="none"/>
          <w:vertAlign w:val="baseline"/>
          <w:lang w:val="en-US" w:eastAsia="zh-CN"/>
        </w:rPr>
      </w:pPr>
      <w:r>
        <w:rPr>
          <w:rFonts w:hint="default" w:ascii="Times New Roman" w:hAnsi="Times New Roman" w:eastAsia="宋体" w:cs="Times New Roman"/>
          <w:b/>
          <w:bCs/>
          <w:color w:val="auto"/>
          <w:sz w:val="28"/>
          <w:szCs w:val="28"/>
          <w:highlight w:val="none"/>
          <w:vertAlign w:val="baseline"/>
          <w:lang w:val="en-US" w:eastAsia="zh-CN"/>
        </w:rPr>
        <w:t>CONCLUSION</w:t>
      </w:r>
    </w:p>
    <w:p w14:paraId="0E982FFD">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Thi</w:t>
      </w:r>
      <w:r>
        <w:rPr>
          <w:rFonts w:hint="default" w:ascii="Times New Roman" w:hAnsi="Times New Roman" w:eastAsia="宋体" w:cs="Times New Roman"/>
          <w:color w:val="auto"/>
          <w:sz w:val="24"/>
          <w:szCs w:val="24"/>
          <w:highlight w:val="none"/>
        </w:rPr>
        <w:t xml:space="preserve">s </w:t>
      </w:r>
      <w:r>
        <w:rPr>
          <w:rFonts w:hint="default" w:ascii="Times New Roman" w:hAnsi="Times New Roman" w:cs="Times New Roman"/>
          <w:color w:val="auto"/>
          <w:sz w:val="24"/>
          <w:szCs w:val="24"/>
          <w:highlight w:val="none"/>
          <w:lang w:val="en-US" w:eastAsia="zh-CN"/>
        </w:rPr>
        <w:t>study</w:t>
      </w:r>
      <w:r>
        <w:rPr>
          <w:rFonts w:hint="default" w:ascii="Times New Roman" w:hAnsi="Times New Roman" w:eastAsia="宋体" w:cs="Times New Roman"/>
          <w:color w:val="auto"/>
          <w:sz w:val="24"/>
          <w:szCs w:val="24"/>
          <w:highlight w:val="none"/>
        </w:rPr>
        <w:t xml:space="preserve"> explores the spatiotemporal evolution of the CCD between FA and GTI in China from 2007 to 2022. In summary, the key findings of the study can be summarised as below.</w:t>
      </w:r>
    </w:p>
    <w:p w14:paraId="5E47D907">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First, the CCD between FA and GTI increased gradually during the entire study period, suggesting an increasing trend in the coordinated development of these two subsystems. However, it is found that the CCD level has been relatively low and did not enter the coordination stage in the national scale. There have been serious gaps in the CCD between regions throughout the entire study period. Eastern China has consistently possessed the highest CCD levels, while Western and Northeastern China have been lower than the other regions.</w:t>
      </w:r>
    </w:p>
    <w:p w14:paraId="3D8E90A0">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Second, it can be found that the evolution of the development types of coupling coordination development exhibits obvious heterogeneity among different provinces. Many provinces have possessed the GTI-lagging development type, which means that the development of GTI has lagged behind the concentration of the financial resources. This finding is particularly noticeable in resource-based and traditional industrial regions, reflecting the continuing challenge to transform the advantage in finance into GTI development.</w:t>
      </w:r>
    </w:p>
    <w:p w14:paraId="7D7E0A87">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Third, obvious positive spatial autocorrelation is found under geographic distance matrix, economic distance matrix and spatial contiguity matrix. The provinces with similar CCD levels would cluster in space, and High-High clusters are mainly located in Eastern China while Low-Low clusters are mainly located in Western China. The increasing proportion of provinces with significant local spatial autocorrelation means that inter-region interactions are playing an increasingly important role in the process of coordinated development.</w:t>
      </w:r>
    </w:p>
    <w:p w14:paraId="0A06BE62">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In conclusion, it is clear that even though the development of coordination between FA and GTI has made great progress, regional imbalances still persist. The promotion of integrated development of financial development and GTI, cross-region cooperation and diffusing innovation and financial resources among high-coordinated regions is essential for balanced regional development.</w:t>
      </w:r>
    </w:p>
    <w:p w14:paraId="07348AA9">
      <w:pPr>
        <w:pStyle w:val="10"/>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The present study also has some limitations. First, the provincial data used in the analysis might overlook many differences within the province. In addition, the focus of this paper is on the spatiotemporal characteristics rather than the mechanism of the coordinated development between FA and GTI. Future research could consider using city-level data and advanced spatial econometric methods for further exploration.</w:t>
      </w:r>
    </w:p>
    <w:p w14:paraId="4E699019">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RECOMMENDATIONS</w:t>
      </w:r>
    </w:p>
    <w:p w14:paraId="31E6A828">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From</w:t>
      </w:r>
      <w:r>
        <w:rPr>
          <w:rFonts w:hint="default" w:ascii="Times New Roman" w:hAnsi="Times New Roman" w:eastAsia="宋体" w:cs="Times New Roman"/>
          <w:b w:val="0"/>
          <w:bCs w:val="0"/>
          <w:color w:val="auto"/>
          <w:sz w:val="24"/>
          <w:szCs w:val="24"/>
          <w:highlight w:val="none"/>
          <w:lang w:val="en-US" w:eastAsia="zh-CN"/>
        </w:rPr>
        <w:t xml:space="preserve"> the </w:t>
      </w:r>
      <w:r>
        <w:rPr>
          <w:rFonts w:hint="default" w:ascii="Times New Roman" w:hAnsi="Times New Roman" w:cs="Times New Roman"/>
          <w:b w:val="0"/>
          <w:bCs w:val="0"/>
          <w:color w:val="auto"/>
          <w:sz w:val="24"/>
          <w:szCs w:val="24"/>
          <w:highlight w:val="none"/>
          <w:lang w:val="en-US" w:eastAsia="zh-CN"/>
        </w:rPr>
        <w:t xml:space="preserve">above </w:t>
      </w:r>
      <w:r>
        <w:rPr>
          <w:rFonts w:hint="default" w:ascii="Times New Roman" w:hAnsi="Times New Roman" w:eastAsia="宋体" w:cs="Times New Roman"/>
          <w:b w:val="0"/>
          <w:bCs w:val="0"/>
          <w:color w:val="auto"/>
          <w:sz w:val="24"/>
          <w:szCs w:val="24"/>
          <w:highlight w:val="none"/>
          <w:lang w:val="en-US" w:eastAsia="zh-CN"/>
        </w:rPr>
        <w:t xml:space="preserve">findings, </w:t>
      </w:r>
      <w:r>
        <w:rPr>
          <w:rFonts w:hint="default" w:ascii="Times New Roman" w:hAnsi="Times New Roman" w:cs="Times New Roman"/>
          <w:b w:val="0"/>
          <w:bCs w:val="0"/>
          <w:color w:val="auto"/>
          <w:sz w:val="24"/>
          <w:szCs w:val="24"/>
          <w:highlight w:val="none"/>
          <w:lang w:val="en-US" w:eastAsia="zh-CN"/>
        </w:rPr>
        <w:t xml:space="preserve">some </w:t>
      </w:r>
      <w:r>
        <w:rPr>
          <w:rFonts w:hint="default" w:ascii="Times New Roman" w:hAnsi="Times New Roman" w:eastAsia="宋体" w:cs="Times New Roman"/>
          <w:b w:val="0"/>
          <w:bCs w:val="0"/>
          <w:color w:val="auto"/>
          <w:sz w:val="24"/>
          <w:szCs w:val="24"/>
          <w:highlight w:val="none"/>
          <w:lang w:val="en-US" w:eastAsia="zh-CN"/>
        </w:rPr>
        <w:t xml:space="preserve">policy </w:t>
      </w:r>
      <w:r>
        <w:rPr>
          <w:rFonts w:hint="default" w:ascii="Times New Roman" w:hAnsi="Times New Roman" w:cs="Times New Roman"/>
          <w:b w:val="0"/>
          <w:bCs w:val="0"/>
          <w:color w:val="auto"/>
          <w:sz w:val="24"/>
          <w:szCs w:val="24"/>
          <w:highlight w:val="none"/>
          <w:lang w:val="en-US" w:eastAsia="zh-CN"/>
        </w:rPr>
        <w:t>suggestion</w:t>
      </w:r>
      <w:r>
        <w:rPr>
          <w:rFonts w:hint="default" w:ascii="Times New Roman" w:hAnsi="Times New Roman" w:eastAsia="宋体" w:cs="Times New Roman"/>
          <w:b w:val="0"/>
          <w:bCs w:val="0"/>
          <w:color w:val="auto"/>
          <w:sz w:val="24"/>
          <w:szCs w:val="24"/>
          <w:highlight w:val="none"/>
          <w:lang w:val="en-US" w:eastAsia="zh-CN"/>
        </w:rPr>
        <w:t>s s can be put forward.</w:t>
      </w:r>
    </w:p>
    <w:p w14:paraId="1114CC41">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First, </w:t>
      </w:r>
      <w:r>
        <w:rPr>
          <w:rFonts w:hint="default" w:ascii="Times New Roman" w:hAnsi="Times New Roman" w:eastAsia="宋体" w:cs="Times New Roman"/>
          <w:b w:val="0"/>
          <w:bCs w:val="0"/>
          <w:color w:val="auto"/>
          <w:sz w:val="24"/>
          <w:szCs w:val="24"/>
          <w:highlight w:val="none"/>
          <w:lang w:val="en-US" w:eastAsia="zh-CN"/>
        </w:rPr>
        <w:t>financial means should be enhanced to promote the development of GTI.</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Financial institutions could provide more financial instruments such a</w:t>
      </w:r>
      <w:r>
        <w:rPr>
          <w:rFonts w:hint="default" w:ascii="Times New Roman" w:hAnsi="Times New Roman" w:cs="Times New Roman"/>
          <w:b w:val="0"/>
          <w:bCs w:val="0"/>
          <w:color w:val="auto"/>
          <w:sz w:val="24"/>
          <w:szCs w:val="24"/>
          <w:highlight w:val="none"/>
          <w:lang w:val="en-US" w:eastAsia="zh-CN"/>
        </w:rPr>
        <w:t xml:space="preserve">s </w:t>
      </w:r>
      <w:r>
        <w:rPr>
          <w:rFonts w:hint="default" w:ascii="Times New Roman" w:hAnsi="Times New Roman" w:eastAsia="宋体" w:cs="Times New Roman"/>
          <w:b w:val="0"/>
          <w:bCs w:val="0"/>
          <w:color w:val="auto"/>
          <w:sz w:val="24"/>
          <w:szCs w:val="24"/>
          <w:highlight w:val="none"/>
          <w:lang w:val="en-US" w:eastAsia="zh-CN"/>
        </w:rPr>
        <w:t>green credit</w:t>
      </w:r>
      <w:r>
        <w:rPr>
          <w:rFonts w:hint="default" w:ascii="Times New Roman" w:hAnsi="Times New Roman"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lang w:val="en-US" w:eastAsia="zh-CN"/>
        </w:rPr>
        <w:t xml:space="preserve">, green bonds, </w:t>
      </w:r>
      <w:r>
        <w:rPr>
          <w:rFonts w:hint="default" w:ascii="Times New Roman" w:hAnsi="Times New Roman" w:cs="Times New Roman"/>
          <w:b w:val="0"/>
          <w:bCs w:val="0"/>
          <w:color w:val="auto"/>
          <w:sz w:val="24"/>
          <w:szCs w:val="24"/>
          <w:highlight w:val="none"/>
          <w:lang w:val="en-US" w:eastAsia="zh-CN"/>
        </w:rPr>
        <w:t>etc.,</w:t>
      </w:r>
      <w:r>
        <w:rPr>
          <w:rFonts w:hint="default" w:ascii="Times New Roman" w:hAnsi="Times New Roman" w:eastAsia="宋体" w:cs="Times New Roman"/>
          <w:b w:val="0"/>
          <w:bCs w:val="0"/>
          <w:color w:val="auto"/>
          <w:sz w:val="24"/>
          <w:szCs w:val="24"/>
          <w:highlight w:val="none"/>
          <w:lang w:val="en-US" w:eastAsia="zh-CN"/>
        </w:rPr>
        <w:t xml:space="preserve"> to</w:t>
      </w:r>
      <w:r>
        <w:rPr>
          <w:rFonts w:hint="default" w:ascii="Times New Roman" w:hAnsi="Times New Roman" w:cs="Times New Roman"/>
          <w:b w:val="0"/>
          <w:bCs w:val="0"/>
          <w:color w:val="auto"/>
          <w:sz w:val="24"/>
          <w:szCs w:val="24"/>
          <w:highlight w:val="none"/>
          <w:lang w:val="en-US" w:eastAsia="zh-CN"/>
        </w:rPr>
        <w:t xml:space="preserve"> reduce the</w:t>
      </w:r>
      <w:r>
        <w:rPr>
          <w:rFonts w:hint="default" w:ascii="Times New Roman" w:hAnsi="Times New Roman" w:eastAsia="宋体" w:cs="Times New Roman"/>
          <w:b w:val="0"/>
          <w:bCs w:val="0"/>
          <w:color w:val="auto"/>
          <w:sz w:val="24"/>
          <w:szCs w:val="24"/>
          <w:highlight w:val="none"/>
          <w:lang w:val="en-US" w:eastAsia="zh-CN"/>
        </w:rPr>
        <w:t xml:space="preserve"> financing </w:t>
      </w:r>
      <w:r>
        <w:rPr>
          <w:rFonts w:hint="default" w:ascii="Times New Roman" w:hAnsi="Times New Roman" w:cs="Times New Roman"/>
          <w:b w:val="0"/>
          <w:bCs w:val="0"/>
          <w:color w:val="auto"/>
          <w:sz w:val="24"/>
          <w:szCs w:val="24"/>
          <w:highlight w:val="none"/>
          <w:lang w:val="en-US" w:eastAsia="zh-CN"/>
        </w:rPr>
        <w:t xml:space="preserve">pressure of </w:t>
      </w:r>
      <w:r>
        <w:rPr>
          <w:rFonts w:hint="default" w:ascii="Times New Roman" w:hAnsi="Times New Roman" w:eastAsia="宋体" w:cs="Times New Roman"/>
          <w:b w:val="0"/>
          <w:bCs w:val="0"/>
          <w:color w:val="auto"/>
          <w:sz w:val="24"/>
          <w:szCs w:val="24"/>
          <w:highlight w:val="none"/>
          <w:lang w:val="en-US" w:eastAsia="zh-CN"/>
        </w:rPr>
        <w:t>green innovation activities.</w:t>
      </w:r>
    </w:p>
    <w:p w14:paraId="76A95646">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Second, different policies and strategies should be applied in accordance with the conditions of each region. In those regions where the degree of coupling coordination is relatively lower, the focus of the government should be put on innovation capability and financial resource optimisation, and in those better-developed regions, the focus is to improve the interaction between finance and green innovation.</w:t>
      </w:r>
    </w:p>
    <w:p w14:paraId="0484F611">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Third, it should be stressed that the government needs to pay attention to the promotion of interregional cooperation due to the significant spatial clustering nature of CCD.</w:t>
      </w:r>
    </w:p>
    <w:p w14:paraId="7AA4DCA1">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Finally, the role of government in the process of providing an institutional environment for FA and GTI can be highlighted through enhancing policy coordination, industry-university-research collaboration, etc.</w:t>
      </w:r>
    </w:p>
    <w:p w14:paraId="4CA407C0">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REFERENCES</w:t>
      </w:r>
    </w:p>
    <w:p w14:paraId="25BF1B3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hanging="360" w:hangingChars="150"/>
        <w:jc w:val="both"/>
        <w:textAlignment w:val="auto"/>
        <w:rPr>
          <w:rFonts w:hint="default" w:ascii="Times New Roman" w:hAnsi="Times New Roman" w:cs="Times New Roman"/>
          <w:b w:val="0"/>
          <w:bCs/>
          <w:i w:val="0"/>
          <w:iCs w:val="0"/>
          <w:color w:val="auto"/>
          <w:highlight w:val="none"/>
        </w:rPr>
      </w:pPr>
      <w:bookmarkStart w:id="3" w:name="_GoBack"/>
      <w:r>
        <w:rPr>
          <w:rStyle w:val="14"/>
          <w:rFonts w:hint="default" w:ascii="Times New Roman" w:hAnsi="Times New Roman" w:cs="Times New Roman"/>
          <w:b w:val="0"/>
          <w:bCs/>
          <w:i w:val="0"/>
          <w:iCs w:val="0"/>
          <w:color w:val="auto"/>
          <w:highlight w:val="none"/>
        </w:rPr>
        <w:t>1.</w:t>
      </w:r>
      <w:r>
        <w:rPr>
          <w:rFonts w:hint="default" w:ascii="Times New Roman" w:hAnsi="Times New Roman" w:cs="Times New Roman"/>
          <w:b w:val="0"/>
          <w:bCs/>
          <w:i w:val="0"/>
          <w:iCs w:val="0"/>
          <w:color w:val="auto"/>
          <w:highlight w:val="none"/>
        </w:rPr>
        <w:t xml:space="preserve"> Ang, J. B. (2011). Financial development, liberalization and technological deepening. </w:t>
      </w:r>
      <w:r>
        <w:rPr>
          <w:rStyle w:val="15"/>
          <w:rFonts w:hint="default" w:ascii="Times New Roman" w:hAnsi="Times New Roman" w:cs="Times New Roman"/>
          <w:b w:val="0"/>
          <w:bCs/>
          <w:i w:val="0"/>
          <w:iCs w:val="0"/>
          <w:color w:val="auto"/>
          <w:highlight w:val="none"/>
        </w:rPr>
        <w:t>European Economic Review, 55</w:t>
      </w:r>
      <w:r>
        <w:rPr>
          <w:rFonts w:hint="default" w:ascii="Times New Roman" w:hAnsi="Times New Roman" w:cs="Times New Roman"/>
          <w:b w:val="0"/>
          <w:bCs/>
          <w:i w:val="0"/>
          <w:iCs w:val="0"/>
          <w:color w:val="auto"/>
          <w:highlight w:val="none"/>
        </w:rPr>
        <w:t>(5), 688–701.</w:t>
      </w:r>
    </w:p>
    <w:p w14:paraId="75D294A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w:t>
      </w:r>
      <w:r>
        <w:rPr>
          <w:rFonts w:hint="default" w:ascii="Times New Roman" w:hAnsi="Times New Roman" w:cs="Times New Roman"/>
          <w:b w:val="0"/>
          <w:bCs/>
          <w:i w:val="0"/>
          <w:iCs w:val="0"/>
          <w:color w:val="auto"/>
          <w:highlight w:val="none"/>
        </w:rPr>
        <w:t xml:space="preserve"> Anselin, L. (2003). Spatial externalities, spatial multipliers, and spatial econometrics. </w:t>
      </w:r>
      <w:r>
        <w:rPr>
          <w:rStyle w:val="15"/>
          <w:rFonts w:hint="default" w:ascii="Times New Roman" w:hAnsi="Times New Roman" w:cs="Times New Roman"/>
          <w:b w:val="0"/>
          <w:bCs/>
          <w:i w:val="0"/>
          <w:iCs w:val="0"/>
          <w:color w:val="auto"/>
          <w:highlight w:val="none"/>
        </w:rPr>
        <w:t>International Regional Science Review, 26</w:t>
      </w:r>
      <w:r>
        <w:rPr>
          <w:rFonts w:hint="default" w:ascii="Times New Roman" w:hAnsi="Times New Roman" w:cs="Times New Roman"/>
          <w:b w:val="0"/>
          <w:bCs/>
          <w:i w:val="0"/>
          <w:iCs w:val="0"/>
          <w:color w:val="auto"/>
          <w:highlight w:val="none"/>
        </w:rPr>
        <w:t>(2), 153–166.</w:t>
      </w:r>
    </w:p>
    <w:p w14:paraId="269E03F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w:t>
      </w:r>
      <w:r>
        <w:rPr>
          <w:rFonts w:hint="default" w:ascii="Times New Roman" w:hAnsi="Times New Roman" w:cs="Times New Roman"/>
          <w:b w:val="0"/>
          <w:bCs/>
          <w:i w:val="0"/>
          <w:iCs w:val="0"/>
          <w:color w:val="auto"/>
          <w:highlight w:val="none"/>
        </w:rPr>
        <w:t xml:space="preserve"> Bai, C. Q., Huang, Y. B., Song, W. X., &amp; He, Y. Q. (2014). Coupling coordination development between provincial financial agglomeration and ecological efficiency in China. </w:t>
      </w:r>
      <w:r>
        <w:rPr>
          <w:rStyle w:val="15"/>
          <w:rFonts w:hint="default" w:ascii="Times New Roman" w:hAnsi="Times New Roman" w:cs="Times New Roman"/>
          <w:b w:val="0"/>
          <w:bCs/>
          <w:i w:val="0"/>
          <w:iCs w:val="0"/>
          <w:color w:val="auto"/>
          <w:highlight w:val="none"/>
        </w:rPr>
        <w:t>Journal of Arid Land Resources and Environment, 28</w:t>
      </w:r>
      <w:r>
        <w:rPr>
          <w:rFonts w:hint="default" w:ascii="Times New Roman" w:hAnsi="Times New Roman" w:cs="Times New Roman"/>
          <w:b w:val="0"/>
          <w:bCs/>
          <w:i w:val="0"/>
          <w:iCs w:val="0"/>
          <w:color w:val="auto"/>
          <w:highlight w:val="none"/>
        </w:rPr>
        <w:t>(9), 1–7.</w:t>
      </w:r>
    </w:p>
    <w:p w14:paraId="2A9ACA4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w:t>
      </w:r>
      <w:r>
        <w:rPr>
          <w:rFonts w:hint="default" w:ascii="Times New Roman" w:hAnsi="Times New Roman" w:cs="Times New Roman"/>
          <w:b w:val="0"/>
          <w:bCs/>
          <w:i w:val="0"/>
          <w:iCs w:val="0"/>
          <w:color w:val="auto"/>
          <w:highlight w:val="none"/>
        </w:rPr>
        <w:t xml:space="preserve"> Beise, M., &amp; Rennings, K. (2005). Indicators for lead markets of environmental innovations. In </w:t>
      </w:r>
      <w:r>
        <w:rPr>
          <w:rStyle w:val="15"/>
          <w:rFonts w:hint="default" w:ascii="Times New Roman" w:hAnsi="Times New Roman" w:cs="Times New Roman"/>
          <w:b w:val="0"/>
          <w:bCs/>
          <w:i w:val="0"/>
          <w:iCs w:val="0"/>
          <w:color w:val="auto"/>
          <w:highlight w:val="none"/>
        </w:rPr>
        <w:t>Indicator Systems for Sustainable Innovation</w:t>
      </w:r>
      <w:r>
        <w:rPr>
          <w:rFonts w:hint="default" w:ascii="Times New Roman" w:hAnsi="Times New Roman" w:cs="Times New Roman"/>
          <w:b w:val="0"/>
          <w:bCs/>
          <w:i w:val="0"/>
          <w:iCs w:val="0"/>
          <w:color w:val="auto"/>
          <w:highlight w:val="none"/>
        </w:rPr>
        <w:t xml:space="preserve"> (pp. 71–94). Physica-Verlag.</w:t>
      </w:r>
    </w:p>
    <w:p w14:paraId="386B19D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5.</w:t>
      </w:r>
      <w:r>
        <w:rPr>
          <w:rFonts w:hint="default" w:ascii="Times New Roman" w:hAnsi="Times New Roman" w:cs="Times New Roman"/>
          <w:b w:val="0"/>
          <w:bCs/>
          <w:i w:val="0"/>
          <w:iCs w:val="0"/>
          <w:color w:val="auto"/>
          <w:highlight w:val="none"/>
        </w:rPr>
        <w:t xml:space="preserve"> Berger, A. N. (2003). The economic effects of technological progress: Evidence from the banking industry. </w:t>
      </w:r>
      <w:r>
        <w:rPr>
          <w:rStyle w:val="15"/>
          <w:rFonts w:hint="default" w:ascii="Times New Roman" w:hAnsi="Times New Roman" w:cs="Times New Roman"/>
          <w:b w:val="0"/>
          <w:bCs/>
          <w:i w:val="0"/>
          <w:iCs w:val="0"/>
          <w:color w:val="auto"/>
          <w:highlight w:val="none"/>
        </w:rPr>
        <w:t>Journal of Money, Credit and Banking, 35</w:t>
      </w:r>
      <w:r>
        <w:rPr>
          <w:rFonts w:hint="default" w:ascii="Times New Roman" w:hAnsi="Times New Roman" w:cs="Times New Roman"/>
          <w:b w:val="0"/>
          <w:bCs/>
          <w:i w:val="0"/>
          <w:iCs w:val="0"/>
          <w:color w:val="auto"/>
          <w:highlight w:val="none"/>
        </w:rPr>
        <w:t>(2), 141–176.</w:t>
      </w:r>
    </w:p>
    <w:p w14:paraId="7B1F69D7">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6.</w:t>
      </w:r>
      <w:r>
        <w:rPr>
          <w:rFonts w:hint="default" w:ascii="Times New Roman" w:hAnsi="Times New Roman" w:cs="Times New Roman"/>
          <w:b w:val="0"/>
          <w:bCs/>
          <w:i w:val="0"/>
          <w:iCs w:val="0"/>
          <w:color w:val="auto"/>
          <w:highlight w:val="none"/>
        </w:rPr>
        <w:t xml:space="preserve"> Braun, E., &amp; Wield, D. (1994). Regulation as a means for the social control of technology. </w:t>
      </w:r>
      <w:r>
        <w:rPr>
          <w:rStyle w:val="15"/>
          <w:rFonts w:hint="default" w:ascii="Times New Roman" w:hAnsi="Times New Roman" w:cs="Times New Roman"/>
          <w:b w:val="0"/>
          <w:bCs/>
          <w:i w:val="0"/>
          <w:iCs w:val="0"/>
          <w:color w:val="auto"/>
          <w:highlight w:val="none"/>
        </w:rPr>
        <w:t>Technology Analysis &amp; Strategic Management, 6</w:t>
      </w:r>
      <w:r>
        <w:rPr>
          <w:rFonts w:hint="default" w:ascii="Times New Roman" w:hAnsi="Times New Roman" w:cs="Times New Roman"/>
          <w:b w:val="0"/>
          <w:bCs/>
          <w:i w:val="0"/>
          <w:iCs w:val="0"/>
          <w:color w:val="auto"/>
          <w:highlight w:val="none"/>
        </w:rPr>
        <w:t>(3), 259–272.</w:t>
      </w:r>
    </w:p>
    <w:p w14:paraId="3988812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7.</w:t>
      </w:r>
      <w:r>
        <w:rPr>
          <w:rFonts w:hint="default" w:ascii="Times New Roman" w:hAnsi="Times New Roman" w:cs="Times New Roman"/>
          <w:b w:val="0"/>
          <w:bCs/>
          <w:i w:val="0"/>
          <w:iCs w:val="0"/>
          <w:color w:val="auto"/>
          <w:highlight w:val="none"/>
        </w:rPr>
        <w:t xml:space="preserve"> Buera, F. J., &amp; Shin, Y. (2013). Financial frictions and the persistence of history: A quantitative exploration. </w:t>
      </w:r>
      <w:r>
        <w:rPr>
          <w:rStyle w:val="15"/>
          <w:rFonts w:hint="default" w:ascii="Times New Roman" w:hAnsi="Times New Roman" w:cs="Times New Roman"/>
          <w:b w:val="0"/>
          <w:bCs/>
          <w:i w:val="0"/>
          <w:iCs w:val="0"/>
          <w:color w:val="auto"/>
          <w:highlight w:val="none"/>
        </w:rPr>
        <w:t>Journal of Political Economy, 121</w:t>
      </w:r>
      <w:r>
        <w:rPr>
          <w:rFonts w:hint="default" w:ascii="Times New Roman" w:hAnsi="Times New Roman" w:cs="Times New Roman"/>
          <w:b w:val="0"/>
          <w:bCs/>
          <w:i w:val="0"/>
          <w:iCs w:val="0"/>
          <w:color w:val="auto"/>
          <w:highlight w:val="none"/>
        </w:rPr>
        <w:t>(2), 221–272.</w:t>
      </w:r>
    </w:p>
    <w:p w14:paraId="527AE5F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8.</w:t>
      </w:r>
      <w:r>
        <w:rPr>
          <w:rFonts w:hint="default" w:ascii="Times New Roman" w:hAnsi="Times New Roman" w:cs="Times New Roman"/>
          <w:b w:val="0"/>
          <w:bCs/>
          <w:i w:val="0"/>
          <w:iCs w:val="0"/>
          <w:color w:val="auto"/>
          <w:highlight w:val="none"/>
        </w:rPr>
        <w:t xml:space="preserve"> Chen, Y. (2022). Research on the coupling relationship between financial agglomeration and regional innovation capability: A case study of Hebei Province. </w:t>
      </w:r>
      <w:r>
        <w:rPr>
          <w:rStyle w:val="15"/>
          <w:rFonts w:hint="default" w:ascii="Times New Roman" w:hAnsi="Times New Roman" w:cs="Times New Roman"/>
          <w:b w:val="0"/>
          <w:bCs/>
          <w:i w:val="0"/>
          <w:iCs w:val="0"/>
          <w:color w:val="auto"/>
          <w:highlight w:val="none"/>
        </w:rPr>
        <w:t>Hebei Enterprise</w:t>
      </w:r>
      <w:r>
        <w:rPr>
          <w:rFonts w:hint="default" w:ascii="Times New Roman" w:hAnsi="Times New Roman" w:cs="Times New Roman"/>
          <w:b w:val="0"/>
          <w:bCs/>
          <w:i w:val="0"/>
          <w:iCs w:val="0"/>
          <w:color w:val="auto"/>
          <w:highlight w:val="none"/>
        </w:rPr>
        <w:t>, (1), 140–142.</w:t>
      </w:r>
    </w:p>
    <w:p w14:paraId="6A818CF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9.</w:t>
      </w:r>
      <w:r>
        <w:rPr>
          <w:rFonts w:hint="default" w:ascii="Times New Roman" w:hAnsi="Times New Roman" w:cs="Times New Roman"/>
          <w:b w:val="0"/>
          <w:bCs/>
          <w:i w:val="0"/>
          <w:iCs w:val="0"/>
          <w:color w:val="auto"/>
          <w:highlight w:val="none"/>
        </w:rPr>
        <w:t xml:space="preserve"> Cheng, X., Wu, J., &amp; Liao, S. S. (2017). A study of contagion in the financial system from the perspective of network analytics. </w:t>
      </w:r>
      <w:r>
        <w:rPr>
          <w:rStyle w:val="15"/>
          <w:rFonts w:hint="default" w:ascii="Times New Roman" w:hAnsi="Times New Roman" w:cs="Times New Roman"/>
          <w:b w:val="0"/>
          <w:bCs/>
          <w:i w:val="0"/>
          <w:iCs w:val="0"/>
          <w:color w:val="auto"/>
          <w:highlight w:val="none"/>
        </w:rPr>
        <w:t>Neurocomputing, 264</w:t>
      </w:r>
      <w:r>
        <w:rPr>
          <w:rFonts w:hint="default" w:ascii="Times New Roman" w:hAnsi="Times New Roman" w:cs="Times New Roman"/>
          <w:b w:val="0"/>
          <w:bCs/>
          <w:i w:val="0"/>
          <w:iCs w:val="0"/>
          <w:color w:val="auto"/>
          <w:highlight w:val="none"/>
        </w:rPr>
        <w:t>, 42–49.</w:t>
      </w:r>
    </w:p>
    <w:p w14:paraId="414F921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10.</w:t>
      </w:r>
      <w:r>
        <w:rPr>
          <w:rFonts w:hint="default" w:ascii="Times New Roman" w:hAnsi="Times New Roman" w:cs="Times New Roman"/>
          <w:b w:val="0"/>
          <w:bCs/>
          <w:i w:val="0"/>
          <w:iCs w:val="0"/>
          <w:color w:val="auto"/>
          <w:highlight w:val="none"/>
        </w:rPr>
        <w:t xml:space="preserve"> Das, M., &amp; Ghosh, S. K. (2016, July). A cost-efficient approach for measuring Moran’s index of spatial autocorrelation in geostationary satellite data. In </w:t>
      </w:r>
      <w:r>
        <w:rPr>
          <w:rStyle w:val="15"/>
          <w:rFonts w:hint="default" w:ascii="Times New Roman" w:hAnsi="Times New Roman" w:cs="Times New Roman"/>
          <w:b w:val="0"/>
          <w:bCs/>
          <w:i w:val="0"/>
          <w:iCs w:val="0"/>
          <w:color w:val="auto"/>
          <w:highlight w:val="none"/>
        </w:rPr>
        <w:t>2016 IEEE International Geoscience and Remote Sensing Symposium (IGARSS)</w:t>
      </w:r>
      <w:r>
        <w:rPr>
          <w:rFonts w:hint="default" w:ascii="Times New Roman" w:hAnsi="Times New Roman" w:cs="Times New Roman"/>
          <w:b w:val="0"/>
          <w:bCs/>
          <w:i w:val="0"/>
          <w:iCs w:val="0"/>
          <w:color w:val="auto"/>
          <w:highlight w:val="none"/>
        </w:rPr>
        <w:t xml:space="preserve"> (pp. 5913–5916). IEEE.</w:t>
      </w:r>
    </w:p>
    <w:p w14:paraId="271401E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11.</w:t>
      </w:r>
      <w:r>
        <w:rPr>
          <w:rFonts w:hint="default" w:ascii="Times New Roman" w:hAnsi="Times New Roman" w:cs="Times New Roman"/>
          <w:b w:val="0"/>
          <w:bCs/>
          <w:i w:val="0"/>
          <w:iCs w:val="0"/>
          <w:color w:val="auto"/>
          <w:highlight w:val="none"/>
        </w:rPr>
        <w:t xml:space="preserve"> Ding, Y., Li, S., &amp; Li, L. (2009). Analysis on financial aggregation degree evaluation of China. </w:t>
      </w:r>
      <w:r>
        <w:rPr>
          <w:rStyle w:val="15"/>
          <w:rFonts w:hint="default" w:ascii="Times New Roman" w:hAnsi="Times New Roman" w:cs="Times New Roman"/>
          <w:b w:val="0"/>
          <w:bCs/>
          <w:i w:val="0"/>
          <w:iCs w:val="0"/>
          <w:color w:val="auto"/>
          <w:highlight w:val="none"/>
        </w:rPr>
        <w:t>Soft Science, 23</w:t>
      </w:r>
      <w:r>
        <w:rPr>
          <w:rFonts w:hint="default" w:ascii="Times New Roman" w:hAnsi="Times New Roman" w:cs="Times New Roman"/>
          <w:b w:val="0"/>
          <w:bCs/>
          <w:i w:val="0"/>
          <w:iCs w:val="0"/>
          <w:color w:val="auto"/>
          <w:highlight w:val="none"/>
        </w:rPr>
        <w:t>(6), 9–13.</w:t>
      </w:r>
    </w:p>
    <w:p w14:paraId="375F720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12.</w:t>
      </w:r>
      <w:r>
        <w:rPr>
          <w:rFonts w:hint="default" w:ascii="Times New Roman" w:hAnsi="Times New Roman" w:cs="Times New Roman"/>
          <w:b w:val="0"/>
          <w:bCs/>
          <w:i w:val="0"/>
          <w:iCs w:val="0"/>
          <w:color w:val="auto"/>
          <w:highlight w:val="none"/>
        </w:rPr>
        <w:t xml:space="preserve"> Faber, A., &amp; Frenken, K. (2009). Models in evolutionary economics and environmental policy: Towards an evolutionary environmental economics. </w:t>
      </w:r>
      <w:r>
        <w:rPr>
          <w:rStyle w:val="15"/>
          <w:rFonts w:hint="default" w:ascii="Times New Roman" w:hAnsi="Times New Roman" w:cs="Times New Roman"/>
          <w:b w:val="0"/>
          <w:bCs/>
          <w:i w:val="0"/>
          <w:iCs w:val="0"/>
          <w:color w:val="auto"/>
          <w:highlight w:val="none"/>
        </w:rPr>
        <w:t>Technological Forecasting and Social Change, 76</w:t>
      </w:r>
      <w:r>
        <w:rPr>
          <w:rFonts w:hint="default" w:ascii="Times New Roman" w:hAnsi="Times New Roman" w:cs="Times New Roman"/>
          <w:b w:val="0"/>
          <w:bCs/>
          <w:i w:val="0"/>
          <w:iCs w:val="0"/>
          <w:color w:val="auto"/>
          <w:highlight w:val="none"/>
        </w:rPr>
        <w:t>(4), 462–470.</w:t>
      </w:r>
    </w:p>
    <w:p w14:paraId="083479E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13.</w:t>
      </w:r>
      <w:r>
        <w:rPr>
          <w:rFonts w:hint="default" w:ascii="Times New Roman" w:hAnsi="Times New Roman" w:cs="Times New Roman"/>
          <w:b w:val="0"/>
          <w:bCs/>
          <w:i w:val="0"/>
          <w:iCs w:val="0"/>
          <w:color w:val="auto"/>
          <w:highlight w:val="none"/>
        </w:rPr>
        <w:t xml:space="preserve"> Fang, H., Yang, Q., Wang, J., &amp; Liu, X. (2021). Coupling coordination between technology transfer in universities and high-tech industries development in China. </w:t>
      </w:r>
      <w:r>
        <w:rPr>
          <w:rStyle w:val="15"/>
          <w:rFonts w:hint="default" w:ascii="Times New Roman" w:hAnsi="Times New Roman" w:cs="Times New Roman"/>
          <w:b w:val="0"/>
          <w:bCs/>
          <w:i w:val="0"/>
          <w:iCs w:val="0"/>
          <w:color w:val="auto"/>
          <w:highlight w:val="none"/>
        </w:rPr>
        <w:t>Complexity, 2021</w:t>
      </w:r>
      <w:r>
        <w:rPr>
          <w:rFonts w:hint="default" w:ascii="Times New Roman" w:hAnsi="Times New Roman" w:cs="Times New Roman"/>
          <w:b w:val="0"/>
          <w:bCs/>
          <w:i w:val="0"/>
          <w:iCs w:val="0"/>
          <w:color w:val="auto"/>
          <w:highlight w:val="none"/>
        </w:rPr>
        <w:t>, 1809005.</w:t>
      </w:r>
    </w:p>
    <w:p w14:paraId="11912A4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14.</w:t>
      </w:r>
      <w:r>
        <w:rPr>
          <w:rFonts w:hint="default" w:ascii="Times New Roman" w:hAnsi="Times New Roman" w:cs="Times New Roman"/>
          <w:b w:val="0"/>
          <w:bCs/>
          <w:i w:val="0"/>
          <w:iCs w:val="0"/>
          <w:color w:val="auto"/>
          <w:highlight w:val="none"/>
        </w:rPr>
        <w:t xml:space="preserve"> Feng, R. (2022). Financial agglomeration, green technological innovation, and green economic efficiency. </w:t>
      </w:r>
      <w:r>
        <w:rPr>
          <w:rStyle w:val="15"/>
          <w:rFonts w:hint="default" w:ascii="Times New Roman" w:hAnsi="Times New Roman" w:cs="Times New Roman"/>
          <w:b w:val="0"/>
          <w:bCs/>
          <w:i w:val="0"/>
          <w:iCs w:val="0"/>
          <w:color w:val="auto"/>
          <w:highlight w:val="none"/>
        </w:rPr>
        <w:t>Economic Survey, 39</w:t>
      </w:r>
      <w:r>
        <w:rPr>
          <w:rFonts w:hint="default" w:ascii="Times New Roman" w:hAnsi="Times New Roman" w:cs="Times New Roman"/>
          <w:b w:val="0"/>
          <w:bCs/>
          <w:i w:val="0"/>
          <w:iCs w:val="0"/>
          <w:color w:val="auto"/>
          <w:highlight w:val="none"/>
        </w:rPr>
        <w:t>(4), 150–160.</w:t>
      </w:r>
    </w:p>
    <w:p w14:paraId="7961C8C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15.</w:t>
      </w:r>
      <w:r>
        <w:rPr>
          <w:rFonts w:hint="default" w:ascii="Times New Roman" w:hAnsi="Times New Roman" w:cs="Times New Roman"/>
          <w:b w:val="0"/>
          <w:bCs/>
          <w:i w:val="0"/>
          <w:iCs w:val="0"/>
          <w:color w:val="auto"/>
          <w:highlight w:val="none"/>
        </w:rPr>
        <w:t xml:space="preserve"> Glassman, R. B. (1973). Persistence and loose coupling in living systems. </w:t>
      </w:r>
      <w:r>
        <w:rPr>
          <w:rStyle w:val="15"/>
          <w:rFonts w:hint="default" w:ascii="Times New Roman" w:hAnsi="Times New Roman" w:cs="Times New Roman"/>
          <w:b w:val="0"/>
          <w:bCs/>
          <w:i w:val="0"/>
          <w:iCs w:val="0"/>
          <w:color w:val="auto"/>
          <w:highlight w:val="none"/>
        </w:rPr>
        <w:t>Behavioral Science, 18</w:t>
      </w:r>
      <w:r>
        <w:rPr>
          <w:rFonts w:hint="default" w:ascii="Times New Roman" w:hAnsi="Times New Roman" w:cs="Times New Roman"/>
          <w:b w:val="0"/>
          <w:bCs/>
          <w:i w:val="0"/>
          <w:iCs w:val="0"/>
          <w:color w:val="auto"/>
          <w:highlight w:val="none"/>
        </w:rPr>
        <w:t>(2), 83–98.</w:t>
      </w:r>
    </w:p>
    <w:p w14:paraId="10D8E6F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16.</w:t>
      </w:r>
      <w:r>
        <w:rPr>
          <w:rFonts w:hint="default" w:ascii="Times New Roman" w:hAnsi="Times New Roman" w:cs="Times New Roman"/>
          <w:b w:val="0"/>
          <w:bCs/>
          <w:i w:val="0"/>
          <w:iCs w:val="0"/>
          <w:color w:val="auto"/>
          <w:highlight w:val="none"/>
        </w:rPr>
        <w:t xml:space="preserve"> Haggett, P. (1965). </w:t>
      </w:r>
      <w:r>
        <w:rPr>
          <w:rStyle w:val="15"/>
          <w:rFonts w:hint="default" w:ascii="Times New Roman" w:hAnsi="Times New Roman" w:cs="Times New Roman"/>
          <w:b w:val="0"/>
          <w:bCs/>
          <w:i w:val="0"/>
          <w:iCs w:val="0"/>
          <w:color w:val="auto"/>
          <w:highlight w:val="none"/>
        </w:rPr>
        <w:t>Locational analysis in human geography</w:t>
      </w:r>
      <w:r>
        <w:rPr>
          <w:rFonts w:hint="default" w:ascii="Times New Roman" w:hAnsi="Times New Roman" w:cs="Times New Roman"/>
          <w:b w:val="0"/>
          <w:bCs/>
          <w:i w:val="0"/>
          <w:iCs w:val="0"/>
          <w:color w:val="auto"/>
          <w:highlight w:val="none"/>
        </w:rPr>
        <w:t>. Edward Arnold.</w:t>
      </w:r>
    </w:p>
    <w:p w14:paraId="578C20D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17.</w:t>
      </w:r>
      <w:r>
        <w:rPr>
          <w:rFonts w:hint="default" w:ascii="Times New Roman" w:hAnsi="Times New Roman" w:cs="Times New Roman"/>
          <w:b w:val="0"/>
          <w:bCs/>
          <w:i w:val="0"/>
          <w:iCs w:val="0"/>
          <w:color w:val="auto"/>
          <w:highlight w:val="none"/>
        </w:rPr>
        <w:t xml:space="preserve"> Hall, B. H., &amp; Helmers, C. (2013). Innovation and diffusion of clean/green technology: Can patent commons help? </w:t>
      </w:r>
      <w:r>
        <w:rPr>
          <w:rStyle w:val="15"/>
          <w:rFonts w:hint="default" w:ascii="Times New Roman" w:hAnsi="Times New Roman" w:cs="Times New Roman"/>
          <w:b w:val="0"/>
          <w:bCs/>
          <w:i w:val="0"/>
          <w:iCs w:val="0"/>
          <w:color w:val="auto"/>
          <w:highlight w:val="none"/>
        </w:rPr>
        <w:t>Journal of Environmental Economics and Management, 66</w:t>
      </w:r>
      <w:r>
        <w:rPr>
          <w:rFonts w:hint="default" w:ascii="Times New Roman" w:hAnsi="Times New Roman" w:cs="Times New Roman"/>
          <w:b w:val="0"/>
          <w:bCs/>
          <w:i w:val="0"/>
          <w:iCs w:val="0"/>
          <w:color w:val="auto"/>
          <w:highlight w:val="none"/>
        </w:rPr>
        <w:t>(1), 33–51.</w:t>
      </w:r>
    </w:p>
    <w:p w14:paraId="72F32F82">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18.</w:t>
      </w:r>
      <w:r>
        <w:rPr>
          <w:rFonts w:hint="default" w:ascii="Times New Roman" w:hAnsi="Times New Roman" w:cs="Times New Roman"/>
          <w:b w:val="0"/>
          <w:bCs/>
          <w:i w:val="0"/>
          <w:iCs w:val="0"/>
          <w:color w:val="auto"/>
          <w:highlight w:val="none"/>
        </w:rPr>
        <w:t xml:space="preserve"> He, Y. Q., Wang, X. Z., Zhou, Y. F., &amp; Bai, C. Q. (2015). An empirical analysis of the coupling coordination among financial agglomeration, economic growth, and eco-efficiency in the Yangtze River Economic Belt. </w:t>
      </w:r>
      <w:r>
        <w:rPr>
          <w:rStyle w:val="15"/>
          <w:rFonts w:hint="default" w:ascii="Times New Roman" w:hAnsi="Times New Roman" w:cs="Times New Roman"/>
          <w:b w:val="0"/>
          <w:bCs/>
          <w:i w:val="0"/>
          <w:iCs w:val="0"/>
          <w:color w:val="auto"/>
          <w:highlight w:val="none"/>
        </w:rPr>
        <w:t>Journal of Finance and Economics</w:t>
      </w:r>
      <w:r>
        <w:rPr>
          <w:rFonts w:hint="default" w:ascii="Times New Roman" w:hAnsi="Times New Roman" w:cs="Times New Roman"/>
          <w:b w:val="0"/>
          <w:bCs/>
          <w:i w:val="0"/>
          <w:iCs w:val="0"/>
          <w:color w:val="auto"/>
          <w:highlight w:val="none"/>
        </w:rPr>
        <w:t>, (9), 13–19.</w:t>
      </w:r>
    </w:p>
    <w:p w14:paraId="68EE36D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19.</w:t>
      </w:r>
      <w:r>
        <w:rPr>
          <w:rFonts w:hint="default" w:ascii="Times New Roman" w:hAnsi="Times New Roman" w:cs="Times New Roman"/>
          <w:b w:val="0"/>
          <w:bCs/>
          <w:i w:val="0"/>
          <w:iCs w:val="0"/>
          <w:color w:val="auto"/>
          <w:highlight w:val="none"/>
        </w:rPr>
        <w:t xml:space="preserve"> Herfindahl, O. C. (1997). </w:t>
      </w:r>
      <w:r>
        <w:rPr>
          <w:rStyle w:val="15"/>
          <w:rFonts w:hint="default" w:ascii="Times New Roman" w:hAnsi="Times New Roman" w:cs="Times New Roman"/>
          <w:b w:val="0"/>
          <w:bCs/>
          <w:i w:val="0"/>
          <w:iCs w:val="0"/>
          <w:color w:val="auto"/>
          <w:highlight w:val="none"/>
        </w:rPr>
        <w:t>Concentration in the steel industry</w:t>
      </w:r>
      <w:r>
        <w:rPr>
          <w:rFonts w:hint="default" w:ascii="Times New Roman" w:hAnsi="Times New Roman" w:cs="Times New Roman"/>
          <w:b w:val="0"/>
          <w:bCs/>
          <w:i w:val="0"/>
          <w:iCs w:val="0"/>
          <w:color w:val="auto"/>
          <w:highlight w:val="none"/>
        </w:rPr>
        <w:t>. Columbia University Press.</w:t>
      </w:r>
    </w:p>
    <w:p w14:paraId="34C8A97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20.</w:t>
      </w:r>
      <w:r>
        <w:rPr>
          <w:rFonts w:hint="default" w:ascii="Times New Roman" w:hAnsi="Times New Roman" w:cs="Times New Roman"/>
          <w:b w:val="0"/>
          <w:bCs/>
          <w:i w:val="0"/>
          <w:iCs w:val="0"/>
          <w:color w:val="auto"/>
          <w:highlight w:val="none"/>
        </w:rPr>
        <w:t xml:space="preserve"> Horbach, J., Rammer, C., &amp; Rennings, K. (2012). Determinants of eco-innovations by type of environmental impact—The role of regulatory push/pull, technology push and market pull. </w:t>
      </w:r>
      <w:r>
        <w:rPr>
          <w:rStyle w:val="15"/>
          <w:rFonts w:hint="default" w:ascii="Times New Roman" w:hAnsi="Times New Roman" w:cs="Times New Roman"/>
          <w:b w:val="0"/>
          <w:bCs/>
          <w:i w:val="0"/>
          <w:iCs w:val="0"/>
          <w:color w:val="auto"/>
          <w:highlight w:val="none"/>
        </w:rPr>
        <w:t>Ecological Economics, 78</w:t>
      </w:r>
      <w:r>
        <w:rPr>
          <w:rFonts w:hint="default" w:ascii="Times New Roman" w:hAnsi="Times New Roman" w:cs="Times New Roman"/>
          <w:b w:val="0"/>
          <w:bCs/>
          <w:i w:val="0"/>
          <w:iCs w:val="0"/>
          <w:color w:val="auto"/>
          <w:highlight w:val="none"/>
        </w:rPr>
        <w:t>, 112–122.</w:t>
      </w:r>
    </w:p>
    <w:p w14:paraId="2FE7DD1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21.</w:t>
      </w:r>
      <w:r>
        <w:rPr>
          <w:rFonts w:hint="default" w:ascii="Times New Roman" w:hAnsi="Times New Roman" w:cs="Times New Roman"/>
          <w:b w:val="0"/>
          <w:bCs/>
          <w:i w:val="0"/>
          <w:iCs w:val="0"/>
          <w:color w:val="auto"/>
          <w:highlight w:val="none"/>
        </w:rPr>
        <w:t xml:space="preserve"> Jian-Zhong, X., &amp; Man-Man, W. (2017, August). Empirical research on green innovation capability evaluation of China’s manufacturing enterprises based on principal component and cluster analysis. In </w:t>
      </w:r>
      <w:r>
        <w:rPr>
          <w:rStyle w:val="15"/>
          <w:rFonts w:hint="default" w:ascii="Times New Roman" w:hAnsi="Times New Roman" w:cs="Times New Roman"/>
          <w:b w:val="0"/>
          <w:bCs/>
          <w:i w:val="0"/>
          <w:iCs w:val="0"/>
          <w:color w:val="auto"/>
          <w:highlight w:val="none"/>
        </w:rPr>
        <w:t>2017 International Conference on Management Science and Engineering (ICMSE)</w:t>
      </w:r>
      <w:r>
        <w:rPr>
          <w:rFonts w:hint="default" w:ascii="Times New Roman" w:hAnsi="Times New Roman" w:cs="Times New Roman"/>
          <w:b w:val="0"/>
          <w:bCs/>
          <w:i w:val="0"/>
          <w:iCs w:val="0"/>
          <w:color w:val="auto"/>
          <w:highlight w:val="none"/>
        </w:rPr>
        <w:t xml:space="preserve"> (pp. 304–312). IEEE.</w:t>
      </w:r>
    </w:p>
    <w:p w14:paraId="50458325">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22.</w:t>
      </w:r>
      <w:r>
        <w:rPr>
          <w:rFonts w:hint="default" w:ascii="Times New Roman" w:hAnsi="Times New Roman" w:cs="Times New Roman"/>
          <w:b w:val="0"/>
          <w:bCs/>
          <w:i w:val="0"/>
          <w:iCs w:val="0"/>
          <w:color w:val="auto"/>
          <w:highlight w:val="none"/>
        </w:rPr>
        <w:t xml:space="preserve"> Jiang, Y. H., &amp; Chen, Y. (2023). Pathways through which the digital economy influences green technological innovation. </w:t>
      </w:r>
      <w:r>
        <w:rPr>
          <w:rStyle w:val="15"/>
          <w:rFonts w:hint="default" w:ascii="Times New Roman" w:hAnsi="Times New Roman" w:cs="Times New Roman"/>
          <w:b w:val="0"/>
          <w:bCs/>
          <w:i w:val="0"/>
          <w:iCs w:val="0"/>
          <w:color w:val="auto"/>
          <w:highlight w:val="none"/>
        </w:rPr>
        <w:t>Science and Management, 43</w:t>
      </w:r>
      <w:r>
        <w:rPr>
          <w:rFonts w:hint="default" w:ascii="Times New Roman" w:hAnsi="Times New Roman" w:cs="Times New Roman"/>
          <w:b w:val="0"/>
          <w:bCs/>
          <w:i w:val="0"/>
          <w:iCs w:val="0"/>
          <w:color w:val="auto"/>
          <w:highlight w:val="none"/>
        </w:rPr>
        <w:t>(6), 1–10.</w:t>
      </w:r>
    </w:p>
    <w:p w14:paraId="6C1935E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23.</w:t>
      </w:r>
      <w:r>
        <w:rPr>
          <w:rFonts w:hint="default" w:ascii="Times New Roman" w:hAnsi="Times New Roman" w:cs="Times New Roman"/>
          <w:b w:val="0"/>
          <w:bCs/>
          <w:i w:val="0"/>
          <w:iCs w:val="0"/>
          <w:color w:val="auto"/>
          <w:highlight w:val="none"/>
        </w:rPr>
        <w:t xml:space="preserve"> Jin, F., Qi, Z. H., &amp; Liang, Y. L. (2021). Big data, financial agglomeration, and green technological innovation. </w:t>
      </w:r>
      <w:r>
        <w:rPr>
          <w:rStyle w:val="15"/>
          <w:rFonts w:hint="default" w:ascii="Times New Roman" w:hAnsi="Times New Roman" w:cs="Times New Roman"/>
          <w:b w:val="0"/>
          <w:bCs/>
          <w:i w:val="0"/>
          <w:iCs w:val="0"/>
          <w:color w:val="auto"/>
          <w:highlight w:val="none"/>
        </w:rPr>
        <w:t>Review of Economy and Management, 37</w:t>
      </w:r>
      <w:r>
        <w:rPr>
          <w:rFonts w:hint="default" w:ascii="Times New Roman" w:hAnsi="Times New Roman" w:cs="Times New Roman"/>
          <w:b w:val="0"/>
          <w:bCs/>
          <w:i w:val="0"/>
          <w:iCs w:val="0"/>
          <w:color w:val="auto"/>
          <w:highlight w:val="none"/>
        </w:rPr>
        <w:t>(4), 97–112.</w:t>
      </w:r>
    </w:p>
    <w:p w14:paraId="728FC9C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24.</w:t>
      </w:r>
      <w:r>
        <w:rPr>
          <w:rFonts w:hint="default" w:ascii="Times New Roman" w:hAnsi="Times New Roman" w:cs="Times New Roman"/>
          <w:b w:val="0"/>
          <w:bCs/>
          <w:i w:val="0"/>
          <w:iCs w:val="0"/>
          <w:color w:val="auto"/>
          <w:highlight w:val="none"/>
        </w:rPr>
        <w:t xml:space="preserve"> Kindleberger, C. P. (1974). </w:t>
      </w:r>
      <w:r>
        <w:rPr>
          <w:rStyle w:val="15"/>
          <w:rFonts w:hint="default" w:ascii="Times New Roman" w:hAnsi="Times New Roman" w:cs="Times New Roman"/>
          <w:b w:val="0"/>
          <w:bCs/>
          <w:i w:val="0"/>
          <w:iCs w:val="0"/>
          <w:color w:val="auto"/>
          <w:highlight w:val="none"/>
        </w:rPr>
        <w:t>The formation of financial centers: A study in comparative economic history</w:t>
      </w:r>
      <w:r>
        <w:rPr>
          <w:rFonts w:hint="default" w:ascii="Times New Roman" w:hAnsi="Times New Roman" w:cs="Times New Roman"/>
          <w:b w:val="0"/>
          <w:bCs/>
          <w:i w:val="0"/>
          <w:iCs w:val="0"/>
          <w:color w:val="auto"/>
          <w:highlight w:val="none"/>
        </w:rPr>
        <w:t xml:space="preserve"> (Princeton Studies in International Finance No. 36). International Finance Section, Princeton University.</w:t>
      </w:r>
    </w:p>
    <w:p w14:paraId="61FFC515">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25.</w:t>
      </w:r>
      <w:r>
        <w:rPr>
          <w:rFonts w:hint="default" w:ascii="Times New Roman" w:hAnsi="Times New Roman" w:cs="Times New Roman"/>
          <w:b w:val="0"/>
          <w:bCs/>
          <w:i w:val="0"/>
          <w:iCs w:val="0"/>
          <w:color w:val="auto"/>
          <w:highlight w:val="none"/>
        </w:rPr>
        <w:t xml:space="preserve"> Krugman, P. (1991). Increasing returns and economic geography. </w:t>
      </w:r>
      <w:r>
        <w:rPr>
          <w:rStyle w:val="15"/>
          <w:rFonts w:hint="default" w:ascii="Times New Roman" w:hAnsi="Times New Roman" w:cs="Times New Roman"/>
          <w:b w:val="0"/>
          <w:bCs/>
          <w:i w:val="0"/>
          <w:iCs w:val="0"/>
          <w:color w:val="auto"/>
          <w:highlight w:val="none"/>
        </w:rPr>
        <w:t>Journal of Political Economy, 99</w:t>
      </w:r>
      <w:r>
        <w:rPr>
          <w:rFonts w:hint="default" w:ascii="Times New Roman" w:hAnsi="Times New Roman" w:cs="Times New Roman"/>
          <w:b w:val="0"/>
          <w:bCs/>
          <w:i w:val="0"/>
          <w:iCs w:val="0"/>
          <w:color w:val="auto"/>
          <w:highlight w:val="none"/>
        </w:rPr>
        <w:t>(3), 483–499.</w:t>
      </w:r>
    </w:p>
    <w:p w14:paraId="300EEFE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26.</w:t>
      </w:r>
      <w:r>
        <w:rPr>
          <w:rFonts w:hint="default" w:ascii="Times New Roman" w:hAnsi="Times New Roman" w:cs="Times New Roman"/>
          <w:b w:val="0"/>
          <w:bCs/>
          <w:i w:val="0"/>
          <w:iCs w:val="0"/>
          <w:color w:val="auto"/>
          <w:highlight w:val="none"/>
        </w:rPr>
        <w:t xml:space="preserve"> Lei, X., Xie, Y., &amp; Chen, X. (2023). Does fiscal mechanism affect the promotion of outward foreign direct investment in green innovation? </w:t>
      </w:r>
      <w:r>
        <w:rPr>
          <w:rStyle w:val="15"/>
          <w:rFonts w:hint="default" w:ascii="Times New Roman" w:hAnsi="Times New Roman" w:cs="Times New Roman"/>
          <w:b w:val="0"/>
          <w:bCs/>
          <w:i w:val="0"/>
          <w:iCs w:val="0"/>
          <w:color w:val="auto"/>
          <w:highlight w:val="none"/>
        </w:rPr>
        <w:t>Discrete Dynamics in Nature and Society, 2023</w:t>
      </w:r>
      <w:r>
        <w:rPr>
          <w:rFonts w:hint="default" w:ascii="Times New Roman" w:hAnsi="Times New Roman" w:cs="Times New Roman"/>
          <w:b w:val="0"/>
          <w:bCs/>
          <w:i w:val="0"/>
          <w:iCs w:val="0"/>
          <w:color w:val="auto"/>
          <w:highlight w:val="none"/>
        </w:rPr>
        <w:t>, 6630603.</w:t>
      </w:r>
    </w:p>
    <w:p w14:paraId="580A705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27.</w:t>
      </w:r>
      <w:r>
        <w:rPr>
          <w:rFonts w:hint="default" w:ascii="Times New Roman" w:hAnsi="Times New Roman" w:cs="Times New Roman"/>
          <w:b w:val="0"/>
          <w:bCs/>
          <w:i w:val="0"/>
          <w:iCs w:val="0"/>
          <w:color w:val="auto"/>
          <w:highlight w:val="none"/>
        </w:rPr>
        <w:t xml:space="preserve"> Levine, R. (1997). Financial development and economic growth: Views and agenda. </w:t>
      </w:r>
      <w:r>
        <w:rPr>
          <w:rStyle w:val="15"/>
          <w:rFonts w:hint="default" w:ascii="Times New Roman" w:hAnsi="Times New Roman" w:cs="Times New Roman"/>
          <w:b w:val="0"/>
          <w:bCs/>
          <w:i w:val="0"/>
          <w:iCs w:val="0"/>
          <w:color w:val="auto"/>
          <w:highlight w:val="none"/>
        </w:rPr>
        <w:t>Journal of Economic Literature, 35</w:t>
      </w:r>
      <w:r>
        <w:rPr>
          <w:rFonts w:hint="default" w:ascii="Times New Roman" w:hAnsi="Times New Roman" w:cs="Times New Roman"/>
          <w:b w:val="0"/>
          <w:bCs/>
          <w:i w:val="0"/>
          <w:iCs w:val="0"/>
          <w:color w:val="auto"/>
          <w:highlight w:val="none"/>
        </w:rPr>
        <w:t>(2), 688–726.</w:t>
      </w:r>
    </w:p>
    <w:p w14:paraId="5CA63C3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28.</w:t>
      </w:r>
      <w:r>
        <w:rPr>
          <w:rFonts w:hint="default" w:ascii="Times New Roman" w:hAnsi="Times New Roman" w:cs="Times New Roman"/>
          <w:b w:val="0"/>
          <w:bCs/>
          <w:i w:val="0"/>
          <w:iCs w:val="0"/>
          <w:color w:val="auto"/>
          <w:highlight w:val="none"/>
        </w:rPr>
        <w:t xml:space="preserve"> Li, J., &amp; Bai, J. (2014). Measurement of the level of regional financial congregation in China. </w:t>
      </w:r>
      <w:r>
        <w:rPr>
          <w:rStyle w:val="15"/>
          <w:rFonts w:hint="default" w:ascii="Times New Roman" w:hAnsi="Times New Roman" w:cs="Times New Roman"/>
          <w:b w:val="0"/>
          <w:bCs/>
          <w:i w:val="0"/>
          <w:iCs w:val="0"/>
          <w:color w:val="auto"/>
          <w:highlight w:val="none"/>
        </w:rPr>
        <w:t>Seeking Truth, 41</w:t>
      </w:r>
      <w:r>
        <w:rPr>
          <w:rFonts w:hint="default" w:ascii="Times New Roman" w:hAnsi="Times New Roman" w:cs="Times New Roman"/>
          <w:b w:val="0"/>
          <w:bCs/>
          <w:i w:val="0"/>
          <w:iCs w:val="0"/>
          <w:color w:val="auto"/>
          <w:highlight w:val="none"/>
        </w:rPr>
        <w:t>(4), 52–58.</w:t>
      </w:r>
    </w:p>
    <w:p w14:paraId="215D134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29.</w:t>
      </w:r>
      <w:r>
        <w:rPr>
          <w:rFonts w:hint="default" w:ascii="Times New Roman" w:hAnsi="Times New Roman" w:cs="Times New Roman"/>
          <w:b w:val="0"/>
          <w:bCs/>
          <w:i w:val="0"/>
          <w:iCs w:val="0"/>
          <w:color w:val="auto"/>
          <w:highlight w:val="none"/>
        </w:rPr>
        <w:t xml:space="preserve"> Li, J. S., &amp; Hu, Y. (2017). The influence of financial agglomeration on technological innovation: Evidence from Chinese provinces. </w:t>
      </w:r>
      <w:r>
        <w:rPr>
          <w:rStyle w:val="15"/>
          <w:rFonts w:hint="default" w:ascii="Times New Roman" w:hAnsi="Times New Roman" w:cs="Times New Roman"/>
          <w:b w:val="0"/>
          <w:bCs/>
          <w:i w:val="0"/>
          <w:iCs w:val="0"/>
          <w:color w:val="auto"/>
          <w:highlight w:val="none"/>
        </w:rPr>
        <w:t>Finance Forum, 22</w:t>
      </w:r>
      <w:r>
        <w:rPr>
          <w:rFonts w:hint="default" w:ascii="Times New Roman" w:hAnsi="Times New Roman" w:cs="Times New Roman"/>
          <w:b w:val="0"/>
          <w:bCs/>
          <w:i w:val="0"/>
          <w:iCs w:val="0"/>
          <w:color w:val="auto"/>
          <w:highlight w:val="none"/>
        </w:rPr>
        <w:t>(7), 39–52.</w:t>
      </w:r>
    </w:p>
    <w:p w14:paraId="29FF902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30.</w:t>
      </w:r>
      <w:r>
        <w:rPr>
          <w:rFonts w:hint="default" w:ascii="Times New Roman" w:hAnsi="Times New Roman" w:cs="Times New Roman"/>
          <w:b w:val="0"/>
          <w:bCs/>
          <w:i w:val="0"/>
          <w:iCs w:val="0"/>
          <w:color w:val="auto"/>
          <w:highlight w:val="none"/>
        </w:rPr>
        <w:t xml:space="preserve"> Li, N. N., &amp; Zhang, B. J. (2017). Study on the coupling coordination relationship between technological innovation and entrepreneurship: Empirical evidence from 25 countries. </w:t>
      </w:r>
      <w:r>
        <w:rPr>
          <w:rStyle w:val="15"/>
          <w:rFonts w:hint="default" w:ascii="Times New Roman" w:hAnsi="Times New Roman" w:cs="Times New Roman"/>
          <w:b w:val="0"/>
          <w:bCs/>
          <w:i w:val="0"/>
          <w:iCs w:val="0"/>
          <w:color w:val="auto"/>
          <w:highlight w:val="none"/>
        </w:rPr>
        <w:t>On Economic Problems</w:t>
      </w:r>
      <w:r>
        <w:rPr>
          <w:rFonts w:hint="default" w:ascii="Times New Roman" w:hAnsi="Times New Roman" w:cs="Times New Roman"/>
          <w:b w:val="0"/>
          <w:bCs/>
          <w:i w:val="0"/>
          <w:iCs w:val="0"/>
          <w:color w:val="auto"/>
          <w:highlight w:val="none"/>
        </w:rPr>
        <w:t>, (12), 65–71.</w:t>
      </w:r>
    </w:p>
    <w:p w14:paraId="399ABEC2">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31.</w:t>
      </w:r>
      <w:r>
        <w:rPr>
          <w:rFonts w:hint="default" w:ascii="Times New Roman" w:hAnsi="Times New Roman" w:cs="Times New Roman"/>
          <w:b w:val="0"/>
          <w:bCs/>
          <w:i w:val="0"/>
          <w:iCs w:val="0"/>
          <w:color w:val="auto"/>
          <w:highlight w:val="none"/>
        </w:rPr>
        <w:t xml:space="preserve"> Lin, J. (1991). Divergence measures based on the Shannon entropy. </w:t>
      </w:r>
      <w:r>
        <w:rPr>
          <w:rStyle w:val="15"/>
          <w:rFonts w:hint="default" w:ascii="Times New Roman" w:hAnsi="Times New Roman" w:cs="Times New Roman"/>
          <w:b w:val="0"/>
          <w:bCs/>
          <w:i w:val="0"/>
          <w:iCs w:val="0"/>
          <w:color w:val="auto"/>
          <w:highlight w:val="none"/>
        </w:rPr>
        <w:t>IEEE Transactions on Information Theory, 37</w:t>
      </w:r>
      <w:r>
        <w:rPr>
          <w:rFonts w:hint="default" w:ascii="Times New Roman" w:hAnsi="Times New Roman" w:cs="Times New Roman"/>
          <w:b w:val="0"/>
          <w:bCs/>
          <w:i w:val="0"/>
          <w:iCs w:val="0"/>
          <w:color w:val="auto"/>
          <w:highlight w:val="none"/>
        </w:rPr>
        <w:t>(1), 145–151.</w:t>
      </w:r>
    </w:p>
    <w:p w14:paraId="38DFBDE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32.</w:t>
      </w:r>
      <w:r>
        <w:rPr>
          <w:rFonts w:hint="default" w:ascii="Times New Roman" w:hAnsi="Times New Roman" w:cs="Times New Roman"/>
          <w:b w:val="0"/>
          <w:bCs/>
          <w:i w:val="0"/>
          <w:iCs w:val="0"/>
          <w:color w:val="auto"/>
          <w:highlight w:val="none"/>
        </w:rPr>
        <w:t xml:space="preserve"> Lin, T., Zhang, L., &amp; Li, J. (2024). Coupling and coordinated development of green finance and renewable energy industry in China: Spatiotemporal differentiation and driving factors. </w:t>
      </w:r>
      <w:r>
        <w:rPr>
          <w:rStyle w:val="15"/>
          <w:rFonts w:hint="default" w:ascii="Times New Roman" w:hAnsi="Times New Roman" w:cs="Times New Roman"/>
          <w:b w:val="0"/>
          <w:bCs/>
          <w:i w:val="0"/>
          <w:iCs w:val="0"/>
          <w:color w:val="auto"/>
          <w:highlight w:val="none"/>
        </w:rPr>
        <w:t>Renewable Energy, 235</w:t>
      </w:r>
      <w:r>
        <w:rPr>
          <w:rFonts w:hint="default" w:ascii="Times New Roman" w:hAnsi="Times New Roman" w:cs="Times New Roman"/>
          <w:b w:val="0"/>
          <w:bCs/>
          <w:i w:val="0"/>
          <w:iCs w:val="0"/>
          <w:color w:val="auto"/>
          <w:highlight w:val="none"/>
        </w:rPr>
        <w:t>, 121255.</w:t>
      </w:r>
    </w:p>
    <w:p w14:paraId="63A2CCA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33.</w:t>
      </w:r>
      <w:r>
        <w:rPr>
          <w:rFonts w:hint="default" w:ascii="Times New Roman" w:hAnsi="Times New Roman" w:cs="Times New Roman"/>
          <w:b w:val="0"/>
          <w:bCs/>
          <w:i w:val="0"/>
          <w:iCs w:val="0"/>
          <w:color w:val="auto"/>
          <w:highlight w:val="none"/>
        </w:rPr>
        <w:t xml:space="preserve"> Liao, C. B. (1999). Quantitative evaluation and classification system of the coordinated development between environment and economy: A case study of the Pearl River Delta urban agglomeration. </w:t>
      </w:r>
      <w:r>
        <w:rPr>
          <w:rStyle w:val="15"/>
          <w:rFonts w:hint="default" w:ascii="Times New Roman" w:hAnsi="Times New Roman" w:cs="Times New Roman"/>
          <w:b w:val="0"/>
          <w:bCs/>
          <w:i w:val="0"/>
          <w:iCs w:val="0"/>
          <w:color w:val="auto"/>
          <w:highlight w:val="none"/>
        </w:rPr>
        <w:t>Tropical Geography</w:t>
      </w:r>
      <w:r>
        <w:rPr>
          <w:rFonts w:hint="default" w:ascii="Times New Roman" w:hAnsi="Times New Roman" w:cs="Times New Roman"/>
          <w:b w:val="0"/>
          <w:bCs/>
          <w:i w:val="0"/>
          <w:iCs w:val="0"/>
          <w:color w:val="auto"/>
          <w:highlight w:val="none"/>
        </w:rPr>
        <w:t>, (2), 76–82.</w:t>
      </w:r>
    </w:p>
    <w:p w14:paraId="68A6AB27">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34.</w:t>
      </w:r>
      <w:r>
        <w:rPr>
          <w:rFonts w:hint="default" w:ascii="Times New Roman" w:hAnsi="Times New Roman" w:cs="Times New Roman"/>
          <w:b w:val="0"/>
          <w:bCs/>
          <w:i w:val="0"/>
          <w:iCs w:val="0"/>
          <w:color w:val="auto"/>
          <w:highlight w:val="none"/>
        </w:rPr>
        <w:t xml:space="preserve"> Lu, C. (2021). </w:t>
      </w:r>
      <w:r>
        <w:rPr>
          <w:rStyle w:val="15"/>
          <w:rFonts w:hint="default" w:ascii="Times New Roman" w:hAnsi="Times New Roman" w:cs="Times New Roman"/>
          <w:b w:val="0"/>
          <w:bCs/>
          <w:i w:val="0"/>
          <w:iCs w:val="0"/>
          <w:color w:val="auto"/>
          <w:highlight w:val="none"/>
        </w:rPr>
        <w:t>The impact of financial agglomeration on green innovation efficiency</w:t>
      </w:r>
      <w:r>
        <w:rPr>
          <w:rFonts w:hint="default" w:ascii="Times New Roman" w:hAnsi="Times New Roman" w:cs="Times New Roman"/>
          <w:b w:val="0"/>
          <w:bCs/>
          <w:i w:val="0"/>
          <w:iCs w:val="0"/>
          <w:color w:val="auto"/>
          <w:highlight w:val="none"/>
        </w:rPr>
        <w:t xml:space="preserve"> (Master’s thesis, Shandong University).</w:t>
      </w:r>
    </w:p>
    <w:p w14:paraId="5E4DE91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35.</w:t>
      </w:r>
      <w:r>
        <w:rPr>
          <w:rFonts w:hint="default" w:ascii="Times New Roman" w:hAnsi="Times New Roman" w:cs="Times New Roman"/>
          <w:b w:val="0"/>
          <w:bCs/>
          <w:i w:val="0"/>
          <w:iCs w:val="0"/>
          <w:color w:val="auto"/>
          <w:highlight w:val="none"/>
        </w:rPr>
        <w:t xml:space="preserve"> Luo, Z. Y., He, Y. Q., &amp; Mao, H. (2013). Study on the coupling relationship between financial agglomeration and economic development in East China. </w:t>
      </w:r>
      <w:r>
        <w:rPr>
          <w:rStyle w:val="15"/>
          <w:rFonts w:hint="default" w:ascii="Times New Roman" w:hAnsi="Times New Roman" w:cs="Times New Roman"/>
          <w:b w:val="0"/>
          <w:bCs/>
          <w:i w:val="0"/>
          <w:iCs w:val="0"/>
          <w:color w:val="auto"/>
          <w:highlight w:val="none"/>
        </w:rPr>
        <w:t>Enterprise Economy, 32</w:t>
      </w:r>
      <w:r>
        <w:rPr>
          <w:rFonts w:hint="default" w:ascii="Times New Roman" w:hAnsi="Times New Roman" w:cs="Times New Roman"/>
          <w:b w:val="0"/>
          <w:bCs/>
          <w:i w:val="0"/>
          <w:iCs w:val="0"/>
          <w:color w:val="auto"/>
          <w:highlight w:val="none"/>
        </w:rPr>
        <w:t>(8), 135–138.</w:t>
      </w:r>
    </w:p>
    <w:p w14:paraId="4A874B8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36.</w:t>
      </w:r>
      <w:r>
        <w:rPr>
          <w:rFonts w:hint="default" w:ascii="Times New Roman" w:hAnsi="Times New Roman" w:cs="Times New Roman"/>
          <w:b w:val="0"/>
          <w:bCs/>
          <w:i w:val="0"/>
          <w:iCs w:val="0"/>
          <w:color w:val="auto"/>
          <w:highlight w:val="none"/>
        </w:rPr>
        <w:t xml:space="preserve"> Miao, C. L., Duan, M. M., Zuo, Y., &amp; Wu, X. Y. (2021). Spatial heterogeneity and evolution trend of regional green innovation efficiency: An empirical study based on panel data of industrial enterprises in China’s provinces. </w:t>
      </w:r>
      <w:r>
        <w:rPr>
          <w:rStyle w:val="15"/>
          <w:rFonts w:hint="default" w:ascii="Times New Roman" w:hAnsi="Times New Roman" w:cs="Times New Roman"/>
          <w:b w:val="0"/>
          <w:bCs/>
          <w:i w:val="0"/>
          <w:iCs w:val="0"/>
          <w:color w:val="auto"/>
          <w:highlight w:val="none"/>
        </w:rPr>
        <w:t>Energy Policy, 156</w:t>
      </w:r>
      <w:r>
        <w:rPr>
          <w:rFonts w:hint="default" w:ascii="Times New Roman" w:hAnsi="Times New Roman" w:cs="Times New Roman"/>
          <w:b w:val="0"/>
          <w:bCs/>
          <w:i w:val="0"/>
          <w:iCs w:val="0"/>
          <w:color w:val="auto"/>
          <w:highlight w:val="none"/>
        </w:rPr>
        <w:t>, 112370.</w:t>
      </w:r>
    </w:p>
    <w:p w14:paraId="60C0F1C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37.</w:t>
      </w:r>
      <w:r>
        <w:rPr>
          <w:rFonts w:hint="default" w:ascii="Times New Roman" w:hAnsi="Times New Roman" w:cs="Times New Roman"/>
          <w:b w:val="0"/>
          <w:bCs/>
          <w:i w:val="0"/>
          <w:iCs w:val="0"/>
          <w:color w:val="auto"/>
          <w:highlight w:val="none"/>
        </w:rPr>
        <w:t xml:space="preserve"> Moran, P. A. P. (1948). The interpretation of statistical maps. </w:t>
      </w:r>
      <w:r>
        <w:rPr>
          <w:rStyle w:val="15"/>
          <w:rFonts w:hint="default" w:ascii="Times New Roman" w:hAnsi="Times New Roman" w:cs="Times New Roman"/>
          <w:b w:val="0"/>
          <w:bCs/>
          <w:i w:val="0"/>
          <w:iCs w:val="0"/>
          <w:color w:val="auto"/>
          <w:highlight w:val="none"/>
        </w:rPr>
        <w:t>Journal of the Royal Statistical Society: Series B (Methodological), 10</w:t>
      </w:r>
      <w:r>
        <w:rPr>
          <w:rFonts w:hint="default" w:ascii="Times New Roman" w:hAnsi="Times New Roman" w:cs="Times New Roman"/>
          <w:b w:val="0"/>
          <w:bCs/>
          <w:i w:val="0"/>
          <w:iCs w:val="0"/>
          <w:color w:val="auto"/>
          <w:highlight w:val="none"/>
        </w:rPr>
        <w:t>(2), 243–251.</w:t>
      </w:r>
    </w:p>
    <w:p w14:paraId="796BB90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38.</w:t>
      </w:r>
      <w:r>
        <w:rPr>
          <w:rFonts w:hint="default" w:ascii="Times New Roman" w:hAnsi="Times New Roman" w:cs="Times New Roman"/>
          <w:b w:val="0"/>
          <w:bCs/>
          <w:i w:val="0"/>
          <w:iCs w:val="0"/>
          <w:color w:val="auto"/>
          <w:highlight w:val="none"/>
        </w:rPr>
        <w:t xml:space="preserve"> Paas, T., &amp; Schlitte, F. (2008). Regional income inequality and convergence processes in the EU-25. </w:t>
      </w:r>
      <w:r>
        <w:rPr>
          <w:rStyle w:val="15"/>
          <w:rFonts w:hint="default" w:ascii="Times New Roman" w:hAnsi="Times New Roman" w:cs="Times New Roman"/>
          <w:b w:val="0"/>
          <w:bCs/>
          <w:i w:val="0"/>
          <w:iCs w:val="0"/>
          <w:color w:val="auto"/>
          <w:highlight w:val="none"/>
        </w:rPr>
        <w:t>Scienze Regionali: Italian Journal of Regional Science, 7</w:t>
      </w:r>
      <w:r>
        <w:rPr>
          <w:rFonts w:hint="default" w:ascii="Times New Roman" w:hAnsi="Times New Roman" w:cs="Times New Roman"/>
          <w:b w:val="0"/>
          <w:bCs/>
          <w:i w:val="0"/>
          <w:iCs w:val="0"/>
          <w:color w:val="auto"/>
          <w:highlight w:val="none"/>
        </w:rPr>
        <w:t>(Suppl. 2), 29–49.</w:t>
      </w:r>
    </w:p>
    <w:p w14:paraId="667664A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39.</w:t>
      </w:r>
      <w:r>
        <w:rPr>
          <w:rFonts w:hint="default" w:ascii="Times New Roman" w:hAnsi="Times New Roman" w:cs="Times New Roman"/>
          <w:b w:val="0"/>
          <w:bCs/>
          <w:i w:val="0"/>
          <w:iCs w:val="0"/>
          <w:color w:val="auto"/>
          <w:highlight w:val="none"/>
        </w:rPr>
        <w:t xml:space="preserve"> Pandit, N. R., Cook, G. A. S., &amp; Swann, G. M. P. (2001). The dynamics of industrial clustering in British financial services. </w:t>
      </w:r>
      <w:r>
        <w:rPr>
          <w:rStyle w:val="15"/>
          <w:rFonts w:hint="default" w:ascii="Times New Roman" w:hAnsi="Times New Roman" w:cs="Times New Roman"/>
          <w:b w:val="0"/>
          <w:bCs/>
          <w:i w:val="0"/>
          <w:iCs w:val="0"/>
          <w:color w:val="auto"/>
          <w:highlight w:val="none"/>
        </w:rPr>
        <w:t>The Service Industries Journal, 21</w:t>
      </w:r>
      <w:r>
        <w:rPr>
          <w:rFonts w:hint="default" w:ascii="Times New Roman" w:hAnsi="Times New Roman" w:cs="Times New Roman"/>
          <w:b w:val="0"/>
          <w:bCs/>
          <w:i w:val="0"/>
          <w:iCs w:val="0"/>
          <w:color w:val="auto"/>
          <w:highlight w:val="none"/>
        </w:rPr>
        <w:t>(4), 33–61.</w:t>
      </w:r>
    </w:p>
    <w:p w14:paraId="3E12454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40.</w:t>
      </w:r>
      <w:r>
        <w:rPr>
          <w:rFonts w:hint="default" w:ascii="Times New Roman" w:hAnsi="Times New Roman" w:cs="Times New Roman"/>
          <w:b w:val="0"/>
          <w:bCs/>
          <w:i w:val="0"/>
          <w:iCs w:val="0"/>
          <w:color w:val="auto"/>
          <w:highlight w:val="none"/>
        </w:rPr>
        <w:t xml:space="preserve"> Pang, Q., Zhou, M., &amp; Li, M. (2020). Spatiotemporal coupling coordination of financial agglomeration, regional innovation, and ecological efficiency in Jiangsu Province. </w:t>
      </w:r>
      <w:r>
        <w:rPr>
          <w:rStyle w:val="15"/>
          <w:rFonts w:hint="default" w:ascii="Times New Roman" w:hAnsi="Times New Roman" w:cs="Times New Roman"/>
          <w:b w:val="0"/>
          <w:bCs/>
          <w:i w:val="0"/>
          <w:iCs w:val="0"/>
          <w:color w:val="auto"/>
          <w:highlight w:val="none"/>
        </w:rPr>
        <w:t>East China Economic Management, 34</w:t>
      </w:r>
      <w:r>
        <w:rPr>
          <w:rFonts w:hint="default" w:ascii="Times New Roman" w:hAnsi="Times New Roman" w:cs="Times New Roman"/>
          <w:b w:val="0"/>
          <w:bCs/>
          <w:i w:val="0"/>
          <w:iCs w:val="0"/>
          <w:color w:val="auto"/>
          <w:highlight w:val="none"/>
        </w:rPr>
        <w:t>(5), 33–41.</w:t>
      </w:r>
    </w:p>
    <w:p w14:paraId="150F3C7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41.</w:t>
      </w:r>
      <w:r>
        <w:rPr>
          <w:rFonts w:hint="default" w:ascii="Times New Roman" w:hAnsi="Times New Roman" w:cs="Times New Roman"/>
          <w:b w:val="0"/>
          <w:bCs/>
          <w:i w:val="0"/>
          <w:iCs w:val="0"/>
          <w:color w:val="auto"/>
          <w:highlight w:val="none"/>
        </w:rPr>
        <w:t xml:space="preserve"> Porter, M. E. (1998). Clusters and the new economics of competition. </w:t>
      </w:r>
      <w:r>
        <w:rPr>
          <w:rStyle w:val="15"/>
          <w:rFonts w:hint="default" w:ascii="Times New Roman" w:hAnsi="Times New Roman" w:cs="Times New Roman"/>
          <w:b w:val="0"/>
          <w:bCs/>
          <w:i w:val="0"/>
          <w:iCs w:val="0"/>
          <w:color w:val="auto"/>
          <w:highlight w:val="none"/>
        </w:rPr>
        <w:t>Harvard Business Review, 76</w:t>
      </w:r>
      <w:r>
        <w:rPr>
          <w:rFonts w:hint="default" w:ascii="Times New Roman" w:hAnsi="Times New Roman" w:cs="Times New Roman"/>
          <w:b w:val="0"/>
          <w:bCs/>
          <w:i w:val="0"/>
          <w:iCs w:val="0"/>
          <w:color w:val="auto"/>
          <w:highlight w:val="none"/>
        </w:rPr>
        <w:t>(6), 77–90.</w:t>
      </w:r>
    </w:p>
    <w:p w14:paraId="05D3616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42.</w:t>
      </w:r>
      <w:r>
        <w:rPr>
          <w:rFonts w:hint="default" w:ascii="Times New Roman" w:hAnsi="Times New Roman" w:cs="Times New Roman"/>
          <w:b w:val="0"/>
          <w:bCs/>
          <w:i w:val="0"/>
          <w:iCs w:val="0"/>
          <w:color w:val="auto"/>
          <w:highlight w:val="none"/>
        </w:rPr>
        <w:t xml:space="preserve"> Quan, T., &amp; Quan, T. (2023). A study of the spatial mechanism of financial agglomeration affecting green low-carbon development: Evidence from China. </w:t>
      </w:r>
      <w:r>
        <w:rPr>
          <w:rStyle w:val="15"/>
          <w:rFonts w:hint="default" w:ascii="Times New Roman" w:hAnsi="Times New Roman" w:cs="Times New Roman"/>
          <w:b w:val="0"/>
          <w:bCs/>
          <w:i w:val="0"/>
          <w:iCs w:val="0"/>
          <w:color w:val="auto"/>
          <w:highlight w:val="none"/>
        </w:rPr>
        <w:t>Sustainability, 15</w:t>
      </w:r>
      <w:r>
        <w:rPr>
          <w:rFonts w:hint="default" w:ascii="Times New Roman" w:hAnsi="Times New Roman" w:cs="Times New Roman"/>
          <w:b w:val="0"/>
          <w:bCs/>
          <w:i w:val="0"/>
          <w:iCs w:val="0"/>
          <w:color w:val="auto"/>
          <w:highlight w:val="none"/>
        </w:rPr>
        <w:t>(2), 965.</w:t>
      </w:r>
    </w:p>
    <w:p w14:paraId="4625900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43.</w:t>
      </w:r>
      <w:r>
        <w:rPr>
          <w:rFonts w:hint="default" w:ascii="Times New Roman" w:hAnsi="Times New Roman" w:cs="Times New Roman"/>
          <w:b w:val="0"/>
          <w:bCs/>
          <w:i w:val="0"/>
          <w:iCs w:val="0"/>
          <w:color w:val="auto"/>
          <w:highlight w:val="none"/>
        </w:rPr>
        <w:t xml:space="preserve"> Schumpeter, J. A. (1934). </w:t>
      </w:r>
      <w:r>
        <w:rPr>
          <w:rStyle w:val="15"/>
          <w:rFonts w:hint="default" w:ascii="Times New Roman" w:hAnsi="Times New Roman" w:cs="Times New Roman"/>
          <w:b w:val="0"/>
          <w:bCs/>
          <w:i w:val="0"/>
          <w:iCs w:val="0"/>
          <w:color w:val="auto"/>
          <w:highlight w:val="none"/>
        </w:rPr>
        <w:t>The theory of economic development</w:t>
      </w:r>
      <w:r>
        <w:rPr>
          <w:rFonts w:hint="default" w:ascii="Times New Roman" w:hAnsi="Times New Roman" w:cs="Times New Roman"/>
          <w:b w:val="0"/>
          <w:bCs/>
          <w:i w:val="0"/>
          <w:iCs w:val="0"/>
          <w:color w:val="auto"/>
          <w:highlight w:val="none"/>
        </w:rPr>
        <w:t>. Harvard University Press.</w:t>
      </w:r>
    </w:p>
    <w:p w14:paraId="42CFB38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44.</w:t>
      </w:r>
      <w:r>
        <w:rPr>
          <w:rFonts w:hint="default" w:ascii="Times New Roman" w:hAnsi="Times New Roman" w:cs="Times New Roman"/>
          <w:b w:val="0"/>
          <w:bCs/>
          <w:i w:val="0"/>
          <w:iCs w:val="0"/>
          <w:color w:val="auto"/>
          <w:highlight w:val="none"/>
        </w:rPr>
        <w:t xml:space="preserve"> Song, D. J. (2014). Research on the coupling effect between technological innovation and high-tech product exports in China. </w:t>
      </w:r>
      <w:r>
        <w:rPr>
          <w:rStyle w:val="15"/>
          <w:rFonts w:hint="default" w:ascii="Times New Roman" w:hAnsi="Times New Roman" w:cs="Times New Roman"/>
          <w:b w:val="0"/>
          <w:bCs/>
          <w:i w:val="0"/>
          <w:iCs w:val="0"/>
          <w:color w:val="auto"/>
          <w:highlight w:val="none"/>
        </w:rPr>
        <w:t>Statistics &amp; Decision</w:t>
      </w:r>
      <w:r>
        <w:rPr>
          <w:rFonts w:hint="default" w:ascii="Times New Roman" w:hAnsi="Times New Roman" w:cs="Times New Roman"/>
          <w:b w:val="0"/>
          <w:bCs/>
          <w:i w:val="0"/>
          <w:iCs w:val="0"/>
          <w:color w:val="auto"/>
          <w:highlight w:val="none"/>
        </w:rPr>
        <w:t>, (4), 134–139.</w:t>
      </w:r>
    </w:p>
    <w:p w14:paraId="5ABA6305">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45.</w:t>
      </w:r>
      <w:r>
        <w:rPr>
          <w:rFonts w:hint="default" w:ascii="Times New Roman" w:hAnsi="Times New Roman" w:cs="Times New Roman"/>
          <w:b w:val="0"/>
          <w:bCs/>
          <w:i w:val="0"/>
          <w:iCs w:val="0"/>
          <w:color w:val="auto"/>
          <w:highlight w:val="none"/>
        </w:rPr>
        <w:t xml:space="preserve"> Song, Q., Zhou, N., Liu, T., Siehr, S. A., &amp; Qi, Y. (2018). Investigation of a “coupling model” of coordination between low-carbon development and urbanization in China. </w:t>
      </w:r>
      <w:r>
        <w:rPr>
          <w:rStyle w:val="15"/>
          <w:rFonts w:hint="default" w:ascii="Times New Roman" w:hAnsi="Times New Roman" w:cs="Times New Roman"/>
          <w:b w:val="0"/>
          <w:bCs/>
          <w:i w:val="0"/>
          <w:iCs w:val="0"/>
          <w:color w:val="auto"/>
          <w:highlight w:val="none"/>
        </w:rPr>
        <w:t>Energy Policy, 121</w:t>
      </w:r>
      <w:r>
        <w:rPr>
          <w:rFonts w:hint="default" w:ascii="Times New Roman" w:hAnsi="Times New Roman" w:cs="Times New Roman"/>
          <w:b w:val="0"/>
          <w:bCs/>
          <w:i w:val="0"/>
          <w:iCs w:val="0"/>
          <w:color w:val="auto"/>
          <w:highlight w:val="none"/>
        </w:rPr>
        <w:t>, 346–354.</w:t>
      </w:r>
    </w:p>
    <w:p w14:paraId="074F7BD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46.</w:t>
      </w:r>
      <w:r>
        <w:rPr>
          <w:rFonts w:hint="default" w:ascii="Times New Roman" w:hAnsi="Times New Roman" w:cs="Times New Roman"/>
          <w:b w:val="0"/>
          <w:bCs/>
          <w:i w:val="0"/>
          <w:iCs w:val="0"/>
          <w:color w:val="auto"/>
          <w:highlight w:val="none"/>
        </w:rPr>
        <w:t xml:space="preserve"> Wang, R. X., &amp; Yang, M. (2015). The coupling relationship between technological innovation and financial innovation and its impact on economic efficiency: Empirical evidence from 35 countries. </w:t>
      </w:r>
      <w:r>
        <w:rPr>
          <w:rStyle w:val="15"/>
          <w:rFonts w:hint="default" w:ascii="Times New Roman" w:hAnsi="Times New Roman" w:cs="Times New Roman"/>
          <w:b w:val="0"/>
          <w:bCs/>
          <w:i w:val="0"/>
          <w:iCs w:val="0"/>
          <w:color w:val="auto"/>
          <w:highlight w:val="none"/>
        </w:rPr>
        <w:t>Soft Science, 29</w:t>
      </w:r>
      <w:r>
        <w:rPr>
          <w:rFonts w:hint="default" w:ascii="Times New Roman" w:hAnsi="Times New Roman" w:cs="Times New Roman"/>
          <w:b w:val="0"/>
          <w:bCs/>
          <w:i w:val="0"/>
          <w:iCs w:val="0"/>
          <w:color w:val="auto"/>
          <w:highlight w:val="none"/>
        </w:rPr>
        <w:t>(1), 33–36, 41.</w:t>
      </w:r>
    </w:p>
    <w:p w14:paraId="4553F3E7">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47.</w:t>
      </w:r>
      <w:r>
        <w:rPr>
          <w:rFonts w:hint="default" w:ascii="Times New Roman" w:hAnsi="Times New Roman" w:cs="Times New Roman"/>
          <w:b w:val="0"/>
          <w:bCs/>
          <w:i w:val="0"/>
          <w:iCs w:val="0"/>
          <w:color w:val="auto"/>
          <w:highlight w:val="none"/>
        </w:rPr>
        <w:t xml:space="preserve"> Wang, S. J., Kong, W., Ren, L., Zhi, D. D., &amp; Dai, B. T. (2021). Research on misuses and modification of coupling coordination degree model in China. </w:t>
      </w:r>
      <w:r>
        <w:rPr>
          <w:rStyle w:val="15"/>
          <w:rFonts w:hint="default" w:ascii="Times New Roman" w:hAnsi="Times New Roman" w:cs="Times New Roman"/>
          <w:b w:val="0"/>
          <w:bCs/>
          <w:i w:val="0"/>
          <w:iCs w:val="0"/>
          <w:color w:val="auto"/>
          <w:highlight w:val="none"/>
        </w:rPr>
        <w:t>Journal of Natural Resources, 36</w:t>
      </w:r>
      <w:r>
        <w:rPr>
          <w:rFonts w:hint="default" w:ascii="Times New Roman" w:hAnsi="Times New Roman" w:cs="Times New Roman"/>
          <w:b w:val="0"/>
          <w:bCs/>
          <w:i w:val="0"/>
          <w:iCs w:val="0"/>
          <w:color w:val="auto"/>
          <w:highlight w:val="none"/>
        </w:rPr>
        <w:t>(3), 793–810.</w:t>
      </w:r>
    </w:p>
    <w:p w14:paraId="098075F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48.</w:t>
      </w:r>
      <w:r>
        <w:rPr>
          <w:rFonts w:hint="default" w:ascii="Times New Roman" w:hAnsi="Times New Roman" w:cs="Times New Roman"/>
          <w:b w:val="0"/>
          <w:bCs/>
          <w:i w:val="0"/>
          <w:iCs w:val="0"/>
          <w:color w:val="auto"/>
          <w:highlight w:val="none"/>
        </w:rPr>
        <w:t xml:space="preserve"> Wang, Y. M., &amp; Ma, Y. F. (2011). Analysis of the coupling coordination degree between urban tourism economy and transportation development: A case study of Xi’an. </w:t>
      </w:r>
      <w:r>
        <w:rPr>
          <w:rStyle w:val="15"/>
          <w:rFonts w:hint="default" w:ascii="Times New Roman" w:hAnsi="Times New Roman" w:cs="Times New Roman"/>
          <w:b w:val="0"/>
          <w:bCs/>
          <w:i w:val="0"/>
          <w:iCs w:val="0"/>
          <w:color w:val="auto"/>
          <w:highlight w:val="none"/>
        </w:rPr>
        <w:t>Journal of Shaanxi Normal University (Natural Science Edition), 39</w:t>
      </w:r>
      <w:r>
        <w:rPr>
          <w:rFonts w:hint="default" w:ascii="Times New Roman" w:hAnsi="Times New Roman" w:cs="Times New Roman"/>
          <w:b w:val="0"/>
          <w:bCs/>
          <w:i w:val="0"/>
          <w:iCs w:val="0"/>
          <w:color w:val="auto"/>
          <w:highlight w:val="none"/>
        </w:rPr>
        <w:t>(1), 86–90.</w:t>
      </w:r>
    </w:p>
    <w:p w14:paraId="57A9FAE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49.</w:t>
      </w:r>
      <w:r>
        <w:rPr>
          <w:rFonts w:hint="default" w:ascii="Times New Roman" w:hAnsi="Times New Roman" w:cs="Times New Roman"/>
          <w:b w:val="0"/>
          <w:bCs/>
          <w:i w:val="0"/>
          <w:iCs w:val="0"/>
          <w:color w:val="auto"/>
          <w:highlight w:val="none"/>
        </w:rPr>
        <w:t xml:space="preserve"> Wan, J., Li, C., Yang, Z., Wu, L., &amp; Yue, M. (2025). Dynamic spatial spillover effects of financial agglomeration on CO₂ emissions: The case of China. </w:t>
      </w:r>
      <w:r>
        <w:rPr>
          <w:rStyle w:val="15"/>
          <w:rFonts w:hint="default" w:ascii="Times New Roman" w:hAnsi="Times New Roman" w:cs="Times New Roman"/>
          <w:b w:val="0"/>
          <w:bCs/>
          <w:i w:val="0"/>
          <w:iCs w:val="0"/>
          <w:color w:val="auto"/>
          <w:highlight w:val="none"/>
        </w:rPr>
        <w:t>Humanities and Social Sciences Communications, 12</w:t>
      </w:r>
      <w:r>
        <w:rPr>
          <w:rFonts w:hint="default" w:ascii="Times New Roman" w:hAnsi="Times New Roman" w:cs="Times New Roman"/>
          <w:b w:val="0"/>
          <w:bCs/>
          <w:i w:val="0"/>
          <w:iCs w:val="0"/>
          <w:color w:val="auto"/>
          <w:highlight w:val="none"/>
        </w:rPr>
        <w:t>(1), 178.</w:t>
      </w:r>
    </w:p>
    <w:p w14:paraId="7B2778C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50.</w:t>
      </w:r>
      <w:r>
        <w:rPr>
          <w:rFonts w:hint="default" w:ascii="Times New Roman" w:hAnsi="Times New Roman" w:cs="Times New Roman"/>
          <w:b w:val="0"/>
          <w:bCs/>
          <w:i w:val="0"/>
          <w:iCs w:val="0"/>
          <w:color w:val="auto"/>
          <w:highlight w:val="none"/>
        </w:rPr>
        <w:t xml:space="preserve"> Wen, Y., Zhao, M., Zheng, L., Yang, Y., &amp; Yang, X. (2023). Impacts of financial agglomeration on technological innovation: A spatial and nonlinear perspective. </w:t>
      </w:r>
      <w:r>
        <w:rPr>
          <w:rStyle w:val="15"/>
          <w:rFonts w:hint="default" w:ascii="Times New Roman" w:hAnsi="Times New Roman" w:cs="Times New Roman"/>
          <w:b w:val="0"/>
          <w:bCs/>
          <w:i w:val="0"/>
          <w:iCs w:val="0"/>
          <w:color w:val="auto"/>
          <w:highlight w:val="none"/>
        </w:rPr>
        <w:t>Technology Analysis &amp; Strategic Management, 35</w:t>
      </w:r>
      <w:r>
        <w:rPr>
          <w:rFonts w:hint="default" w:ascii="Times New Roman" w:hAnsi="Times New Roman" w:cs="Times New Roman"/>
          <w:b w:val="0"/>
          <w:bCs/>
          <w:i w:val="0"/>
          <w:iCs w:val="0"/>
          <w:color w:val="auto"/>
          <w:highlight w:val="none"/>
        </w:rPr>
        <w:t>(1), 17–29.</w:t>
      </w:r>
    </w:p>
    <w:p w14:paraId="587C484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51.</w:t>
      </w:r>
      <w:r>
        <w:rPr>
          <w:rFonts w:hint="default" w:ascii="Times New Roman" w:hAnsi="Times New Roman" w:cs="Times New Roman"/>
          <w:b w:val="0"/>
          <w:bCs/>
          <w:i w:val="0"/>
          <w:iCs w:val="0"/>
          <w:color w:val="auto"/>
          <w:highlight w:val="none"/>
        </w:rPr>
        <w:t xml:space="preserve"> Yao, L., &amp; Wang, S. H. (2022). The interactive effects of financial agglomeration and regional economic growth and their spatial spillover effects: An empirical study based on a spatial panel simultaneous equation model. </w:t>
      </w:r>
      <w:r>
        <w:rPr>
          <w:rStyle w:val="15"/>
          <w:rFonts w:hint="default" w:ascii="Times New Roman" w:hAnsi="Times New Roman" w:cs="Times New Roman"/>
          <w:b w:val="0"/>
          <w:bCs/>
          <w:i w:val="0"/>
          <w:iCs w:val="0"/>
          <w:color w:val="auto"/>
          <w:highlight w:val="none"/>
        </w:rPr>
        <w:t>Journal of Statistics, 3</w:t>
      </w:r>
      <w:r>
        <w:rPr>
          <w:rFonts w:hint="default" w:ascii="Times New Roman" w:hAnsi="Times New Roman" w:cs="Times New Roman"/>
          <w:b w:val="0"/>
          <w:bCs/>
          <w:i w:val="0"/>
          <w:iCs w:val="0"/>
          <w:color w:val="auto"/>
          <w:highlight w:val="none"/>
        </w:rPr>
        <w:t>(1), 27–39.</w:t>
      </w:r>
    </w:p>
    <w:p w14:paraId="2324DB2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52.</w:t>
      </w:r>
      <w:r>
        <w:rPr>
          <w:rFonts w:hint="default" w:ascii="Times New Roman" w:hAnsi="Times New Roman" w:cs="Times New Roman"/>
          <w:b w:val="0"/>
          <w:bCs/>
          <w:i w:val="0"/>
          <w:iCs w:val="0"/>
          <w:color w:val="auto"/>
          <w:highlight w:val="none"/>
        </w:rPr>
        <w:t xml:space="preserve"> Ye, Q., &amp; Cheng, C. (2019). Green technological innovation efficiency and financial ecological environment. </w:t>
      </w:r>
      <w:r>
        <w:rPr>
          <w:rStyle w:val="15"/>
          <w:rFonts w:hint="default" w:ascii="Times New Roman" w:hAnsi="Times New Roman" w:cs="Times New Roman"/>
          <w:b w:val="0"/>
          <w:bCs/>
          <w:i w:val="0"/>
          <w:iCs w:val="0"/>
          <w:color w:val="auto"/>
          <w:highlight w:val="none"/>
        </w:rPr>
        <w:t>Open Journal of Social Sciences, 7</w:t>
      </w:r>
      <w:r>
        <w:rPr>
          <w:rFonts w:hint="default" w:ascii="Times New Roman" w:hAnsi="Times New Roman" w:cs="Times New Roman"/>
          <w:b w:val="0"/>
          <w:bCs/>
          <w:i w:val="0"/>
          <w:iCs w:val="0"/>
          <w:color w:val="auto"/>
          <w:highlight w:val="none"/>
        </w:rPr>
        <w:t>(12), 132–151.</w:t>
      </w:r>
    </w:p>
    <w:p w14:paraId="3F35BBC2">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53.</w:t>
      </w:r>
      <w:r>
        <w:rPr>
          <w:rFonts w:hint="default" w:ascii="Times New Roman" w:hAnsi="Times New Roman" w:cs="Times New Roman"/>
          <w:b w:val="0"/>
          <w:bCs/>
          <w:i w:val="0"/>
          <w:iCs w:val="0"/>
          <w:color w:val="auto"/>
          <w:highlight w:val="none"/>
        </w:rPr>
        <w:t xml:space="preserve"> Yu, L. P. (2013). An empirical study on the interaction between interprovincial finance and technological innovation. </w:t>
      </w:r>
      <w:r>
        <w:rPr>
          <w:rStyle w:val="15"/>
          <w:rFonts w:hint="default" w:ascii="Times New Roman" w:hAnsi="Times New Roman" w:cs="Times New Roman"/>
          <w:b w:val="0"/>
          <w:bCs/>
          <w:i w:val="0"/>
          <w:iCs w:val="0"/>
          <w:color w:val="auto"/>
          <w:highlight w:val="none"/>
        </w:rPr>
        <w:t>Science of Science and Management of S&amp;T, 34</w:t>
      </w:r>
      <w:r>
        <w:rPr>
          <w:rFonts w:hint="default" w:ascii="Times New Roman" w:hAnsi="Times New Roman" w:cs="Times New Roman"/>
          <w:b w:val="0"/>
          <w:bCs/>
          <w:i w:val="0"/>
          <w:iCs w:val="0"/>
          <w:color w:val="auto"/>
          <w:highlight w:val="none"/>
        </w:rPr>
        <w:t>(4), 88–97.</w:t>
      </w:r>
    </w:p>
    <w:p w14:paraId="4C4C8FF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54.</w:t>
      </w:r>
      <w:r>
        <w:rPr>
          <w:rFonts w:hint="default" w:ascii="Times New Roman" w:hAnsi="Times New Roman" w:cs="Times New Roman"/>
          <w:b w:val="0"/>
          <w:bCs/>
          <w:i w:val="0"/>
          <w:iCs w:val="0"/>
          <w:color w:val="auto"/>
          <w:highlight w:val="none"/>
        </w:rPr>
        <w:t xml:space="preserve"> Zhang, D., &amp; Wang, H. J. (2021). Financial agglomeration, spatial spillovers, and regional industrial green innovation efficiency. </w:t>
      </w:r>
      <w:r>
        <w:rPr>
          <w:rStyle w:val="15"/>
          <w:rFonts w:hint="default" w:ascii="Times New Roman" w:hAnsi="Times New Roman" w:cs="Times New Roman"/>
          <w:b w:val="0"/>
          <w:bCs/>
          <w:i w:val="0"/>
          <w:iCs w:val="0"/>
          <w:color w:val="auto"/>
          <w:highlight w:val="none"/>
        </w:rPr>
        <w:t>Economic Survey, 38</w:t>
      </w:r>
      <w:r>
        <w:rPr>
          <w:rFonts w:hint="default" w:ascii="Times New Roman" w:hAnsi="Times New Roman" w:cs="Times New Roman"/>
          <w:b w:val="0"/>
          <w:bCs/>
          <w:i w:val="0"/>
          <w:iCs w:val="0"/>
          <w:color w:val="auto"/>
          <w:highlight w:val="none"/>
        </w:rPr>
        <w:t>(1), 134–142.</w:t>
      </w:r>
    </w:p>
    <w:p w14:paraId="6A801BC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55.</w:t>
      </w:r>
      <w:r>
        <w:rPr>
          <w:rFonts w:hint="default" w:ascii="Times New Roman" w:hAnsi="Times New Roman" w:cs="Times New Roman"/>
          <w:b w:val="0"/>
          <w:bCs/>
          <w:i w:val="0"/>
          <w:iCs w:val="0"/>
          <w:color w:val="auto"/>
          <w:highlight w:val="none"/>
        </w:rPr>
        <w:t xml:space="preserve"> Zhang, H., Ding, D., &amp; Ke, L. (2019). The effect of R&amp;D input and financial agglomeration on the growth of private enterprises: Evidence from the Chinese manufacturing industry. </w:t>
      </w:r>
      <w:r>
        <w:rPr>
          <w:rStyle w:val="15"/>
          <w:rFonts w:hint="default" w:ascii="Times New Roman" w:hAnsi="Times New Roman" w:cs="Times New Roman"/>
          <w:b w:val="0"/>
          <w:bCs/>
          <w:i w:val="0"/>
          <w:iCs w:val="0"/>
          <w:color w:val="auto"/>
          <w:highlight w:val="none"/>
        </w:rPr>
        <w:t>Emerging Markets Finance and Trade, 55</w:t>
      </w:r>
      <w:r>
        <w:rPr>
          <w:rFonts w:hint="default" w:ascii="Times New Roman" w:hAnsi="Times New Roman" w:cs="Times New Roman"/>
          <w:b w:val="0"/>
          <w:bCs/>
          <w:i w:val="0"/>
          <w:iCs w:val="0"/>
          <w:color w:val="auto"/>
          <w:highlight w:val="none"/>
        </w:rPr>
        <w:t>(10), 2298–2313.</w:t>
      </w:r>
    </w:p>
    <w:p w14:paraId="3C4B73B5">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56.</w:t>
      </w:r>
      <w:r>
        <w:rPr>
          <w:rFonts w:hint="default" w:ascii="Times New Roman" w:hAnsi="Times New Roman" w:cs="Times New Roman"/>
          <w:b w:val="0"/>
          <w:bCs/>
          <w:i w:val="0"/>
          <w:iCs w:val="0"/>
          <w:color w:val="auto"/>
          <w:highlight w:val="none"/>
        </w:rPr>
        <w:t xml:space="preserve"> Zheng, M., Wang, S., Du, Q., &amp; Zhang, X. (2026). Digital dividends across space: How the digital economy fuels green innovation. </w:t>
      </w:r>
      <w:r>
        <w:rPr>
          <w:rStyle w:val="15"/>
          <w:rFonts w:hint="default" w:ascii="Times New Roman" w:hAnsi="Times New Roman" w:cs="Times New Roman"/>
          <w:b w:val="0"/>
          <w:bCs/>
          <w:i w:val="0"/>
          <w:iCs w:val="0"/>
          <w:color w:val="auto"/>
          <w:highlight w:val="none"/>
        </w:rPr>
        <w:t>Asia &amp; the Pacific Policy Studies, 13</w:t>
      </w:r>
      <w:r>
        <w:rPr>
          <w:rFonts w:hint="default" w:ascii="Times New Roman" w:hAnsi="Times New Roman" w:cs="Times New Roman"/>
          <w:b w:val="0"/>
          <w:bCs/>
          <w:i w:val="0"/>
          <w:iCs w:val="0"/>
          <w:color w:val="auto"/>
          <w:highlight w:val="none"/>
        </w:rPr>
        <w:t>(3), e70084.</w:t>
      </w:r>
    </w:p>
    <w:p w14:paraId="1BD92C72">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hanging="360" w:hangingChars="150"/>
        <w:jc w:val="both"/>
        <w:textAlignment w:val="auto"/>
        <w:rPr>
          <w:rFonts w:hint="default" w:ascii="Times New Roman" w:hAnsi="Times New Roman" w:cs="Times New Roman"/>
          <w:b w:val="0"/>
          <w:bCs/>
          <w:i w:val="0"/>
          <w:iCs w:val="0"/>
          <w:color w:val="auto"/>
          <w:highlight w:val="none"/>
        </w:rPr>
      </w:pPr>
      <w:r>
        <w:rPr>
          <w:rStyle w:val="14"/>
          <w:rFonts w:hint="default" w:ascii="Times New Roman" w:hAnsi="Times New Roman" w:cs="Times New Roman"/>
          <w:b w:val="0"/>
          <w:bCs/>
          <w:i w:val="0"/>
          <w:iCs w:val="0"/>
          <w:color w:val="auto"/>
          <w:highlight w:val="none"/>
        </w:rPr>
        <w:t>57.</w:t>
      </w:r>
      <w:r>
        <w:rPr>
          <w:rFonts w:hint="default" w:ascii="Times New Roman" w:hAnsi="Times New Roman" w:cs="Times New Roman"/>
          <w:b w:val="0"/>
          <w:bCs/>
          <w:i w:val="0"/>
          <w:iCs w:val="0"/>
          <w:color w:val="auto"/>
          <w:highlight w:val="none"/>
        </w:rPr>
        <w:t xml:space="preserve"> Zhou, D. C., Wang, Y. Y., &amp; Zhou, Y. F. (2015). Study on the coupling relationship between financial agglomeration and ecological efficiency in five coastal provinces and cities of East China. </w:t>
      </w:r>
      <w:r>
        <w:rPr>
          <w:rStyle w:val="15"/>
          <w:rFonts w:hint="default" w:ascii="Times New Roman" w:hAnsi="Times New Roman" w:cs="Times New Roman"/>
          <w:b w:val="0"/>
          <w:bCs/>
          <w:i w:val="0"/>
          <w:iCs w:val="0"/>
          <w:color w:val="auto"/>
          <w:highlight w:val="none"/>
        </w:rPr>
        <w:t>Commercial Economics Research</w:t>
      </w:r>
      <w:r>
        <w:rPr>
          <w:rFonts w:hint="default" w:ascii="Times New Roman" w:hAnsi="Times New Roman" w:cs="Times New Roman"/>
          <w:b w:val="0"/>
          <w:bCs/>
          <w:i w:val="0"/>
          <w:iCs w:val="0"/>
          <w:color w:val="auto"/>
          <w:highlight w:val="none"/>
        </w:rPr>
        <w:t>, (28), 133–134.</w:t>
      </w:r>
    </w:p>
    <w:bookmarkEnd w:id="3"/>
    <w:p w14:paraId="5780F77F">
      <w:pPr>
        <w:keepNext w:val="0"/>
        <w:keepLines w:val="0"/>
        <w:pageBreakBefore w:val="0"/>
        <w:widowControl w:val="0"/>
        <w:kinsoku/>
        <w:wordWrap/>
        <w:overflowPunct/>
        <w:topLinePunct w:val="0"/>
        <w:autoSpaceDE/>
        <w:autoSpaceDN/>
        <w:bidi w:val="0"/>
        <w:adjustRightInd/>
        <w:snapToGrid/>
        <w:spacing w:before="240" w:after="240" w:line="240" w:lineRule="auto"/>
        <w:ind w:firstLine="0" w:firstLineChars="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p>
    <w:sectPr>
      <w:pgSz w:w="11906" w:h="16838"/>
      <w:pgMar w:top="1094" w:right="605" w:bottom="607" w:left="605" w:header="346" w:footer="403" w:gutter="0"/>
      <w:cols w:space="0" w:num="1"/>
      <w:rtlGutter w:val="0"/>
      <w:docGrid w:type="lines" w:linePitch="315" w:charSpace="0"/>
    </w:sectPr>
  </w:body>
</w:document>
</file>

<file path=word/customizations.xml><?xml version="1.0" encoding="utf-8"?>
<wne:tcg xmlns:r="http://schemas.openxmlformats.org/officeDocument/2006/relationships" xmlns:wne="http://schemas.microsoft.com/office/word/2006/wordml">
  <wne:keymaps>
    <wne:keymap wne:kcmPrimary="0651">
      <wne:macro wne:macroName="MATHTYPECOMMANDS.UILIB.MTCOMMAND_INSERTINLINEEQN"/>
    </wne:keymap>
    <wne:keymap wne:kcmPrimary="0451">
      <wne:macro wne:macroName="MATHTYPECOMMANDS.UILIB.MTCOMMAND_INSERTDISPEQN"/>
    </wne:keymap>
    <wne:keymap wne:kcmPrimary="0551">
      <wne:macro wne:macroName="MATHTYPECOMMANDS.UILIB.MTCOMMAND_INSERTRIGHTNUMBEREDDISPEQN"/>
    </wne:keymap>
    <wne:keymap wne:kcmPrimary="0751">
      <wne:macro wne:macroName="MATHTYPECOMMANDS.UILIB.MTCOMMAND_INSERTLEFTNUMBEREDDISPEQN"/>
    </wne:keymap>
    <wne:keymap wne:kcmPrimary="04DC">
      <wne:macro wne:macroName="MATHTYPECOMMANDS.UILIB.MTCOMMAND_TEXTOGGLE"/>
    </wne:keymap>
    <wne:keymap wne:kcmPrimary="0445">
      <wne:macro wne:macroName="MATHTYPECOMMANDS.UILIB.MTCOMMAND_EDITEQUATIONINPLACE"/>
    </wne:keymap>
    <wne:keymap wne:kcmPrimary="044F">
      <wne:macro wne:macroName="MATHTYPECOMMANDS.UILIB.MTCOMMAND_EDITEQUATIONOPEN"/>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20"/>
      </w:pPr>
      <w:r>
        <w:separator/>
      </w:r>
    </w:p>
  </w:footnote>
  <w:footnote w:type="continuationSeparator" w:id="1">
    <w:p>
      <w:pPr>
        <w:spacing w:line="288"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ECA736"/>
    <w:multiLevelType w:val="singleLevel"/>
    <w:tmpl w:val="BDECA736"/>
    <w:lvl w:ilvl="0" w:tentative="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6084F"/>
    <w:rsid w:val="00AD0492"/>
    <w:rsid w:val="00D01481"/>
    <w:rsid w:val="00FB6227"/>
    <w:rsid w:val="016819B0"/>
    <w:rsid w:val="01E84EAA"/>
    <w:rsid w:val="02512E0F"/>
    <w:rsid w:val="026F6332"/>
    <w:rsid w:val="0279781F"/>
    <w:rsid w:val="02EB78E8"/>
    <w:rsid w:val="03A11C37"/>
    <w:rsid w:val="03EC0340"/>
    <w:rsid w:val="04553F6E"/>
    <w:rsid w:val="049C0C9E"/>
    <w:rsid w:val="04B26435"/>
    <w:rsid w:val="05025778"/>
    <w:rsid w:val="059E3794"/>
    <w:rsid w:val="060D3E20"/>
    <w:rsid w:val="06A61A6E"/>
    <w:rsid w:val="06CD4973"/>
    <w:rsid w:val="06FA69DA"/>
    <w:rsid w:val="080812F8"/>
    <w:rsid w:val="08BB3547"/>
    <w:rsid w:val="08ED6E6B"/>
    <w:rsid w:val="09163C3D"/>
    <w:rsid w:val="096B3256"/>
    <w:rsid w:val="098A2122"/>
    <w:rsid w:val="0A2F7000"/>
    <w:rsid w:val="0A307A30"/>
    <w:rsid w:val="0A407EA9"/>
    <w:rsid w:val="0AED776C"/>
    <w:rsid w:val="0B010B2B"/>
    <w:rsid w:val="0BB43EE8"/>
    <w:rsid w:val="0BCB344F"/>
    <w:rsid w:val="0BEE4152"/>
    <w:rsid w:val="0C31212C"/>
    <w:rsid w:val="0CD0364E"/>
    <w:rsid w:val="0CEA6C31"/>
    <w:rsid w:val="0DB06599"/>
    <w:rsid w:val="0DBE7250"/>
    <w:rsid w:val="0E6C5E57"/>
    <w:rsid w:val="0EA40CBE"/>
    <w:rsid w:val="0F297ABE"/>
    <w:rsid w:val="0F4255D3"/>
    <w:rsid w:val="0FA35E24"/>
    <w:rsid w:val="0FD17D60"/>
    <w:rsid w:val="0FF4575C"/>
    <w:rsid w:val="108F6A88"/>
    <w:rsid w:val="109E654B"/>
    <w:rsid w:val="10BA6172"/>
    <w:rsid w:val="10F02619"/>
    <w:rsid w:val="11313A8A"/>
    <w:rsid w:val="113E55B2"/>
    <w:rsid w:val="115C6507"/>
    <w:rsid w:val="116C272D"/>
    <w:rsid w:val="11B256B2"/>
    <w:rsid w:val="120A1046"/>
    <w:rsid w:val="12480440"/>
    <w:rsid w:val="12F2272F"/>
    <w:rsid w:val="12F708E7"/>
    <w:rsid w:val="12FC7CAB"/>
    <w:rsid w:val="13581984"/>
    <w:rsid w:val="13BA4E03"/>
    <w:rsid w:val="13F34767"/>
    <w:rsid w:val="145F2E2F"/>
    <w:rsid w:val="1489478B"/>
    <w:rsid w:val="14F0527E"/>
    <w:rsid w:val="153136E9"/>
    <w:rsid w:val="15CD7F7E"/>
    <w:rsid w:val="16187C8E"/>
    <w:rsid w:val="162940A6"/>
    <w:rsid w:val="16590EE4"/>
    <w:rsid w:val="16DC5009"/>
    <w:rsid w:val="16ED2FAB"/>
    <w:rsid w:val="17251D62"/>
    <w:rsid w:val="18253800"/>
    <w:rsid w:val="188B2950"/>
    <w:rsid w:val="18EB2C9C"/>
    <w:rsid w:val="18F722C8"/>
    <w:rsid w:val="190F2B7A"/>
    <w:rsid w:val="1A061A0D"/>
    <w:rsid w:val="1A1C6976"/>
    <w:rsid w:val="1B2808BE"/>
    <w:rsid w:val="1BBD4C52"/>
    <w:rsid w:val="1C814E6F"/>
    <w:rsid w:val="1C8C2744"/>
    <w:rsid w:val="1C9E1527"/>
    <w:rsid w:val="1D430F6E"/>
    <w:rsid w:val="1EDC7DB4"/>
    <w:rsid w:val="1F946E5A"/>
    <w:rsid w:val="1FD7009C"/>
    <w:rsid w:val="1FFC0927"/>
    <w:rsid w:val="203E3861"/>
    <w:rsid w:val="215E5024"/>
    <w:rsid w:val="216C24A0"/>
    <w:rsid w:val="21C65A87"/>
    <w:rsid w:val="22114191"/>
    <w:rsid w:val="222D4666"/>
    <w:rsid w:val="226100AE"/>
    <w:rsid w:val="229E7129"/>
    <w:rsid w:val="22D469D4"/>
    <w:rsid w:val="235C5246"/>
    <w:rsid w:val="24090F6C"/>
    <w:rsid w:val="24117799"/>
    <w:rsid w:val="24723F04"/>
    <w:rsid w:val="24A657FE"/>
    <w:rsid w:val="24C438C6"/>
    <w:rsid w:val="256242E5"/>
    <w:rsid w:val="258433DD"/>
    <w:rsid w:val="25CD7ED7"/>
    <w:rsid w:val="260C3F04"/>
    <w:rsid w:val="260C7056"/>
    <w:rsid w:val="26100B59"/>
    <w:rsid w:val="27115DCF"/>
    <w:rsid w:val="27261292"/>
    <w:rsid w:val="27421CD9"/>
    <w:rsid w:val="27656114"/>
    <w:rsid w:val="297A041C"/>
    <w:rsid w:val="299A4B34"/>
    <w:rsid w:val="2AA10299"/>
    <w:rsid w:val="2AB45431"/>
    <w:rsid w:val="2BB21C62"/>
    <w:rsid w:val="2BB60B25"/>
    <w:rsid w:val="2C0B707F"/>
    <w:rsid w:val="2C905FDB"/>
    <w:rsid w:val="2D1A3F71"/>
    <w:rsid w:val="2DDC5444"/>
    <w:rsid w:val="2EB164D8"/>
    <w:rsid w:val="2EBA7C94"/>
    <w:rsid w:val="2ED9728F"/>
    <w:rsid w:val="2F112D82"/>
    <w:rsid w:val="2F187BAB"/>
    <w:rsid w:val="2F5E3079"/>
    <w:rsid w:val="2FDC2E5C"/>
    <w:rsid w:val="30B045BA"/>
    <w:rsid w:val="30B9743E"/>
    <w:rsid w:val="310226E8"/>
    <w:rsid w:val="31187869"/>
    <w:rsid w:val="314032E7"/>
    <w:rsid w:val="31A876A2"/>
    <w:rsid w:val="31D73B24"/>
    <w:rsid w:val="31D75713"/>
    <w:rsid w:val="33037693"/>
    <w:rsid w:val="33C022CD"/>
    <w:rsid w:val="33FE4437"/>
    <w:rsid w:val="34D8538A"/>
    <w:rsid w:val="35046EE8"/>
    <w:rsid w:val="357B50F8"/>
    <w:rsid w:val="357C0AAC"/>
    <w:rsid w:val="35AA3EE4"/>
    <w:rsid w:val="365808D5"/>
    <w:rsid w:val="36915F13"/>
    <w:rsid w:val="378535D8"/>
    <w:rsid w:val="39326EF4"/>
    <w:rsid w:val="3950091E"/>
    <w:rsid w:val="39543E64"/>
    <w:rsid w:val="39984C00"/>
    <w:rsid w:val="39A70A4C"/>
    <w:rsid w:val="39CF5A27"/>
    <w:rsid w:val="3A231FA9"/>
    <w:rsid w:val="3A301858"/>
    <w:rsid w:val="3AB36D9B"/>
    <w:rsid w:val="3AF320FA"/>
    <w:rsid w:val="3B186687"/>
    <w:rsid w:val="3B3911ED"/>
    <w:rsid w:val="3B525D51"/>
    <w:rsid w:val="3C8A6074"/>
    <w:rsid w:val="3CEB32C5"/>
    <w:rsid w:val="3CEE4E4D"/>
    <w:rsid w:val="3D860CF0"/>
    <w:rsid w:val="3DC6477B"/>
    <w:rsid w:val="3E6253B4"/>
    <w:rsid w:val="3E913D5F"/>
    <w:rsid w:val="3EA60AF7"/>
    <w:rsid w:val="3EC752D5"/>
    <w:rsid w:val="3EC8445F"/>
    <w:rsid w:val="3EEA0C2F"/>
    <w:rsid w:val="3F5968F5"/>
    <w:rsid w:val="3F5B4A75"/>
    <w:rsid w:val="3F696EB6"/>
    <w:rsid w:val="3FAB6C3A"/>
    <w:rsid w:val="3FBE50DF"/>
    <w:rsid w:val="40490456"/>
    <w:rsid w:val="40785A61"/>
    <w:rsid w:val="40853731"/>
    <w:rsid w:val="408F5E20"/>
    <w:rsid w:val="41124437"/>
    <w:rsid w:val="414C7ECC"/>
    <w:rsid w:val="41853921"/>
    <w:rsid w:val="423B584A"/>
    <w:rsid w:val="42E92116"/>
    <w:rsid w:val="44663196"/>
    <w:rsid w:val="448F2676"/>
    <w:rsid w:val="44F07E26"/>
    <w:rsid w:val="44F77771"/>
    <w:rsid w:val="454924E0"/>
    <w:rsid w:val="460421F7"/>
    <w:rsid w:val="46454217"/>
    <w:rsid w:val="46511A71"/>
    <w:rsid w:val="4662410F"/>
    <w:rsid w:val="46CB31E5"/>
    <w:rsid w:val="4733065F"/>
    <w:rsid w:val="47CB532A"/>
    <w:rsid w:val="480A3013"/>
    <w:rsid w:val="480F1C53"/>
    <w:rsid w:val="488A6FAC"/>
    <w:rsid w:val="49AF5C87"/>
    <w:rsid w:val="49F97534"/>
    <w:rsid w:val="4A1C00D7"/>
    <w:rsid w:val="4A844207"/>
    <w:rsid w:val="4B0D40E2"/>
    <w:rsid w:val="4B1D0F89"/>
    <w:rsid w:val="4B5E5C90"/>
    <w:rsid w:val="4B600173"/>
    <w:rsid w:val="4BAC0BEF"/>
    <w:rsid w:val="4C46110E"/>
    <w:rsid w:val="4C98157B"/>
    <w:rsid w:val="4D592FC3"/>
    <w:rsid w:val="4D74581B"/>
    <w:rsid w:val="4DDC25D7"/>
    <w:rsid w:val="4E3D546B"/>
    <w:rsid w:val="4E690FE6"/>
    <w:rsid w:val="4EDD5C8A"/>
    <w:rsid w:val="4F300810"/>
    <w:rsid w:val="4F513FCF"/>
    <w:rsid w:val="4F686F20"/>
    <w:rsid w:val="4FEE0289"/>
    <w:rsid w:val="500476B7"/>
    <w:rsid w:val="50164AD8"/>
    <w:rsid w:val="50697802"/>
    <w:rsid w:val="508C3C9A"/>
    <w:rsid w:val="514B7AA8"/>
    <w:rsid w:val="52142525"/>
    <w:rsid w:val="52405B6C"/>
    <w:rsid w:val="52411E67"/>
    <w:rsid w:val="531E0F22"/>
    <w:rsid w:val="532D477B"/>
    <w:rsid w:val="5339188C"/>
    <w:rsid w:val="53A25051"/>
    <w:rsid w:val="53E97F57"/>
    <w:rsid w:val="53F221DA"/>
    <w:rsid w:val="54045117"/>
    <w:rsid w:val="540B5502"/>
    <w:rsid w:val="54C62565"/>
    <w:rsid w:val="55B32951"/>
    <w:rsid w:val="560F6013"/>
    <w:rsid w:val="56EF6E93"/>
    <w:rsid w:val="575C4085"/>
    <w:rsid w:val="58021B1E"/>
    <w:rsid w:val="581646A6"/>
    <w:rsid w:val="59330AF1"/>
    <w:rsid w:val="599F3C51"/>
    <w:rsid w:val="5A0A4993"/>
    <w:rsid w:val="5A1A038B"/>
    <w:rsid w:val="5A66172F"/>
    <w:rsid w:val="5B766812"/>
    <w:rsid w:val="5BF207A3"/>
    <w:rsid w:val="5C013337"/>
    <w:rsid w:val="5C1C3CDD"/>
    <w:rsid w:val="5C2E7D3B"/>
    <w:rsid w:val="5C8C2C96"/>
    <w:rsid w:val="5C9212C4"/>
    <w:rsid w:val="5CE52579"/>
    <w:rsid w:val="5D84259A"/>
    <w:rsid w:val="5DE135EB"/>
    <w:rsid w:val="5E874207"/>
    <w:rsid w:val="5EB93E9E"/>
    <w:rsid w:val="5EEC6E20"/>
    <w:rsid w:val="5F3A59C0"/>
    <w:rsid w:val="5F4046F1"/>
    <w:rsid w:val="5FC42BFA"/>
    <w:rsid w:val="609D0497"/>
    <w:rsid w:val="60A133EB"/>
    <w:rsid w:val="60DF75C9"/>
    <w:rsid w:val="60E6745F"/>
    <w:rsid w:val="60E74310"/>
    <w:rsid w:val="611A2DA3"/>
    <w:rsid w:val="61472510"/>
    <w:rsid w:val="618C2C41"/>
    <w:rsid w:val="61CD772E"/>
    <w:rsid w:val="62EE3704"/>
    <w:rsid w:val="6439493A"/>
    <w:rsid w:val="64481519"/>
    <w:rsid w:val="6489542A"/>
    <w:rsid w:val="64AC63B8"/>
    <w:rsid w:val="65B6065F"/>
    <w:rsid w:val="66CE59D1"/>
    <w:rsid w:val="676D60B3"/>
    <w:rsid w:val="678D50CE"/>
    <w:rsid w:val="67E16926"/>
    <w:rsid w:val="68C71627"/>
    <w:rsid w:val="69232A11"/>
    <w:rsid w:val="69250980"/>
    <w:rsid w:val="69613711"/>
    <w:rsid w:val="6A7C19BF"/>
    <w:rsid w:val="6A835E5D"/>
    <w:rsid w:val="6A896301"/>
    <w:rsid w:val="6AA73316"/>
    <w:rsid w:val="6AC433D0"/>
    <w:rsid w:val="6ADB6FA0"/>
    <w:rsid w:val="6BC01F13"/>
    <w:rsid w:val="6BC26CD6"/>
    <w:rsid w:val="6BFC4189"/>
    <w:rsid w:val="6C2A1812"/>
    <w:rsid w:val="6D2D7373"/>
    <w:rsid w:val="6DA22A9E"/>
    <w:rsid w:val="6DFC25FB"/>
    <w:rsid w:val="6E6834C9"/>
    <w:rsid w:val="6EBA31BA"/>
    <w:rsid w:val="6ED511A0"/>
    <w:rsid w:val="6EEF37F3"/>
    <w:rsid w:val="7073654A"/>
    <w:rsid w:val="70887D68"/>
    <w:rsid w:val="70DA7ACE"/>
    <w:rsid w:val="7144035F"/>
    <w:rsid w:val="71FD532E"/>
    <w:rsid w:val="72112813"/>
    <w:rsid w:val="72880202"/>
    <w:rsid w:val="72A804A1"/>
    <w:rsid w:val="73CB2D80"/>
    <w:rsid w:val="74974744"/>
    <w:rsid w:val="753606CB"/>
    <w:rsid w:val="754B35B4"/>
    <w:rsid w:val="75A1128F"/>
    <w:rsid w:val="75B84195"/>
    <w:rsid w:val="76202512"/>
    <w:rsid w:val="76250E65"/>
    <w:rsid w:val="76525E57"/>
    <w:rsid w:val="76AE4AD2"/>
    <w:rsid w:val="770715D2"/>
    <w:rsid w:val="77BD61FA"/>
    <w:rsid w:val="79DD6C58"/>
    <w:rsid w:val="7A6D75C7"/>
    <w:rsid w:val="7B073C86"/>
    <w:rsid w:val="7B27164C"/>
    <w:rsid w:val="7B595920"/>
    <w:rsid w:val="7B9E11BC"/>
    <w:rsid w:val="7C661E10"/>
    <w:rsid w:val="7CD52BA7"/>
    <w:rsid w:val="7CD74FDC"/>
    <w:rsid w:val="7D1A7E16"/>
    <w:rsid w:val="7D1D59E3"/>
    <w:rsid w:val="7D6379F6"/>
    <w:rsid w:val="7E0B3DAC"/>
    <w:rsid w:val="7E3E5030"/>
    <w:rsid w:val="7E956EBF"/>
    <w:rsid w:val="7E9F542B"/>
    <w:rsid w:val="7ED7363A"/>
    <w:rsid w:val="7EEC0C86"/>
    <w:rsid w:val="7F165AF4"/>
    <w:rsid w:val="7F71139D"/>
    <w:rsid w:val="7F9434A4"/>
    <w:rsid w:val="7FEC0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ind w:firstLine="1044" w:firstLineChars="200"/>
      <w:jc w:val="both"/>
    </w:pPr>
    <w:rPr>
      <w:rFonts w:ascii="Times New Roman" w:hAnsi="Times New Roman" w:eastAsia="宋体" w:cs="宋体"/>
      <w:kern w:val="0"/>
      <w:sz w:val="21"/>
      <w:szCs w:val="21"/>
      <w:lang w:val="en-US" w:eastAsia="zh-CN" w:bidi="ar-SA"/>
    </w:rPr>
  </w:style>
  <w:style w:type="paragraph" w:styleId="2">
    <w:name w:val="heading 2"/>
    <w:basedOn w:val="1"/>
    <w:next w:val="1"/>
    <w:link w:val="17"/>
    <w:semiHidden/>
    <w:unhideWhenUsed/>
    <w:qFormat/>
    <w:uiPriority w:val="0"/>
    <w:pPr>
      <w:keepNext/>
      <w:keepLines/>
      <w:spacing w:before="200" w:beforeLines="200" w:after="200" w:afterLines="200" w:line="240" w:lineRule="auto"/>
      <w:jc w:val="left"/>
      <w:outlineLvl w:val="1"/>
    </w:pPr>
    <w:rPr>
      <w:rFonts w:ascii="Times New Roman" w:hAnsi="Times New Roman" w:eastAsia="宋体" w:cs="Times New Roman"/>
      <w:b/>
      <w:bCs/>
      <w:sz w:val="24"/>
      <w:highlight w:val="yellow"/>
      <w:shd w:val="clear" w:color="auto" w:fill="FFFFFF" w:themeFill="background1"/>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unhideWhenUsed/>
    <w:qFormat/>
    <w:uiPriority w:val="0"/>
    <w:pPr>
      <w:keepNext/>
      <w:keepLines/>
      <w:spacing w:before="200" w:beforeLines="200" w:after="200" w:afterLines="200" w:line="240" w:lineRule="auto"/>
      <w:outlineLvl w:val="3"/>
    </w:pPr>
    <w:rPr>
      <w:rFonts w:ascii="Times New Roman" w:hAnsi="Times New Roman"/>
      <w:b/>
      <w:bCs/>
      <w:szCs w:val="28"/>
    </w:rPr>
  </w:style>
  <w:style w:type="paragraph" w:styleId="5">
    <w:name w:val="heading 5"/>
    <w:basedOn w:val="1"/>
    <w:next w:val="6"/>
    <w:unhideWhenUsed/>
    <w:qFormat/>
    <w:uiPriority w:val="0"/>
    <w:pPr>
      <w:keepNext/>
      <w:keepLines/>
      <w:spacing w:before="120" w:beforeLines="120" w:after="80" w:afterLines="80"/>
      <w:outlineLvl w:val="4"/>
    </w:pPr>
    <w:rPr>
      <w:b/>
      <w:bCs/>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spacing w:after="120" w:afterLines="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qFormat/>
    <w:uiPriority w:val="0"/>
    <w:pPr>
      <w:snapToGrid w:val="0"/>
      <w:jc w:val="left"/>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Emphasis"/>
    <w:basedOn w:val="13"/>
    <w:qFormat/>
    <w:uiPriority w:val="0"/>
    <w:rPr>
      <w:i/>
    </w:rPr>
  </w:style>
  <w:style w:type="character" w:styleId="16">
    <w:name w:val="footnote reference"/>
    <w:basedOn w:val="13"/>
    <w:qFormat/>
    <w:uiPriority w:val="0"/>
    <w:rPr>
      <w:vertAlign w:val="superscript"/>
    </w:rPr>
  </w:style>
  <w:style w:type="character" w:customStyle="1" w:styleId="17">
    <w:name w:val="标题 2 字符"/>
    <w:link w:val="2"/>
    <w:autoRedefine/>
    <w:qFormat/>
    <w:uiPriority w:val="9"/>
    <w:rPr>
      <w:rFonts w:ascii="Times New Roman" w:hAnsi="Times New Roman" w:eastAsia="宋体" w:cs="Times New Roman"/>
      <w:b/>
      <w:bCs/>
      <w:kern w:val="2"/>
      <w:sz w:val="24"/>
      <w:szCs w:val="24"/>
      <w:highlight w:val="yellow"/>
      <w:shd w:val="clear" w:color="auto" w:fill="FFFFFF" w:themeFill="background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47.bin"/><Relationship Id="rId97" Type="http://schemas.openxmlformats.org/officeDocument/2006/relationships/image" Target="media/image46.wmf"/><Relationship Id="rId96" Type="http://schemas.openxmlformats.org/officeDocument/2006/relationships/oleObject" Target="embeddings/oleObject46.bin"/><Relationship Id="rId95" Type="http://schemas.openxmlformats.org/officeDocument/2006/relationships/image" Target="media/image45.wmf"/><Relationship Id="rId94" Type="http://schemas.openxmlformats.org/officeDocument/2006/relationships/oleObject" Target="embeddings/oleObject45.bin"/><Relationship Id="rId93" Type="http://schemas.openxmlformats.org/officeDocument/2006/relationships/image" Target="media/image44.wmf"/><Relationship Id="rId92" Type="http://schemas.openxmlformats.org/officeDocument/2006/relationships/oleObject" Target="embeddings/oleObject44.bin"/><Relationship Id="rId91" Type="http://schemas.openxmlformats.org/officeDocument/2006/relationships/image" Target="media/image43.wmf"/><Relationship Id="rId90" Type="http://schemas.openxmlformats.org/officeDocument/2006/relationships/oleObject" Target="embeddings/oleObject43.bin"/><Relationship Id="rId9" Type="http://schemas.openxmlformats.org/officeDocument/2006/relationships/image" Target="media/image2.wmf"/><Relationship Id="rId89" Type="http://schemas.openxmlformats.org/officeDocument/2006/relationships/image" Target="media/image42.wmf"/><Relationship Id="rId88" Type="http://schemas.openxmlformats.org/officeDocument/2006/relationships/oleObject" Target="embeddings/oleObject42.bin"/><Relationship Id="rId87" Type="http://schemas.openxmlformats.org/officeDocument/2006/relationships/image" Target="media/image41.wmf"/><Relationship Id="rId86" Type="http://schemas.openxmlformats.org/officeDocument/2006/relationships/oleObject" Target="embeddings/oleObject41.bin"/><Relationship Id="rId85" Type="http://schemas.openxmlformats.org/officeDocument/2006/relationships/image" Target="media/image40.wmf"/><Relationship Id="rId84" Type="http://schemas.openxmlformats.org/officeDocument/2006/relationships/oleObject" Target="embeddings/oleObject40.bin"/><Relationship Id="rId83" Type="http://schemas.openxmlformats.org/officeDocument/2006/relationships/image" Target="media/image39.wmf"/><Relationship Id="rId82" Type="http://schemas.openxmlformats.org/officeDocument/2006/relationships/oleObject" Target="embeddings/oleObject39.bin"/><Relationship Id="rId81" Type="http://schemas.openxmlformats.org/officeDocument/2006/relationships/image" Target="media/image38.wmf"/><Relationship Id="rId80" Type="http://schemas.openxmlformats.org/officeDocument/2006/relationships/oleObject" Target="embeddings/oleObject38.bin"/><Relationship Id="rId8" Type="http://schemas.openxmlformats.org/officeDocument/2006/relationships/oleObject" Target="embeddings/oleObject2.bin"/><Relationship Id="rId79" Type="http://schemas.openxmlformats.org/officeDocument/2006/relationships/image" Target="media/image37.wmf"/><Relationship Id="rId78" Type="http://schemas.openxmlformats.org/officeDocument/2006/relationships/oleObject" Target="embeddings/oleObject37.bin"/><Relationship Id="rId77" Type="http://schemas.openxmlformats.org/officeDocument/2006/relationships/image" Target="media/image36.wmf"/><Relationship Id="rId76" Type="http://schemas.openxmlformats.org/officeDocument/2006/relationships/oleObject" Target="embeddings/oleObject36.bin"/><Relationship Id="rId75" Type="http://schemas.openxmlformats.org/officeDocument/2006/relationships/image" Target="media/image35.wmf"/><Relationship Id="rId74" Type="http://schemas.openxmlformats.org/officeDocument/2006/relationships/oleObject" Target="embeddings/oleObject35.bin"/><Relationship Id="rId73" Type="http://schemas.openxmlformats.org/officeDocument/2006/relationships/image" Target="media/image34.wmf"/><Relationship Id="rId72" Type="http://schemas.openxmlformats.org/officeDocument/2006/relationships/oleObject" Target="embeddings/oleObject34.bin"/><Relationship Id="rId71" Type="http://schemas.openxmlformats.org/officeDocument/2006/relationships/image" Target="media/image33.wmf"/><Relationship Id="rId70" Type="http://schemas.openxmlformats.org/officeDocument/2006/relationships/oleObject" Target="embeddings/oleObject33.bin"/><Relationship Id="rId7" Type="http://schemas.openxmlformats.org/officeDocument/2006/relationships/image" Target="media/image1.emf"/><Relationship Id="rId69" Type="http://schemas.openxmlformats.org/officeDocument/2006/relationships/image" Target="media/image32.wmf"/><Relationship Id="rId68" Type="http://schemas.openxmlformats.org/officeDocument/2006/relationships/oleObject" Target="embeddings/oleObject32.bin"/><Relationship Id="rId67" Type="http://schemas.openxmlformats.org/officeDocument/2006/relationships/image" Target="media/image31.wmf"/><Relationship Id="rId66" Type="http://schemas.openxmlformats.org/officeDocument/2006/relationships/oleObject" Target="embeddings/oleObject31.bin"/><Relationship Id="rId65" Type="http://schemas.openxmlformats.org/officeDocument/2006/relationships/image" Target="media/image30.wmf"/><Relationship Id="rId64" Type="http://schemas.openxmlformats.org/officeDocument/2006/relationships/oleObject" Target="embeddings/oleObject30.bin"/><Relationship Id="rId63" Type="http://schemas.openxmlformats.org/officeDocument/2006/relationships/image" Target="media/image29.wmf"/><Relationship Id="rId62" Type="http://schemas.openxmlformats.org/officeDocument/2006/relationships/oleObject" Target="embeddings/oleObject29.bin"/><Relationship Id="rId61" Type="http://schemas.openxmlformats.org/officeDocument/2006/relationships/image" Target="media/image28.w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7.wmf"/><Relationship Id="rId58" Type="http://schemas.openxmlformats.org/officeDocument/2006/relationships/oleObject" Target="embeddings/oleObject27.bin"/><Relationship Id="rId57" Type="http://schemas.openxmlformats.org/officeDocument/2006/relationships/image" Target="media/image26.wmf"/><Relationship Id="rId56" Type="http://schemas.openxmlformats.org/officeDocument/2006/relationships/oleObject" Target="embeddings/oleObject26.bin"/><Relationship Id="rId55" Type="http://schemas.openxmlformats.org/officeDocument/2006/relationships/image" Target="media/image25.wmf"/><Relationship Id="rId54" Type="http://schemas.openxmlformats.org/officeDocument/2006/relationships/oleObject" Target="embeddings/oleObject25.bin"/><Relationship Id="rId53" Type="http://schemas.openxmlformats.org/officeDocument/2006/relationships/image" Target="media/image24.wmf"/><Relationship Id="rId52" Type="http://schemas.openxmlformats.org/officeDocument/2006/relationships/oleObject" Target="embeddings/oleObject24.bin"/><Relationship Id="rId51" Type="http://schemas.openxmlformats.org/officeDocument/2006/relationships/image" Target="media/image23.wmf"/><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image" Target="media/image22.wmf"/><Relationship Id="rId48" Type="http://schemas.openxmlformats.org/officeDocument/2006/relationships/oleObject" Target="embeddings/oleObject22.bin"/><Relationship Id="rId47" Type="http://schemas.openxmlformats.org/officeDocument/2006/relationships/image" Target="media/image21.wmf"/><Relationship Id="rId46" Type="http://schemas.openxmlformats.org/officeDocument/2006/relationships/oleObject" Target="embeddings/oleObject21.bin"/><Relationship Id="rId45" Type="http://schemas.openxmlformats.org/officeDocument/2006/relationships/image" Target="media/image20.wmf"/><Relationship Id="rId44" Type="http://schemas.openxmlformats.org/officeDocument/2006/relationships/oleObject" Target="embeddings/oleObject20.bin"/><Relationship Id="rId43" Type="http://schemas.openxmlformats.org/officeDocument/2006/relationships/image" Target="media/image19.wmf"/><Relationship Id="rId42" Type="http://schemas.openxmlformats.org/officeDocument/2006/relationships/oleObject" Target="embeddings/oleObject19.bin"/><Relationship Id="rId41" Type="http://schemas.openxmlformats.org/officeDocument/2006/relationships/image" Target="media/image18.wmf"/><Relationship Id="rId40" Type="http://schemas.openxmlformats.org/officeDocument/2006/relationships/oleObject" Target="embeddings/oleObject18.bin"/><Relationship Id="rId4" Type="http://schemas.openxmlformats.org/officeDocument/2006/relationships/endnotes" Target="endnotes.xml"/><Relationship Id="rId39" Type="http://schemas.openxmlformats.org/officeDocument/2006/relationships/image" Target="media/image17.wmf"/><Relationship Id="rId38" Type="http://schemas.openxmlformats.org/officeDocument/2006/relationships/oleObject" Target="embeddings/oleObject17.bin"/><Relationship Id="rId37" Type="http://schemas.openxmlformats.org/officeDocument/2006/relationships/image" Target="media/image16.wmf"/><Relationship Id="rId36" Type="http://schemas.openxmlformats.org/officeDocument/2006/relationships/oleObject" Target="embeddings/oleObject16.bin"/><Relationship Id="rId35" Type="http://schemas.openxmlformats.org/officeDocument/2006/relationships/image" Target="media/image15.emf"/><Relationship Id="rId34" Type="http://schemas.openxmlformats.org/officeDocument/2006/relationships/oleObject" Target="embeddings/oleObject15.bin"/><Relationship Id="rId33" Type="http://schemas.openxmlformats.org/officeDocument/2006/relationships/image" Target="media/image14.wmf"/><Relationship Id="rId32" Type="http://schemas.openxmlformats.org/officeDocument/2006/relationships/oleObject" Target="embeddings/oleObject14.bin"/><Relationship Id="rId31" Type="http://schemas.openxmlformats.org/officeDocument/2006/relationships/image" Target="media/image13.wmf"/><Relationship Id="rId30" Type="http://schemas.openxmlformats.org/officeDocument/2006/relationships/oleObject" Target="embeddings/oleObject13.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12.bin"/><Relationship Id="rId27" Type="http://schemas.openxmlformats.org/officeDocument/2006/relationships/image" Target="media/image11.wmf"/><Relationship Id="rId26" Type="http://schemas.openxmlformats.org/officeDocument/2006/relationships/oleObject" Target="embeddings/oleObject11.bin"/><Relationship Id="rId25" Type="http://schemas.openxmlformats.org/officeDocument/2006/relationships/image" Target="media/image10.wmf"/><Relationship Id="rId24" Type="http://schemas.openxmlformats.org/officeDocument/2006/relationships/oleObject" Target="embeddings/oleObject10.bin"/><Relationship Id="rId23" Type="http://schemas.openxmlformats.org/officeDocument/2006/relationships/image" Target="media/image9.wmf"/><Relationship Id="rId22" Type="http://schemas.openxmlformats.org/officeDocument/2006/relationships/oleObject" Target="embeddings/oleObject9.bin"/><Relationship Id="rId21" Type="http://schemas.openxmlformats.org/officeDocument/2006/relationships/image" Target="media/image8.wmf"/><Relationship Id="rId209" Type="http://schemas.openxmlformats.org/officeDocument/2006/relationships/fontTable" Target="fontTable.xml"/><Relationship Id="rId208" Type="http://schemas.microsoft.com/office/2006/relationships/keyMapCustomizations" Target="customizations.xml"/><Relationship Id="rId207" Type="http://schemas.openxmlformats.org/officeDocument/2006/relationships/numbering" Target="numbering.xml"/><Relationship Id="rId206" Type="http://schemas.openxmlformats.org/officeDocument/2006/relationships/customXml" Target="../customXml/item1.xml"/><Relationship Id="rId205" Type="http://schemas.openxmlformats.org/officeDocument/2006/relationships/image" Target="media/image104.png"/><Relationship Id="rId204" Type="http://schemas.openxmlformats.org/officeDocument/2006/relationships/image" Target="media/image103.GIF"/><Relationship Id="rId203" Type="http://schemas.openxmlformats.org/officeDocument/2006/relationships/image" Target="media/image102.GIF"/><Relationship Id="rId202" Type="http://schemas.openxmlformats.org/officeDocument/2006/relationships/image" Target="media/image101.GIF"/><Relationship Id="rId201" Type="http://schemas.openxmlformats.org/officeDocument/2006/relationships/image" Target="media/image100.GIF"/><Relationship Id="rId200" Type="http://schemas.openxmlformats.org/officeDocument/2006/relationships/image" Target="media/image99.GI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98.wmf"/><Relationship Id="rId198" Type="http://schemas.openxmlformats.org/officeDocument/2006/relationships/oleObject" Target="embeddings/oleObject92.bin"/><Relationship Id="rId197" Type="http://schemas.openxmlformats.org/officeDocument/2006/relationships/image" Target="media/image97.wmf"/><Relationship Id="rId196" Type="http://schemas.openxmlformats.org/officeDocument/2006/relationships/oleObject" Target="embeddings/oleObject91.bin"/><Relationship Id="rId195" Type="http://schemas.openxmlformats.org/officeDocument/2006/relationships/image" Target="media/image96.wmf"/><Relationship Id="rId194" Type="http://schemas.openxmlformats.org/officeDocument/2006/relationships/oleObject" Target="embeddings/oleObject90.bin"/><Relationship Id="rId193" Type="http://schemas.openxmlformats.org/officeDocument/2006/relationships/image" Target="media/image95.GIF"/><Relationship Id="rId192" Type="http://schemas.openxmlformats.org/officeDocument/2006/relationships/image" Target="media/image94.GIF"/><Relationship Id="rId191" Type="http://schemas.openxmlformats.org/officeDocument/2006/relationships/image" Target="media/image93.GIF"/><Relationship Id="rId190" Type="http://schemas.openxmlformats.org/officeDocument/2006/relationships/image" Target="media/image92.GIF"/><Relationship Id="rId19" Type="http://schemas.openxmlformats.org/officeDocument/2006/relationships/image" Target="media/image7.wmf"/><Relationship Id="rId189" Type="http://schemas.openxmlformats.org/officeDocument/2006/relationships/image" Target="media/image91.png"/><Relationship Id="rId188" Type="http://schemas.openxmlformats.org/officeDocument/2006/relationships/image" Target="media/image90.png"/><Relationship Id="rId187" Type="http://schemas.openxmlformats.org/officeDocument/2006/relationships/image" Target="media/image89.emf"/><Relationship Id="rId186" Type="http://schemas.openxmlformats.org/officeDocument/2006/relationships/chart" Target="charts/chart4.xml"/><Relationship Id="rId185" Type="http://schemas.openxmlformats.org/officeDocument/2006/relationships/chart" Target="charts/chart3.xml"/><Relationship Id="rId184" Type="http://schemas.openxmlformats.org/officeDocument/2006/relationships/chart" Target="charts/chart2.xml"/><Relationship Id="rId183" Type="http://schemas.openxmlformats.org/officeDocument/2006/relationships/chart" Target="charts/chart1.xml"/><Relationship Id="rId182" Type="http://schemas.openxmlformats.org/officeDocument/2006/relationships/image" Target="media/image88.wmf"/><Relationship Id="rId181" Type="http://schemas.openxmlformats.org/officeDocument/2006/relationships/oleObject" Target="embeddings/oleObject89.bin"/><Relationship Id="rId180" Type="http://schemas.openxmlformats.org/officeDocument/2006/relationships/image" Target="media/image87.wmf"/><Relationship Id="rId18" Type="http://schemas.openxmlformats.org/officeDocument/2006/relationships/oleObject" Target="embeddings/oleObject7.bin"/><Relationship Id="rId179" Type="http://schemas.openxmlformats.org/officeDocument/2006/relationships/oleObject" Target="embeddings/oleObject88.bin"/><Relationship Id="rId178" Type="http://schemas.openxmlformats.org/officeDocument/2006/relationships/image" Target="media/image86.wmf"/><Relationship Id="rId177" Type="http://schemas.openxmlformats.org/officeDocument/2006/relationships/oleObject" Target="embeddings/oleObject87.bin"/><Relationship Id="rId176" Type="http://schemas.openxmlformats.org/officeDocument/2006/relationships/image" Target="media/image85.wmf"/><Relationship Id="rId175" Type="http://schemas.openxmlformats.org/officeDocument/2006/relationships/oleObject" Target="embeddings/oleObject86.bin"/><Relationship Id="rId174" Type="http://schemas.openxmlformats.org/officeDocument/2006/relationships/image" Target="media/image84.wmf"/><Relationship Id="rId173" Type="http://schemas.openxmlformats.org/officeDocument/2006/relationships/oleObject" Target="embeddings/oleObject85.bin"/><Relationship Id="rId172" Type="http://schemas.openxmlformats.org/officeDocument/2006/relationships/image" Target="media/image83.wmf"/><Relationship Id="rId171" Type="http://schemas.openxmlformats.org/officeDocument/2006/relationships/oleObject" Target="embeddings/oleObject84.bin"/><Relationship Id="rId170" Type="http://schemas.openxmlformats.org/officeDocument/2006/relationships/image" Target="media/image82.wmf"/><Relationship Id="rId17" Type="http://schemas.openxmlformats.org/officeDocument/2006/relationships/image" Target="media/image6.wmf"/><Relationship Id="rId169" Type="http://schemas.openxmlformats.org/officeDocument/2006/relationships/oleObject" Target="embeddings/oleObject83.bin"/><Relationship Id="rId168" Type="http://schemas.openxmlformats.org/officeDocument/2006/relationships/image" Target="media/image81.wmf"/><Relationship Id="rId167" Type="http://schemas.openxmlformats.org/officeDocument/2006/relationships/oleObject" Target="embeddings/oleObject82.bin"/><Relationship Id="rId166" Type="http://schemas.openxmlformats.org/officeDocument/2006/relationships/image" Target="media/image80.wmf"/><Relationship Id="rId165" Type="http://schemas.openxmlformats.org/officeDocument/2006/relationships/oleObject" Target="embeddings/oleObject81.bin"/><Relationship Id="rId164" Type="http://schemas.openxmlformats.org/officeDocument/2006/relationships/image" Target="media/image79.wmf"/><Relationship Id="rId163" Type="http://schemas.openxmlformats.org/officeDocument/2006/relationships/oleObject" Target="embeddings/oleObject80.bin"/><Relationship Id="rId162" Type="http://schemas.openxmlformats.org/officeDocument/2006/relationships/image" Target="media/image78.wmf"/><Relationship Id="rId161" Type="http://schemas.openxmlformats.org/officeDocument/2006/relationships/oleObject" Target="embeddings/oleObject79.bin"/><Relationship Id="rId160" Type="http://schemas.openxmlformats.org/officeDocument/2006/relationships/image" Target="media/image77.wmf"/><Relationship Id="rId16" Type="http://schemas.openxmlformats.org/officeDocument/2006/relationships/oleObject" Target="embeddings/oleObject6.bin"/><Relationship Id="rId159" Type="http://schemas.openxmlformats.org/officeDocument/2006/relationships/oleObject" Target="embeddings/oleObject78.bin"/><Relationship Id="rId158" Type="http://schemas.openxmlformats.org/officeDocument/2006/relationships/image" Target="media/image76.wmf"/><Relationship Id="rId157" Type="http://schemas.openxmlformats.org/officeDocument/2006/relationships/oleObject" Target="embeddings/oleObject77.bin"/><Relationship Id="rId156" Type="http://schemas.openxmlformats.org/officeDocument/2006/relationships/image" Target="media/image75.wmf"/><Relationship Id="rId155" Type="http://schemas.openxmlformats.org/officeDocument/2006/relationships/oleObject" Target="embeddings/oleObject76.bin"/><Relationship Id="rId154" Type="http://schemas.openxmlformats.org/officeDocument/2006/relationships/image" Target="media/image74.wmf"/><Relationship Id="rId153" Type="http://schemas.openxmlformats.org/officeDocument/2006/relationships/oleObject" Target="embeddings/oleObject75.bin"/><Relationship Id="rId152" Type="http://schemas.openxmlformats.org/officeDocument/2006/relationships/image" Target="media/image73.wmf"/><Relationship Id="rId151" Type="http://schemas.openxmlformats.org/officeDocument/2006/relationships/oleObject" Target="embeddings/oleObject74.bin"/><Relationship Id="rId150" Type="http://schemas.openxmlformats.org/officeDocument/2006/relationships/image" Target="media/image72.wmf"/><Relationship Id="rId15" Type="http://schemas.openxmlformats.org/officeDocument/2006/relationships/image" Target="media/image5.wmf"/><Relationship Id="rId149" Type="http://schemas.openxmlformats.org/officeDocument/2006/relationships/oleObject" Target="embeddings/oleObject73.bin"/><Relationship Id="rId148" Type="http://schemas.openxmlformats.org/officeDocument/2006/relationships/image" Target="media/image71.wmf"/><Relationship Id="rId147" Type="http://schemas.openxmlformats.org/officeDocument/2006/relationships/oleObject" Target="embeddings/oleObject72.bin"/><Relationship Id="rId146" Type="http://schemas.openxmlformats.org/officeDocument/2006/relationships/image" Target="media/image70.wmf"/><Relationship Id="rId145" Type="http://schemas.openxmlformats.org/officeDocument/2006/relationships/oleObject" Target="embeddings/oleObject71.bin"/><Relationship Id="rId144" Type="http://schemas.openxmlformats.org/officeDocument/2006/relationships/oleObject" Target="embeddings/oleObject70.bin"/><Relationship Id="rId143" Type="http://schemas.openxmlformats.org/officeDocument/2006/relationships/image" Target="media/image69.wmf"/><Relationship Id="rId142" Type="http://schemas.openxmlformats.org/officeDocument/2006/relationships/oleObject" Target="embeddings/oleObject69.bin"/><Relationship Id="rId141" Type="http://schemas.openxmlformats.org/officeDocument/2006/relationships/image" Target="media/image68.wmf"/><Relationship Id="rId140" Type="http://schemas.openxmlformats.org/officeDocument/2006/relationships/oleObject" Target="embeddings/oleObject68.bin"/><Relationship Id="rId14" Type="http://schemas.openxmlformats.org/officeDocument/2006/relationships/oleObject" Target="embeddings/oleObject5.bin"/><Relationship Id="rId139" Type="http://schemas.openxmlformats.org/officeDocument/2006/relationships/image" Target="media/image67.wmf"/><Relationship Id="rId138" Type="http://schemas.openxmlformats.org/officeDocument/2006/relationships/oleObject" Target="embeddings/oleObject67.bin"/><Relationship Id="rId137" Type="http://schemas.openxmlformats.org/officeDocument/2006/relationships/image" Target="media/image66.wmf"/><Relationship Id="rId136" Type="http://schemas.openxmlformats.org/officeDocument/2006/relationships/oleObject" Target="embeddings/oleObject66.bin"/><Relationship Id="rId135" Type="http://schemas.openxmlformats.org/officeDocument/2006/relationships/image" Target="media/image65.wmf"/><Relationship Id="rId134" Type="http://schemas.openxmlformats.org/officeDocument/2006/relationships/oleObject" Target="embeddings/oleObject65.bin"/><Relationship Id="rId133" Type="http://schemas.openxmlformats.org/officeDocument/2006/relationships/image" Target="media/image64.wmf"/><Relationship Id="rId132" Type="http://schemas.openxmlformats.org/officeDocument/2006/relationships/oleObject" Target="embeddings/oleObject64.bin"/><Relationship Id="rId131" Type="http://schemas.openxmlformats.org/officeDocument/2006/relationships/image" Target="media/image63.wmf"/><Relationship Id="rId130" Type="http://schemas.openxmlformats.org/officeDocument/2006/relationships/oleObject" Target="embeddings/oleObject63.bin"/><Relationship Id="rId13" Type="http://schemas.openxmlformats.org/officeDocument/2006/relationships/image" Target="media/image4.wmf"/><Relationship Id="rId129" Type="http://schemas.openxmlformats.org/officeDocument/2006/relationships/image" Target="media/image62.wmf"/><Relationship Id="rId128" Type="http://schemas.openxmlformats.org/officeDocument/2006/relationships/oleObject" Target="embeddings/oleObject62.bin"/><Relationship Id="rId127" Type="http://schemas.openxmlformats.org/officeDocument/2006/relationships/image" Target="media/image61.wmf"/><Relationship Id="rId126" Type="http://schemas.openxmlformats.org/officeDocument/2006/relationships/oleObject" Target="embeddings/oleObject61.bin"/><Relationship Id="rId125" Type="http://schemas.openxmlformats.org/officeDocument/2006/relationships/image" Target="media/image60.wmf"/><Relationship Id="rId124" Type="http://schemas.openxmlformats.org/officeDocument/2006/relationships/oleObject" Target="embeddings/oleObject60.bin"/><Relationship Id="rId123" Type="http://schemas.openxmlformats.org/officeDocument/2006/relationships/image" Target="media/image59.wmf"/><Relationship Id="rId122" Type="http://schemas.openxmlformats.org/officeDocument/2006/relationships/oleObject" Target="embeddings/oleObject59.bin"/><Relationship Id="rId121" Type="http://schemas.openxmlformats.org/officeDocument/2006/relationships/image" Target="media/image58.wmf"/><Relationship Id="rId120" Type="http://schemas.openxmlformats.org/officeDocument/2006/relationships/oleObject" Target="embeddings/oleObject58.bin"/><Relationship Id="rId12" Type="http://schemas.openxmlformats.org/officeDocument/2006/relationships/oleObject" Target="embeddings/oleObject4.bin"/><Relationship Id="rId119" Type="http://schemas.openxmlformats.org/officeDocument/2006/relationships/image" Target="media/image57.wmf"/><Relationship Id="rId118" Type="http://schemas.openxmlformats.org/officeDocument/2006/relationships/oleObject" Target="embeddings/oleObject57.bin"/><Relationship Id="rId117" Type="http://schemas.openxmlformats.org/officeDocument/2006/relationships/image" Target="media/image56.wmf"/><Relationship Id="rId116" Type="http://schemas.openxmlformats.org/officeDocument/2006/relationships/oleObject" Target="embeddings/oleObject56.bin"/><Relationship Id="rId115" Type="http://schemas.openxmlformats.org/officeDocument/2006/relationships/image" Target="media/image55.wmf"/><Relationship Id="rId114" Type="http://schemas.openxmlformats.org/officeDocument/2006/relationships/oleObject" Target="embeddings/oleObject55.bin"/><Relationship Id="rId113" Type="http://schemas.openxmlformats.org/officeDocument/2006/relationships/image" Target="media/image54.wmf"/><Relationship Id="rId112" Type="http://schemas.openxmlformats.org/officeDocument/2006/relationships/oleObject" Target="embeddings/oleObject54.bin"/><Relationship Id="rId111" Type="http://schemas.openxmlformats.org/officeDocument/2006/relationships/image" Target="media/image53.wmf"/><Relationship Id="rId110" Type="http://schemas.openxmlformats.org/officeDocument/2006/relationships/oleObject" Target="embeddings/oleObject53.bin"/><Relationship Id="rId11" Type="http://schemas.openxmlformats.org/officeDocument/2006/relationships/image" Target="media/image3.wmf"/><Relationship Id="rId109" Type="http://schemas.openxmlformats.org/officeDocument/2006/relationships/image" Target="media/image52.wmf"/><Relationship Id="rId108" Type="http://schemas.openxmlformats.org/officeDocument/2006/relationships/oleObject" Target="embeddings/oleObject52.bin"/><Relationship Id="rId107" Type="http://schemas.openxmlformats.org/officeDocument/2006/relationships/image" Target="media/image51.wmf"/><Relationship Id="rId106" Type="http://schemas.openxmlformats.org/officeDocument/2006/relationships/oleObject" Target="embeddings/oleObject51.bin"/><Relationship Id="rId105" Type="http://schemas.openxmlformats.org/officeDocument/2006/relationships/image" Target="media/image50.wmf"/><Relationship Id="rId104" Type="http://schemas.openxmlformats.org/officeDocument/2006/relationships/oleObject" Target="embeddings/oleObject50.bin"/><Relationship Id="rId103" Type="http://schemas.openxmlformats.org/officeDocument/2006/relationships/image" Target="media/image49.wmf"/><Relationship Id="rId102" Type="http://schemas.openxmlformats.org/officeDocument/2006/relationships/oleObject" Target="embeddings/oleObject49.bin"/><Relationship Id="rId101" Type="http://schemas.openxmlformats.org/officeDocument/2006/relationships/image" Target="media/image48.wmf"/><Relationship Id="rId100" Type="http://schemas.openxmlformats.org/officeDocument/2006/relationships/oleObject" Target="embeddings/oleObject48.bin"/><Relationship Id="rId10" Type="http://schemas.openxmlformats.org/officeDocument/2006/relationships/oleObject" Target="embeddings/oleObject3.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OneDrive%20-%20ycu.edu.cn\&#25991;&#26723;\&#26368;&#26032;&#29256;&#26412;\&#23454;&#35777;&#20351;&#29992;&#30340;&#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OneDrive%20-%20ycu.edu.cn\&#25991;&#26723;\&#26368;&#26032;&#29256;&#26412;\&#23454;&#35777;&#20351;&#29992;&#30340;&#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OneDrive%20-%20ycu.edu.cn\&#25991;&#26723;\&#26368;&#26032;&#29256;&#26412;\&#23454;&#35777;&#20351;&#29992;&#30340;&#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OneDrive%20-%20ycu.edu.cn\&#25991;&#26723;\&#26368;&#26032;&#29256;&#26412;\&#23454;&#35777;&#20351;&#29992;&#30340;&#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924259055982"/>
          <c:y val="0.127923428976075"/>
          <c:w val="0.819209659714599"/>
          <c:h val="0.606205296733037"/>
        </c:manualLayout>
      </c:layout>
      <c:lineChart>
        <c:grouping val="standard"/>
        <c:varyColors val="0"/>
        <c:ser>
          <c:idx val="0"/>
          <c:order val="0"/>
          <c:tx>
            <c:strRef>
              <c:f>全国和四大区域Ux作图!$B$2</c:f>
              <c:strCache>
                <c:ptCount val="1"/>
                <c:pt idx="0">
                  <c:v>National Average of U(x)</c:v>
                </c:pt>
              </c:strCache>
            </c:strRef>
          </c:tx>
          <c:spPr>
            <a:ln w="12700" cap="rnd">
              <a:solidFill>
                <a:schemeClr val="accent1"/>
              </a:solidFill>
              <a:round/>
            </a:ln>
            <a:effectLst/>
          </c:spPr>
          <c:marker>
            <c:symbol val="x"/>
            <c:size val="5"/>
            <c:spPr>
              <a:noFill/>
              <a:ln w="9525">
                <a:solidFill>
                  <a:schemeClr val="accent1"/>
                </a:solidFill>
              </a:ln>
              <a:effectLst/>
            </c:spPr>
          </c:marker>
          <c:dLbls>
            <c:delete val="1"/>
          </c:dLbls>
          <c:cat>
            <c:numRef>
              <c:f>全国和四大区域Ux作图!$A$3:$A$18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全国和四大区域Ux作图!$B$3:$B$18</c:f>
              <c:numCache>
                <c:formatCode>0.000_ </c:formatCode>
                <c:ptCount val="16"/>
                <c:pt idx="0">
                  <c:v>0.0573119</c:v>
                </c:pt>
                <c:pt idx="1">
                  <c:v>0.0636735</c:v>
                </c:pt>
                <c:pt idx="2">
                  <c:v>0.0757155</c:v>
                </c:pt>
                <c:pt idx="3">
                  <c:v>0.0858236</c:v>
                </c:pt>
                <c:pt idx="4">
                  <c:v>0.0866588</c:v>
                </c:pt>
                <c:pt idx="5">
                  <c:v>0.0954809</c:v>
                </c:pt>
                <c:pt idx="6">
                  <c:v>0.1048673</c:v>
                </c:pt>
                <c:pt idx="7">
                  <c:v>0.1192584</c:v>
                </c:pt>
                <c:pt idx="8">
                  <c:v>0.1486843</c:v>
                </c:pt>
                <c:pt idx="9">
                  <c:v>0.1659198</c:v>
                </c:pt>
                <c:pt idx="10">
                  <c:v>0.1798916</c:v>
                </c:pt>
                <c:pt idx="11">
                  <c:v>0.1838106</c:v>
                </c:pt>
                <c:pt idx="12">
                  <c:v>0.2014352</c:v>
                </c:pt>
                <c:pt idx="13">
                  <c:v>0.2226313</c:v>
                </c:pt>
                <c:pt idx="14">
                  <c:v>0.2332696</c:v>
                </c:pt>
                <c:pt idx="15">
                  <c:v>0.2455081</c:v>
                </c:pt>
              </c:numCache>
            </c:numRef>
          </c:val>
          <c:smooth val="0"/>
        </c:ser>
        <c:ser>
          <c:idx val="1"/>
          <c:order val="1"/>
          <c:tx>
            <c:strRef>
              <c:f>全国和四大区域Ux作图!$C$2</c:f>
              <c:strCache>
                <c:ptCount val="1"/>
                <c:pt idx="0">
                  <c:v>Eastern Average of U(x)</c:v>
                </c:pt>
              </c:strCache>
            </c:strRef>
          </c:tx>
          <c:spPr>
            <a:ln w="3175" cap="rnd">
              <a:solidFill>
                <a:schemeClr val="accent2"/>
              </a:solidFill>
              <a:round/>
            </a:ln>
            <a:effectLst/>
          </c:spPr>
          <c:marker>
            <c:symbol val="square"/>
            <c:size val="4"/>
            <c:spPr>
              <a:solidFill>
                <a:schemeClr val="accent2"/>
              </a:solidFill>
              <a:ln w="9525">
                <a:solidFill>
                  <a:schemeClr val="accent2"/>
                </a:solidFill>
              </a:ln>
              <a:effectLst/>
            </c:spPr>
          </c:marker>
          <c:dLbls>
            <c:delete val="1"/>
          </c:dLbls>
          <c:cat>
            <c:numRef>
              <c:f>全国和四大区域Ux作图!$A$3:$A$18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全国和四大区域Ux作图!$C$3:$C$18</c:f>
              <c:numCache>
                <c:formatCode>0.000_ </c:formatCode>
                <c:ptCount val="16"/>
                <c:pt idx="0">
                  <c:v>0.091939</c:v>
                </c:pt>
                <c:pt idx="1">
                  <c:v>0.1004543</c:v>
                </c:pt>
                <c:pt idx="2">
                  <c:v>0.1187533</c:v>
                </c:pt>
                <c:pt idx="3">
                  <c:v>0.135677</c:v>
                </c:pt>
                <c:pt idx="4">
                  <c:v>0.1389345</c:v>
                </c:pt>
                <c:pt idx="5">
                  <c:v>0.1493889</c:v>
                </c:pt>
                <c:pt idx="6">
                  <c:v>0.1677342</c:v>
                </c:pt>
                <c:pt idx="7">
                  <c:v>0.1911633</c:v>
                </c:pt>
                <c:pt idx="8">
                  <c:v>0.2451284</c:v>
                </c:pt>
                <c:pt idx="9">
                  <c:v>0.2720353</c:v>
                </c:pt>
                <c:pt idx="10">
                  <c:v>0.2909323</c:v>
                </c:pt>
                <c:pt idx="11">
                  <c:v>0.2923225</c:v>
                </c:pt>
                <c:pt idx="12">
                  <c:v>0.3237999</c:v>
                </c:pt>
                <c:pt idx="13">
                  <c:v>0.3659724</c:v>
                </c:pt>
                <c:pt idx="14">
                  <c:v>0.3965319</c:v>
                </c:pt>
                <c:pt idx="15">
                  <c:v>0.4252728</c:v>
                </c:pt>
              </c:numCache>
            </c:numRef>
          </c:val>
          <c:smooth val="0"/>
        </c:ser>
        <c:ser>
          <c:idx val="2"/>
          <c:order val="2"/>
          <c:tx>
            <c:strRef>
              <c:f>全国和四大区域Ux作图!$D$2</c:f>
              <c:strCache>
                <c:ptCount val="1"/>
                <c:pt idx="0">
                  <c:v>Central Average of U(x)</c:v>
                </c:pt>
              </c:strCache>
            </c:strRef>
          </c:tx>
          <c:spPr>
            <a:ln w="12700" cap="flat">
              <a:solidFill>
                <a:srgbClr val="FFC000"/>
              </a:solidFill>
              <a:round/>
            </a:ln>
            <a:effectLst/>
          </c:spPr>
          <c:marker>
            <c:symbol val="triangle"/>
            <c:size val="3"/>
            <c:spPr>
              <a:solidFill>
                <a:schemeClr val="accent6"/>
              </a:solidFill>
              <a:ln w="9525">
                <a:solidFill>
                  <a:srgbClr val="C00000"/>
                </a:solidFill>
              </a:ln>
              <a:effectLst/>
            </c:spPr>
          </c:marker>
          <c:dLbls>
            <c:delete val="1"/>
          </c:dLbls>
          <c:cat>
            <c:numRef>
              <c:f>全国和四大区域Ux作图!$A$3:$A$18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全国和四大区域Ux作图!$D$3:$D$18</c:f>
              <c:numCache>
                <c:formatCode>0.000_ </c:formatCode>
                <c:ptCount val="16"/>
                <c:pt idx="0">
                  <c:v>0.0401718</c:v>
                </c:pt>
                <c:pt idx="1">
                  <c:v>0.047142</c:v>
                </c:pt>
                <c:pt idx="2">
                  <c:v>0.0559411</c:v>
                </c:pt>
                <c:pt idx="3">
                  <c:v>0.0632727</c:v>
                </c:pt>
                <c:pt idx="4">
                  <c:v>0.0627772</c:v>
                </c:pt>
                <c:pt idx="5">
                  <c:v>0.0770802</c:v>
                </c:pt>
                <c:pt idx="6">
                  <c:v>0.0755066</c:v>
                </c:pt>
                <c:pt idx="7">
                  <c:v>0.087815</c:v>
                </c:pt>
                <c:pt idx="8">
                  <c:v>0.1093099</c:v>
                </c:pt>
                <c:pt idx="9">
                  <c:v>0.1236131</c:v>
                </c:pt>
                <c:pt idx="10">
                  <c:v>0.1380588</c:v>
                </c:pt>
                <c:pt idx="11">
                  <c:v>0.148099</c:v>
                </c:pt>
                <c:pt idx="12">
                  <c:v>0.1620762</c:v>
                </c:pt>
                <c:pt idx="13">
                  <c:v>0.1777816</c:v>
                </c:pt>
                <c:pt idx="14">
                  <c:v>0.1823128</c:v>
                </c:pt>
                <c:pt idx="15">
                  <c:v>0.1890337</c:v>
                </c:pt>
              </c:numCache>
            </c:numRef>
          </c:val>
          <c:smooth val="0"/>
        </c:ser>
        <c:ser>
          <c:idx val="3"/>
          <c:order val="3"/>
          <c:tx>
            <c:strRef>
              <c:f>全国和四大区域Ux作图!$E$2</c:f>
              <c:strCache>
                <c:ptCount val="1"/>
                <c:pt idx="0">
                  <c:v>Northeastern Average of U(x)</c:v>
                </c:pt>
              </c:strCache>
            </c:strRef>
          </c:tx>
          <c:spPr>
            <a:ln w="12700" cap="rnd">
              <a:solidFill>
                <a:srgbClr val="92D050"/>
              </a:solidFill>
              <a:round/>
            </a:ln>
            <a:effectLst/>
          </c:spPr>
          <c:marker>
            <c:symbol val="circle"/>
            <c:size val="4"/>
            <c:spPr>
              <a:solidFill>
                <a:schemeClr val="accent4"/>
              </a:solidFill>
              <a:ln w="9525">
                <a:solidFill>
                  <a:schemeClr val="accent4"/>
                </a:solidFill>
              </a:ln>
              <a:effectLst/>
            </c:spPr>
          </c:marker>
          <c:dLbls>
            <c:delete val="1"/>
          </c:dLbls>
          <c:cat>
            <c:numRef>
              <c:f>全国和四大区域Ux作图!$A$3:$A$18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全国和四大区域Ux作图!$E$3:$E$18</c:f>
              <c:numCache>
                <c:formatCode>0.000_ </c:formatCode>
                <c:ptCount val="16"/>
                <c:pt idx="0">
                  <c:v>0.0455911</c:v>
                </c:pt>
                <c:pt idx="1">
                  <c:v>0.0501198</c:v>
                </c:pt>
                <c:pt idx="2">
                  <c:v>0.0600155</c:v>
                </c:pt>
                <c:pt idx="3">
                  <c:v>0.065836</c:v>
                </c:pt>
                <c:pt idx="4">
                  <c:v>0.0645981</c:v>
                </c:pt>
                <c:pt idx="5">
                  <c:v>0.0704024</c:v>
                </c:pt>
                <c:pt idx="6">
                  <c:v>0.0790768</c:v>
                </c:pt>
                <c:pt idx="7">
                  <c:v>0.0915977</c:v>
                </c:pt>
                <c:pt idx="8">
                  <c:v>0.114442</c:v>
                </c:pt>
                <c:pt idx="9">
                  <c:v>0.1285604</c:v>
                </c:pt>
                <c:pt idx="10">
                  <c:v>0.13728</c:v>
                </c:pt>
                <c:pt idx="11">
                  <c:v>0.1394703</c:v>
                </c:pt>
                <c:pt idx="12">
                  <c:v>0.1550063</c:v>
                </c:pt>
                <c:pt idx="13">
                  <c:v>0.1656172</c:v>
                </c:pt>
                <c:pt idx="14">
                  <c:v>0.1642821</c:v>
                </c:pt>
                <c:pt idx="15">
                  <c:v>0.1659949</c:v>
                </c:pt>
              </c:numCache>
            </c:numRef>
          </c:val>
          <c:smooth val="0"/>
        </c:ser>
        <c:ser>
          <c:idx val="4"/>
          <c:order val="4"/>
          <c:tx>
            <c:strRef>
              <c:f>全国和四大区域Ux作图!$F$2</c:f>
              <c:strCache>
                <c:ptCount val="1"/>
                <c:pt idx="0">
                  <c:v>Western Average of U(x)</c:v>
                </c:pt>
              </c:strCache>
            </c:strRef>
          </c:tx>
          <c:spPr>
            <a:ln w="0" cap="sq">
              <a:solidFill>
                <a:schemeClr val="accent4">
                  <a:lumMod val="50000"/>
                  <a:alpha val="91000"/>
                </a:schemeClr>
              </a:solidFill>
              <a:miter lim="800000"/>
            </a:ln>
            <a:effectLst/>
          </c:spPr>
          <c:marker>
            <c:symbol val="circle"/>
            <c:size val="4"/>
            <c:spPr>
              <a:noFill/>
              <a:ln w="0">
                <a:solidFill>
                  <a:srgbClr val="C00000"/>
                </a:solidFill>
              </a:ln>
              <a:effectLst/>
            </c:spPr>
          </c:marker>
          <c:dLbls>
            <c:delete val="1"/>
          </c:dLbls>
          <c:cat>
            <c:numRef>
              <c:f>全国和四大区域Ux作图!$A$3:$A$18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全国和四大区域Ux作图!$F$3:$F$18</c:f>
              <c:numCache>
                <c:formatCode>0.000_ </c:formatCode>
                <c:ptCount val="16"/>
                <c:pt idx="0">
                  <c:v>0.0383785</c:v>
                </c:pt>
                <c:pt idx="1">
                  <c:v>0.0429501</c:v>
                </c:pt>
                <c:pt idx="2">
                  <c:v>0.0516582</c:v>
                </c:pt>
                <c:pt idx="3">
                  <c:v>0.058254</c:v>
                </c:pt>
                <c:pt idx="4">
                  <c:v>0.0581783</c:v>
                </c:pt>
                <c:pt idx="5">
                  <c:v>0.06335</c:v>
                </c:pt>
                <c:pt idx="6">
                  <c:v>0.0707642</c:v>
                </c:pt>
                <c:pt idx="7">
                  <c:v>0.078585</c:v>
                </c:pt>
                <c:pt idx="8">
                  <c:v>0.0918236</c:v>
                </c:pt>
                <c:pt idx="9">
                  <c:v>0.1027165</c:v>
                </c:pt>
                <c:pt idx="10">
                  <c:v>0.1133848</c:v>
                </c:pt>
                <c:pt idx="11">
                  <c:v>0.1167354</c:v>
                </c:pt>
                <c:pt idx="12">
                  <c:v>0.1243255</c:v>
                </c:pt>
                <c:pt idx="13">
                  <c:v>0.1323338</c:v>
                </c:pt>
                <c:pt idx="14">
                  <c:v>0.1314589</c:v>
                </c:pt>
                <c:pt idx="15">
                  <c:v>0.1345754</c:v>
                </c:pt>
              </c:numCache>
            </c:numRef>
          </c:val>
          <c:smooth val="0"/>
        </c:ser>
        <c:dLbls>
          <c:showLegendKey val="0"/>
          <c:showVal val="0"/>
          <c:showCatName val="0"/>
          <c:showSerName val="0"/>
          <c:showPercent val="0"/>
          <c:showBubbleSize val="0"/>
        </c:dLbls>
        <c:marker val="1"/>
        <c:smooth val="0"/>
        <c:axId val="259762958"/>
        <c:axId val="898449290"/>
      </c:lineChart>
      <c:catAx>
        <c:axId val="25976295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8449290"/>
        <c:crosses val="autoZero"/>
        <c:auto val="1"/>
        <c:lblAlgn val="ctr"/>
        <c:lblOffset val="100"/>
        <c:noMultiLvlLbl val="0"/>
      </c:catAx>
      <c:valAx>
        <c:axId val="898449290"/>
        <c:scaling>
          <c:orientation val="minMax"/>
          <c:min val="0"/>
        </c:scaling>
        <c:delete val="0"/>
        <c:axPos val="l"/>
        <c:majorGridlines>
          <c:spPr>
            <a:ln w="9525" cap="flat" cmpd="sng" algn="ctr">
              <a:solidFill>
                <a:schemeClr val="lt1">
                  <a:lumMod val="902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9762958"/>
        <c:crosses val="autoZero"/>
        <c:crossBetween val="midCat"/>
        <c:majorUnit val="0.1"/>
        <c:minorUnit val="0.0001"/>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0174793008279669"/>
          <c:y val="0.854537366548043"/>
          <c:w val="0.939627414903404"/>
          <c:h val="0.11699288256227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b0c7fa95-c307-4603-8ae4-ccbc4406d18e}"/>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924259055982"/>
          <c:y val="0.125580777094144"/>
          <c:w val="0.819209659714599"/>
          <c:h val="0.606205296733037"/>
        </c:manualLayout>
      </c:layout>
      <c:lineChart>
        <c:grouping val="standard"/>
        <c:varyColors val="0"/>
        <c:ser>
          <c:idx val="0"/>
          <c:order val="0"/>
          <c:tx>
            <c:strRef>
              <c:f>'[实证使用的数据..xlsx]全国和四大区域E(y）作图'!$B$2</c:f>
              <c:strCache>
                <c:ptCount val="1"/>
                <c:pt idx="0">
                  <c:v>National Average of E(y)</c:v>
                </c:pt>
              </c:strCache>
            </c:strRef>
          </c:tx>
          <c:spPr>
            <a:ln w="12700" cap="rnd">
              <a:solidFill>
                <a:schemeClr val="accent1"/>
              </a:solidFill>
              <a:round/>
            </a:ln>
            <a:effectLst/>
          </c:spPr>
          <c:marker>
            <c:symbol val="x"/>
            <c:size val="5"/>
            <c:spPr>
              <a:noFill/>
              <a:ln w="9525">
                <a:solidFill>
                  <a:schemeClr val="accent1"/>
                </a:solidFill>
              </a:ln>
              <a:effectLst/>
            </c:spPr>
          </c:marker>
          <c:dLbls>
            <c:delete val="1"/>
          </c:dLbls>
          <c:cat>
            <c:numRef>
              <c:f>'[实证使用的数据..xlsx]全国和四大区域E(y）作图'!$A$3:$A$18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'[实证使用的数据..xlsx]全国和四大区域E(y）作图'!$B$3:$B$18</c:f>
              <c:numCache>
                <c:formatCode>0.000_ </c:formatCode>
                <c:ptCount val="16"/>
                <c:pt idx="0">
                  <c:v>0.0529237</c:v>
                </c:pt>
                <c:pt idx="1">
                  <c:v>0.0601258</c:v>
                </c:pt>
                <c:pt idx="2">
                  <c:v>0.0662491</c:v>
                </c:pt>
                <c:pt idx="3">
                  <c:v>0.0725645</c:v>
                </c:pt>
                <c:pt idx="4">
                  <c:v>0.0823957</c:v>
                </c:pt>
                <c:pt idx="5">
                  <c:v>0.0918588</c:v>
                </c:pt>
                <c:pt idx="6">
                  <c:v>0.1018216</c:v>
                </c:pt>
                <c:pt idx="7">
                  <c:v>0.1082295</c:v>
                </c:pt>
                <c:pt idx="8">
                  <c:v>0.1204997</c:v>
                </c:pt>
                <c:pt idx="9">
                  <c:v>0.1335977</c:v>
                </c:pt>
                <c:pt idx="10">
                  <c:v>0.143288</c:v>
                </c:pt>
                <c:pt idx="11">
                  <c:v>0.1583171</c:v>
                </c:pt>
                <c:pt idx="12">
                  <c:v>0.1703952</c:v>
                </c:pt>
                <c:pt idx="13">
                  <c:v>0.190231</c:v>
                </c:pt>
                <c:pt idx="14">
                  <c:v>0.2246234</c:v>
                </c:pt>
                <c:pt idx="15">
                  <c:v>0.2470035</c:v>
                </c:pt>
              </c:numCache>
            </c:numRef>
          </c:val>
          <c:smooth val="0"/>
        </c:ser>
        <c:ser>
          <c:idx val="1"/>
          <c:order val="1"/>
          <c:tx>
            <c:strRef>
              <c:f>'[实证使用的数据..xlsx]全国和四大区域E(y）作图'!$C$2</c:f>
              <c:strCache>
                <c:ptCount val="1"/>
                <c:pt idx="0">
                  <c:v>Eastern Average of E(y)</c:v>
                </c:pt>
              </c:strCache>
            </c:strRef>
          </c:tx>
          <c:spPr>
            <a:ln w="3175" cap="rnd">
              <a:solidFill>
                <a:schemeClr val="accent2"/>
              </a:solidFill>
              <a:round/>
            </a:ln>
            <a:effectLst/>
          </c:spPr>
          <c:marker>
            <c:symbol val="square"/>
            <c:size val="4"/>
            <c:spPr>
              <a:solidFill>
                <a:schemeClr val="accent2"/>
              </a:solidFill>
              <a:ln w="9525">
                <a:solidFill>
                  <a:schemeClr val="accent2"/>
                </a:solidFill>
              </a:ln>
              <a:effectLst/>
            </c:spPr>
          </c:marker>
          <c:dLbls>
            <c:delete val="1"/>
          </c:dLbls>
          <c:cat>
            <c:numRef>
              <c:f>'[实证使用的数据..xlsx]全国和四大区域E(y）作图'!$A$3:$A$18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'[实证使用的数据..xlsx]全国和四大区域E(y）作图'!$C$3:$C$18</c:f>
              <c:numCache>
                <c:formatCode>0.000_ </c:formatCode>
                <c:ptCount val="16"/>
                <c:pt idx="0">
                  <c:v>0.0792263</c:v>
                </c:pt>
                <c:pt idx="1">
                  <c:v>0.0921214</c:v>
                </c:pt>
                <c:pt idx="2">
                  <c:v>0.1024223</c:v>
                </c:pt>
                <c:pt idx="3">
                  <c:v>0.1147577</c:v>
                </c:pt>
                <c:pt idx="4">
                  <c:v>0.1336578</c:v>
                </c:pt>
                <c:pt idx="5">
                  <c:v>0.1511165</c:v>
                </c:pt>
                <c:pt idx="6">
                  <c:v>0.1697581</c:v>
                </c:pt>
                <c:pt idx="7">
                  <c:v>0.1810411</c:v>
                </c:pt>
                <c:pt idx="8">
                  <c:v>0.2054281</c:v>
                </c:pt>
                <c:pt idx="9">
                  <c:v>0.2296045</c:v>
                </c:pt>
                <c:pt idx="10">
                  <c:v>0.2463292</c:v>
                </c:pt>
                <c:pt idx="11">
                  <c:v>0.2748745</c:v>
                </c:pt>
                <c:pt idx="12">
                  <c:v>0.296123</c:v>
                </c:pt>
                <c:pt idx="13">
                  <c:v>0.3342997</c:v>
                </c:pt>
                <c:pt idx="14">
                  <c:v>0.3984739</c:v>
                </c:pt>
                <c:pt idx="15">
                  <c:v>0.4364871</c:v>
                </c:pt>
              </c:numCache>
            </c:numRef>
          </c:val>
          <c:smooth val="0"/>
        </c:ser>
        <c:ser>
          <c:idx val="2"/>
          <c:order val="2"/>
          <c:tx>
            <c:strRef>
              <c:f>'[实证使用的数据..xlsx]全国和四大区域E(y）作图'!$D$2</c:f>
              <c:strCache>
                <c:ptCount val="1"/>
                <c:pt idx="0">
                  <c:v>Central Average of E(y)</c:v>
                </c:pt>
              </c:strCache>
            </c:strRef>
          </c:tx>
          <c:spPr>
            <a:ln w="12700" cap="flat">
              <a:solidFill>
                <a:srgbClr val="FFC000"/>
              </a:solidFill>
              <a:round/>
            </a:ln>
            <a:effectLst/>
          </c:spPr>
          <c:marker>
            <c:symbol val="triangle"/>
            <c:size val="3"/>
            <c:spPr>
              <a:solidFill>
                <a:schemeClr val="accent6"/>
              </a:solidFill>
              <a:ln w="9525">
                <a:solidFill>
                  <a:srgbClr val="C00000"/>
                </a:solidFill>
              </a:ln>
              <a:effectLst/>
            </c:spPr>
          </c:marker>
          <c:dLbls>
            <c:delete val="1"/>
          </c:dLbls>
          <c:cat>
            <c:numRef>
              <c:f>'[实证使用的数据..xlsx]全国和四大区域E(y）作图'!$A$3:$A$18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'[实证使用的数据..xlsx]全国和四大区域E(y）作图'!$D$3:$D$18</c:f>
              <c:numCache>
                <c:formatCode>0.000_ </c:formatCode>
                <c:ptCount val="16"/>
                <c:pt idx="0">
                  <c:v>0.0478303</c:v>
                </c:pt>
                <c:pt idx="1">
                  <c:v>0.0533913</c:v>
                </c:pt>
                <c:pt idx="2">
                  <c:v>0.0587413</c:v>
                </c:pt>
                <c:pt idx="3">
                  <c:v>0.0637351</c:v>
                </c:pt>
                <c:pt idx="4">
                  <c:v>0.0715234</c:v>
                </c:pt>
                <c:pt idx="5">
                  <c:v>0.0796609</c:v>
                </c:pt>
                <c:pt idx="6">
                  <c:v>0.0891858</c:v>
                </c:pt>
                <c:pt idx="7">
                  <c:v>0.0954006</c:v>
                </c:pt>
                <c:pt idx="8">
                  <c:v>0.1057338</c:v>
                </c:pt>
                <c:pt idx="9">
                  <c:v>0.1168884</c:v>
                </c:pt>
                <c:pt idx="10">
                  <c:v>0.1275712</c:v>
                </c:pt>
                <c:pt idx="11">
                  <c:v>0.1414094</c:v>
                </c:pt>
                <c:pt idx="12">
                  <c:v>0.1540062</c:v>
                </c:pt>
                <c:pt idx="13">
                  <c:v>0.1733129</c:v>
                </c:pt>
                <c:pt idx="14">
                  <c:v>0.2087657</c:v>
                </c:pt>
                <c:pt idx="15">
                  <c:v>0.2390998</c:v>
                </c:pt>
              </c:numCache>
            </c:numRef>
          </c:val>
          <c:smooth val="0"/>
        </c:ser>
        <c:ser>
          <c:idx val="3"/>
          <c:order val="3"/>
          <c:tx>
            <c:strRef>
              <c:f>'[实证使用的数据..xlsx]全国和四大区域E(y）作图'!$E$2</c:f>
              <c:strCache>
                <c:ptCount val="1"/>
                <c:pt idx="0">
                  <c:v>Northeastern Average of E(y)</c:v>
                </c:pt>
              </c:strCache>
            </c:strRef>
          </c:tx>
          <c:spPr>
            <a:ln w="12700" cap="rnd">
              <a:solidFill>
                <a:srgbClr val="92D050"/>
              </a:solidFill>
              <a:round/>
            </a:ln>
            <a:effectLst/>
          </c:spPr>
          <c:marker>
            <c:symbol val="circle"/>
            <c:size val="4"/>
            <c:spPr>
              <a:solidFill>
                <a:schemeClr val="accent4"/>
              </a:solidFill>
              <a:ln w="9525">
                <a:solidFill>
                  <a:schemeClr val="accent4"/>
                </a:solidFill>
              </a:ln>
              <a:effectLst/>
            </c:spPr>
          </c:marker>
          <c:dLbls>
            <c:delete val="1"/>
          </c:dLbls>
          <c:cat>
            <c:numRef>
              <c:f>'[实证使用的数据..xlsx]全国和四大区域E(y）作图'!$A$3:$A$18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'[实证使用的数据..xlsx]全国和四大区域E(y）作图'!$E$3:$E$18</c:f>
              <c:numCache>
                <c:formatCode>0.000_ </c:formatCode>
                <c:ptCount val="16"/>
                <c:pt idx="0">
                  <c:v>0.0479366</c:v>
                </c:pt>
                <c:pt idx="1">
                  <c:v>0.0527484</c:v>
                </c:pt>
                <c:pt idx="2">
                  <c:v>0.0583314</c:v>
                </c:pt>
                <c:pt idx="3">
                  <c:v>0.0604397</c:v>
                </c:pt>
                <c:pt idx="4">
                  <c:v>0.0654943</c:v>
                </c:pt>
                <c:pt idx="5">
                  <c:v>0.0702932</c:v>
                </c:pt>
                <c:pt idx="6">
                  <c:v>0.073567</c:v>
                </c:pt>
                <c:pt idx="7">
                  <c:v>0.0756347</c:v>
                </c:pt>
                <c:pt idx="8">
                  <c:v>0.0785039</c:v>
                </c:pt>
                <c:pt idx="9">
                  <c:v>0.0844457</c:v>
                </c:pt>
                <c:pt idx="10">
                  <c:v>0.0885713</c:v>
                </c:pt>
                <c:pt idx="11">
                  <c:v>0.0914383</c:v>
                </c:pt>
                <c:pt idx="12">
                  <c:v>0.0982341</c:v>
                </c:pt>
                <c:pt idx="13">
                  <c:v>0.1041583</c:v>
                </c:pt>
                <c:pt idx="14">
                  <c:v>0.1149049</c:v>
                </c:pt>
                <c:pt idx="15">
                  <c:v>0.120844</c:v>
                </c:pt>
              </c:numCache>
            </c:numRef>
          </c:val>
          <c:smooth val="0"/>
        </c:ser>
        <c:ser>
          <c:idx val="4"/>
          <c:order val="4"/>
          <c:tx>
            <c:strRef>
              <c:f>'[实证使用的数据..xlsx]全国和四大区域E(y）作图'!$F$2</c:f>
              <c:strCache>
                <c:ptCount val="1"/>
                <c:pt idx="0">
                  <c:v>Western Average of E(y)</c:v>
                </c:pt>
              </c:strCache>
            </c:strRef>
          </c:tx>
          <c:spPr>
            <a:ln w="0" cap="sq">
              <a:solidFill>
                <a:schemeClr val="accent4">
                  <a:lumMod val="50000"/>
                  <a:alpha val="91000"/>
                </a:schemeClr>
              </a:solidFill>
              <a:miter lim="800000"/>
            </a:ln>
            <a:effectLst/>
          </c:spPr>
          <c:marker>
            <c:symbol val="circle"/>
            <c:size val="4"/>
            <c:spPr>
              <a:noFill/>
              <a:ln w="0">
                <a:solidFill>
                  <a:srgbClr val="C00000"/>
                </a:solidFill>
              </a:ln>
              <a:effectLst/>
            </c:spPr>
          </c:marker>
          <c:dLbls>
            <c:delete val="1"/>
          </c:dLbls>
          <c:cat>
            <c:numRef>
              <c:f>'[实证使用的数据..xlsx]全国和四大区域E(y）作图'!$A$3:$A$18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'[实证使用的数据..xlsx]全国和四大区域E(y）作图'!$F$3:$F$18</c:f>
              <c:numCache>
                <c:formatCode>0.000_ </c:formatCode>
                <c:ptCount val="16"/>
                <c:pt idx="0">
                  <c:v>0.0331506</c:v>
                </c:pt>
                <c:pt idx="1">
                  <c:v>0.0367242</c:v>
                </c:pt>
                <c:pt idx="2">
                  <c:v>0.039619</c:v>
                </c:pt>
                <c:pt idx="3">
                  <c:v>0.0423297</c:v>
                </c:pt>
                <c:pt idx="4">
                  <c:v>0.0463337</c:v>
                </c:pt>
                <c:pt idx="5">
                  <c:v>0.0505232</c:v>
                </c:pt>
                <c:pt idx="6">
                  <c:v>0.0546592</c:v>
                </c:pt>
                <c:pt idx="7">
                  <c:v>0.0579241</c:v>
                </c:pt>
                <c:pt idx="8">
                  <c:v>0.0627997</c:v>
                </c:pt>
                <c:pt idx="9">
                  <c:v>0.0688381</c:v>
                </c:pt>
                <c:pt idx="10">
                  <c:v>0.0731097</c:v>
                </c:pt>
                <c:pt idx="11">
                  <c:v>0.079818</c:v>
                </c:pt>
                <c:pt idx="12">
                  <c:v>0.0847171</c:v>
                </c:pt>
                <c:pt idx="13">
                  <c:v>0.0919618</c:v>
                </c:pt>
                <c:pt idx="14">
                  <c:v>0.1051505</c:v>
                </c:pt>
                <c:pt idx="15">
                  <c:v>0.113464</c:v>
                </c:pt>
              </c:numCache>
            </c:numRef>
          </c:val>
          <c:smooth val="0"/>
        </c:ser>
        <c:dLbls>
          <c:showLegendKey val="0"/>
          <c:showVal val="0"/>
          <c:showCatName val="0"/>
          <c:showSerName val="0"/>
          <c:showPercent val="0"/>
          <c:showBubbleSize val="0"/>
        </c:dLbls>
        <c:marker val="1"/>
        <c:smooth val="0"/>
        <c:axId val="259762958"/>
        <c:axId val="898449290"/>
      </c:lineChart>
      <c:catAx>
        <c:axId val="25976295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98449290"/>
        <c:crosses val="autoZero"/>
        <c:auto val="1"/>
        <c:lblAlgn val="ctr"/>
        <c:lblOffset val="100"/>
        <c:noMultiLvlLbl val="0"/>
      </c:catAx>
      <c:valAx>
        <c:axId val="898449290"/>
        <c:scaling>
          <c:orientation val="minMax"/>
          <c:min val="0"/>
        </c:scaling>
        <c:delete val="0"/>
        <c:axPos val="l"/>
        <c:majorGridlines>
          <c:spPr>
            <a:ln w="9525" cap="flat" cmpd="sng" algn="ctr">
              <a:solidFill>
                <a:schemeClr val="lt1">
                  <a:lumMod val="902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59762958"/>
        <c:crosses val="autoZero"/>
        <c:crossBetween val="midCat"/>
        <c:majorUnit val="0.1"/>
        <c:minorUnit val="0.0001"/>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b0c7fa95-c307-4603-8ae4-ccbc4406d18e}"/>
      </c:ext>
    </c:extLst>
  </c:chart>
  <c:spPr>
    <a:solidFill>
      <a:schemeClr val="bg1"/>
    </a:solidFill>
    <a:ln w="9525" cap="flat" cmpd="sng" algn="ctr">
      <a:no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924259055982"/>
          <c:y val="0.115095282428374"/>
          <c:w val="0.819209659714599"/>
          <c:h val="0.619565289809716"/>
        </c:manualLayout>
      </c:layout>
      <c:lineChart>
        <c:grouping val="standard"/>
        <c:varyColors val="0"/>
        <c:ser>
          <c:idx val="0"/>
          <c:order val="0"/>
          <c:tx>
            <c:strRef>
              <c:f>全国和四大区域D作图!$B$2</c:f>
              <c:strCache>
                <c:ptCount val="1"/>
                <c:pt idx="0">
                  <c:v>National Average of CCD</c:v>
                </c:pt>
              </c:strCache>
            </c:strRef>
          </c:tx>
          <c:spPr>
            <a:ln w="12700" cap="rnd">
              <a:solidFill>
                <a:schemeClr val="accent1"/>
              </a:solidFill>
              <a:round/>
            </a:ln>
            <a:effectLst/>
          </c:spPr>
          <c:marker>
            <c:symbol val="x"/>
            <c:size val="5"/>
            <c:spPr>
              <a:noFill/>
              <a:ln w="9525">
                <a:solidFill>
                  <a:schemeClr val="accent1"/>
                </a:solidFill>
              </a:ln>
              <a:effectLst/>
            </c:spPr>
          </c:marker>
          <c:dLbls>
            <c:delete val="1"/>
          </c:dLbls>
          <c:cat>
            <c:numRef>
              <c:f>全国和四大区域D作图!$A$3:$A$18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全国和四大区域D作图!$B$3:$B$18</c:f>
              <c:numCache>
                <c:formatCode>0.000_ </c:formatCode>
                <c:ptCount val="16"/>
                <c:pt idx="0">
                  <c:v>0.2259961</c:v>
                </c:pt>
                <c:pt idx="1">
                  <c:v>0.2395203</c:v>
                </c:pt>
                <c:pt idx="2">
                  <c:v>0.2562715</c:v>
                </c:pt>
                <c:pt idx="3">
                  <c:v>0.2698897</c:v>
                </c:pt>
                <c:pt idx="4">
                  <c:v>0.278253</c:v>
                </c:pt>
                <c:pt idx="5">
                  <c:v>0.2925574</c:v>
                </c:pt>
                <c:pt idx="6">
                  <c:v>0.3065165</c:v>
                </c:pt>
                <c:pt idx="7">
                  <c:v>0.3210205</c:v>
                </c:pt>
                <c:pt idx="8">
                  <c:v>0.3464101</c:v>
                </c:pt>
                <c:pt idx="9">
                  <c:v>0.3646342</c:v>
                </c:pt>
                <c:pt idx="10">
                  <c:v>0.3787583</c:v>
                </c:pt>
                <c:pt idx="11">
                  <c:v>0.3902225</c:v>
                </c:pt>
                <c:pt idx="12">
                  <c:v>0.405833</c:v>
                </c:pt>
                <c:pt idx="13">
                  <c:v>0.425735</c:v>
                </c:pt>
                <c:pt idx="14">
                  <c:v>0.445729</c:v>
                </c:pt>
                <c:pt idx="15">
                  <c:v>0.460727</c:v>
                </c:pt>
              </c:numCache>
            </c:numRef>
          </c:val>
          <c:smooth val="0"/>
        </c:ser>
        <c:ser>
          <c:idx val="1"/>
          <c:order val="1"/>
          <c:tx>
            <c:strRef>
              <c:f>全国和四大区域D作图!$C$2</c:f>
              <c:strCache>
                <c:ptCount val="1"/>
                <c:pt idx="0">
                  <c:v>Eastern Average of CCD</c:v>
                </c:pt>
              </c:strCache>
            </c:strRef>
          </c:tx>
          <c:spPr>
            <a:ln w="12700" cap="rnd">
              <a:solidFill>
                <a:schemeClr val="accent2"/>
              </a:solidFill>
              <a:round/>
            </a:ln>
            <a:effectLst/>
          </c:spPr>
          <c:marker>
            <c:symbol val="square"/>
            <c:size val="4"/>
            <c:spPr>
              <a:solidFill>
                <a:schemeClr val="accent2"/>
              </a:solidFill>
              <a:ln w="9525">
                <a:solidFill>
                  <a:schemeClr val="accent2"/>
                </a:solidFill>
              </a:ln>
              <a:effectLst/>
            </c:spPr>
          </c:marker>
          <c:dLbls>
            <c:delete val="1"/>
          </c:dLbls>
          <c:cat>
            <c:numRef>
              <c:f>全国和四大区域D作图!$A$3:$A$18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全国和四大区域D作图!$C$3:$C$18</c:f>
              <c:numCache>
                <c:formatCode>0.000_ </c:formatCode>
                <c:ptCount val="16"/>
                <c:pt idx="0">
                  <c:v>0.2830973</c:v>
                </c:pt>
                <c:pt idx="1">
                  <c:v>0.3007407</c:v>
                </c:pt>
                <c:pt idx="2">
                  <c:v>0.3221135</c:v>
                </c:pt>
                <c:pt idx="3">
                  <c:v>0.3424422</c:v>
                </c:pt>
                <c:pt idx="4">
                  <c:v>0.3574183</c:v>
                </c:pt>
                <c:pt idx="5">
                  <c:v>0.3752308</c:v>
                </c:pt>
                <c:pt idx="6">
                  <c:v>0.3972324</c:v>
                </c:pt>
                <c:pt idx="7">
                  <c:v>0.4165072</c:v>
                </c:pt>
                <c:pt idx="8">
                  <c:v>0.4553449</c:v>
                </c:pt>
                <c:pt idx="9">
                  <c:v>0.4794882</c:v>
                </c:pt>
                <c:pt idx="10">
                  <c:v>0.4962895</c:v>
                </c:pt>
                <c:pt idx="11">
                  <c:v>0.5110148</c:v>
                </c:pt>
                <c:pt idx="12">
                  <c:v>0.5333974</c:v>
                </c:pt>
                <c:pt idx="13">
                  <c:v>0.5653474</c:v>
                </c:pt>
                <c:pt idx="14">
                  <c:v>0.5995284</c:v>
                </c:pt>
                <c:pt idx="15">
                  <c:v>0.6231907</c:v>
                </c:pt>
              </c:numCache>
            </c:numRef>
          </c:val>
          <c:smooth val="0"/>
        </c:ser>
        <c:ser>
          <c:idx val="2"/>
          <c:order val="2"/>
          <c:tx>
            <c:strRef>
              <c:f>全国和四大区域D作图!$D$2</c:f>
              <c:strCache>
                <c:ptCount val="1"/>
                <c:pt idx="0">
                  <c:v>Central Average of CCD</c:v>
                </c:pt>
              </c:strCache>
            </c:strRef>
          </c:tx>
          <c:spPr>
            <a:ln w="12700" cap="rnd">
              <a:solidFill>
                <a:srgbClr val="FFC000"/>
              </a:solidFill>
              <a:round/>
            </a:ln>
            <a:effectLst/>
          </c:spPr>
          <c:marker>
            <c:symbol val="triangle"/>
            <c:size val="3"/>
            <c:spPr>
              <a:solidFill>
                <a:schemeClr val="accent6"/>
              </a:solidFill>
              <a:ln w="9525">
                <a:solidFill>
                  <a:srgbClr val="C00000"/>
                </a:solidFill>
              </a:ln>
              <a:effectLst/>
            </c:spPr>
          </c:marker>
          <c:dLbls>
            <c:delete val="1"/>
          </c:dLbls>
          <c:cat>
            <c:numRef>
              <c:f>全国和四大区域D作图!$A$3:$A$18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全国和四大区域D作图!$D$3:$D$18</c:f>
              <c:numCache>
                <c:formatCode>0.000_ </c:formatCode>
                <c:ptCount val="16"/>
                <c:pt idx="0">
                  <c:v>0.2081977</c:v>
                </c:pt>
                <c:pt idx="1">
                  <c:v>0.2228336</c:v>
                </c:pt>
                <c:pt idx="2">
                  <c:v>0.2382159</c:v>
                </c:pt>
                <c:pt idx="3">
                  <c:v>0.2505714</c:v>
                </c:pt>
                <c:pt idx="4">
                  <c:v>0.2571567</c:v>
                </c:pt>
                <c:pt idx="5">
                  <c:v>0.2762896</c:v>
                </c:pt>
                <c:pt idx="6">
                  <c:v>0.2843502</c:v>
                </c:pt>
                <c:pt idx="7">
                  <c:v>0.3002178</c:v>
                </c:pt>
                <c:pt idx="8">
                  <c:v>0.325004</c:v>
                </c:pt>
                <c:pt idx="9">
                  <c:v>0.3434725</c:v>
                </c:pt>
                <c:pt idx="10">
                  <c:v>0.3609052</c:v>
                </c:pt>
                <c:pt idx="11">
                  <c:v>0.3768485</c:v>
                </c:pt>
                <c:pt idx="12">
                  <c:v>0.3935662</c:v>
                </c:pt>
                <c:pt idx="13">
                  <c:v>0.4147404</c:v>
                </c:pt>
                <c:pt idx="14">
                  <c:v>0.4366745</c:v>
                </c:pt>
                <c:pt idx="15">
                  <c:v>0.4551632</c:v>
                </c:pt>
              </c:numCache>
            </c:numRef>
          </c:val>
          <c:smooth val="0"/>
        </c:ser>
        <c:ser>
          <c:idx val="3"/>
          <c:order val="3"/>
          <c:tx>
            <c:strRef>
              <c:f>全国和四大区域D作图!$E$2</c:f>
              <c:strCache>
                <c:ptCount val="1"/>
                <c:pt idx="0">
                  <c:v>Northeastern Average of CCD</c:v>
                </c:pt>
              </c:strCache>
            </c:strRef>
          </c:tx>
          <c:spPr>
            <a:ln w="12700" cap="rnd">
              <a:solidFill>
                <a:srgbClr val="92D050"/>
              </a:solidFill>
              <a:round/>
            </a:ln>
            <a:effectLst/>
          </c:spPr>
          <c:marker>
            <c:symbol val="circle"/>
            <c:size val="4"/>
            <c:spPr>
              <a:solidFill>
                <a:schemeClr val="accent4"/>
              </a:solidFill>
              <a:ln w="9525">
                <a:solidFill>
                  <a:schemeClr val="accent4"/>
                </a:solidFill>
              </a:ln>
              <a:effectLst/>
            </c:spPr>
          </c:marker>
          <c:dLbls>
            <c:delete val="1"/>
          </c:dLbls>
          <c:cat>
            <c:numRef>
              <c:f>全国和四大区域D作图!$A$3:$A$18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全国和四大区域D作图!$E$3:$E$18</c:f>
              <c:numCache>
                <c:formatCode>0.000_ </c:formatCode>
                <c:ptCount val="16"/>
                <c:pt idx="0">
                  <c:v>0.2147374</c:v>
                </c:pt>
                <c:pt idx="1">
                  <c:v>0.22537</c:v>
                </c:pt>
                <c:pt idx="2">
                  <c:v>0.2421728</c:v>
                </c:pt>
                <c:pt idx="3">
                  <c:v>0.2495835</c:v>
                </c:pt>
                <c:pt idx="4">
                  <c:v>0.2536127</c:v>
                </c:pt>
                <c:pt idx="5">
                  <c:v>0.2635485</c:v>
                </c:pt>
                <c:pt idx="6">
                  <c:v>0.2741832</c:v>
                </c:pt>
                <c:pt idx="7">
                  <c:v>0.2864515</c:v>
                </c:pt>
                <c:pt idx="8">
                  <c:v>0.30584</c:v>
                </c:pt>
                <c:pt idx="9">
                  <c:v>0.3206807</c:v>
                </c:pt>
                <c:pt idx="10">
                  <c:v>0.3297915</c:v>
                </c:pt>
                <c:pt idx="11">
                  <c:v>0.3334583</c:v>
                </c:pt>
                <c:pt idx="12">
                  <c:v>0.3488085</c:v>
                </c:pt>
                <c:pt idx="13">
                  <c:v>0.3597926</c:v>
                </c:pt>
                <c:pt idx="14">
                  <c:v>0.3678261</c:v>
                </c:pt>
                <c:pt idx="15">
                  <c:v>0.3735137</c:v>
                </c:pt>
              </c:numCache>
            </c:numRef>
          </c:val>
          <c:smooth val="0"/>
        </c:ser>
        <c:ser>
          <c:idx val="4"/>
          <c:order val="4"/>
          <c:tx>
            <c:strRef>
              <c:f>全国和四大区域D作图!$F$2</c:f>
              <c:strCache>
                <c:ptCount val="1"/>
                <c:pt idx="0">
                  <c:v>Western Average of CCD</c:v>
                </c:pt>
              </c:strCache>
            </c:strRef>
          </c:tx>
          <c:spPr>
            <a:ln w="0" cap="sq">
              <a:solidFill>
                <a:schemeClr val="accent4">
                  <a:lumMod val="50000"/>
                  <a:alpha val="91000"/>
                </a:schemeClr>
              </a:solidFill>
              <a:miter lim="800000"/>
            </a:ln>
            <a:effectLst/>
          </c:spPr>
          <c:marker>
            <c:symbol val="circle"/>
            <c:size val="4"/>
            <c:spPr>
              <a:noFill/>
              <a:ln w="0">
                <a:solidFill>
                  <a:srgbClr val="C00000"/>
                </a:solidFill>
              </a:ln>
              <a:effectLst/>
            </c:spPr>
          </c:marker>
          <c:dLbls>
            <c:delete val="1"/>
          </c:dLbls>
          <c:cat>
            <c:numRef>
              <c:f>全国和四大区域D作图!$A$3:$A$18</c:f>
              <c:numCache>
                <c:formatCode>@</c:formatCode>
                <c:ptCount val="16"/>
                <c:pt idx="0" c:formatCode="@">
                  <c:v>2007</c:v>
                </c:pt>
                <c:pt idx="1" c:formatCode="@">
                  <c:v>2008</c:v>
                </c:pt>
                <c:pt idx="2" c:formatCode="@">
                  <c:v>2009</c:v>
                </c:pt>
                <c:pt idx="3" c:formatCode="@">
                  <c:v>2010</c:v>
                </c:pt>
                <c:pt idx="4" c:formatCode="@">
                  <c:v>2011</c:v>
                </c:pt>
                <c:pt idx="5" c:formatCode="@">
                  <c:v>2012</c:v>
                </c:pt>
                <c:pt idx="6" c:formatCode="@">
                  <c:v>2013</c:v>
                </c:pt>
                <c:pt idx="7" c:formatCode="@">
                  <c:v>2014</c:v>
                </c:pt>
                <c:pt idx="8" c:formatCode="@">
                  <c:v>2015</c:v>
                </c:pt>
                <c:pt idx="9" c:formatCode="@">
                  <c:v>2016</c:v>
                </c:pt>
                <c:pt idx="10" c:formatCode="@">
                  <c:v>2017</c:v>
                </c:pt>
                <c:pt idx="11" c:formatCode="@">
                  <c:v>2018</c:v>
                </c:pt>
                <c:pt idx="12" c:formatCode="@">
                  <c:v>2019</c:v>
                </c:pt>
                <c:pt idx="13" c:formatCode="@">
                  <c:v>2020</c:v>
                </c:pt>
                <c:pt idx="14" c:formatCode="@">
                  <c:v>2021</c:v>
                </c:pt>
                <c:pt idx="15" c:formatCode="@">
                  <c:v>2022</c:v>
                </c:pt>
              </c:numCache>
            </c:numRef>
          </c:cat>
          <c:val>
            <c:numRef>
              <c:f>全国和四大区域D作图!$F$3:$F$18</c:f>
              <c:numCache>
                <c:formatCode>0.000_ </c:formatCode>
                <c:ptCount val="16"/>
                <c:pt idx="0">
                  <c:v>0.1868648</c:v>
                </c:pt>
                <c:pt idx="1">
                  <c:v>0.1968265</c:v>
                </c:pt>
                <c:pt idx="2">
                  <c:v>0.2101087</c:v>
                </c:pt>
                <c:pt idx="3">
                  <c:v>0.2200083</c:v>
                </c:pt>
                <c:pt idx="4">
                  <c:v>0.2245116</c:v>
                </c:pt>
                <c:pt idx="5">
                  <c:v>0.2341846</c:v>
                </c:pt>
                <c:pt idx="6">
                  <c:v>0.2449563</c:v>
                </c:pt>
                <c:pt idx="7">
                  <c:v>0.2549893</c:v>
                </c:pt>
                <c:pt idx="8">
                  <c:v>0.2701191</c:v>
                </c:pt>
                <c:pt idx="9">
                  <c:v>0.2837515</c:v>
                </c:pt>
                <c:pt idx="10">
                  <c:v>0.2950042</c:v>
                </c:pt>
                <c:pt idx="11">
                  <c:v>0.3031873</c:v>
                </c:pt>
                <c:pt idx="12">
                  <c:v>0.3121086</c:v>
                </c:pt>
                <c:pt idx="13">
                  <c:v>0.322796</c:v>
                </c:pt>
                <c:pt idx="14">
                  <c:v>0.3320963</c:v>
                </c:pt>
                <c:pt idx="15">
                  <c:v>0.3398531</c:v>
                </c:pt>
              </c:numCache>
            </c:numRef>
          </c:val>
          <c:smooth val="0"/>
        </c:ser>
        <c:dLbls>
          <c:showLegendKey val="0"/>
          <c:showVal val="0"/>
          <c:showCatName val="0"/>
          <c:showSerName val="0"/>
          <c:showPercent val="0"/>
          <c:showBubbleSize val="0"/>
        </c:dLbls>
        <c:marker val="1"/>
        <c:smooth val="0"/>
        <c:axId val="259762958"/>
        <c:axId val="898449290"/>
      </c:lineChart>
      <c:catAx>
        <c:axId val="25976295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8449290"/>
        <c:crosses val="autoZero"/>
        <c:auto val="1"/>
        <c:lblAlgn val="ctr"/>
        <c:lblOffset val="100"/>
        <c:noMultiLvlLbl val="0"/>
      </c:catAx>
      <c:valAx>
        <c:axId val="898449290"/>
        <c:scaling>
          <c:orientation val="minMax"/>
          <c:min val="0"/>
        </c:scaling>
        <c:delete val="0"/>
        <c:axPos val="l"/>
        <c:majorGridlines>
          <c:spPr>
            <a:ln w="9525" cap="flat" cmpd="sng" algn="ctr">
              <a:solidFill>
                <a:schemeClr val="lt1">
                  <a:lumMod val="902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9762958"/>
        <c:crosses val="autoZero"/>
        <c:crossBetween val="midCat"/>
        <c:majorUnit val="0.1"/>
        <c:minorUnit val="0.0001"/>
      </c:valAx>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0971402632773491"/>
          <c:y val="0.807318022576878"/>
          <c:w val="0.879709487063096"/>
          <c:h val="0.171856753600623"/>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b0c7fa95-c307-4603-8ae4-ccbc4406d18e}"/>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10026619343"/>
          <c:y val="0.033877425315676"/>
          <c:w val="0.812533274179237"/>
          <c:h val="0.841823221435171"/>
        </c:manualLayout>
      </c:layout>
      <c:barChart>
        <c:barDir val="bar"/>
        <c:grouping val="clustered"/>
        <c:varyColors val="0"/>
        <c:ser>
          <c:idx val="0"/>
          <c:order val="0"/>
          <c:tx>
            <c:strRef>
              <c:f>[实证使用的数据..xlsx]耦合协调度的复合增长率!$B$1</c:f>
              <c:strCache>
                <c:ptCount val="1"/>
                <c:pt idx="0">
                  <c:v>Compound Annual Growth Rate(%)</c:v>
                </c:pt>
              </c:strCache>
            </c:strRef>
          </c:tx>
          <c:spPr>
            <a:gradFill>
              <a:gsLst>
                <a:gs pos="12000">
                  <a:srgbClr val="C4E1FF"/>
                </a:gs>
                <a:gs pos="100000">
                  <a:srgbClr val="98BEFC"/>
                </a:gs>
              </a:gsLst>
              <a:lin ang="5400000" scaled="1"/>
            </a:gra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invertIfNegative val="0"/>
          <c:dPt>
            <c:idx val="0"/>
            <c:invertIfNegative val="0"/>
            <c:bubble3D val="0"/>
            <c:spPr>
              <a:gradFill>
                <a:gsLst>
                  <a:gs pos="50000">
                    <a:schemeClr val="accent4"/>
                  </a:gs>
                  <a:gs pos="0">
                    <a:schemeClr val="accent4">
                      <a:lumMod val="25000"/>
                      <a:lumOff val="75000"/>
                    </a:schemeClr>
                  </a:gs>
                  <a:gs pos="100000">
                    <a:schemeClr val="accent4">
                      <a:lumMod val="85000"/>
                    </a:schemeClr>
                  </a:gs>
                </a:gsLst>
                <a:lin ang="5400000" scaled="1"/>
              </a:gra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dPt>
          <c:dPt>
            <c:idx val="1"/>
            <c:invertIfNegative val="0"/>
            <c:bubble3D val="0"/>
            <c:spPr>
              <a:solidFill>
                <a:schemeClr val="accent6"/>
              </a:soli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dPt>
          <c:dPt>
            <c:idx val="12"/>
            <c:invertIfNegative val="0"/>
            <c:bubble3D val="0"/>
            <c:spPr>
              <a:solidFill>
                <a:schemeClr val="accent6"/>
              </a:soli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dPt>
          <c:dPt>
            <c:idx val="19"/>
            <c:invertIfNegative val="0"/>
            <c:bubble3D val="0"/>
            <c:spPr>
              <a:solidFill>
                <a:schemeClr val="accent6"/>
              </a:soli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dPt>
          <c:dPt>
            <c:idx val="23"/>
            <c:invertIfNegative val="0"/>
            <c:bubble3D val="0"/>
            <c:spPr>
              <a:solidFill>
                <a:schemeClr val="accent6"/>
              </a:soli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dPt>
          <c:dPt>
            <c:idx val="24"/>
            <c:invertIfNegative val="0"/>
            <c:bubble3D val="0"/>
            <c:spPr>
              <a:gradFill>
                <a:gsLst>
                  <a:gs pos="12000">
                    <a:srgbClr val="C4E1FF"/>
                  </a:gs>
                  <a:gs pos="100000">
                    <a:srgbClr val="98BEFC"/>
                  </a:gs>
                </a:gsLst>
                <a:lin ang="5400000" scaled="1"/>
              </a:gradFill>
              <a:ln>
                <a:gradFill>
                  <a:gsLst>
                    <a:gs pos="0">
                      <a:schemeClr val="accent1"/>
                    </a:gs>
                    <a:gs pos="100000">
                      <a:schemeClr val="accent1">
                        <a:lumMod val="75000"/>
                      </a:schemeClr>
                    </a:gs>
                  </a:gsLst>
                  <a:lin ang="10560000" scaled="0"/>
                </a:gradFill>
              </a:ln>
              <a:effectLst>
                <a:outerShdw blurRad="76200" dist="25400" dir="2700000" algn="tl" rotWithShape="0">
                  <a:schemeClr val="accent1">
                    <a:lumMod val="50000"/>
                    <a:alpha val="30000"/>
                  </a:schemeClr>
                </a:outerShdw>
              </a:effectLst>
            </c:spPr>
          </c:dPt>
          <c:dPt>
            <c:idx val="34"/>
            <c:invertIfNegative val="0"/>
            <c:bubble3D val="0"/>
          </c:dPt>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[实证使用的数据..xlsx]耦合协调度的复合增长率!$A$2:$A$36</c:f>
              <c:strCache>
                <c:ptCount val="35"/>
                <c:pt idx="0">
                  <c:v>National</c:v>
                </c:pt>
                <c:pt idx="1">
                  <c:v>Eastern Region</c:v>
                </c:pt>
                <c:pt idx="2">
                  <c:v>Beijing</c:v>
                </c:pt>
                <c:pt idx="3">
                  <c:v>Tianjin</c:v>
                </c:pt>
                <c:pt idx="4">
                  <c:v>Hebei</c:v>
                </c:pt>
                <c:pt idx="5">
                  <c:v>Shanghai</c:v>
                </c:pt>
                <c:pt idx="6">
                  <c:v>Jiangsu</c:v>
                </c:pt>
                <c:pt idx="7">
                  <c:v>Zhejiang</c:v>
                </c:pt>
                <c:pt idx="8">
                  <c:v>Fujian</c:v>
                </c:pt>
                <c:pt idx="9">
                  <c:v>Shandong</c:v>
                </c:pt>
                <c:pt idx="10">
                  <c:v>Guangdong</c:v>
                </c:pt>
                <c:pt idx="11">
                  <c:v>Hainan</c:v>
                </c:pt>
                <c:pt idx="12">
                  <c:v>Central Region</c:v>
                </c:pt>
                <c:pt idx="13">
                  <c:v>Shanxi</c:v>
                </c:pt>
                <c:pt idx="14">
                  <c:v>Anhui</c:v>
                </c:pt>
                <c:pt idx="15">
                  <c:v>Jiangxi</c:v>
                </c:pt>
                <c:pt idx="16">
                  <c:v>Henan</c:v>
                </c:pt>
                <c:pt idx="17">
                  <c:v>Hubei</c:v>
                </c:pt>
                <c:pt idx="18">
                  <c:v>Hunan</c:v>
                </c:pt>
                <c:pt idx="19">
                  <c:v>Northeastern Region</c:v>
                </c:pt>
                <c:pt idx="20">
                  <c:v>Liaoning</c:v>
                </c:pt>
                <c:pt idx="21">
                  <c:v>Jilin</c:v>
                </c:pt>
                <c:pt idx="22">
                  <c:v>Heilongjiang</c:v>
                </c:pt>
                <c:pt idx="23">
                  <c:v>Western Region</c:v>
                </c:pt>
                <c:pt idx="24">
                  <c:v>Inner Mongolia</c:v>
                </c:pt>
                <c:pt idx="25">
                  <c:v>Guangxi</c:v>
                </c:pt>
                <c:pt idx="26">
                  <c:v>Chongqing</c:v>
                </c:pt>
                <c:pt idx="27">
                  <c:v>Sichuan</c:v>
                </c:pt>
                <c:pt idx="28">
                  <c:v>Guizhou</c:v>
                </c:pt>
                <c:pt idx="29">
                  <c:v>Yunnan</c:v>
                </c:pt>
                <c:pt idx="30">
                  <c:v>Shaanxi</c:v>
                </c:pt>
                <c:pt idx="31">
                  <c:v>Gansu</c:v>
                </c:pt>
                <c:pt idx="32">
                  <c:v>Qinghai</c:v>
                </c:pt>
                <c:pt idx="33">
                  <c:v>Ningxia</c:v>
                </c:pt>
                <c:pt idx="34">
                  <c:v>Xinjiang</c:v>
                </c:pt>
              </c:strCache>
            </c:strRef>
          </c:cat>
          <c:val>
            <c:numRef>
              <c:f>[实证使用的数据..xlsx]耦合协调度的复合增长率!$B$2:$B$36</c:f>
              <c:numCache>
                <c:formatCode>0.000_ </c:formatCode>
                <c:ptCount val="35"/>
                <c:pt idx="0">
                  <c:v>4.863</c:v>
                </c:pt>
                <c:pt idx="1">
                  <c:v>5.401</c:v>
                </c:pt>
                <c:pt idx="2">
                  <c:v>4.71444518857087</c:v>
                </c:pt>
                <c:pt idx="3">
                  <c:v>3.41288369332828</c:v>
                </c:pt>
                <c:pt idx="4">
                  <c:v>5.46645504253289</c:v>
                </c:pt>
                <c:pt idx="5">
                  <c:v>4.88046421964476</c:v>
                </c:pt>
                <c:pt idx="6">
                  <c:v>6.59014535616504</c:v>
                </c:pt>
                <c:pt idx="7">
                  <c:v>5.80631045820408</c:v>
                </c:pt>
                <c:pt idx="8">
                  <c:v>5.11938980718769</c:v>
                </c:pt>
                <c:pt idx="9">
                  <c:v>6.03175032274055</c:v>
                </c:pt>
                <c:pt idx="10">
                  <c:v>6.83893807450457</c:v>
                </c:pt>
                <c:pt idx="11">
                  <c:v>3.31753325094919</c:v>
                </c:pt>
                <c:pt idx="12">
                  <c:v>5.353</c:v>
                </c:pt>
                <c:pt idx="13">
                  <c:v>3.58358273360801</c:v>
                </c:pt>
                <c:pt idx="14">
                  <c:v>5.84185078879531</c:v>
                </c:pt>
                <c:pt idx="15">
                  <c:v>5.58227370995903</c:v>
                </c:pt>
                <c:pt idx="16">
                  <c:v>5.27336586379976</c:v>
                </c:pt>
                <c:pt idx="17">
                  <c:v>5.79237074271186</c:v>
                </c:pt>
                <c:pt idx="18">
                  <c:v>5.77421186447029</c:v>
                </c:pt>
                <c:pt idx="19">
                  <c:v>3.759</c:v>
                </c:pt>
                <c:pt idx="20">
                  <c:v>3.82723363330297</c:v>
                </c:pt>
                <c:pt idx="21">
                  <c:v>3.38173532659838</c:v>
                </c:pt>
                <c:pt idx="22">
                  <c:v>4.06423229445056</c:v>
                </c:pt>
                <c:pt idx="23">
                  <c:v>4.068</c:v>
                </c:pt>
                <c:pt idx="24">
                  <c:v>4.26422062322593</c:v>
                </c:pt>
                <c:pt idx="25">
                  <c:v>4.73272257582149</c:v>
                </c:pt>
                <c:pt idx="26">
                  <c:v>4.23636264464384</c:v>
                </c:pt>
                <c:pt idx="27">
                  <c:v>5.62335690631752</c:v>
                </c:pt>
                <c:pt idx="28">
                  <c:v>3.77039180355445</c:v>
                </c:pt>
                <c:pt idx="29">
                  <c:v>3.67626162706405</c:v>
                </c:pt>
                <c:pt idx="30">
                  <c:v>4.89392447543087</c:v>
                </c:pt>
                <c:pt idx="31">
                  <c:v>3.93886597424302</c:v>
                </c:pt>
                <c:pt idx="32">
                  <c:v>2.44211701568211</c:v>
                </c:pt>
                <c:pt idx="33">
                  <c:v>2.3753992454842</c:v>
                </c:pt>
                <c:pt idx="34">
                  <c:v>3.33386331747889</c:v>
                </c:pt>
              </c:numCache>
            </c:numRef>
          </c:val>
        </c:ser>
        <c:dLbls>
          <c:showLegendKey val="0"/>
          <c:showVal val="1"/>
          <c:showCatName val="0"/>
          <c:showSerName val="0"/>
          <c:showPercent val="0"/>
          <c:showBubbleSize val="0"/>
        </c:dLbls>
        <c:gapWidth val="140"/>
        <c:overlap val="-40"/>
        <c:axId val="907000629"/>
        <c:axId val="881769867"/>
      </c:barChart>
      <c:catAx>
        <c:axId val="90700062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81769867"/>
        <c:crosses val="autoZero"/>
        <c:auto val="1"/>
        <c:lblAlgn val="ctr"/>
        <c:lblOffset val="100"/>
        <c:noMultiLvlLbl val="0"/>
      </c:catAx>
      <c:valAx>
        <c:axId val="881769867"/>
        <c:scaling>
          <c:orientation val="minMax"/>
        </c:scaling>
        <c:delete val="0"/>
        <c:axPos val="b"/>
        <c:majorGridlines>
          <c:spPr>
            <a:ln w="9525" cap="flat" cmpd="sng" algn="ctr">
              <a:solidFill>
                <a:schemeClr val="lt1">
                  <a:lumMod val="90200"/>
                </a:schemeClr>
              </a:solidFill>
              <a:round/>
            </a:ln>
            <a:effectLst/>
          </c:spPr>
        </c:majorGridlines>
        <c:title>
          <c:tx>
            <c:rich>
              <a:bodyPr rot="0" spcFirstLastPara="0" vertOverflow="ellipsis" vert="horz" wrap="square" anchor="ctr" anchorCtr="1"/>
              <a:lstStyle/>
              <a:p>
                <a:pPr defTabSz="914400">
                  <a:defRPr lang="zh-CN"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GB"/>
                  <a:t>Compound Annual Growth Rate(%)</a:t>
                </a:r>
                <a:endParaRPr lang="en-GB"/>
              </a:p>
            </c:rich>
          </c:tx>
          <c:layout>
            <c:manualLayout>
              <c:xMode val="edge"/>
              <c:yMode val="edge"/>
              <c:x val="0.388875332741792"/>
              <c:y val="0.936094856790884"/>
            </c:manualLayout>
          </c:layout>
          <c:overlay val="0"/>
          <c:spPr>
            <a:noFill/>
            <a:ln>
              <a:noFill/>
            </a:ln>
            <a:effectLst/>
          </c:spPr>
        </c:title>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07000629"/>
        <c:crosses val="autoZero"/>
        <c:crossBetween val="between"/>
      </c:valAx>
      <c:spPr>
        <a:noFill/>
        <a:ln>
          <a:noFill/>
        </a:ln>
        <a:effectLst/>
      </c:spPr>
    </c:plotArea>
    <c:plotVisOnly val="1"/>
    <c:dispBlanksAs val="gap"/>
    <c:showDLblsOverMax val="0"/>
    <c:extLst>
      <c:ext uri="{0b15fc19-7d7d-44ad-8c2d-2c3a37ce22c3}">
        <chartProps xmlns="https://web.wps.cn/et/2018/main" chartId="{189c005f-cb36-4575-b211-f0f651150373}"/>
      </c:ext>
    </c:extLst>
  </c:chart>
  <c:spPr>
    <a:solidFill>
      <a:schemeClr val="bg1"/>
    </a:solidFill>
    <a:ln w="9525" cap="flat" cmpd="sng" algn="ctr">
      <a:noFill/>
      <a:round/>
    </a:ln>
    <a:effectLst/>
  </c:spPr>
  <c:txPr>
    <a:bodyPr/>
    <a:lstStyle/>
    <a:p>
      <a:pPr>
        <a:defRPr lang="zh-CN" sz="80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2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alpha val="91000"/>
            </a:schemeClr>
          </a:gs>
          <a:gs pos="90000">
            <a:schemeClr val="phClr"/>
          </a:gs>
        </a:gsLst>
        <a:lin ang="10800000" scaled="0"/>
      </a:gradFill>
      <a:ln>
        <a:gradFill>
          <a:gsLst>
            <a:gs pos="0">
              <a:schemeClr val="phClr"/>
            </a:gs>
            <a:gs pos="100000">
              <a:schemeClr val="phClr">
                <a:lumMod val="75000"/>
              </a:schemeClr>
            </a:gs>
          </a:gsLst>
          <a:lin ang="10800000" scaled="0"/>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5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5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5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9934</Words>
  <Characters>56839</Characters>
  <Lines>0</Lines>
  <Paragraphs>0</Paragraphs>
  <TotalTime>43</TotalTime>
  <ScaleCrop>false</ScaleCrop>
  <LinksUpToDate>false</LinksUpToDate>
  <CharactersWithSpaces>66641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2025-05-25T12:13:00Z</dcterms:created>
  <dc:creator>chaijingmin</dc:creator>
  <cp:lastModifiedBy>柴菁敏</cp:lastModifiedBy>
  <dcterms:modified xsi:type="dcterms:W3CDTF">2026-06-24T16:14:13Z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B44CD3EB0AF34ED3ACB65497C3864F48_12</vt:lpwstr>
  </property>
  <property fmtid="{D5CDD505-2E9C-101B-9397-08002B2CF9AE}" pid="4" name="KSOTemplateDocerSaveRecord">
    <vt:lpwstr>eyJoZGlkIjoiZTNiMmJjMGUyMDNhMGI0MjllZTc4OTE3ODRjOTBjMWQiLCJ1c2VySWQiOiIxOTc0MDg0MjUifQ==</vt:lpwstr>
  </property>
</Properties>
</file>