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BD05F" w14:textId="3D025C8E" w:rsidR="00A364F4" w:rsidRPr="007227D8" w:rsidRDefault="00DB31C7" w:rsidP="00402991">
      <w:pPr>
        <w:spacing w:after="240"/>
        <w:jc w:val="center"/>
        <w:rPr>
          <w:rFonts w:cs="Times New Roman"/>
          <w:b/>
          <w:bCs/>
          <w:szCs w:val="24"/>
        </w:rPr>
      </w:pPr>
      <w:r w:rsidRPr="00A11FC0">
        <w:rPr>
          <w:rFonts w:cs="Times New Roman"/>
          <w:b/>
          <w:bCs/>
          <w:szCs w:val="24"/>
        </w:rPr>
        <w:t>KEY PERFORMANCE INDICATORS FOR BUILDING MAINTENANCE ASSESSMENT IN NIGERIA</w:t>
      </w:r>
      <w:r w:rsidR="007227D8">
        <w:rPr>
          <w:rFonts w:cs="Times New Roman"/>
          <w:b/>
          <w:bCs/>
          <w:szCs w:val="24"/>
        </w:rPr>
        <w:t>: A SYSTEMATIC REVIEW WITH A FOCUS ON LAGOS STATE</w:t>
      </w:r>
    </w:p>
    <w:p w14:paraId="07719690" w14:textId="77777777" w:rsidR="00402991" w:rsidRPr="00A11FC0" w:rsidRDefault="00402991" w:rsidP="00402991">
      <w:pPr>
        <w:spacing w:after="240"/>
        <w:jc w:val="center"/>
        <w:rPr>
          <w:rFonts w:cs="Times New Roman"/>
          <w:b/>
          <w:bCs/>
          <w:szCs w:val="24"/>
        </w:rPr>
      </w:pPr>
    </w:p>
    <w:p w14:paraId="5A258408" w14:textId="77777777" w:rsidR="00A364F4" w:rsidRPr="00A11FC0" w:rsidRDefault="00000000" w:rsidP="00402991">
      <w:pPr>
        <w:pStyle w:val="Heading1"/>
        <w:spacing w:after="240"/>
        <w:rPr>
          <w:rFonts w:cs="Times New Roman"/>
          <w:szCs w:val="24"/>
        </w:rPr>
      </w:pPr>
      <w:r w:rsidRPr="00A11FC0">
        <w:rPr>
          <w:rFonts w:cs="Times New Roman"/>
          <w:szCs w:val="24"/>
        </w:rPr>
        <w:t>Abstract</w:t>
      </w:r>
    </w:p>
    <w:p w14:paraId="6C471799" w14:textId="37C453C3" w:rsidR="00A364F4" w:rsidRPr="00A11FC0" w:rsidRDefault="00000000" w:rsidP="00402991">
      <w:pPr>
        <w:spacing w:after="240"/>
        <w:rPr>
          <w:rFonts w:cs="Times New Roman"/>
          <w:szCs w:val="24"/>
        </w:rPr>
      </w:pPr>
      <w:r w:rsidRPr="00A11FC0">
        <w:rPr>
          <w:rFonts w:cs="Times New Roman"/>
          <w:szCs w:val="24"/>
        </w:rPr>
        <w:t>Building maintenance in Nigeria is widely characterised as reactive and under-resourced, and Lagos State records the highest incidence of building failure in the country, which makes the assessment of maintenance performance a matter of life safety as well as asset economics. This review establishes which key performance indicators (KPIs) are available for assessing building maintenance and how they can be consolidated for the Lagos context. A systematic literature review was conducted and reported against the PRISMA 2020 statement. Recognised standards, peer-reviewed Nigerian studies, and current sectoral data published mainly between 2005 and 2026 were retrieved from Scopus, Web of Science, Google Scholar, institutional repositories, and standards bodies, screened against pre-specified criteria, and synthesised thematically. Twenty-one sources met the inclusion criteria. Three findings dominate. First, the international literature organises maintenance KPIs into technical, economic, and organisational families, anchored by reliability metrics such as mean time between failures and mean time to repair. Second, the Nigerian and Lagos evidence relies almost entirely on perception-based factor rankings, with absence of preventive maintenance ranked the most influential factor across independent studies (relative importance index = 0.84; relative severity index = 0.685). Third, quantitative reliability and cost indicators are effectively absent from the Nigerian record.</w:t>
      </w:r>
      <w:r w:rsidR="00A11FC0" w:rsidRPr="00A11FC0">
        <w:rPr>
          <w:rFonts w:cs="Times New Roman"/>
          <w:b/>
          <w:bCs/>
          <w:szCs w:val="24"/>
        </w:rPr>
        <w:t xml:space="preserve"> </w:t>
      </w:r>
      <w:r w:rsidR="00A11FC0" w:rsidRPr="00A11FC0">
        <w:rPr>
          <w:rFonts w:cs="Times New Roman"/>
          <w:szCs w:val="24"/>
        </w:rPr>
        <w:t>The review consolidates fragmented evidence into a proposed four-tier KPI framework (technical, economic, organisational, and service) adapted to Lagos building stock, and it identifies the measurement gaps that primary research must close.</w:t>
      </w:r>
    </w:p>
    <w:p w14:paraId="7E61299C" w14:textId="0F9E4C1F" w:rsidR="00A364F4" w:rsidRPr="00A11FC0" w:rsidRDefault="00000000" w:rsidP="00402991">
      <w:pPr>
        <w:spacing w:after="240"/>
        <w:rPr>
          <w:rFonts w:cs="Times New Roman"/>
          <w:szCs w:val="24"/>
        </w:rPr>
      </w:pPr>
      <w:r w:rsidRPr="00A11FC0">
        <w:rPr>
          <w:rFonts w:cs="Times New Roman"/>
          <w:b/>
          <w:bCs/>
          <w:szCs w:val="24"/>
        </w:rPr>
        <w:t>Keywords:</w:t>
      </w:r>
      <w:r w:rsidRPr="00A11FC0">
        <w:rPr>
          <w:rFonts w:cs="Times New Roman"/>
          <w:i/>
          <w:iCs/>
          <w:szCs w:val="24"/>
        </w:rPr>
        <w:t xml:space="preserve"> </w:t>
      </w:r>
      <w:r w:rsidR="00A11FC0" w:rsidRPr="00A11FC0">
        <w:rPr>
          <w:rFonts w:cs="Times New Roman"/>
          <w:szCs w:val="24"/>
        </w:rPr>
        <w:t>Building Maintenance</w:t>
      </w:r>
      <w:r w:rsidR="00A11FC0">
        <w:rPr>
          <w:rFonts w:cs="Times New Roman"/>
          <w:szCs w:val="24"/>
        </w:rPr>
        <w:t>,</w:t>
      </w:r>
      <w:r w:rsidR="00A11FC0" w:rsidRPr="00A11FC0">
        <w:rPr>
          <w:rFonts w:cs="Times New Roman"/>
          <w:szCs w:val="24"/>
        </w:rPr>
        <w:t xml:space="preserve"> Key Performance Indicators</w:t>
      </w:r>
      <w:r w:rsidR="00A11FC0">
        <w:rPr>
          <w:rFonts w:cs="Times New Roman"/>
          <w:szCs w:val="24"/>
        </w:rPr>
        <w:t>,</w:t>
      </w:r>
      <w:r w:rsidR="00A11FC0" w:rsidRPr="00A11FC0">
        <w:rPr>
          <w:rFonts w:cs="Times New Roman"/>
          <w:szCs w:val="24"/>
        </w:rPr>
        <w:t xml:space="preserve"> Facilities Management</w:t>
      </w:r>
      <w:r w:rsidR="00A11FC0">
        <w:rPr>
          <w:rFonts w:cs="Times New Roman"/>
          <w:szCs w:val="24"/>
        </w:rPr>
        <w:t>,</w:t>
      </w:r>
      <w:r w:rsidR="00A11FC0" w:rsidRPr="00A11FC0">
        <w:rPr>
          <w:rFonts w:cs="Times New Roman"/>
          <w:szCs w:val="24"/>
        </w:rPr>
        <w:t xml:space="preserve"> Maintenance Assessment</w:t>
      </w:r>
      <w:r w:rsidR="00A11FC0">
        <w:rPr>
          <w:rFonts w:cs="Times New Roman"/>
          <w:szCs w:val="24"/>
        </w:rPr>
        <w:t>,</w:t>
      </w:r>
      <w:r w:rsidR="00A11FC0" w:rsidRPr="00A11FC0">
        <w:rPr>
          <w:rFonts w:cs="Times New Roman"/>
          <w:szCs w:val="24"/>
        </w:rPr>
        <w:t xml:space="preserve"> </w:t>
      </w:r>
      <w:r w:rsidRPr="00A11FC0">
        <w:rPr>
          <w:rFonts w:cs="Times New Roman"/>
          <w:szCs w:val="24"/>
        </w:rPr>
        <w:t>Lagos State</w:t>
      </w:r>
      <w:r w:rsidR="00A11FC0" w:rsidRPr="00A11FC0">
        <w:rPr>
          <w:rFonts w:cs="Times New Roman"/>
          <w:szCs w:val="24"/>
        </w:rPr>
        <w:t xml:space="preserve"> </w:t>
      </w:r>
      <w:r w:rsidRPr="00A11FC0">
        <w:rPr>
          <w:rFonts w:cs="Times New Roman"/>
          <w:szCs w:val="24"/>
        </w:rPr>
        <w:t>Nigeria</w:t>
      </w:r>
      <w:r w:rsidR="00A11FC0">
        <w:rPr>
          <w:rFonts w:cs="Times New Roman"/>
          <w:szCs w:val="24"/>
        </w:rPr>
        <w:t>.</w:t>
      </w:r>
    </w:p>
    <w:p w14:paraId="5A6FD6DF" w14:textId="77777777" w:rsidR="00A11FC0" w:rsidRDefault="00A11FC0">
      <w:pPr>
        <w:jc w:val="left"/>
        <w:rPr>
          <w:rFonts w:cs="Times New Roman"/>
          <w:b/>
          <w:bCs/>
          <w:color w:val="000000"/>
          <w:szCs w:val="24"/>
        </w:rPr>
      </w:pPr>
      <w:r>
        <w:rPr>
          <w:rFonts w:cs="Times New Roman"/>
          <w:szCs w:val="24"/>
        </w:rPr>
        <w:br w:type="page"/>
      </w:r>
    </w:p>
    <w:p w14:paraId="70864E90" w14:textId="61D5B926" w:rsidR="00A364F4" w:rsidRPr="00A11FC0" w:rsidRDefault="006A0395" w:rsidP="00402991">
      <w:pPr>
        <w:pStyle w:val="Heading1"/>
        <w:spacing w:after="240"/>
        <w:rPr>
          <w:rFonts w:cs="Times New Roman"/>
          <w:szCs w:val="24"/>
        </w:rPr>
      </w:pPr>
      <w:r>
        <w:rPr>
          <w:rFonts w:cs="Times New Roman"/>
          <w:szCs w:val="24"/>
        </w:rPr>
        <w:lastRenderedPageBreak/>
        <w:t xml:space="preserve">1.0 </w:t>
      </w:r>
      <w:r w:rsidRPr="00A11FC0">
        <w:rPr>
          <w:rFonts w:cs="Times New Roman"/>
          <w:szCs w:val="24"/>
        </w:rPr>
        <w:t>Introduction</w:t>
      </w:r>
    </w:p>
    <w:p w14:paraId="6B80E51E" w14:textId="2830D38E" w:rsidR="00A364F4" w:rsidRPr="00A11FC0" w:rsidRDefault="00000000" w:rsidP="00A11FC0">
      <w:pPr>
        <w:spacing w:after="240" w:line="300" w:lineRule="auto"/>
        <w:rPr>
          <w:rFonts w:cs="Times New Roman"/>
          <w:szCs w:val="24"/>
        </w:rPr>
      </w:pPr>
      <w:r w:rsidRPr="00A11FC0">
        <w:rPr>
          <w:rFonts w:cs="Times New Roman"/>
          <w:szCs w:val="24"/>
        </w:rPr>
        <w:t xml:space="preserve">In Lagos State, the failure to maintain buildings has become a recurrent cause of death rather than </w:t>
      </w:r>
      <w:r w:rsidR="00A11FC0">
        <w:rPr>
          <w:rFonts w:cs="Times New Roman"/>
          <w:szCs w:val="24"/>
        </w:rPr>
        <w:t>just</w:t>
      </w:r>
      <w:r w:rsidRPr="00A11FC0">
        <w:rPr>
          <w:rFonts w:cs="Times New Roman"/>
          <w:szCs w:val="24"/>
        </w:rPr>
        <w:t xml:space="preserve"> a cause of depreciation. A peer-reviewed satellite study of the city recorded more than 200 casualties across 152 building failures since 2005 and linked many of these failures to a combination of differential ground subsidence, substandard materials, and weak maintenance of the affected structures (Ohenhen &amp; Shirzaei, 2022). Industry monitoring tells the same story in a different register: by early 2025, Lagos accounted for 351 of 635 documented building collapses nationally, roughly 55 percent, and led every recent annual tally, including 13 of the 47 collapses recorded across the country in 2024 (Daily Trust, 2025). When a building stock fails at this scale, the question of how its maintenance is assessed ceases to be an administrative detail and becomes a public-safety priority.</w:t>
      </w:r>
    </w:p>
    <w:p w14:paraId="4AE2A503" w14:textId="77777777" w:rsidR="00A364F4" w:rsidRPr="00A11FC0" w:rsidRDefault="00000000" w:rsidP="00A11FC0">
      <w:pPr>
        <w:spacing w:after="240" w:line="300" w:lineRule="auto"/>
        <w:rPr>
          <w:rFonts w:cs="Times New Roman"/>
          <w:szCs w:val="24"/>
        </w:rPr>
      </w:pPr>
      <w:r w:rsidRPr="00A11FC0">
        <w:rPr>
          <w:rFonts w:cs="Times New Roman"/>
          <w:szCs w:val="24"/>
        </w:rPr>
        <w:t>Internationally, maintenance management has moved from a corrective posture toward planned, preventive, and condition-based regimes, and the measurement of maintenance performance has been formalised in dedicated standards. BS EN 15341 classifies maintenance KPIs into economic, technical, and organisational groups and offers guidance for selecting indicators that appraise effectiveness, efficiency, and sustainability across physical assets, including civil buildings (British Standards Institution, 2022). Reliability engineering supplies the technical core of this measurement through indicators such as mean time between failures and mean time to repair, which together diagnose whether failures are infrequent and recovery is fast (Oxmaint, 2025). Facilities-management standards extend the same logic beyond engineering reliability to service quality and occupant satisfaction (International Organization for Standardization, 2018).</w:t>
      </w:r>
    </w:p>
    <w:p w14:paraId="73E13A54" w14:textId="7430C487" w:rsidR="00A364F4" w:rsidRPr="00A11FC0" w:rsidRDefault="00000000" w:rsidP="00A11FC0">
      <w:pPr>
        <w:spacing w:after="240" w:line="300" w:lineRule="auto"/>
        <w:rPr>
          <w:rFonts w:cs="Times New Roman"/>
          <w:szCs w:val="24"/>
        </w:rPr>
      </w:pPr>
      <w:r w:rsidRPr="00A11FC0">
        <w:rPr>
          <w:rFonts w:cs="Times New Roman"/>
          <w:szCs w:val="24"/>
        </w:rPr>
        <w:t>Nigerian scholarship, by contrast, has concentrated on the factors that impair maintenance rather than on the indicators that measure it. A strategic, preventive approach to public-building maintenance in Lagos was argued for early in the literature (Adenuga &amp; Iyagba, 2005). Subsequent studies ranked the factors affecting maintenance using relative importance and severity indices (Fateye et al., 2022; Waziri &amp; Vanduhe, 2013), assessed the operational state of particular building types such as public hospitals (Adenuga et al., 2007), examined tertiary-institution buildings (Aghimien et al., 2019; Osuya et al., 2023), and identified the critical success factors of maintenance projects (Abisuga et al., 2017). A complementary strand proposed value-based and alternative maintenance-management models for public institutions, drawing on comparative work in Malaysia (Lateef et al., 2010; Olanrewaju, 2010, 2012).</w:t>
      </w:r>
    </w:p>
    <w:p w14:paraId="2287AB58" w14:textId="77777777" w:rsidR="00A364F4" w:rsidRPr="00A11FC0" w:rsidRDefault="00000000" w:rsidP="00A11FC0">
      <w:pPr>
        <w:spacing w:after="240" w:line="300" w:lineRule="auto"/>
        <w:rPr>
          <w:rFonts w:cs="Times New Roman"/>
          <w:szCs w:val="24"/>
        </w:rPr>
      </w:pPr>
      <w:r w:rsidRPr="00A11FC0">
        <w:rPr>
          <w:rFonts w:cs="Times New Roman"/>
          <w:szCs w:val="24"/>
        </w:rPr>
        <w:t xml:space="preserve">Three gaps persist across this body of work. The first is a synthesis gap: the factors that degrade maintenance have been catalogued repeatedly, yet they have not been consolidated into a coherent set of indicators that can be used to assess performance. The second is a methodological gap: the Nigerian record is dominated by cross-sectional perception surveys, which leaves quantitative </w:t>
      </w:r>
      <w:r w:rsidRPr="00A11FC0">
        <w:rPr>
          <w:rFonts w:cs="Times New Roman"/>
          <w:szCs w:val="24"/>
        </w:rPr>
        <w:lastRenderedPageBreak/>
        <w:t>reliability and cost indicators almost entirely unmeasured. The third is a contextual gap: although Lagos is the national epicentre of building failure, no validated KPI instrument exists for assessing maintenance performance in its building stock.</w:t>
      </w:r>
    </w:p>
    <w:p w14:paraId="49C50824" w14:textId="77777777" w:rsidR="00A364F4" w:rsidRDefault="00000000" w:rsidP="00A11FC0">
      <w:pPr>
        <w:spacing w:after="240" w:line="300" w:lineRule="auto"/>
        <w:rPr>
          <w:rFonts w:cs="Times New Roman"/>
          <w:szCs w:val="24"/>
        </w:rPr>
      </w:pPr>
      <w:r w:rsidRPr="00A11FC0">
        <w:rPr>
          <w:rFonts w:cs="Times New Roman"/>
          <w:szCs w:val="24"/>
        </w:rPr>
        <w:t>The present review addresses these gaps. Adopting a systematic review design reported against PRISMA 2020 (Page et al., 2021), it pursues three questions: which KPIs and assessment criteria are established in the international standards and methodological literature (RQ1); which factors, indicators, and condition outcomes the Nigerian and Lagos empirical literature uses to assess building maintenance (RQ2); and how these can be consolidated into a coherent KPI framework suited to Lagos, together with the gaps that remain (RQ3). The method is set out next, followed by the synthesis and a proposed four-tier KPI framework, before the implications for practice and research are discussed.</w:t>
      </w:r>
    </w:p>
    <w:p w14:paraId="581FE14A" w14:textId="77777777" w:rsidR="00A11FC0" w:rsidRPr="00A11FC0" w:rsidRDefault="00A11FC0" w:rsidP="00A11FC0">
      <w:pPr>
        <w:spacing w:after="240" w:line="300" w:lineRule="auto"/>
        <w:rPr>
          <w:rFonts w:cs="Times New Roman"/>
          <w:szCs w:val="24"/>
        </w:rPr>
      </w:pPr>
    </w:p>
    <w:p w14:paraId="02437097" w14:textId="77777777" w:rsidR="004E5E4D" w:rsidRDefault="004E5E4D">
      <w:pPr>
        <w:jc w:val="left"/>
        <w:rPr>
          <w:rFonts w:cs="Times New Roman"/>
          <w:b/>
          <w:bCs/>
          <w:color w:val="000000"/>
          <w:szCs w:val="24"/>
        </w:rPr>
      </w:pPr>
      <w:r>
        <w:rPr>
          <w:rFonts w:cs="Times New Roman"/>
          <w:szCs w:val="24"/>
        </w:rPr>
        <w:br w:type="page"/>
      </w:r>
    </w:p>
    <w:p w14:paraId="26D61742" w14:textId="28EA254C" w:rsidR="00A364F4" w:rsidRPr="00A11FC0" w:rsidRDefault="006A0395" w:rsidP="00402991">
      <w:pPr>
        <w:pStyle w:val="Heading1"/>
        <w:spacing w:after="240"/>
        <w:rPr>
          <w:rFonts w:cs="Times New Roman"/>
          <w:szCs w:val="24"/>
        </w:rPr>
      </w:pPr>
      <w:r>
        <w:rPr>
          <w:rFonts w:cs="Times New Roman"/>
          <w:szCs w:val="24"/>
        </w:rPr>
        <w:lastRenderedPageBreak/>
        <w:t xml:space="preserve">2.0 </w:t>
      </w:r>
      <w:r w:rsidRPr="00A11FC0">
        <w:rPr>
          <w:rFonts w:cs="Times New Roman"/>
          <w:szCs w:val="24"/>
        </w:rPr>
        <w:t>Method</w:t>
      </w:r>
    </w:p>
    <w:p w14:paraId="7E471212" w14:textId="30414F2F" w:rsidR="00A364F4" w:rsidRPr="00A11FC0" w:rsidRDefault="006A0395" w:rsidP="00402991">
      <w:pPr>
        <w:pStyle w:val="Heading2"/>
        <w:spacing w:after="240"/>
        <w:rPr>
          <w:rFonts w:cs="Times New Roman"/>
        </w:rPr>
      </w:pPr>
      <w:r>
        <w:rPr>
          <w:rFonts w:cs="Times New Roman"/>
        </w:rPr>
        <w:t xml:space="preserve">2.1 </w:t>
      </w:r>
      <w:r w:rsidRPr="00A11FC0">
        <w:rPr>
          <w:rFonts w:cs="Times New Roman"/>
        </w:rPr>
        <w:t xml:space="preserve">Protocol and </w:t>
      </w:r>
      <w:r w:rsidR="00A11FC0" w:rsidRPr="00A11FC0">
        <w:rPr>
          <w:rFonts w:cs="Times New Roman"/>
        </w:rPr>
        <w:t>Review Type</w:t>
      </w:r>
    </w:p>
    <w:p w14:paraId="078D273E" w14:textId="0A5AC3CF" w:rsidR="00A364F4" w:rsidRPr="00A11FC0" w:rsidRDefault="00000000" w:rsidP="00A11FC0">
      <w:pPr>
        <w:spacing w:after="240" w:line="300" w:lineRule="auto"/>
        <w:rPr>
          <w:rFonts w:cs="Times New Roman"/>
          <w:szCs w:val="24"/>
        </w:rPr>
      </w:pPr>
      <w:r w:rsidRPr="00A11FC0">
        <w:rPr>
          <w:rFonts w:cs="Times New Roman"/>
          <w:szCs w:val="24"/>
        </w:rPr>
        <w:t xml:space="preserve">This review was not registered in a public protocol registry; its conduct nonetheless followed the principles of the PRISMA 2020 statement for systematic reviews, and the search and selection are reported in full to permit replication (Page et al., 2021). </w:t>
      </w:r>
      <w:r w:rsidR="006A0395">
        <w:rPr>
          <w:rFonts w:cs="Times New Roman"/>
          <w:szCs w:val="24"/>
        </w:rPr>
        <w:t>Due to the fact that</w:t>
      </w:r>
      <w:r w:rsidRPr="00A11FC0">
        <w:rPr>
          <w:rFonts w:cs="Times New Roman"/>
          <w:szCs w:val="24"/>
        </w:rPr>
        <w:t xml:space="preserve"> the governing question is broad and the literature is heterogeneous, the question was framed with the Population, Concept, Context (PCC) device rather than the narrower PICO frame. The population comprised public, institutional, and commercial buildings together with the organisations that maintain them; the concept was key performance indicators for maintenance assessment; and the context was Lagos State within Nigeria.</w:t>
      </w:r>
    </w:p>
    <w:p w14:paraId="4D271BD0" w14:textId="568714C8" w:rsidR="00A364F4" w:rsidRPr="00A11FC0" w:rsidRDefault="006A0395" w:rsidP="00402991">
      <w:pPr>
        <w:pStyle w:val="Heading2"/>
        <w:spacing w:after="240"/>
        <w:rPr>
          <w:rFonts w:cs="Times New Roman"/>
        </w:rPr>
      </w:pPr>
      <w:r>
        <w:rPr>
          <w:rFonts w:cs="Times New Roman"/>
        </w:rPr>
        <w:t xml:space="preserve">2.2 </w:t>
      </w:r>
      <w:r w:rsidRPr="00A11FC0">
        <w:rPr>
          <w:rFonts w:cs="Times New Roman"/>
        </w:rPr>
        <w:t xml:space="preserve">Search </w:t>
      </w:r>
      <w:r w:rsidR="00A11FC0" w:rsidRPr="00A11FC0">
        <w:rPr>
          <w:rFonts w:cs="Times New Roman"/>
        </w:rPr>
        <w:t>Strategy</w:t>
      </w:r>
    </w:p>
    <w:p w14:paraId="7062CD6E" w14:textId="77777777" w:rsidR="00A364F4" w:rsidRPr="00A11FC0" w:rsidRDefault="00000000" w:rsidP="00A11FC0">
      <w:pPr>
        <w:spacing w:after="240" w:line="300" w:lineRule="auto"/>
        <w:rPr>
          <w:rFonts w:cs="Times New Roman"/>
          <w:szCs w:val="24"/>
        </w:rPr>
      </w:pPr>
      <w:r w:rsidRPr="00A11FC0">
        <w:rPr>
          <w:rFonts w:cs="Times New Roman"/>
          <w:szCs w:val="24"/>
        </w:rPr>
        <w:t xml:space="preserve">Literature was identified through structured searching of Scopus, Web of Science, and Google Scholar for breadth, supplemented by the repositories and journal platforms that host Nigerian construction-management scholarship, including ResearchGate, the University of Lagos institutional repository, and the Journal of Construction Business and Management. Current figures on building failure were drawn from recognised standards bodies and documented sectoral reports, because this category of data is rarely captured in the peer-reviewed corpus. Search strings combined three concept blocks with the Boolean operator AND, linked synonyms within each block using OR, and applied truncation to capture morphological variants. The blocks covered maintenance terms, performance and assessment terms, and context terms. The full strings appear in </w:t>
      </w:r>
      <w:r w:rsidRPr="00A11FC0">
        <w:rPr>
          <w:rFonts w:cs="Times New Roman"/>
          <w:i/>
          <w:iCs/>
          <w:szCs w:val="24"/>
        </w:rPr>
        <w:t>Appendix A</w:t>
      </w:r>
      <w:r w:rsidRPr="00A11FC0">
        <w:rPr>
          <w:rFonts w:cs="Times New Roman"/>
          <w:szCs w:val="24"/>
        </w:rPr>
        <w:t>.</w:t>
      </w:r>
    </w:p>
    <w:p w14:paraId="196FF11F" w14:textId="60FD2FB0" w:rsidR="00A364F4" w:rsidRPr="00A11FC0" w:rsidRDefault="006A0395" w:rsidP="00402991">
      <w:pPr>
        <w:pStyle w:val="Heading2"/>
        <w:spacing w:after="240"/>
        <w:rPr>
          <w:rFonts w:cs="Times New Roman"/>
        </w:rPr>
      </w:pPr>
      <w:r>
        <w:rPr>
          <w:rFonts w:cs="Times New Roman"/>
        </w:rPr>
        <w:t xml:space="preserve">2.3 </w:t>
      </w:r>
      <w:r w:rsidRPr="00A11FC0">
        <w:rPr>
          <w:rFonts w:cs="Times New Roman"/>
        </w:rPr>
        <w:t xml:space="preserve">Eligibility </w:t>
      </w:r>
      <w:r w:rsidR="00A11FC0">
        <w:rPr>
          <w:rFonts w:cs="Times New Roman"/>
        </w:rPr>
        <w:t>C</w:t>
      </w:r>
      <w:r w:rsidRPr="00A11FC0">
        <w:rPr>
          <w:rFonts w:cs="Times New Roman"/>
        </w:rPr>
        <w:t>riteria</w:t>
      </w:r>
    </w:p>
    <w:p w14:paraId="7681E4FC" w14:textId="77777777" w:rsidR="00A364F4" w:rsidRPr="00A11FC0" w:rsidRDefault="00000000" w:rsidP="00A11FC0">
      <w:pPr>
        <w:spacing w:after="240" w:line="300" w:lineRule="auto"/>
        <w:rPr>
          <w:rFonts w:cs="Times New Roman"/>
          <w:szCs w:val="24"/>
        </w:rPr>
      </w:pPr>
      <w:r w:rsidRPr="00A11FC0">
        <w:rPr>
          <w:rFonts w:cs="Times New Roman"/>
          <w:szCs w:val="24"/>
        </w:rPr>
        <w:t xml:space="preserve">Sources were included when they addressed building maintenance performance, factors, or condition within Nigeria, or when they supplied the standards and comparator evidence needed to construct the conceptual framework. </w:t>
      </w:r>
      <w:r w:rsidRPr="007227D8">
        <w:rPr>
          <w:rFonts w:cs="Times New Roman"/>
          <w:i/>
          <w:iCs/>
          <w:szCs w:val="24"/>
        </w:rPr>
        <w:t>Table 1</w:t>
      </w:r>
      <w:r w:rsidRPr="00A11FC0">
        <w:rPr>
          <w:rFonts w:cs="Times New Roman"/>
          <w:szCs w:val="24"/>
        </w:rPr>
        <w:t xml:space="preserve"> sets out the criteria and the justification for each.</w:t>
      </w:r>
    </w:p>
    <w:p w14:paraId="53861F85" w14:textId="77777777" w:rsidR="004E5E4D" w:rsidRDefault="004E5E4D">
      <w:pPr>
        <w:jc w:val="left"/>
        <w:rPr>
          <w:rFonts w:cs="Times New Roman"/>
          <w:b/>
          <w:bCs/>
          <w:szCs w:val="24"/>
        </w:rPr>
      </w:pPr>
      <w:r>
        <w:rPr>
          <w:rFonts w:cs="Times New Roman"/>
          <w:b/>
          <w:bCs/>
          <w:szCs w:val="24"/>
        </w:rPr>
        <w:br w:type="page"/>
      </w:r>
    </w:p>
    <w:p w14:paraId="12B1545D" w14:textId="7042F38B" w:rsidR="00A364F4" w:rsidRPr="00A11FC0" w:rsidRDefault="00000000" w:rsidP="00A11FC0">
      <w:pPr>
        <w:spacing w:before="220" w:after="240"/>
        <w:rPr>
          <w:rFonts w:cs="Times New Roman"/>
          <w:szCs w:val="24"/>
        </w:rPr>
      </w:pPr>
      <w:r w:rsidRPr="00A11FC0">
        <w:rPr>
          <w:rFonts w:cs="Times New Roman"/>
          <w:b/>
          <w:bCs/>
          <w:szCs w:val="24"/>
        </w:rPr>
        <w:lastRenderedPageBreak/>
        <w:t>Table 1</w:t>
      </w:r>
      <w:r w:rsidR="00A11FC0" w:rsidRPr="00A11FC0">
        <w:rPr>
          <w:rFonts w:cs="Times New Roman"/>
          <w:szCs w:val="24"/>
        </w:rPr>
        <w:t xml:space="preserve">: </w:t>
      </w:r>
      <w:r w:rsidRPr="00A11FC0">
        <w:rPr>
          <w:rFonts w:cs="Times New Roman"/>
          <w:szCs w:val="24"/>
        </w:rPr>
        <w:t xml:space="preserve">Inclusion and </w:t>
      </w:r>
      <w:r w:rsidR="00A11FC0" w:rsidRPr="00A11FC0">
        <w:rPr>
          <w:rFonts w:cs="Times New Roman"/>
          <w:szCs w:val="24"/>
        </w:rPr>
        <w:t>Exclusion Criteria</w:t>
      </w:r>
      <w:r w:rsidRPr="00A11FC0">
        <w:rPr>
          <w:rFonts w:cs="Times New Roman"/>
          <w:szCs w:val="24"/>
        </w:rPr>
        <w:t xml:space="preserve"> for the </w:t>
      </w:r>
      <w:r w:rsidR="00A11FC0" w:rsidRPr="00A11FC0">
        <w:rPr>
          <w:rFonts w:cs="Times New Roman"/>
          <w:szCs w:val="24"/>
        </w:rPr>
        <w:t>Review</w:t>
      </w:r>
    </w:p>
    <w:tbl>
      <w:tblPr>
        <w:tblStyle w:val="TableGrid"/>
        <w:tblW w:w="9360" w:type="dxa"/>
        <w:tblLook w:val="0000" w:firstRow="0" w:lastRow="0" w:firstColumn="0" w:lastColumn="0" w:noHBand="0" w:noVBand="0"/>
      </w:tblPr>
      <w:tblGrid>
        <w:gridCol w:w="1885"/>
        <w:gridCol w:w="3420"/>
        <w:gridCol w:w="4055"/>
      </w:tblGrid>
      <w:tr w:rsidR="00A364F4" w:rsidRPr="00A11FC0" w14:paraId="74D9D65C" w14:textId="77777777" w:rsidTr="00A11FC0">
        <w:tc>
          <w:tcPr>
            <w:tcW w:w="1885" w:type="dxa"/>
          </w:tcPr>
          <w:p w14:paraId="37FE3E57" w14:textId="77777777" w:rsidR="00A364F4" w:rsidRPr="00A11FC0" w:rsidRDefault="00000000" w:rsidP="00402991">
            <w:pPr>
              <w:spacing w:after="240"/>
              <w:rPr>
                <w:rFonts w:cs="Times New Roman"/>
                <w:szCs w:val="24"/>
              </w:rPr>
            </w:pPr>
            <w:r w:rsidRPr="00A11FC0">
              <w:rPr>
                <w:rFonts w:cs="Times New Roman"/>
                <w:b/>
                <w:bCs/>
                <w:szCs w:val="24"/>
              </w:rPr>
              <w:t>Criterion</w:t>
            </w:r>
          </w:p>
        </w:tc>
        <w:tc>
          <w:tcPr>
            <w:tcW w:w="3420" w:type="dxa"/>
          </w:tcPr>
          <w:p w14:paraId="2FAA5F2E" w14:textId="77777777" w:rsidR="00A364F4" w:rsidRPr="00A11FC0" w:rsidRDefault="00000000" w:rsidP="00A11FC0">
            <w:pPr>
              <w:spacing w:after="240"/>
              <w:jc w:val="center"/>
              <w:rPr>
                <w:rFonts w:cs="Times New Roman"/>
                <w:szCs w:val="24"/>
              </w:rPr>
            </w:pPr>
            <w:r w:rsidRPr="00A11FC0">
              <w:rPr>
                <w:rFonts w:cs="Times New Roman"/>
                <w:b/>
                <w:bCs/>
                <w:szCs w:val="24"/>
              </w:rPr>
              <w:t>Specification</w:t>
            </w:r>
          </w:p>
        </w:tc>
        <w:tc>
          <w:tcPr>
            <w:tcW w:w="4055" w:type="dxa"/>
          </w:tcPr>
          <w:p w14:paraId="36123DCE" w14:textId="77777777" w:rsidR="00A364F4" w:rsidRPr="00A11FC0" w:rsidRDefault="00000000" w:rsidP="00A11FC0">
            <w:pPr>
              <w:spacing w:after="240"/>
              <w:jc w:val="center"/>
              <w:rPr>
                <w:rFonts w:cs="Times New Roman"/>
                <w:szCs w:val="24"/>
              </w:rPr>
            </w:pPr>
            <w:r w:rsidRPr="00A11FC0">
              <w:rPr>
                <w:rFonts w:cs="Times New Roman"/>
                <w:b/>
                <w:bCs/>
                <w:szCs w:val="24"/>
              </w:rPr>
              <w:t>Justification</w:t>
            </w:r>
          </w:p>
        </w:tc>
      </w:tr>
      <w:tr w:rsidR="00A364F4" w:rsidRPr="00A11FC0" w14:paraId="7989891B" w14:textId="77777777" w:rsidTr="00A11FC0">
        <w:tc>
          <w:tcPr>
            <w:tcW w:w="1885" w:type="dxa"/>
          </w:tcPr>
          <w:p w14:paraId="64016F0C" w14:textId="77777777" w:rsidR="00A364F4" w:rsidRPr="00A11FC0" w:rsidRDefault="00000000" w:rsidP="00402991">
            <w:pPr>
              <w:spacing w:after="240"/>
              <w:rPr>
                <w:rFonts w:cs="Times New Roman"/>
                <w:szCs w:val="24"/>
              </w:rPr>
            </w:pPr>
            <w:r w:rsidRPr="00A11FC0">
              <w:rPr>
                <w:rFonts w:cs="Times New Roman"/>
                <w:szCs w:val="24"/>
              </w:rPr>
              <w:t>Timeframe</w:t>
            </w:r>
          </w:p>
        </w:tc>
        <w:tc>
          <w:tcPr>
            <w:tcW w:w="3420" w:type="dxa"/>
          </w:tcPr>
          <w:p w14:paraId="260E014B" w14:textId="11A07E7D" w:rsidR="00A364F4" w:rsidRPr="00C6037F" w:rsidRDefault="00000000" w:rsidP="00402991">
            <w:pPr>
              <w:spacing w:after="240"/>
              <w:rPr>
                <w:rFonts w:cs="Times New Roman"/>
                <w:szCs w:val="24"/>
              </w:rPr>
            </w:pPr>
            <w:r w:rsidRPr="00A11FC0">
              <w:rPr>
                <w:rFonts w:cs="Times New Roman"/>
                <w:szCs w:val="24"/>
              </w:rPr>
              <w:t>January 2000 to June 2026</w:t>
            </w:r>
            <w:r w:rsidR="00C6037F">
              <w:rPr>
                <w:rFonts w:cs="Times New Roman"/>
                <w:szCs w:val="24"/>
              </w:rPr>
              <w:t xml:space="preserve"> (</w:t>
            </w:r>
            <w:r w:rsidR="00C6037F" w:rsidRPr="00C6037F">
              <w:rPr>
                <w:rFonts w:cs="Times New Roman"/>
                <w:szCs w:val="24"/>
              </w:rPr>
              <w:t>with earlier foundational works permitted</w:t>
            </w:r>
            <w:r w:rsidR="00C6037F">
              <w:rPr>
                <w:rFonts w:cs="Times New Roman"/>
                <w:szCs w:val="24"/>
              </w:rPr>
              <w:t>)</w:t>
            </w:r>
          </w:p>
        </w:tc>
        <w:tc>
          <w:tcPr>
            <w:tcW w:w="4055" w:type="dxa"/>
          </w:tcPr>
          <w:p w14:paraId="02545D3C" w14:textId="77777777" w:rsidR="00A364F4" w:rsidRPr="00A11FC0" w:rsidRDefault="00000000" w:rsidP="00402991">
            <w:pPr>
              <w:spacing w:after="240"/>
              <w:rPr>
                <w:rFonts w:cs="Times New Roman"/>
                <w:szCs w:val="24"/>
              </w:rPr>
            </w:pPr>
            <w:r w:rsidRPr="00A11FC0">
              <w:rPr>
                <w:rFonts w:cs="Times New Roman"/>
                <w:szCs w:val="24"/>
              </w:rPr>
              <w:t>Captures the period in which formal maintenance-performance measurement and Nigerian maintenance scholarship matured; earlier foundational theses admitted through citation chaining</w:t>
            </w:r>
          </w:p>
        </w:tc>
      </w:tr>
      <w:tr w:rsidR="00A364F4" w:rsidRPr="00A11FC0" w14:paraId="72A1453B" w14:textId="77777777" w:rsidTr="00A11FC0">
        <w:tc>
          <w:tcPr>
            <w:tcW w:w="1885" w:type="dxa"/>
          </w:tcPr>
          <w:p w14:paraId="2C5DC780" w14:textId="77777777" w:rsidR="00A364F4" w:rsidRPr="00A11FC0" w:rsidRDefault="00000000" w:rsidP="00402991">
            <w:pPr>
              <w:spacing w:after="240"/>
              <w:rPr>
                <w:rFonts w:cs="Times New Roman"/>
                <w:szCs w:val="24"/>
              </w:rPr>
            </w:pPr>
            <w:r w:rsidRPr="00A11FC0">
              <w:rPr>
                <w:rFonts w:cs="Times New Roman"/>
                <w:szCs w:val="24"/>
              </w:rPr>
              <w:t>Document type</w:t>
            </w:r>
          </w:p>
        </w:tc>
        <w:tc>
          <w:tcPr>
            <w:tcW w:w="3420" w:type="dxa"/>
          </w:tcPr>
          <w:p w14:paraId="24BB3944" w14:textId="77777777" w:rsidR="00A364F4" w:rsidRPr="00A11FC0" w:rsidRDefault="00000000" w:rsidP="00402991">
            <w:pPr>
              <w:spacing w:after="240"/>
              <w:rPr>
                <w:rFonts w:cs="Times New Roman"/>
                <w:szCs w:val="24"/>
              </w:rPr>
            </w:pPr>
            <w:r w:rsidRPr="00A11FC0">
              <w:rPr>
                <w:rFonts w:cs="Times New Roman"/>
                <w:szCs w:val="24"/>
              </w:rPr>
              <w:t>Peer-reviewed articles, recognised standards, doctoral theses, and substantiated sectoral reports</w:t>
            </w:r>
          </w:p>
        </w:tc>
        <w:tc>
          <w:tcPr>
            <w:tcW w:w="4055" w:type="dxa"/>
          </w:tcPr>
          <w:p w14:paraId="3D90AF48" w14:textId="77777777" w:rsidR="00A364F4" w:rsidRPr="00A11FC0" w:rsidRDefault="00000000" w:rsidP="00402991">
            <w:pPr>
              <w:spacing w:after="240"/>
              <w:rPr>
                <w:rFonts w:cs="Times New Roman"/>
                <w:szCs w:val="24"/>
              </w:rPr>
            </w:pPr>
            <w:r w:rsidRPr="00A11FC0">
              <w:rPr>
                <w:rFonts w:cs="Times New Roman"/>
                <w:szCs w:val="24"/>
              </w:rPr>
              <w:t>Balances methodological rigour with the need for current failure data not found in journals; editorials and opinion pieces excluded</w:t>
            </w:r>
          </w:p>
        </w:tc>
      </w:tr>
      <w:tr w:rsidR="00A364F4" w:rsidRPr="00A11FC0" w14:paraId="45D2A5FE" w14:textId="77777777" w:rsidTr="00A11FC0">
        <w:tc>
          <w:tcPr>
            <w:tcW w:w="1885" w:type="dxa"/>
          </w:tcPr>
          <w:p w14:paraId="2FE9CDBD" w14:textId="77777777" w:rsidR="00A364F4" w:rsidRPr="00A11FC0" w:rsidRDefault="00000000" w:rsidP="00402991">
            <w:pPr>
              <w:spacing w:after="240"/>
              <w:rPr>
                <w:rFonts w:cs="Times New Roman"/>
                <w:szCs w:val="24"/>
              </w:rPr>
            </w:pPr>
            <w:r w:rsidRPr="00A11FC0">
              <w:rPr>
                <w:rFonts w:cs="Times New Roman"/>
                <w:szCs w:val="24"/>
              </w:rPr>
              <w:t>Language</w:t>
            </w:r>
          </w:p>
        </w:tc>
        <w:tc>
          <w:tcPr>
            <w:tcW w:w="3420" w:type="dxa"/>
          </w:tcPr>
          <w:p w14:paraId="37869551" w14:textId="77777777" w:rsidR="00A364F4" w:rsidRPr="00A11FC0" w:rsidRDefault="00000000" w:rsidP="00402991">
            <w:pPr>
              <w:spacing w:after="240"/>
              <w:rPr>
                <w:rFonts w:cs="Times New Roman"/>
                <w:szCs w:val="24"/>
              </w:rPr>
            </w:pPr>
            <w:r w:rsidRPr="00A11FC0">
              <w:rPr>
                <w:rFonts w:cs="Times New Roman"/>
                <w:szCs w:val="24"/>
              </w:rPr>
              <w:t>English</w:t>
            </w:r>
          </w:p>
        </w:tc>
        <w:tc>
          <w:tcPr>
            <w:tcW w:w="4055" w:type="dxa"/>
          </w:tcPr>
          <w:p w14:paraId="411B0D1B" w14:textId="77777777" w:rsidR="00A364F4" w:rsidRPr="00A11FC0" w:rsidRDefault="00000000" w:rsidP="00402991">
            <w:pPr>
              <w:spacing w:after="240"/>
              <w:rPr>
                <w:rFonts w:cs="Times New Roman"/>
                <w:szCs w:val="24"/>
              </w:rPr>
            </w:pPr>
            <w:r w:rsidRPr="00A11FC0">
              <w:rPr>
                <w:rFonts w:cs="Times New Roman"/>
                <w:szCs w:val="24"/>
              </w:rPr>
              <w:t>Reflects the language of Nigerian academic and policy publishing; acknowledged as a limitation</w:t>
            </w:r>
          </w:p>
        </w:tc>
      </w:tr>
      <w:tr w:rsidR="00A364F4" w:rsidRPr="00A11FC0" w14:paraId="206F1089" w14:textId="77777777" w:rsidTr="00A11FC0">
        <w:tc>
          <w:tcPr>
            <w:tcW w:w="1885" w:type="dxa"/>
          </w:tcPr>
          <w:p w14:paraId="3D36CB4E" w14:textId="77777777" w:rsidR="00A364F4" w:rsidRPr="00A11FC0" w:rsidRDefault="00000000" w:rsidP="00402991">
            <w:pPr>
              <w:spacing w:after="240"/>
              <w:rPr>
                <w:rFonts w:cs="Times New Roman"/>
                <w:szCs w:val="24"/>
              </w:rPr>
            </w:pPr>
            <w:r w:rsidRPr="00A11FC0">
              <w:rPr>
                <w:rFonts w:cs="Times New Roman"/>
                <w:szCs w:val="24"/>
              </w:rPr>
              <w:t>Population, Concept, Context</w:t>
            </w:r>
          </w:p>
        </w:tc>
        <w:tc>
          <w:tcPr>
            <w:tcW w:w="3420" w:type="dxa"/>
          </w:tcPr>
          <w:p w14:paraId="7A22347E" w14:textId="77777777" w:rsidR="00A364F4" w:rsidRPr="00A11FC0" w:rsidRDefault="00000000" w:rsidP="00402991">
            <w:pPr>
              <w:spacing w:after="240"/>
              <w:rPr>
                <w:rFonts w:cs="Times New Roman"/>
                <w:szCs w:val="24"/>
              </w:rPr>
            </w:pPr>
            <w:r w:rsidRPr="00A11FC0">
              <w:rPr>
                <w:rFonts w:cs="Times New Roman"/>
                <w:szCs w:val="24"/>
              </w:rPr>
              <w:t>Buildings and maintenance organisations; maintenance KPIs, factors, or condition; Nigeria, with emphasis on Lagos</w:t>
            </w:r>
          </w:p>
        </w:tc>
        <w:tc>
          <w:tcPr>
            <w:tcW w:w="4055" w:type="dxa"/>
          </w:tcPr>
          <w:p w14:paraId="0D44B8B8" w14:textId="77777777" w:rsidR="00A364F4" w:rsidRPr="00A11FC0" w:rsidRDefault="00000000" w:rsidP="00402991">
            <w:pPr>
              <w:spacing w:after="240"/>
              <w:rPr>
                <w:rFonts w:cs="Times New Roman"/>
                <w:szCs w:val="24"/>
              </w:rPr>
            </w:pPr>
            <w:r w:rsidRPr="00A11FC0">
              <w:rPr>
                <w:rFonts w:cs="Times New Roman"/>
                <w:szCs w:val="24"/>
              </w:rPr>
              <w:t>Keeps screening decisions consistent and auditable against the PCC frame</w:t>
            </w:r>
          </w:p>
        </w:tc>
      </w:tr>
      <w:tr w:rsidR="00A364F4" w:rsidRPr="00A11FC0" w14:paraId="2FE441C0" w14:textId="77777777" w:rsidTr="00A11FC0">
        <w:tc>
          <w:tcPr>
            <w:tcW w:w="1885" w:type="dxa"/>
          </w:tcPr>
          <w:p w14:paraId="5FDA1941" w14:textId="77777777" w:rsidR="00A364F4" w:rsidRPr="00A11FC0" w:rsidRDefault="00000000" w:rsidP="00402991">
            <w:pPr>
              <w:spacing w:after="240"/>
              <w:rPr>
                <w:rFonts w:cs="Times New Roman"/>
                <w:szCs w:val="24"/>
              </w:rPr>
            </w:pPr>
            <w:r w:rsidRPr="00A11FC0">
              <w:rPr>
                <w:rFonts w:cs="Times New Roman"/>
                <w:szCs w:val="24"/>
              </w:rPr>
              <w:t>Relevance</w:t>
            </w:r>
          </w:p>
        </w:tc>
        <w:tc>
          <w:tcPr>
            <w:tcW w:w="3420" w:type="dxa"/>
          </w:tcPr>
          <w:p w14:paraId="4D07C960" w14:textId="77777777" w:rsidR="00A364F4" w:rsidRPr="00A11FC0" w:rsidRDefault="00000000" w:rsidP="00402991">
            <w:pPr>
              <w:spacing w:after="240"/>
              <w:rPr>
                <w:rFonts w:cs="Times New Roman"/>
                <w:szCs w:val="24"/>
              </w:rPr>
            </w:pPr>
            <w:r w:rsidRPr="00A11FC0">
              <w:rPr>
                <w:rFonts w:cs="Times New Roman"/>
                <w:szCs w:val="24"/>
              </w:rPr>
              <w:t>Nigerian studies prioritised; international standards and comparator studies retained for the framework</w:t>
            </w:r>
          </w:p>
        </w:tc>
        <w:tc>
          <w:tcPr>
            <w:tcW w:w="4055" w:type="dxa"/>
          </w:tcPr>
          <w:p w14:paraId="3EC53DE5" w14:textId="77777777" w:rsidR="00A364F4" w:rsidRPr="00A11FC0" w:rsidRDefault="00000000" w:rsidP="00402991">
            <w:pPr>
              <w:spacing w:after="240"/>
              <w:rPr>
                <w:rFonts w:cs="Times New Roman"/>
                <w:szCs w:val="24"/>
              </w:rPr>
            </w:pPr>
            <w:r w:rsidRPr="00A11FC0">
              <w:rPr>
                <w:rFonts w:cs="Times New Roman"/>
                <w:szCs w:val="24"/>
              </w:rPr>
              <w:t>Grounds the synthesis in the case context while anchoring it in recognised measurement theory</w:t>
            </w:r>
          </w:p>
        </w:tc>
      </w:tr>
    </w:tbl>
    <w:p w14:paraId="62BB2822" w14:textId="673493AC" w:rsidR="00A364F4" w:rsidRPr="00A11FC0" w:rsidRDefault="00000000" w:rsidP="00402991">
      <w:pPr>
        <w:spacing w:before="60" w:after="240"/>
        <w:rPr>
          <w:rFonts w:cs="Times New Roman"/>
          <w:i/>
          <w:iCs/>
          <w:szCs w:val="24"/>
        </w:rPr>
      </w:pPr>
      <w:r w:rsidRPr="00A11FC0">
        <w:rPr>
          <w:rFonts w:cs="Times New Roman"/>
          <w:i/>
          <w:iCs/>
          <w:szCs w:val="24"/>
        </w:rPr>
        <w:t>Note</w:t>
      </w:r>
      <w:r w:rsidR="00A11FC0" w:rsidRPr="00A11FC0">
        <w:rPr>
          <w:rFonts w:cs="Times New Roman"/>
          <w:i/>
          <w:iCs/>
          <w:szCs w:val="24"/>
        </w:rPr>
        <w:t>:</w:t>
      </w:r>
      <w:r w:rsidRPr="00A11FC0">
        <w:rPr>
          <w:rFonts w:cs="Times New Roman"/>
          <w:i/>
          <w:iCs/>
          <w:szCs w:val="24"/>
        </w:rPr>
        <w:t xml:space="preserve"> Inclusion and exclusion criteria developed by the author for this review; date limits follow the maturation of the maintenance-performance literature.</w:t>
      </w:r>
    </w:p>
    <w:p w14:paraId="40FF81D5" w14:textId="077864C8" w:rsidR="00A364F4" w:rsidRPr="00A11FC0" w:rsidRDefault="006A0395" w:rsidP="00402991">
      <w:pPr>
        <w:pStyle w:val="Heading2"/>
        <w:spacing w:after="240"/>
        <w:rPr>
          <w:rFonts w:cs="Times New Roman"/>
        </w:rPr>
      </w:pPr>
      <w:r>
        <w:rPr>
          <w:rFonts w:cs="Times New Roman"/>
        </w:rPr>
        <w:t xml:space="preserve">2.4 </w:t>
      </w:r>
      <w:r w:rsidRPr="00A11FC0">
        <w:rPr>
          <w:rFonts w:cs="Times New Roman"/>
        </w:rPr>
        <w:t xml:space="preserve">Selection </w:t>
      </w:r>
      <w:r w:rsidR="004E5E4D">
        <w:rPr>
          <w:rFonts w:cs="Times New Roman"/>
        </w:rPr>
        <w:t>P</w:t>
      </w:r>
      <w:r w:rsidRPr="00A11FC0">
        <w:rPr>
          <w:rFonts w:cs="Times New Roman"/>
        </w:rPr>
        <w:t>rocess</w:t>
      </w:r>
    </w:p>
    <w:p w14:paraId="2524AE49" w14:textId="1CD58276" w:rsidR="00A364F4" w:rsidRDefault="00000000" w:rsidP="00A11FC0">
      <w:pPr>
        <w:spacing w:after="240" w:line="300" w:lineRule="auto"/>
        <w:rPr>
          <w:rFonts w:cs="Times New Roman"/>
          <w:szCs w:val="24"/>
        </w:rPr>
      </w:pPr>
      <w:r w:rsidRPr="00A11FC0">
        <w:rPr>
          <w:rFonts w:cs="Times New Roman"/>
          <w:szCs w:val="24"/>
        </w:rPr>
        <w:t xml:space="preserve">Selection proceeded through identification, screening, eligibility, and inclusion, mirrored by the flow in </w:t>
      </w:r>
      <w:r w:rsidRPr="00A11FC0">
        <w:rPr>
          <w:rFonts w:cs="Times New Roman"/>
          <w:i/>
          <w:iCs/>
          <w:szCs w:val="24"/>
        </w:rPr>
        <w:t>Figure 1</w:t>
      </w:r>
      <w:r w:rsidRPr="00A11FC0">
        <w:rPr>
          <w:rFonts w:cs="Times New Roman"/>
          <w:szCs w:val="24"/>
        </w:rPr>
        <w:t xml:space="preserve">. Of 334 records identified, 47 duplicates were removed, leaving 287 for title and abstract screening. Screening excluded 198 records that did not address maintenance assessment, that reported construction defects without a maintenance dimension, or that fell outside the PCC scope. Full texts of 89 records were assessed, and 68 were excluded with reasons recorded, leaving 21 sources for synthesis. </w:t>
      </w:r>
      <w:r w:rsidRPr="004E5E4D">
        <w:rPr>
          <w:rFonts w:cs="Times New Roman"/>
          <w:i/>
          <w:iCs/>
          <w:szCs w:val="24"/>
        </w:rPr>
        <w:t>Figure 1</w:t>
      </w:r>
      <w:r w:rsidRPr="00A11FC0">
        <w:rPr>
          <w:rFonts w:cs="Times New Roman"/>
          <w:szCs w:val="24"/>
        </w:rPr>
        <w:t xml:space="preserve"> describe the screening and the 21 included sources are </w:t>
      </w:r>
      <w:r w:rsidR="006A0395">
        <w:rPr>
          <w:rFonts w:cs="Times New Roman"/>
          <w:szCs w:val="24"/>
        </w:rPr>
        <w:t xml:space="preserve">detailed </w:t>
      </w:r>
      <w:r w:rsidRPr="00A11FC0">
        <w:rPr>
          <w:rFonts w:cs="Times New Roman"/>
          <w:szCs w:val="24"/>
        </w:rPr>
        <w:t>in Appendix B.</w:t>
      </w:r>
    </w:p>
    <w:p w14:paraId="77887592" w14:textId="427722C9" w:rsidR="004E5E4D" w:rsidRPr="004E5E4D" w:rsidRDefault="006A0395" w:rsidP="00A11FC0">
      <w:pPr>
        <w:spacing w:after="240" w:line="300" w:lineRule="auto"/>
        <w:rPr>
          <w:rFonts w:cs="Times New Roman"/>
          <w:szCs w:val="24"/>
        </w:rPr>
      </w:pPr>
      <w:r>
        <w:rPr>
          <w:rFonts w:cs="Times New Roman"/>
          <w:noProof/>
          <w:szCs w:val="24"/>
        </w:rPr>
        <w:lastRenderedPageBreak/>
        <w:drawing>
          <wp:inline distT="0" distB="0" distL="0" distR="0" wp14:anchorId="4A503C6B" wp14:editId="1ACFC25A">
            <wp:extent cx="5955030" cy="3970020"/>
            <wp:effectExtent l="0" t="0" r="7620" b="0"/>
            <wp:docPr id="20673145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5955030" cy="3970020"/>
                    </a:xfrm>
                    <a:prstGeom prst="rect">
                      <a:avLst/>
                    </a:prstGeom>
                    <a:noFill/>
                  </pic:spPr>
                </pic:pic>
              </a:graphicData>
            </a:graphic>
          </wp:inline>
        </w:drawing>
      </w:r>
    </w:p>
    <w:p w14:paraId="056BDB3E" w14:textId="14F537CE" w:rsidR="00A364F4" w:rsidRPr="004E5E4D" w:rsidRDefault="00000000" w:rsidP="004E5E4D">
      <w:pPr>
        <w:spacing w:before="220" w:after="240"/>
        <w:jc w:val="center"/>
        <w:rPr>
          <w:rFonts w:cs="Times New Roman"/>
          <w:szCs w:val="24"/>
        </w:rPr>
      </w:pPr>
      <w:r w:rsidRPr="004E5E4D">
        <w:rPr>
          <w:rFonts w:cs="Times New Roman"/>
          <w:b/>
          <w:bCs/>
          <w:szCs w:val="24"/>
        </w:rPr>
        <w:t>Figure 1</w:t>
      </w:r>
      <w:r w:rsidR="004E5E4D" w:rsidRPr="004E5E4D">
        <w:rPr>
          <w:rFonts w:cs="Times New Roman"/>
          <w:szCs w:val="24"/>
        </w:rPr>
        <w:t xml:space="preserve">: </w:t>
      </w:r>
      <w:r w:rsidRPr="004E5E4D">
        <w:rPr>
          <w:rFonts w:cs="Times New Roman"/>
          <w:szCs w:val="24"/>
        </w:rPr>
        <w:t xml:space="preserve">Flow of </w:t>
      </w:r>
      <w:r w:rsidR="004E5E4D">
        <w:rPr>
          <w:rFonts w:cs="Times New Roman"/>
          <w:szCs w:val="24"/>
        </w:rPr>
        <w:t>R</w:t>
      </w:r>
      <w:r w:rsidRPr="004E5E4D">
        <w:rPr>
          <w:rFonts w:cs="Times New Roman"/>
          <w:szCs w:val="24"/>
        </w:rPr>
        <w:t xml:space="preserve">ecords through the </w:t>
      </w:r>
      <w:r w:rsidR="004E5E4D">
        <w:rPr>
          <w:rFonts w:cs="Times New Roman"/>
          <w:szCs w:val="24"/>
        </w:rPr>
        <w:t>R</w:t>
      </w:r>
      <w:r w:rsidRPr="004E5E4D">
        <w:rPr>
          <w:rFonts w:cs="Times New Roman"/>
          <w:szCs w:val="24"/>
        </w:rPr>
        <w:t>eview (PRISMA 2020)</w:t>
      </w:r>
    </w:p>
    <w:p w14:paraId="6D21BA6E" w14:textId="2D9E0143" w:rsidR="00A364F4" w:rsidRPr="004E5E4D" w:rsidRDefault="00000000" w:rsidP="00402991">
      <w:pPr>
        <w:spacing w:before="60" w:after="240"/>
        <w:rPr>
          <w:rFonts w:cs="Times New Roman"/>
          <w:i/>
          <w:iCs/>
          <w:szCs w:val="24"/>
        </w:rPr>
      </w:pPr>
      <w:r w:rsidRPr="004E5E4D">
        <w:rPr>
          <w:rFonts w:cs="Times New Roman"/>
          <w:i/>
          <w:iCs/>
          <w:szCs w:val="24"/>
        </w:rPr>
        <w:t>Note</w:t>
      </w:r>
      <w:r w:rsidR="004E5E4D">
        <w:rPr>
          <w:rFonts w:cs="Times New Roman"/>
          <w:i/>
          <w:iCs/>
          <w:szCs w:val="24"/>
        </w:rPr>
        <w:t>:</w:t>
      </w:r>
      <w:r w:rsidRPr="004E5E4D">
        <w:rPr>
          <w:rFonts w:cs="Times New Roman"/>
          <w:i/>
          <w:iCs/>
          <w:szCs w:val="24"/>
        </w:rPr>
        <w:t xml:space="preserve"> Counts denote records at each screening stage of this review; the included sources are </w:t>
      </w:r>
      <w:r w:rsidR="006A0395">
        <w:rPr>
          <w:rFonts w:cs="Times New Roman"/>
          <w:i/>
          <w:iCs/>
          <w:szCs w:val="24"/>
        </w:rPr>
        <w:t>shown</w:t>
      </w:r>
      <w:r w:rsidRPr="004E5E4D">
        <w:rPr>
          <w:rFonts w:cs="Times New Roman"/>
          <w:i/>
          <w:iCs/>
          <w:szCs w:val="24"/>
        </w:rPr>
        <w:t xml:space="preserve"> in Appendix B.</w:t>
      </w:r>
    </w:p>
    <w:p w14:paraId="41F9EFE4" w14:textId="09BD1127" w:rsidR="00A364F4" w:rsidRPr="00A11FC0" w:rsidRDefault="006A0395" w:rsidP="00402991">
      <w:pPr>
        <w:pStyle w:val="Heading2"/>
        <w:spacing w:after="240"/>
        <w:rPr>
          <w:rFonts w:cs="Times New Roman"/>
        </w:rPr>
      </w:pPr>
      <w:r>
        <w:rPr>
          <w:rFonts w:cs="Times New Roman"/>
        </w:rPr>
        <w:t xml:space="preserve">2.5 </w:t>
      </w:r>
      <w:r w:rsidRPr="00A11FC0">
        <w:rPr>
          <w:rFonts w:cs="Times New Roman"/>
        </w:rPr>
        <w:t xml:space="preserve">Quality </w:t>
      </w:r>
      <w:r w:rsidR="004E5E4D" w:rsidRPr="00A11FC0">
        <w:rPr>
          <w:rFonts w:cs="Times New Roman"/>
        </w:rPr>
        <w:t xml:space="preserve">Appraisal </w:t>
      </w:r>
      <w:r w:rsidRPr="00A11FC0">
        <w:rPr>
          <w:rFonts w:cs="Times New Roman"/>
        </w:rPr>
        <w:t xml:space="preserve">and </w:t>
      </w:r>
      <w:r w:rsidR="004E5E4D" w:rsidRPr="00A11FC0">
        <w:rPr>
          <w:rFonts w:cs="Times New Roman"/>
        </w:rPr>
        <w:t>Synthesis</w:t>
      </w:r>
    </w:p>
    <w:p w14:paraId="2C74E741" w14:textId="1C9D67FC" w:rsidR="00A364F4" w:rsidRDefault="00000000" w:rsidP="004E5E4D">
      <w:pPr>
        <w:spacing w:after="240" w:line="300" w:lineRule="auto"/>
        <w:rPr>
          <w:rFonts w:cs="Times New Roman"/>
          <w:szCs w:val="24"/>
        </w:rPr>
      </w:pPr>
      <w:r w:rsidRPr="00A11FC0">
        <w:rPr>
          <w:rFonts w:cs="Times New Roman"/>
          <w:szCs w:val="24"/>
        </w:rPr>
        <w:t>Included empirical studies were appraised for methodological transparency, specifically whether the sampling frame, instrument, and analysis were reported clearly enough to interpret the results; standards and sectoral sources were appraised for authority and currency. Synthesis was thematic</w:t>
      </w:r>
      <w:r w:rsidR="007227D8">
        <w:rPr>
          <w:rFonts w:cs="Times New Roman"/>
          <w:szCs w:val="24"/>
        </w:rPr>
        <w:t>, and f</w:t>
      </w:r>
      <w:r w:rsidRPr="00A11FC0">
        <w:rPr>
          <w:rFonts w:cs="Times New Roman"/>
          <w:szCs w:val="24"/>
        </w:rPr>
        <w:t xml:space="preserve">indings were coded across the corpus, grouped into descriptive themes, and then developed into the analytical themes that answer the research questions and inform the proposed framework. A thematic matrix, presented as </w:t>
      </w:r>
      <w:r w:rsidRPr="004E5E4D">
        <w:rPr>
          <w:rFonts w:cs="Times New Roman"/>
          <w:i/>
          <w:iCs/>
          <w:szCs w:val="24"/>
        </w:rPr>
        <w:t>Table 2</w:t>
      </w:r>
      <w:r w:rsidRPr="00A11FC0">
        <w:rPr>
          <w:rFonts w:cs="Times New Roman"/>
          <w:szCs w:val="24"/>
        </w:rPr>
        <w:t>, maps the themes to their representative sources.</w:t>
      </w:r>
    </w:p>
    <w:p w14:paraId="3BF664DC" w14:textId="77777777" w:rsidR="004E5E4D" w:rsidRPr="004E5E4D" w:rsidRDefault="004E5E4D" w:rsidP="004E5E4D">
      <w:pPr>
        <w:spacing w:after="240" w:line="300" w:lineRule="auto"/>
        <w:rPr>
          <w:rFonts w:cs="Times New Roman"/>
          <w:szCs w:val="24"/>
        </w:rPr>
      </w:pPr>
    </w:p>
    <w:p w14:paraId="5FFDDCEF" w14:textId="77777777" w:rsidR="004E5E4D" w:rsidRDefault="004E5E4D">
      <w:pPr>
        <w:jc w:val="left"/>
        <w:rPr>
          <w:rFonts w:cs="Times New Roman"/>
          <w:b/>
          <w:bCs/>
          <w:color w:val="000000"/>
          <w:szCs w:val="24"/>
        </w:rPr>
      </w:pPr>
      <w:r>
        <w:rPr>
          <w:rFonts w:cs="Times New Roman"/>
          <w:szCs w:val="24"/>
        </w:rPr>
        <w:br w:type="page"/>
      </w:r>
    </w:p>
    <w:p w14:paraId="1BD871E5" w14:textId="00F44147" w:rsidR="00A364F4" w:rsidRPr="00A11FC0" w:rsidRDefault="006A0395" w:rsidP="00402991">
      <w:pPr>
        <w:pStyle w:val="Heading1"/>
        <w:spacing w:after="240"/>
        <w:rPr>
          <w:rFonts w:cs="Times New Roman"/>
          <w:szCs w:val="24"/>
        </w:rPr>
      </w:pPr>
      <w:r>
        <w:rPr>
          <w:rFonts w:cs="Times New Roman"/>
          <w:szCs w:val="24"/>
        </w:rPr>
        <w:lastRenderedPageBreak/>
        <w:t xml:space="preserve">3.0 </w:t>
      </w:r>
      <w:r w:rsidRPr="00A11FC0">
        <w:rPr>
          <w:rFonts w:cs="Times New Roman"/>
          <w:szCs w:val="24"/>
        </w:rPr>
        <w:t>Results</w:t>
      </w:r>
    </w:p>
    <w:p w14:paraId="59962A64" w14:textId="4A97823B" w:rsidR="00A364F4" w:rsidRPr="00A11FC0" w:rsidRDefault="006A0395" w:rsidP="00402991">
      <w:pPr>
        <w:pStyle w:val="Heading2"/>
        <w:spacing w:after="240"/>
        <w:rPr>
          <w:rFonts w:cs="Times New Roman"/>
        </w:rPr>
      </w:pPr>
      <w:r>
        <w:rPr>
          <w:rFonts w:cs="Times New Roman"/>
        </w:rPr>
        <w:t xml:space="preserve">3.1 </w:t>
      </w:r>
      <w:r w:rsidRPr="00A11FC0">
        <w:rPr>
          <w:rFonts w:cs="Times New Roman"/>
        </w:rPr>
        <w:t>Characteristics of the evidence base</w:t>
      </w:r>
    </w:p>
    <w:p w14:paraId="70E5341D" w14:textId="77777777" w:rsidR="00A364F4" w:rsidRPr="00A11FC0" w:rsidRDefault="00000000" w:rsidP="004E5E4D">
      <w:pPr>
        <w:spacing w:after="240" w:line="300" w:lineRule="auto"/>
        <w:rPr>
          <w:rFonts w:cs="Times New Roman"/>
          <w:szCs w:val="24"/>
        </w:rPr>
      </w:pPr>
      <w:r w:rsidRPr="00A11FC0">
        <w:rPr>
          <w:rFonts w:cs="Times New Roman"/>
          <w:szCs w:val="24"/>
        </w:rPr>
        <w:t>The 21 included sources cluster in time, geography, and method. Nearly half (10 of 21) were published from 2018 onward, which indicates an accelerating research interest that tracks the rising public salience of building collapse in Lagos. Geographically, the empirical studies concentrate in Lagos and the wider south-western region, with comparative material drawn from Malaysian university campuses. Methodologically, the Nigerian empirical studies are overwhelmingly cross-sectional questionnaire surveys analysed with descriptive indices such as the relative importance index, the relative severity index, and the weighted mean score, and with non-parametric tests including the Kruskal-Wallis and Mann-Whitney procedures, alongside occasional factor analysis. Not one of the Nigerian empirical studies drew on routinely recorded reliability or cost data. The building types examined span hospitals, offices, banks, tertiary-institution buildings, and public and residential housing. Full characteristics appear in Appendix B.</w:t>
      </w:r>
    </w:p>
    <w:p w14:paraId="28398EEE" w14:textId="59677F99" w:rsidR="00A364F4" w:rsidRPr="004E5E4D" w:rsidRDefault="00000000" w:rsidP="004E5E4D">
      <w:pPr>
        <w:spacing w:before="220" w:after="240"/>
        <w:rPr>
          <w:rFonts w:cs="Times New Roman"/>
          <w:szCs w:val="24"/>
        </w:rPr>
      </w:pPr>
      <w:r w:rsidRPr="004E5E4D">
        <w:rPr>
          <w:rFonts w:cs="Times New Roman"/>
          <w:b/>
          <w:bCs/>
          <w:szCs w:val="24"/>
        </w:rPr>
        <w:t>Table 2</w:t>
      </w:r>
      <w:r w:rsidR="004E5E4D" w:rsidRPr="004E5E4D">
        <w:rPr>
          <w:rFonts w:cs="Times New Roman"/>
          <w:szCs w:val="24"/>
        </w:rPr>
        <w:t xml:space="preserve">: </w:t>
      </w:r>
      <w:r w:rsidRPr="004E5E4D">
        <w:rPr>
          <w:rFonts w:cs="Times New Roman"/>
          <w:szCs w:val="24"/>
        </w:rPr>
        <w:t xml:space="preserve">Thematic </w:t>
      </w:r>
      <w:r w:rsidR="004E5E4D" w:rsidRPr="004E5E4D">
        <w:rPr>
          <w:rFonts w:cs="Times New Roman"/>
          <w:szCs w:val="24"/>
        </w:rPr>
        <w:t>Synthesis Matrix</w:t>
      </w:r>
    </w:p>
    <w:tbl>
      <w:tblPr>
        <w:tblStyle w:val="TableGrid"/>
        <w:tblW w:w="9360" w:type="dxa"/>
        <w:tblLook w:val="0000" w:firstRow="0" w:lastRow="0" w:firstColumn="0" w:lastColumn="0" w:noHBand="0" w:noVBand="0"/>
      </w:tblPr>
      <w:tblGrid>
        <w:gridCol w:w="1885"/>
        <w:gridCol w:w="5220"/>
        <w:gridCol w:w="2255"/>
      </w:tblGrid>
      <w:tr w:rsidR="00A364F4" w:rsidRPr="00A11FC0" w14:paraId="0409256E" w14:textId="77777777" w:rsidTr="004E5E4D">
        <w:trPr>
          <w:tblHeader/>
        </w:trPr>
        <w:tc>
          <w:tcPr>
            <w:tcW w:w="1885" w:type="dxa"/>
          </w:tcPr>
          <w:p w14:paraId="432D07F1" w14:textId="77777777" w:rsidR="00A364F4" w:rsidRPr="00A11FC0" w:rsidRDefault="00000000" w:rsidP="004E5E4D">
            <w:pPr>
              <w:spacing w:after="240"/>
              <w:jc w:val="left"/>
              <w:rPr>
                <w:rFonts w:cs="Times New Roman"/>
                <w:szCs w:val="24"/>
              </w:rPr>
            </w:pPr>
            <w:r w:rsidRPr="00A11FC0">
              <w:rPr>
                <w:rFonts w:cs="Times New Roman"/>
                <w:b/>
                <w:bCs/>
                <w:szCs w:val="24"/>
              </w:rPr>
              <w:t>Theme</w:t>
            </w:r>
          </w:p>
        </w:tc>
        <w:tc>
          <w:tcPr>
            <w:tcW w:w="5220" w:type="dxa"/>
          </w:tcPr>
          <w:p w14:paraId="31968D55" w14:textId="3593F0A3" w:rsidR="00A364F4" w:rsidRPr="00A11FC0" w:rsidRDefault="00000000" w:rsidP="00402991">
            <w:pPr>
              <w:spacing w:after="240"/>
              <w:rPr>
                <w:rFonts w:cs="Times New Roman"/>
                <w:szCs w:val="24"/>
              </w:rPr>
            </w:pPr>
            <w:r w:rsidRPr="00A11FC0">
              <w:rPr>
                <w:rFonts w:cs="Times New Roman"/>
                <w:b/>
                <w:bCs/>
                <w:szCs w:val="24"/>
              </w:rPr>
              <w:t xml:space="preserve">Core </w:t>
            </w:r>
            <w:r w:rsidR="004E5E4D">
              <w:rPr>
                <w:rFonts w:cs="Times New Roman"/>
                <w:b/>
                <w:bCs/>
                <w:szCs w:val="24"/>
              </w:rPr>
              <w:t>F</w:t>
            </w:r>
            <w:r w:rsidRPr="00A11FC0">
              <w:rPr>
                <w:rFonts w:cs="Times New Roman"/>
                <w:b/>
                <w:bCs/>
                <w:szCs w:val="24"/>
              </w:rPr>
              <w:t>inding</w:t>
            </w:r>
          </w:p>
        </w:tc>
        <w:tc>
          <w:tcPr>
            <w:tcW w:w="2255" w:type="dxa"/>
          </w:tcPr>
          <w:p w14:paraId="77B8B51E" w14:textId="69E5F628" w:rsidR="00A364F4" w:rsidRPr="00A11FC0" w:rsidRDefault="004E5E4D" w:rsidP="00402991">
            <w:pPr>
              <w:spacing w:after="240"/>
              <w:rPr>
                <w:rFonts w:cs="Times New Roman"/>
                <w:szCs w:val="24"/>
              </w:rPr>
            </w:pPr>
            <w:r w:rsidRPr="00A11FC0">
              <w:rPr>
                <w:rFonts w:cs="Times New Roman"/>
                <w:b/>
                <w:bCs/>
                <w:szCs w:val="24"/>
              </w:rPr>
              <w:t>Sources</w:t>
            </w:r>
          </w:p>
        </w:tc>
      </w:tr>
      <w:tr w:rsidR="00A364F4" w:rsidRPr="00A11FC0" w14:paraId="7092AA81" w14:textId="77777777" w:rsidTr="004E5E4D">
        <w:tc>
          <w:tcPr>
            <w:tcW w:w="1885" w:type="dxa"/>
          </w:tcPr>
          <w:p w14:paraId="6DEDA53B" w14:textId="77777777" w:rsidR="00A364F4" w:rsidRPr="00A11FC0" w:rsidRDefault="00000000" w:rsidP="004E5E4D">
            <w:pPr>
              <w:spacing w:after="240"/>
              <w:jc w:val="left"/>
              <w:rPr>
                <w:rFonts w:cs="Times New Roman"/>
                <w:szCs w:val="24"/>
              </w:rPr>
            </w:pPr>
            <w:r w:rsidRPr="00A11FC0">
              <w:rPr>
                <w:rFonts w:cs="Times New Roman"/>
                <w:szCs w:val="24"/>
              </w:rPr>
              <w:t>International KPI architecture</w:t>
            </w:r>
          </w:p>
        </w:tc>
        <w:tc>
          <w:tcPr>
            <w:tcW w:w="5220" w:type="dxa"/>
          </w:tcPr>
          <w:p w14:paraId="50E8B215" w14:textId="77777777" w:rsidR="00A364F4" w:rsidRPr="00A11FC0" w:rsidRDefault="00000000" w:rsidP="00402991">
            <w:pPr>
              <w:spacing w:after="240"/>
              <w:rPr>
                <w:rFonts w:cs="Times New Roman"/>
                <w:szCs w:val="24"/>
              </w:rPr>
            </w:pPr>
            <w:r w:rsidRPr="00A11FC0">
              <w:rPr>
                <w:rFonts w:cs="Times New Roman"/>
                <w:szCs w:val="24"/>
              </w:rPr>
              <w:t>Maintenance performance is measured through economic, technical, and organisational KPI families, anchored by reliability metrics and extended by FM standards to service quality.</w:t>
            </w:r>
          </w:p>
        </w:tc>
        <w:tc>
          <w:tcPr>
            <w:tcW w:w="2255" w:type="dxa"/>
          </w:tcPr>
          <w:p w14:paraId="0A04ADF8" w14:textId="77777777" w:rsidR="00A364F4" w:rsidRPr="00A11FC0" w:rsidRDefault="00000000" w:rsidP="00402991">
            <w:pPr>
              <w:spacing w:after="240"/>
              <w:rPr>
                <w:rFonts w:cs="Times New Roman"/>
                <w:szCs w:val="24"/>
              </w:rPr>
            </w:pPr>
            <w:r w:rsidRPr="00A11FC0">
              <w:rPr>
                <w:rFonts w:cs="Times New Roman"/>
                <w:szCs w:val="24"/>
              </w:rPr>
              <w:t>BSI (2022); ISO (2018); Oxmaint (2025)</w:t>
            </w:r>
          </w:p>
        </w:tc>
      </w:tr>
      <w:tr w:rsidR="00A364F4" w:rsidRPr="00A11FC0" w14:paraId="1DEF1161" w14:textId="77777777" w:rsidTr="004E5E4D">
        <w:tc>
          <w:tcPr>
            <w:tcW w:w="1885" w:type="dxa"/>
          </w:tcPr>
          <w:p w14:paraId="45A40588" w14:textId="77777777" w:rsidR="00A364F4" w:rsidRPr="00A11FC0" w:rsidRDefault="00000000" w:rsidP="004E5E4D">
            <w:pPr>
              <w:spacing w:after="240"/>
              <w:jc w:val="left"/>
              <w:rPr>
                <w:rFonts w:cs="Times New Roman"/>
                <w:szCs w:val="24"/>
              </w:rPr>
            </w:pPr>
            <w:r w:rsidRPr="00A11FC0">
              <w:rPr>
                <w:rFonts w:cs="Times New Roman"/>
                <w:szCs w:val="24"/>
              </w:rPr>
              <w:t>Preventive-maintenance deficit</w:t>
            </w:r>
          </w:p>
        </w:tc>
        <w:tc>
          <w:tcPr>
            <w:tcW w:w="5220" w:type="dxa"/>
          </w:tcPr>
          <w:p w14:paraId="4075172F" w14:textId="77777777" w:rsidR="00A364F4" w:rsidRPr="00A11FC0" w:rsidRDefault="00000000" w:rsidP="00402991">
            <w:pPr>
              <w:spacing w:after="240"/>
              <w:rPr>
                <w:rFonts w:cs="Times New Roman"/>
                <w:szCs w:val="24"/>
              </w:rPr>
            </w:pPr>
            <w:r w:rsidRPr="00A11FC0">
              <w:rPr>
                <w:rFonts w:cs="Times New Roman"/>
                <w:szCs w:val="24"/>
              </w:rPr>
              <w:t>Across independent samples and two indices, the absence of preventive maintenance is the single most influential impairment of building condition.</w:t>
            </w:r>
          </w:p>
        </w:tc>
        <w:tc>
          <w:tcPr>
            <w:tcW w:w="2255" w:type="dxa"/>
          </w:tcPr>
          <w:p w14:paraId="67074BAD" w14:textId="77777777" w:rsidR="00A364F4" w:rsidRPr="00A11FC0" w:rsidRDefault="00000000" w:rsidP="00402991">
            <w:pPr>
              <w:spacing w:after="240"/>
              <w:rPr>
                <w:rFonts w:cs="Times New Roman"/>
                <w:szCs w:val="24"/>
              </w:rPr>
            </w:pPr>
            <w:r w:rsidRPr="00A11FC0">
              <w:rPr>
                <w:rFonts w:cs="Times New Roman"/>
                <w:szCs w:val="24"/>
              </w:rPr>
              <w:t>Waziri &amp; Vanduhe (2013); Fateye et al. (2022)</w:t>
            </w:r>
          </w:p>
        </w:tc>
      </w:tr>
      <w:tr w:rsidR="00A364F4" w:rsidRPr="00A11FC0" w14:paraId="53C7E0D2" w14:textId="77777777" w:rsidTr="004E5E4D">
        <w:tc>
          <w:tcPr>
            <w:tcW w:w="1885" w:type="dxa"/>
          </w:tcPr>
          <w:p w14:paraId="777A6E6E" w14:textId="77777777" w:rsidR="00A364F4" w:rsidRPr="00A11FC0" w:rsidRDefault="00000000" w:rsidP="004E5E4D">
            <w:pPr>
              <w:spacing w:after="240"/>
              <w:jc w:val="left"/>
              <w:rPr>
                <w:rFonts w:cs="Times New Roman"/>
                <w:szCs w:val="24"/>
              </w:rPr>
            </w:pPr>
            <w:r w:rsidRPr="00A11FC0">
              <w:rPr>
                <w:rFonts w:cs="Times New Roman"/>
                <w:szCs w:val="24"/>
              </w:rPr>
              <w:t>The strategy paradox</w:t>
            </w:r>
          </w:p>
        </w:tc>
        <w:tc>
          <w:tcPr>
            <w:tcW w:w="5220" w:type="dxa"/>
          </w:tcPr>
          <w:p w14:paraId="2EEB7B02" w14:textId="77777777" w:rsidR="00A364F4" w:rsidRPr="00A11FC0" w:rsidRDefault="00000000" w:rsidP="00402991">
            <w:pPr>
              <w:spacing w:after="240"/>
              <w:rPr>
                <w:rFonts w:cs="Times New Roman"/>
                <w:szCs w:val="24"/>
              </w:rPr>
            </w:pPr>
            <w:r w:rsidRPr="00A11FC0">
              <w:rPr>
                <w:rFonts w:cs="Times New Roman"/>
                <w:szCs w:val="24"/>
              </w:rPr>
              <w:t>Corrective and emergency strategies dominate practice although preventive maintenance is recognised as most effective.</w:t>
            </w:r>
          </w:p>
        </w:tc>
        <w:tc>
          <w:tcPr>
            <w:tcW w:w="2255" w:type="dxa"/>
          </w:tcPr>
          <w:p w14:paraId="1ADAB7BF" w14:textId="70A4D753" w:rsidR="00A364F4" w:rsidRPr="00A11FC0" w:rsidRDefault="00000000" w:rsidP="00402991">
            <w:pPr>
              <w:spacing w:after="240"/>
              <w:rPr>
                <w:rFonts w:cs="Times New Roman"/>
                <w:szCs w:val="24"/>
              </w:rPr>
            </w:pPr>
            <w:r w:rsidRPr="00A11FC0">
              <w:rPr>
                <w:rFonts w:cs="Times New Roman"/>
                <w:szCs w:val="24"/>
              </w:rPr>
              <w:t xml:space="preserve">Fateye et al. (2022); </w:t>
            </w:r>
            <w:r w:rsidR="00DB31C7" w:rsidRPr="00A11FC0">
              <w:rPr>
                <w:rFonts w:cs="Times New Roman"/>
                <w:szCs w:val="24"/>
              </w:rPr>
              <w:t xml:space="preserve">Adenuga &amp; Iyagba (2005); </w:t>
            </w:r>
            <w:r w:rsidRPr="00A11FC0">
              <w:rPr>
                <w:rFonts w:cs="Times New Roman"/>
                <w:szCs w:val="24"/>
              </w:rPr>
              <w:t>Adenuga et al. (2007)</w:t>
            </w:r>
          </w:p>
        </w:tc>
      </w:tr>
      <w:tr w:rsidR="00A364F4" w:rsidRPr="00A11FC0" w14:paraId="595C237A" w14:textId="77777777" w:rsidTr="004E5E4D">
        <w:tc>
          <w:tcPr>
            <w:tcW w:w="1885" w:type="dxa"/>
          </w:tcPr>
          <w:p w14:paraId="3608A83D" w14:textId="77777777" w:rsidR="00A364F4" w:rsidRPr="00A11FC0" w:rsidRDefault="00000000" w:rsidP="004E5E4D">
            <w:pPr>
              <w:spacing w:after="240"/>
              <w:jc w:val="left"/>
              <w:rPr>
                <w:rFonts w:cs="Times New Roman"/>
                <w:szCs w:val="24"/>
              </w:rPr>
            </w:pPr>
            <w:r w:rsidRPr="00A11FC0">
              <w:rPr>
                <w:rFonts w:cs="Times New Roman"/>
                <w:szCs w:val="24"/>
              </w:rPr>
              <w:t>Funding as binding constraint</w:t>
            </w:r>
          </w:p>
        </w:tc>
        <w:tc>
          <w:tcPr>
            <w:tcW w:w="5220" w:type="dxa"/>
          </w:tcPr>
          <w:p w14:paraId="052AFEBC" w14:textId="77777777" w:rsidR="00A364F4" w:rsidRPr="00A11FC0" w:rsidRDefault="00000000" w:rsidP="00402991">
            <w:pPr>
              <w:spacing w:after="240"/>
              <w:rPr>
                <w:rFonts w:cs="Times New Roman"/>
                <w:szCs w:val="24"/>
              </w:rPr>
            </w:pPr>
            <w:r w:rsidRPr="00A11FC0">
              <w:rPr>
                <w:rFonts w:cs="Times New Roman"/>
                <w:szCs w:val="24"/>
              </w:rPr>
              <w:t>Insufficient and misaligned maintenance funding recurs as a primary cause of poor building condition.</w:t>
            </w:r>
          </w:p>
        </w:tc>
        <w:tc>
          <w:tcPr>
            <w:tcW w:w="2255" w:type="dxa"/>
          </w:tcPr>
          <w:p w14:paraId="5D7B2C37" w14:textId="77777777" w:rsidR="00A364F4" w:rsidRPr="00A11FC0" w:rsidRDefault="00000000" w:rsidP="00402991">
            <w:pPr>
              <w:spacing w:after="240"/>
              <w:rPr>
                <w:rFonts w:cs="Times New Roman"/>
                <w:szCs w:val="24"/>
              </w:rPr>
            </w:pPr>
            <w:r w:rsidRPr="00A11FC0">
              <w:rPr>
                <w:rFonts w:cs="Times New Roman"/>
                <w:szCs w:val="24"/>
              </w:rPr>
              <w:t>Adenuga et al. (2007); Aghimien et al. (2019)</w:t>
            </w:r>
          </w:p>
        </w:tc>
      </w:tr>
      <w:tr w:rsidR="00A364F4" w:rsidRPr="00A11FC0" w14:paraId="1D09CF44" w14:textId="77777777" w:rsidTr="004E5E4D">
        <w:tc>
          <w:tcPr>
            <w:tcW w:w="1885" w:type="dxa"/>
          </w:tcPr>
          <w:p w14:paraId="3EC9F5EF" w14:textId="77777777" w:rsidR="00A364F4" w:rsidRPr="00A11FC0" w:rsidRDefault="00000000" w:rsidP="004E5E4D">
            <w:pPr>
              <w:spacing w:after="240"/>
              <w:jc w:val="left"/>
              <w:rPr>
                <w:rFonts w:cs="Times New Roman"/>
                <w:szCs w:val="24"/>
              </w:rPr>
            </w:pPr>
            <w:r w:rsidRPr="00A11FC0">
              <w:rPr>
                <w:rFonts w:cs="Times New Roman"/>
                <w:szCs w:val="24"/>
              </w:rPr>
              <w:t>Perception-based condition</w:t>
            </w:r>
          </w:p>
        </w:tc>
        <w:tc>
          <w:tcPr>
            <w:tcW w:w="5220" w:type="dxa"/>
          </w:tcPr>
          <w:p w14:paraId="64EC99E7" w14:textId="77777777" w:rsidR="00A364F4" w:rsidRPr="00A11FC0" w:rsidRDefault="00000000" w:rsidP="00402991">
            <w:pPr>
              <w:spacing w:after="240"/>
              <w:rPr>
                <w:rFonts w:cs="Times New Roman"/>
                <w:szCs w:val="24"/>
              </w:rPr>
            </w:pPr>
            <w:r w:rsidRPr="00A11FC0">
              <w:rPr>
                <w:rFonts w:cs="Times New Roman"/>
                <w:szCs w:val="24"/>
              </w:rPr>
              <w:t>Condition is judged through user and officer perception and varies by sector and funding model rather than by a standardised index.</w:t>
            </w:r>
          </w:p>
        </w:tc>
        <w:tc>
          <w:tcPr>
            <w:tcW w:w="2255" w:type="dxa"/>
          </w:tcPr>
          <w:p w14:paraId="63D92914" w14:textId="77777777" w:rsidR="00A364F4" w:rsidRPr="00A11FC0" w:rsidRDefault="00000000" w:rsidP="00402991">
            <w:pPr>
              <w:spacing w:after="240"/>
              <w:rPr>
                <w:rFonts w:cs="Times New Roman"/>
                <w:szCs w:val="24"/>
              </w:rPr>
            </w:pPr>
            <w:r w:rsidRPr="00A11FC0">
              <w:rPr>
                <w:rFonts w:cs="Times New Roman"/>
                <w:szCs w:val="24"/>
              </w:rPr>
              <w:t>Adenuga et al. (2007); Osuya et al. (2023)</w:t>
            </w:r>
          </w:p>
        </w:tc>
      </w:tr>
      <w:tr w:rsidR="00A364F4" w:rsidRPr="00A11FC0" w14:paraId="0786073F" w14:textId="77777777" w:rsidTr="004E5E4D">
        <w:tc>
          <w:tcPr>
            <w:tcW w:w="1885" w:type="dxa"/>
          </w:tcPr>
          <w:p w14:paraId="1C6125DE" w14:textId="77777777" w:rsidR="00A364F4" w:rsidRPr="00A11FC0" w:rsidRDefault="00000000" w:rsidP="004E5E4D">
            <w:pPr>
              <w:spacing w:after="240"/>
              <w:jc w:val="left"/>
              <w:rPr>
                <w:rFonts w:cs="Times New Roman"/>
                <w:szCs w:val="24"/>
              </w:rPr>
            </w:pPr>
            <w:r w:rsidRPr="00A11FC0">
              <w:rPr>
                <w:rFonts w:cs="Times New Roman"/>
                <w:szCs w:val="24"/>
              </w:rPr>
              <w:lastRenderedPageBreak/>
              <w:t>Project-level success factors</w:t>
            </w:r>
          </w:p>
        </w:tc>
        <w:tc>
          <w:tcPr>
            <w:tcW w:w="5220" w:type="dxa"/>
          </w:tcPr>
          <w:p w14:paraId="55F67809" w14:textId="77777777" w:rsidR="00A364F4" w:rsidRPr="00A11FC0" w:rsidRDefault="00000000" w:rsidP="00402991">
            <w:pPr>
              <w:spacing w:after="240"/>
              <w:rPr>
                <w:rFonts w:cs="Times New Roman"/>
                <w:szCs w:val="24"/>
              </w:rPr>
            </w:pPr>
            <w:r w:rsidRPr="00A11FC0">
              <w:rPr>
                <w:rFonts w:cs="Times New Roman"/>
                <w:szCs w:val="24"/>
              </w:rPr>
              <w:t>Maintenance-project outcomes hinge on team integration, planning and control, communication, and quality and risk control.</w:t>
            </w:r>
          </w:p>
        </w:tc>
        <w:tc>
          <w:tcPr>
            <w:tcW w:w="2255" w:type="dxa"/>
          </w:tcPr>
          <w:p w14:paraId="6B67C88F" w14:textId="093D9A60" w:rsidR="00A364F4" w:rsidRPr="00A11FC0" w:rsidRDefault="00000000" w:rsidP="00402991">
            <w:pPr>
              <w:spacing w:after="240"/>
              <w:rPr>
                <w:rFonts w:cs="Times New Roman"/>
                <w:szCs w:val="24"/>
              </w:rPr>
            </w:pPr>
            <w:r w:rsidRPr="00A11FC0">
              <w:rPr>
                <w:rFonts w:cs="Times New Roman"/>
                <w:szCs w:val="24"/>
              </w:rPr>
              <w:t>Abisuga et al. (2017)</w:t>
            </w:r>
            <w:r w:rsidR="00C510DC" w:rsidRPr="00A11FC0">
              <w:rPr>
                <w:rFonts w:cs="Times New Roman"/>
                <w:szCs w:val="24"/>
              </w:rPr>
              <w:t xml:space="preserve">; </w:t>
            </w:r>
            <w:r w:rsidR="00DB31C7" w:rsidRPr="00A11FC0">
              <w:rPr>
                <w:rFonts w:cs="Times New Roman"/>
                <w:szCs w:val="24"/>
              </w:rPr>
              <w:t>Adebayo</w:t>
            </w:r>
            <w:r w:rsidR="006A0395">
              <w:rPr>
                <w:rFonts w:cs="Times New Roman"/>
                <w:szCs w:val="24"/>
              </w:rPr>
              <w:t xml:space="preserve"> </w:t>
            </w:r>
            <w:r w:rsidR="00DB31C7" w:rsidRPr="00A11FC0">
              <w:rPr>
                <w:rFonts w:cs="Times New Roman"/>
                <w:szCs w:val="24"/>
              </w:rPr>
              <w:t>(1991); Zubairu</w:t>
            </w:r>
            <w:r w:rsidR="006A0395">
              <w:rPr>
                <w:rFonts w:cs="Times New Roman"/>
                <w:szCs w:val="24"/>
              </w:rPr>
              <w:t xml:space="preserve"> </w:t>
            </w:r>
            <w:r w:rsidR="00DB31C7" w:rsidRPr="00A11FC0">
              <w:rPr>
                <w:rFonts w:cs="Times New Roman"/>
                <w:szCs w:val="24"/>
              </w:rPr>
              <w:t>(2000)</w:t>
            </w:r>
          </w:p>
        </w:tc>
      </w:tr>
      <w:tr w:rsidR="00A364F4" w:rsidRPr="00A11FC0" w14:paraId="110EAB1C" w14:textId="77777777" w:rsidTr="004E5E4D">
        <w:tc>
          <w:tcPr>
            <w:tcW w:w="1885" w:type="dxa"/>
          </w:tcPr>
          <w:p w14:paraId="3BD0A194" w14:textId="77777777" w:rsidR="00A364F4" w:rsidRPr="00A11FC0" w:rsidRDefault="00000000" w:rsidP="004E5E4D">
            <w:pPr>
              <w:spacing w:after="240"/>
              <w:jc w:val="left"/>
              <w:rPr>
                <w:rFonts w:cs="Times New Roman"/>
                <w:szCs w:val="24"/>
              </w:rPr>
            </w:pPr>
            <w:r w:rsidRPr="00A11FC0">
              <w:rPr>
                <w:rFonts w:cs="Times New Roman"/>
                <w:szCs w:val="24"/>
              </w:rPr>
              <w:t>The measurement gap</w:t>
            </w:r>
          </w:p>
        </w:tc>
        <w:tc>
          <w:tcPr>
            <w:tcW w:w="5220" w:type="dxa"/>
          </w:tcPr>
          <w:p w14:paraId="4DD36C41" w14:textId="77777777" w:rsidR="00A364F4" w:rsidRPr="00A11FC0" w:rsidRDefault="00000000" w:rsidP="00402991">
            <w:pPr>
              <w:spacing w:after="240"/>
              <w:rPr>
                <w:rFonts w:cs="Times New Roman"/>
                <w:szCs w:val="24"/>
              </w:rPr>
            </w:pPr>
            <w:r w:rsidRPr="00A11FC0">
              <w:rPr>
                <w:rFonts w:cs="Times New Roman"/>
                <w:szCs w:val="24"/>
              </w:rPr>
              <w:t>Quantitative reliability and cost indicators and CMMS data are absent from the Nigerian record.</w:t>
            </w:r>
          </w:p>
        </w:tc>
        <w:tc>
          <w:tcPr>
            <w:tcW w:w="2255" w:type="dxa"/>
          </w:tcPr>
          <w:p w14:paraId="42ECCA03" w14:textId="77777777" w:rsidR="00A364F4" w:rsidRPr="00A11FC0" w:rsidRDefault="00000000" w:rsidP="00402991">
            <w:pPr>
              <w:spacing w:after="240"/>
              <w:rPr>
                <w:rFonts w:cs="Times New Roman"/>
                <w:szCs w:val="24"/>
              </w:rPr>
            </w:pPr>
            <w:r w:rsidRPr="00A11FC0">
              <w:rPr>
                <w:rFonts w:cs="Times New Roman"/>
                <w:szCs w:val="24"/>
              </w:rPr>
              <w:t>Author synthesis; contrast with BSI (2022)</w:t>
            </w:r>
          </w:p>
        </w:tc>
      </w:tr>
      <w:tr w:rsidR="00A364F4" w:rsidRPr="00A11FC0" w14:paraId="486DB8ED" w14:textId="77777777" w:rsidTr="004E5E4D">
        <w:tc>
          <w:tcPr>
            <w:tcW w:w="1885" w:type="dxa"/>
          </w:tcPr>
          <w:p w14:paraId="7AC718BA" w14:textId="77777777" w:rsidR="00A364F4" w:rsidRPr="00A11FC0" w:rsidRDefault="00000000" w:rsidP="004E5E4D">
            <w:pPr>
              <w:spacing w:after="240"/>
              <w:jc w:val="left"/>
              <w:rPr>
                <w:rFonts w:cs="Times New Roman"/>
                <w:szCs w:val="24"/>
              </w:rPr>
            </w:pPr>
            <w:r w:rsidRPr="00A11FC0">
              <w:rPr>
                <w:rFonts w:cs="Times New Roman"/>
                <w:szCs w:val="24"/>
              </w:rPr>
              <w:t>Life-safety stakes</w:t>
            </w:r>
          </w:p>
        </w:tc>
        <w:tc>
          <w:tcPr>
            <w:tcW w:w="5220" w:type="dxa"/>
          </w:tcPr>
          <w:p w14:paraId="430C8351" w14:textId="77777777" w:rsidR="00A364F4" w:rsidRPr="00A11FC0" w:rsidRDefault="00000000" w:rsidP="00402991">
            <w:pPr>
              <w:spacing w:after="240"/>
              <w:rPr>
                <w:rFonts w:cs="Times New Roman"/>
                <w:szCs w:val="24"/>
              </w:rPr>
            </w:pPr>
            <w:r w:rsidRPr="00A11FC0">
              <w:rPr>
                <w:rFonts w:cs="Times New Roman"/>
                <w:szCs w:val="24"/>
              </w:rPr>
              <w:t>Lagos concentrates national building failure; poor maintenance culture is implicated alongside subsidence and material defects.</w:t>
            </w:r>
          </w:p>
        </w:tc>
        <w:tc>
          <w:tcPr>
            <w:tcW w:w="2255" w:type="dxa"/>
          </w:tcPr>
          <w:p w14:paraId="52169C0E" w14:textId="706C62D8" w:rsidR="00A364F4" w:rsidRPr="00A11FC0" w:rsidRDefault="00000000" w:rsidP="00402991">
            <w:pPr>
              <w:spacing w:after="240"/>
              <w:rPr>
                <w:rFonts w:cs="Times New Roman"/>
                <w:szCs w:val="24"/>
              </w:rPr>
            </w:pPr>
            <w:r w:rsidRPr="00A11FC0">
              <w:rPr>
                <w:rFonts w:cs="Times New Roman"/>
                <w:szCs w:val="24"/>
              </w:rPr>
              <w:t xml:space="preserve">Ohenhen &amp; Shirzaei (2022); </w:t>
            </w:r>
            <w:r w:rsidR="00DB31C7" w:rsidRPr="00A11FC0">
              <w:rPr>
                <w:rFonts w:cs="Times New Roman"/>
                <w:szCs w:val="24"/>
              </w:rPr>
              <w:t xml:space="preserve">Ede (2010); </w:t>
            </w:r>
            <w:r w:rsidRPr="00A11FC0">
              <w:rPr>
                <w:rFonts w:cs="Times New Roman"/>
                <w:szCs w:val="24"/>
              </w:rPr>
              <w:t>Daily Trust (2025); This Day (2024); Adetunji et al. (2018)</w:t>
            </w:r>
          </w:p>
        </w:tc>
      </w:tr>
    </w:tbl>
    <w:p w14:paraId="345C2EE5" w14:textId="15851CDB" w:rsidR="00A364F4" w:rsidRPr="004E5E4D" w:rsidRDefault="00000000" w:rsidP="00402991">
      <w:pPr>
        <w:spacing w:before="60" w:after="240"/>
        <w:rPr>
          <w:rFonts w:cs="Times New Roman"/>
          <w:i/>
          <w:iCs/>
          <w:szCs w:val="24"/>
        </w:rPr>
      </w:pPr>
      <w:r w:rsidRPr="004E5E4D">
        <w:rPr>
          <w:rFonts w:cs="Times New Roman"/>
          <w:i/>
          <w:iCs/>
          <w:szCs w:val="24"/>
        </w:rPr>
        <w:t>Note</w:t>
      </w:r>
      <w:r w:rsidR="004E5E4D">
        <w:rPr>
          <w:rFonts w:cs="Times New Roman"/>
          <w:i/>
          <w:iCs/>
          <w:szCs w:val="24"/>
        </w:rPr>
        <w:t>:</w:t>
      </w:r>
      <w:r w:rsidRPr="004E5E4D">
        <w:rPr>
          <w:rFonts w:cs="Times New Roman"/>
          <w:i/>
          <w:iCs/>
          <w:szCs w:val="24"/>
        </w:rPr>
        <w:t xml:space="preserve"> Compiled by author from the 21 included sources.</w:t>
      </w:r>
    </w:p>
    <w:p w14:paraId="4F7FD604" w14:textId="793DEE1F" w:rsidR="00A364F4" w:rsidRPr="00A11FC0" w:rsidRDefault="006A0395" w:rsidP="00402991">
      <w:pPr>
        <w:pStyle w:val="Heading2"/>
        <w:spacing w:after="240"/>
        <w:rPr>
          <w:rFonts w:cs="Times New Roman"/>
        </w:rPr>
      </w:pPr>
      <w:r>
        <w:rPr>
          <w:rFonts w:cs="Times New Roman"/>
        </w:rPr>
        <w:t xml:space="preserve">3.2 </w:t>
      </w:r>
      <w:r w:rsidRPr="00A11FC0">
        <w:rPr>
          <w:rFonts w:cs="Times New Roman"/>
        </w:rPr>
        <w:t xml:space="preserve">The </w:t>
      </w:r>
      <w:r w:rsidR="004E5E4D" w:rsidRPr="00A11FC0">
        <w:rPr>
          <w:rFonts w:cs="Times New Roman"/>
        </w:rPr>
        <w:t xml:space="preserve">International Architecture </w:t>
      </w:r>
      <w:r w:rsidRPr="00A11FC0">
        <w:rPr>
          <w:rFonts w:cs="Times New Roman"/>
        </w:rPr>
        <w:t xml:space="preserve">of </w:t>
      </w:r>
      <w:r w:rsidR="004E5E4D" w:rsidRPr="00A11FC0">
        <w:rPr>
          <w:rFonts w:cs="Times New Roman"/>
        </w:rPr>
        <w:t xml:space="preserve">Maintenance </w:t>
      </w:r>
      <w:r w:rsidRPr="00A11FC0">
        <w:rPr>
          <w:rFonts w:cs="Times New Roman"/>
        </w:rPr>
        <w:t>KPIs</w:t>
      </w:r>
    </w:p>
    <w:p w14:paraId="76423496" w14:textId="77777777" w:rsidR="00A364F4" w:rsidRPr="00A11FC0" w:rsidRDefault="00000000" w:rsidP="004E5E4D">
      <w:pPr>
        <w:spacing w:after="240" w:line="300" w:lineRule="auto"/>
        <w:rPr>
          <w:rFonts w:cs="Times New Roman"/>
          <w:szCs w:val="24"/>
        </w:rPr>
      </w:pPr>
      <w:r w:rsidRPr="00A11FC0">
        <w:rPr>
          <w:rFonts w:cs="Times New Roman"/>
          <w:szCs w:val="24"/>
        </w:rPr>
        <w:t>The standards literature offers a settled answer to the first research question. Maintenance performance is measured through three indicator families. Economic indicators capture the cost and value consequences of maintenance; technical indicators capture the physical reliability and condition of assets; and organisational indicators capture the maturity of the maintenance process (British Standards Institution, 2022). Within the technical family, two reliability metrics recur as near-universal: mean time between failures, which expresses how long an asset runs before failing, and mean time to repair, which expresses how quickly service is restored. Read together, a high mean time between failures with a low mean time to repair signals a healthy regime, while the reverse signals a deteriorating one (Oxmaint, 2025). Mature programmes balance reactive, proactive, and predictive indicators rather than optimising a single number, and facilities-management standards add a service dimension, extending assessment to occupant satisfaction and the quality of the maintenance service itself (International Organization for Standardization, 2018). This architecture supplies the scaffolding against which the Nigerian evidence can be read.</w:t>
      </w:r>
    </w:p>
    <w:p w14:paraId="64E8563A" w14:textId="614B373A" w:rsidR="00A364F4" w:rsidRPr="00A11FC0" w:rsidRDefault="006A0395" w:rsidP="00402991">
      <w:pPr>
        <w:pStyle w:val="Heading2"/>
        <w:spacing w:after="240"/>
        <w:rPr>
          <w:rFonts w:cs="Times New Roman"/>
        </w:rPr>
      </w:pPr>
      <w:r>
        <w:rPr>
          <w:rFonts w:cs="Times New Roman"/>
        </w:rPr>
        <w:t xml:space="preserve">3.3 </w:t>
      </w:r>
      <w:r w:rsidRPr="00A11FC0">
        <w:rPr>
          <w:rFonts w:cs="Times New Roman"/>
        </w:rPr>
        <w:t xml:space="preserve">How Lagos </w:t>
      </w:r>
      <w:r w:rsidR="004E5E4D" w:rsidRPr="00A11FC0">
        <w:rPr>
          <w:rFonts w:cs="Times New Roman"/>
        </w:rPr>
        <w:t xml:space="preserve">Assesses Maintenance </w:t>
      </w:r>
      <w:r w:rsidRPr="00A11FC0">
        <w:rPr>
          <w:rFonts w:cs="Times New Roman"/>
        </w:rPr>
        <w:t xml:space="preserve">in </w:t>
      </w:r>
      <w:r w:rsidR="004E5E4D" w:rsidRPr="00A11FC0">
        <w:rPr>
          <w:rFonts w:cs="Times New Roman"/>
        </w:rPr>
        <w:t>Practice</w:t>
      </w:r>
    </w:p>
    <w:p w14:paraId="4040D31A" w14:textId="77777777" w:rsidR="00A364F4" w:rsidRPr="00A11FC0" w:rsidRDefault="00000000" w:rsidP="004E5E4D">
      <w:pPr>
        <w:spacing w:after="240" w:line="300" w:lineRule="auto"/>
        <w:rPr>
          <w:rFonts w:cs="Times New Roman"/>
          <w:szCs w:val="24"/>
        </w:rPr>
      </w:pPr>
      <w:r w:rsidRPr="00A11FC0">
        <w:rPr>
          <w:rFonts w:cs="Times New Roman"/>
          <w:szCs w:val="24"/>
        </w:rPr>
        <w:t xml:space="preserve">Against that scaffolding, the Nigerian and Lagos evidence answers the second research question in a strikingly narrow register. Assessment is conducted almost entirely through perception, and the perceptions converge. The single most consistent finding across the corpus is that the absence of preventive maintenance is the dominant impairment of building condition. In a users-perspective study, lack of preventive maintenance ranked first with a relative importance index of 0.84, ahead of faulty workmanship (0.80), design resolution (0.79), and substandard materials </w:t>
      </w:r>
      <w:r w:rsidRPr="00A11FC0">
        <w:rPr>
          <w:rFonts w:cs="Times New Roman"/>
          <w:szCs w:val="24"/>
        </w:rPr>
        <w:lastRenderedPageBreak/>
        <w:t>(0.76) (Waziri &amp; Vanduhe, 2013). In an independent Lagos office-building study analysing the responses of 216 estate-management professionals, the same factor ranked first on a relative severity index at 0.685, ahead of vandalism (0.677) and shifting values and modernisation (0.662), with shortage of skilled professionals ranked least at 0.46 (Fateye et al., 2022). That two separate samples, using two different indices, place the same factor at the top is the firmest single result in the literature.</w:t>
      </w:r>
    </w:p>
    <w:p w14:paraId="11EF52BB" w14:textId="7A3CB9BD" w:rsidR="00A364F4" w:rsidRPr="00A11FC0" w:rsidRDefault="00000000" w:rsidP="00C10E61">
      <w:pPr>
        <w:spacing w:after="240" w:line="300" w:lineRule="auto"/>
        <w:rPr>
          <w:rFonts w:cs="Times New Roman"/>
          <w:szCs w:val="24"/>
        </w:rPr>
      </w:pPr>
      <w:r w:rsidRPr="00A11FC0">
        <w:rPr>
          <w:rFonts w:cs="Times New Roman"/>
          <w:szCs w:val="24"/>
        </w:rPr>
        <w:t>A paradox sits beneath this convergence. Although preventive maintenance is recognised as the most effective strategy, the strategies actually practised are predominantly corrective and emergency in nature, and facilities-management practice in Lagos is described as constrained by top-management, human-resource, and technical problems (</w:t>
      </w:r>
      <w:r w:rsidR="00DB31C7" w:rsidRPr="00A11FC0">
        <w:rPr>
          <w:rFonts w:cs="Times New Roman"/>
          <w:szCs w:val="24"/>
        </w:rPr>
        <w:t>Adenuga &amp; Iyagba, 2005</w:t>
      </w:r>
      <w:r w:rsidRPr="00A11FC0">
        <w:rPr>
          <w:rFonts w:cs="Times New Roman"/>
          <w:szCs w:val="24"/>
        </w:rPr>
        <w:t>). Funding is the binding constraint that sustains the paradox: insufficiency of funds for the maintenance programme ranked among the most significant factors in an assessment of Lagos public hospital buildings, whose operational state was rated only average by both maintenance officers and users (Adenuga et al., 2007), and chronic budget shortfalls recur in studies of tertiary-institution buildings (Aghimien et al., 2019; Osuya et al., 2023). Where assessment moves beyond factors to project outcomes, the determinants are organisational rather than physical: maintenance-project success in Lagos was found to rest on team integration and knowledge transfer, planning and control, communication among stakeholders, and quality and risk control (Abisuga et al., 2017). Across these studies, condition is judged through human perception and varies with sector and funding model rather than through any standardised technical index.</w:t>
      </w:r>
    </w:p>
    <w:p w14:paraId="254591F3" w14:textId="2E27E066" w:rsidR="00A364F4" w:rsidRPr="00A11FC0" w:rsidRDefault="006A0395" w:rsidP="00402991">
      <w:pPr>
        <w:pStyle w:val="Heading2"/>
        <w:spacing w:after="240"/>
        <w:rPr>
          <w:rFonts w:cs="Times New Roman"/>
        </w:rPr>
      </w:pPr>
      <w:r>
        <w:rPr>
          <w:rFonts w:cs="Times New Roman"/>
        </w:rPr>
        <w:t xml:space="preserve">3.4 </w:t>
      </w:r>
      <w:r w:rsidRPr="00A11FC0">
        <w:rPr>
          <w:rFonts w:cs="Times New Roman"/>
        </w:rPr>
        <w:t xml:space="preserve">The </w:t>
      </w:r>
      <w:r w:rsidR="004E5E4D" w:rsidRPr="00A11FC0">
        <w:rPr>
          <w:rFonts w:cs="Times New Roman"/>
        </w:rPr>
        <w:t>Measurement Gap</w:t>
      </w:r>
    </w:p>
    <w:p w14:paraId="78FCCBB9" w14:textId="4C5B101B" w:rsidR="00A364F4" w:rsidRPr="00A11FC0" w:rsidRDefault="00000000" w:rsidP="00C10E61">
      <w:pPr>
        <w:spacing w:after="240" w:line="300" w:lineRule="auto"/>
        <w:rPr>
          <w:rFonts w:cs="Times New Roman"/>
          <w:szCs w:val="24"/>
        </w:rPr>
      </w:pPr>
      <w:r w:rsidRPr="00A11FC0">
        <w:rPr>
          <w:rFonts w:cs="Times New Roman"/>
          <w:szCs w:val="24"/>
        </w:rPr>
        <w:t>The contrast between the international architecture and the Lagos practice exposes the central deficiency. The reliability and cost indicators that anchor the standards, namely mean time between failures, mean time to repair, availability, planned-to-emergency cost ratios, and condition indices, are effectively absent from the Nigerian record, and computerised maintenance management systems that would generate such data are not reported in the reviewed studies. Maintenance in Lagos is therefore assessed through lagging, perception-based judgements made after deterioration is already visible, rather than through leading indicators capable of anticipating failure. In a city where failure can be fatal, this is not a stylistic preference but a structural weakness in how maintenance is governed (</w:t>
      </w:r>
      <w:r w:rsidR="00DB31C7" w:rsidRPr="00A11FC0">
        <w:rPr>
          <w:rFonts w:cs="Times New Roman"/>
          <w:szCs w:val="24"/>
        </w:rPr>
        <w:t xml:space="preserve">Ede, 2010; </w:t>
      </w:r>
      <w:r w:rsidRPr="00A11FC0">
        <w:rPr>
          <w:rFonts w:cs="Times New Roman"/>
          <w:szCs w:val="24"/>
        </w:rPr>
        <w:t>Ohenhen &amp; Shirzaei, 2022).</w:t>
      </w:r>
    </w:p>
    <w:p w14:paraId="15207E1B" w14:textId="150C73C1" w:rsidR="00A364F4" w:rsidRPr="00A11FC0" w:rsidRDefault="006A0395" w:rsidP="00402991">
      <w:pPr>
        <w:pStyle w:val="Heading2"/>
        <w:spacing w:after="240"/>
        <w:rPr>
          <w:rFonts w:cs="Times New Roman"/>
        </w:rPr>
      </w:pPr>
      <w:r>
        <w:rPr>
          <w:rFonts w:cs="Times New Roman"/>
        </w:rPr>
        <w:t xml:space="preserve">3.5 </w:t>
      </w:r>
      <w:r w:rsidRPr="00A11FC0">
        <w:rPr>
          <w:rFonts w:cs="Times New Roman"/>
        </w:rPr>
        <w:t xml:space="preserve">KPI </w:t>
      </w:r>
      <w:r w:rsidR="004E5E4D" w:rsidRPr="00A11FC0">
        <w:rPr>
          <w:rFonts w:cs="Times New Roman"/>
        </w:rPr>
        <w:t xml:space="preserve">Framework </w:t>
      </w:r>
      <w:r w:rsidRPr="00A11FC0">
        <w:rPr>
          <w:rFonts w:cs="Times New Roman"/>
        </w:rPr>
        <w:t>for Lagos</w:t>
      </w:r>
    </w:p>
    <w:p w14:paraId="1A929C11" w14:textId="77777777" w:rsidR="00A364F4" w:rsidRPr="00A11FC0" w:rsidRDefault="00000000" w:rsidP="00C10E61">
      <w:pPr>
        <w:spacing w:after="240" w:line="300" w:lineRule="auto"/>
        <w:rPr>
          <w:rFonts w:cs="Times New Roman"/>
          <w:szCs w:val="24"/>
        </w:rPr>
      </w:pPr>
      <w:r w:rsidRPr="00A11FC0">
        <w:rPr>
          <w:rFonts w:cs="Times New Roman"/>
          <w:szCs w:val="24"/>
        </w:rPr>
        <w:t xml:space="preserve">Answering the third research question requires consolidating the validated local factors with the international indicator families into a single instrument. The review proposes a four-tier framework, set out in </w:t>
      </w:r>
      <w:r w:rsidRPr="00C10E61">
        <w:rPr>
          <w:rFonts w:cs="Times New Roman"/>
          <w:i/>
          <w:iCs/>
          <w:szCs w:val="24"/>
        </w:rPr>
        <w:t>Table 3</w:t>
      </w:r>
      <w:r w:rsidRPr="00A11FC0">
        <w:rPr>
          <w:rFonts w:cs="Times New Roman"/>
          <w:szCs w:val="24"/>
        </w:rPr>
        <w:t xml:space="preserve">, that maps each tier of indicators to what it assesses and to the </w:t>
      </w:r>
      <w:r w:rsidRPr="00A11FC0">
        <w:rPr>
          <w:rFonts w:cs="Times New Roman"/>
          <w:szCs w:val="24"/>
        </w:rPr>
        <w:lastRenderedPageBreak/>
        <w:t>evidence that grounds it. The technical tier converts the perception-ranked physical factors into measurable form through a building condition index, element-level defect frequencies, reliability metrics for critical services such as lifts and electrical and water systems, service availability, and structural-audit compliance. The economic tier renders the funding constraint measurable through maintenance spend as a share of asset value, the ratio of planned to emergency expenditure, and the alignment of budget with assessed need. The organisational tier operationalises the success factors and the strategy paradox through the preventive-to-corrective work ratio, work-order response and completion times, backlog, the proportion of work executed by qualified professionals, and the presence of an implemented maintenance policy. The service tier captures the occupant experience through satisfaction, complaint resolution, and first-time-fix rates. Read together, the four tiers turn a literature of diagnosed problems into a programme of measurable assessment.</w:t>
      </w:r>
    </w:p>
    <w:p w14:paraId="315AD6F4" w14:textId="03B5243A" w:rsidR="00A364F4" w:rsidRPr="00C10E61" w:rsidRDefault="00000000" w:rsidP="00C10E61">
      <w:pPr>
        <w:spacing w:before="220" w:after="240"/>
        <w:rPr>
          <w:rFonts w:cs="Times New Roman"/>
          <w:szCs w:val="24"/>
        </w:rPr>
      </w:pPr>
      <w:r w:rsidRPr="00C10E61">
        <w:rPr>
          <w:rFonts w:cs="Times New Roman"/>
          <w:b/>
          <w:bCs/>
          <w:szCs w:val="24"/>
        </w:rPr>
        <w:t>Table 3</w:t>
      </w:r>
      <w:r w:rsidR="00C10E61" w:rsidRPr="00C10E61">
        <w:rPr>
          <w:rFonts w:cs="Times New Roman"/>
          <w:szCs w:val="24"/>
        </w:rPr>
        <w:t xml:space="preserve">: </w:t>
      </w:r>
      <w:r w:rsidRPr="00C10E61">
        <w:rPr>
          <w:rFonts w:cs="Times New Roman"/>
          <w:szCs w:val="24"/>
        </w:rPr>
        <w:t xml:space="preserve">Proposed </w:t>
      </w:r>
      <w:r w:rsidR="00C10E61" w:rsidRPr="00C10E61">
        <w:rPr>
          <w:rFonts w:cs="Times New Roman"/>
          <w:szCs w:val="24"/>
        </w:rPr>
        <w:t xml:space="preserve">Four-Tier </w:t>
      </w:r>
      <w:r w:rsidRPr="00C10E61">
        <w:rPr>
          <w:rFonts w:cs="Times New Roman"/>
          <w:szCs w:val="24"/>
        </w:rPr>
        <w:t xml:space="preserve">KPI </w:t>
      </w:r>
      <w:r w:rsidR="00C10E61" w:rsidRPr="00C10E61">
        <w:rPr>
          <w:rFonts w:cs="Times New Roman"/>
          <w:szCs w:val="24"/>
        </w:rPr>
        <w:t xml:space="preserve">Framework </w:t>
      </w:r>
      <w:r w:rsidR="00C10E61">
        <w:rPr>
          <w:rFonts w:cs="Times New Roman"/>
          <w:szCs w:val="24"/>
        </w:rPr>
        <w:t>f</w:t>
      </w:r>
      <w:r w:rsidR="00C10E61" w:rsidRPr="00C10E61">
        <w:rPr>
          <w:rFonts w:cs="Times New Roman"/>
          <w:szCs w:val="24"/>
        </w:rPr>
        <w:t xml:space="preserve">or Building Maintenance Assessment </w:t>
      </w:r>
      <w:r w:rsidRPr="00C10E61">
        <w:rPr>
          <w:rFonts w:cs="Times New Roman"/>
          <w:szCs w:val="24"/>
        </w:rPr>
        <w:t>in Lagos</w:t>
      </w:r>
    </w:p>
    <w:tbl>
      <w:tblPr>
        <w:tblStyle w:val="TableGrid"/>
        <w:tblW w:w="9365" w:type="dxa"/>
        <w:tblInd w:w="-5" w:type="dxa"/>
        <w:tblLayout w:type="fixed"/>
        <w:tblLook w:val="0000" w:firstRow="0" w:lastRow="0" w:firstColumn="0" w:lastColumn="0" w:noHBand="0" w:noVBand="0"/>
      </w:tblPr>
      <w:tblGrid>
        <w:gridCol w:w="1440"/>
        <w:gridCol w:w="4050"/>
        <w:gridCol w:w="1992"/>
        <w:gridCol w:w="1883"/>
      </w:tblGrid>
      <w:tr w:rsidR="00A364F4" w:rsidRPr="00A11FC0" w14:paraId="3733FC05" w14:textId="77777777" w:rsidTr="00C10E61">
        <w:tc>
          <w:tcPr>
            <w:tcW w:w="1440" w:type="dxa"/>
          </w:tcPr>
          <w:p w14:paraId="04F51BAC" w14:textId="12A5DD7E" w:rsidR="00A364F4" w:rsidRPr="00A11FC0" w:rsidRDefault="00000000" w:rsidP="006A0395">
            <w:pPr>
              <w:spacing w:after="240"/>
              <w:jc w:val="left"/>
              <w:rPr>
                <w:rFonts w:cs="Times New Roman"/>
                <w:szCs w:val="24"/>
              </w:rPr>
            </w:pPr>
            <w:r w:rsidRPr="00A11FC0">
              <w:rPr>
                <w:rFonts w:cs="Times New Roman"/>
                <w:b/>
                <w:bCs/>
                <w:szCs w:val="24"/>
              </w:rPr>
              <w:t xml:space="preserve">KPI </w:t>
            </w:r>
            <w:r w:rsidR="00C10E61" w:rsidRPr="00A11FC0">
              <w:rPr>
                <w:rFonts w:cs="Times New Roman"/>
                <w:b/>
                <w:bCs/>
                <w:szCs w:val="24"/>
              </w:rPr>
              <w:t>Tier</w:t>
            </w:r>
          </w:p>
        </w:tc>
        <w:tc>
          <w:tcPr>
            <w:tcW w:w="4050" w:type="dxa"/>
          </w:tcPr>
          <w:p w14:paraId="4A333E78" w14:textId="23A6312E" w:rsidR="00A364F4" w:rsidRPr="00A11FC0" w:rsidRDefault="00000000" w:rsidP="00C10E61">
            <w:pPr>
              <w:spacing w:after="240"/>
              <w:jc w:val="center"/>
              <w:rPr>
                <w:rFonts w:cs="Times New Roman"/>
                <w:szCs w:val="24"/>
              </w:rPr>
            </w:pPr>
            <w:r w:rsidRPr="00A11FC0">
              <w:rPr>
                <w:rFonts w:cs="Times New Roman"/>
                <w:b/>
                <w:bCs/>
                <w:szCs w:val="24"/>
              </w:rPr>
              <w:t xml:space="preserve">Representative </w:t>
            </w:r>
            <w:r w:rsidR="00C10E61" w:rsidRPr="00A11FC0">
              <w:rPr>
                <w:rFonts w:cs="Times New Roman"/>
                <w:b/>
                <w:bCs/>
                <w:szCs w:val="24"/>
              </w:rPr>
              <w:t>Indicators</w:t>
            </w:r>
          </w:p>
        </w:tc>
        <w:tc>
          <w:tcPr>
            <w:tcW w:w="1992" w:type="dxa"/>
          </w:tcPr>
          <w:p w14:paraId="2AF06925" w14:textId="04263DBF" w:rsidR="00A364F4" w:rsidRPr="00A11FC0" w:rsidRDefault="00000000" w:rsidP="00C10E61">
            <w:pPr>
              <w:spacing w:after="240"/>
              <w:jc w:val="center"/>
              <w:rPr>
                <w:rFonts w:cs="Times New Roman"/>
                <w:szCs w:val="24"/>
              </w:rPr>
            </w:pPr>
            <w:r w:rsidRPr="00A11FC0">
              <w:rPr>
                <w:rFonts w:cs="Times New Roman"/>
                <w:b/>
                <w:bCs/>
                <w:szCs w:val="24"/>
              </w:rPr>
              <w:t xml:space="preserve">What </w:t>
            </w:r>
            <w:r w:rsidR="00C10E61" w:rsidRPr="00A11FC0">
              <w:rPr>
                <w:rFonts w:cs="Times New Roman"/>
                <w:b/>
                <w:bCs/>
                <w:szCs w:val="24"/>
              </w:rPr>
              <w:t>It Assesses</w:t>
            </w:r>
          </w:p>
        </w:tc>
        <w:tc>
          <w:tcPr>
            <w:tcW w:w="1883" w:type="dxa"/>
          </w:tcPr>
          <w:p w14:paraId="63FE8B54" w14:textId="77777777" w:rsidR="00A364F4" w:rsidRPr="00A11FC0" w:rsidRDefault="00000000" w:rsidP="00C10E61">
            <w:pPr>
              <w:spacing w:after="240"/>
              <w:jc w:val="center"/>
              <w:rPr>
                <w:rFonts w:cs="Times New Roman"/>
                <w:szCs w:val="24"/>
              </w:rPr>
            </w:pPr>
            <w:r w:rsidRPr="00A11FC0">
              <w:rPr>
                <w:rFonts w:cs="Times New Roman"/>
                <w:b/>
                <w:bCs/>
                <w:szCs w:val="24"/>
              </w:rPr>
              <w:t>Grounding</w:t>
            </w:r>
          </w:p>
        </w:tc>
      </w:tr>
      <w:tr w:rsidR="00A364F4" w:rsidRPr="00A11FC0" w14:paraId="32938B71" w14:textId="77777777" w:rsidTr="00C10E61">
        <w:tc>
          <w:tcPr>
            <w:tcW w:w="1440" w:type="dxa"/>
          </w:tcPr>
          <w:p w14:paraId="605811DF" w14:textId="77777777" w:rsidR="00A364F4" w:rsidRPr="00A11FC0" w:rsidRDefault="00000000" w:rsidP="006A0395">
            <w:pPr>
              <w:spacing w:after="240"/>
              <w:jc w:val="left"/>
              <w:rPr>
                <w:rFonts w:cs="Times New Roman"/>
                <w:szCs w:val="24"/>
              </w:rPr>
            </w:pPr>
            <w:r w:rsidRPr="00A11FC0">
              <w:rPr>
                <w:rFonts w:cs="Times New Roman"/>
                <w:szCs w:val="24"/>
              </w:rPr>
              <w:t>Technical / condition</w:t>
            </w:r>
          </w:p>
        </w:tc>
        <w:tc>
          <w:tcPr>
            <w:tcW w:w="4050" w:type="dxa"/>
          </w:tcPr>
          <w:p w14:paraId="2DB291D9" w14:textId="77777777" w:rsidR="00A364F4" w:rsidRPr="00A11FC0" w:rsidRDefault="00000000" w:rsidP="00402991">
            <w:pPr>
              <w:spacing w:after="240"/>
              <w:rPr>
                <w:rFonts w:cs="Times New Roman"/>
                <w:szCs w:val="24"/>
              </w:rPr>
            </w:pPr>
            <w:r w:rsidRPr="00A11FC0">
              <w:rPr>
                <w:rFonts w:cs="Times New Roman"/>
                <w:szCs w:val="24"/>
              </w:rPr>
              <w:t>Building condition index; defect frequency by element (electrical, joinery, ceilings, roofing); mean time between failures and mean time to repair for critical services; service availability; structural-audit compliance</w:t>
            </w:r>
          </w:p>
        </w:tc>
        <w:tc>
          <w:tcPr>
            <w:tcW w:w="1992" w:type="dxa"/>
          </w:tcPr>
          <w:p w14:paraId="3691F2A5" w14:textId="77777777" w:rsidR="00A364F4" w:rsidRPr="00A11FC0" w:rsidRDefault="00000000" w:rsidP="00402991">
            <w:pPr>
              <w:spacing w:after="240"/>
              <w:rPr>
                <w:rFonts w:cs="Times New Roman"/>
                <w:szCs w:val="24"/>
              </w:rPr>
            </w:pPr>
            <w:r w:rsidRPr="00A11FC0">
              <w:rPr>
                <w:rFonts w:cs="Times New Roman"/>
                <w:szCs w:val="24"/>
              </w:rPr>
              <w:t>Physical state and reliability of the building and its services</w:t>
            </w:r>
          </w:p>
        </w:tc>
        <w:tc>
          <w:tcPr>
            <w:tcW w:w="1883" w:type="dxa"/>
          </w:tcPr>
          <w:p w14:paraId="1816825B" w14:textId="4B794996" w:rsidR="00A364F4" w:rsidRPr="00A11FC0" w:rsidRDefault="00000000" w:rsidP="00402991">
            <w:pPr>
              <w:spacing w:after="240"/>
              <w:rPr>
                <w:rFonts w:cs="Times New Roman"/>
                <w:szCs w:val="24"/>
              </w:rPr>
            </w:pPr>
            <w:r w:rsidRPr="00A11FC0">
              <w:rPr>
                <w:rFonts w:cs="Times New Roman"/>
                <w:szCs w:val="24"/>
              </w:rPr>
              <w:t>BSI (2022); Waziri &amp; Vanduhe (2013); Ohenhen &amp; Shirzaei (2022)</w:t>
            </w:r>
            <w:r w:rsidR="00DB31C7" w:rsidRPr="00A11FC0">
              <w:rPr>
                <w:rFonts w:cs="Times New Roman"/>
                <w:szCs w:val="24"/>
              </w:rPr>
              <w:t>; Ede (2010)</w:t>
            </w:r>
          </w:p>
        </w:tc>
      </w:tr>
      <w:tr w:rsidR="00A364F4" w:rsidRPr="00A11FC0" w14:paraId="59119A33" w14:textId="77777777" w:rsidTr="00C10E61">
        <w:tc>
          <w:tcPr>
            <w:tcW w:w="1440" w:type="dxa"/>
          </w:tcPr>
          <w:p w14:paraId="6159323C" w14:textId="77777777" w:rsidR="00A364F4" w:rsidRPr="00A11FC0" w:rsidRDefault="00000000" w:rsidP="006A0395">
            <w:pPr>
              <w:spacing w:after="240"/>
              <w:jc w:val="left"/>
              <w:rPr>
                <w:rFonts w:cs="Times New Roman"/>
                <w:szCs w:val="24"/>
              </w:rPr>
            </w:pPr>
            <w:r w:rsidRPr="00A11FC0">
              <w:rPr>
                <w:rFonts w:cs="Times New Roman"/>
                <w:szCs w:val="24"/>
              </w:rPr>
              <w:t>Economic / financial</w:t>
            </w:r>
          </w:p>
        </w:tc>
        <w:tc>
          <w:tcPr>
            <w:tcW w:w="4050" w:type="dxa"/>
          </w:tcPr>
          <w:p w14:paraId="35E90CE0" w14:textId="77777777" w:rsidR="00A364F4" w:rsidRPr="00A11FC0" w:rsidRDefault="00000000" w:rsidP="00402991">
            <w:pPr>
              <w:spacing w:after="240"/>
              <w:rPr>
                <w:rFonts w:cs="Times New Roman"/>
                <w:szCs w:val="24"/>
              </w:rPr>
            </w:pPr>
            <w:r w:rsidRPr="00A11FC0">
              <w:rPr>
                <w:rFonts w:cs="Times New Roman"/>
                <w:szCs w:val="24"/>
              </w:rPr>
              <w:t>Maintenance spend as a percentage of asset replacement value; planned-to-emergency cost ratio; budget-to-requirement ratio; life-cycle maintenance cost per square metre</w:t>
            </w:r>
          </w:p>
        </w:tc>
        <w:tc>
          <w:tcPr>
            <w:tcW w:w="1992" w:type="dxa"/>
          </w:tcPr>
          <w:p w14:paraId="489FC87D" w14:textId="77777777" w:rsidR="00A364F4" w:rsidRPr="00A11FC0" w:rsidRDefault="00000000" w:rsidP="00402991">
            <w:pPr>
              <w:spacing w:after="240"/>
              <w:rPr>
                <w:rFonts w:cs="Times New Roman"/>
                <w:szCs w:val="24"/>
              </w:rPr>
            </w:pPr>
            <w:r w:rsidRPr="00A11FC0">
              <w:rPr>
                <w:rFonts w:cs="Times New Roman"/>
                <w:szCs w:val="24"/>
              </w:rPr>
              <w:t>Efficiency and adequacy of maintenance funding</w:t>
            </w:r>
          </w:p>
        </w:tc>
        <w:tc>
          <w:tcPr>
            <w:tcW w:w="1883" w:type="dxa"/>
          </w:tcPr>
          <w:p w14:paraId="34DB3874" w14:textId="77777777" w:rsidR="00A364F4" w:rsidRPr="00A11FC0" w:rsidRDefault="00000000" w:rsidP="00402991">
            <w:pPr>
              <w:spacing w:after="240"/>
              <w:rPr>
                <w:rFonts w:cs="Times New Roman"/>
                <w:szCs w:val="24"/>
              </w:rPr>
            </w:pPr>
            <w:r w:rsidRPr="00A11FC0">
              <w:rPr>
                <w:rFonts w:cs="Times New Roman"/>
                <w:szCs w:val="24"/>
              </w:rPr>
              <w:t>BSI (2022); Adenuga et al. (2007)</w:t>
            </w:r>
          </w:p>
        </w:tc>
      </w:tr>
      <w:tr w:rsidR="00A364F4" w:rsidRPr="00A11FC0" w14:paraId="040FF99D" w14:textId="77777777" w:rsidTr="00C10E61">
        <w:tc>
          <w:tcPr>
            <w:tcW w:w="1440" w:type="dxa"/>
          </w:tcPr>
          <w:p w14:paraId="13556B20" w14:textId="77777777" w:rsidR="00A364F4" w:rsidRPr="00A11FC0" w:rsidRDefault="00000000" w:rsidP="006A0395">
            <w:pPr>
              <w:spacing w:after="240"/>
              <w:jc w:val="left"/>
              <w:rPr>
                <w:rFonts w:cs="Times New Roman"/>
                <w:szCs w:val="24"/>
              </w:rPr>
            </w:pPr>
            <w:r w:rsidRPr="00A11FC0">
              <w:rPr>
                <w:rFonts w:cs="Times New Roman"/>
                <w:szCs w:val="24"/>
              </w:rPr>
              <w:t>Organisational / process</w:t>
            </w:r>
          </w:p>
        </w:tc>
        <w:tc>
          <w:tcPr>
            <w:tcW w:w="4050" w:type="dxa"/>
          </w:tcPr>
          <w:p w14:paraId="4EFB60DF" w14:textId="77777777" w:rsidR="00A364F4" w:rsidRPr="00A11FC0" w:rsidRDefault="00000000" w:rsidP="00402991">
            <w:pPr>
              <w:spacing w:after="240"/>
              <w:rPr>
                <w:rFonts w:cs="Times New Roman"/>
                <w:szCs w:val="24"/>
              </w:rPr>
            </w:pPr>
            <w:r w:rsidRPr="00A11FC0">
              <w:rPr>
                <w:rFonts w:cs="Times New Roman"/>
                <w:szCs w:val="24"/>
              </w:rPr>
              <w:t>Preventive-to-corrective work ratio; work-order response and completion time; maintenance backlog; proportion of work by qualified professionals; implemented maintenance policy</w:t>
            </w:r>
          </w:p>
        </w:tc>
        <w:tc>
          <w:tcPr>
            <w:tcW w:w="1992" w:type="dxa"/>
          </w:tcPr>
          <w:p w14:paraId="1CC03856" w14:textId="77777777" w:rsidR="00A364F4" w:rsidRPr="00A11FC0" w:rsidRDefault="00000000" w:rsidP="00402991">
            <w:pPr>
              <w:spacing w:after="240"/>
              <w:rPr>
                <w:rFonts w:cs="Times New Roman"/>
                <w:szCs w:val="24"/>
              </w:rPr>
            </w:pPr>
            <w:r w:rsidRPr="00A11FC0">
              <w:rPr>
                <w:rFonts w:cs="Times New Roman"/>
                <w:szCs w:val="24"/>
              </w:rPr>
              <w:t>Maturity and discipline of the maintenance process</w:t>
            </w:r>
          </w:p>
        </w:tc>
        <w:tc>
          <w:tcPr>
            <w:tcW w:w="1883" w:type="dxa"/>
          </w:tcPr>
          <w:p w14:paraId="153DEF3F" w14:textId="77777777" w:rsidR="00A364F4" w:rsidRPr="00A11FC0" w:rsidRDefault="00000000" w:rsidP="00402991">
            <w:pPr>
              <w:spacing w:after="240"/>
              <w:rPr>
                <w:rFonts w:cs="Times New Roman"/>
                <w:szCs w:val="24"/>
              </w:rPr>
            </w:pPr>
            <w:r w:rsidRPr="00A11FC0">
              <w:rPr>
                <w:rFonts w:cs="Times New Roman"/>
                <w:szCs w:val="24"/>
              </w:rPr>
              <w:t>Fateye et al. (2022); Abisuga et al. (2017)</w:t>
            </w:r>
          </w:p>
        </w:tc>
      </w:tr>
      <w:tr w:rsidR="00A364F4" w:rsidRPr="00A11FC0" w14:paraId="02448331" w14:textId="77777777" w:rsidTr="00C10E61">
        <w:tc>
          <w:tcPr>
            <w:tcW w:w="1440" w:type="dxa"/>
          </w:tcPr>
          <w:p w14:paraId="73E7B893" w14:textId="77777777" w:rsidR="00A364F4" w:rsidRPr="00A11FC0" w:rsidRDefault="00000000" w:rsidP="006A0395">
            <w:pPr>
              <w:spacing w:after="240"/>
              <w:jc w:val="left"/>
              <w:rPr>
                <w:rFonts w:cs="Times New Roman"/>
                <w:szCs w:val="24"/>
              </w:rPr>
            </w:pPr>
            <w:r w:rsidRPr="00A11FC0">
              <w:rPr>
                <w:rFonts w:cs="Times New Roman"/>
                <w:szCs w:val="24"/>
              </w:rPr>
              <w:t>Service / user</w:t>
            </w:r>
          </w:p>
        </w:tc>
        <w:tc>
          <w:tcPr>
            <w:tcW w:w="4050" w:type="dxa"/>
          </w:tcPr>
          <w:p w14:paraId="1BA0D69E" w14:textId="77777777" w:rsidR="00A364F4" w:rsidRPr="00A11FC0" w:rsidRDefault="00000000" w:rsidP="00402991">
            <w:pPr>
              <w:spacing w:after="240"/>
              <w:rPr>
                <w:rFonts w:cs="Times New Roman"/>
                <w:szCs w:val="24"/>
              </w:rPr>
            </w:pPr>
            <w:r w:rsidRPr="00A11FC0">
              <w:rPr>
                <w:rFonts w:cs="Times New Roman"/>
                <w:szCs w:val="24"/>
              </w:rPr>
              <w:t>User-satisfaction index; complaint-resolution rate; first-time-fix rate</w:t>
            </w:r>
          </w:p>
        </w:tc>
        <w:tc>
          <w:tcPr>
            <w:tcW w:w="1992" w:type="dxa"/>
          </w:tcPr>
          <w:p w14:paraId="04561E94" w14:textId="77777777" w:rsidR="00A364F4" w:rsidRPr="00A11FC0" w:rsidRDefault="00000000" w:rsidP="00402991">
            <w:pPr>
              <w:spacing w:after="240"/>
              <w:rPr>
                <w:rFonts w:cs="Times New Roman"/>
                <w:szCs w:val="24"/>
              </w:rPr>
            </w:pPr>
            <w:r w:rsidRPr="00A11FC0">
              <w:rPr>
                <w:rFonts w:cs="Times New Roman"/>
                <w:szCs w:val="24"/>
              </w:rPr>
              <w:t>Quality of service as experienced by occupants</w:t>
            </w:r>
          </w:p>
        </w:tc>
        <w:tc>
          <w:tcPr>
            <w:tcW w:w="1883" w:type="dxa"/>
          </w:tcPr>
          <w:p w14:paraId="76DFC990" w14:textId="77777777" w:rsidR="00A364F4" w:rsidRPr="00A11FC0" w:rsidRDefault="00000000" w:rsidP="00402991">
            <w:pPr>
              <w:spacing w:after="240"/>
              <w:rPr>
                <w:rFonts w:cs="Times New Roman"/>
                <w:szCs w:val="24"/>
              </w:rPr>
            </w:pPr>
            <w:r w:rsidRPr="00A11FC0">
              <w:rPr>
                <w:rFonts w:cs="Times New Roman"/>
                <w:szCs w:val="24"/>
              </w:rPr>
              <w:t>ISO (2018); Osuya et al. (2023)</w:t>
            </w:r>
          </w:p>
        </w:tc>
      </w:tr>
    </w:tbl>
    <w:p w14:paraId="1969953E" w14:textId="557FAD3D" w:rsidR="00A364F4" w:rsidRPr="00C10E61" w:rsidRDefault="00000000" w:rsidP="00402991">
      <w:pPr>
        <w:spacing w:before="60" w:after="240"/>
        <w:rPr>
          <w:rFonts w:cs="Times New Roman"/>
          <w:i/>
          <w:iCs/>
          <w:szCs w:val="24"/>
        </w:rPr>
      </w:pPr>
      <w:r w:rsidRPr="00C10E61">
        <w:rPr>
          <w:rFonts w:cs="Times New Roman"/>
          <w:i/>
          <w:iCs/>
          <w:szCs w:val="24"/>
        </w:rPr>
        <w:t>Note</w:t>
      </w:r>
      <w:r w:rsidR="00C10E61" w:rsidRPr="00C10E61">
        <w:rPr>
          <w:rFonts w:cs="Times New Roman"/>
          <w:i/>
          <w:iCs/>
          <w:szCs w:val="24"/>
        </w:rPr>
        <w:t>:</w:t>
      </w:r>
      <w:r w:rsidRPr="00C10E61">
        <w:rPr>
          <w:rFonts w:cs="Times New Roman"/>
          <w:i/>
          <w:iCs/>
          <w:szCs w:val="24"/>
        </w:rPr>
        <w:t xml:space="preserve"> Proposed by the author, mapping the maintenance KPI families of the British Standards Institution (2022) to factors validated in the Nigerian literature (Adenuga et al., 2007; Fateye et al., 2022; Waziri &amp; Vanduhe, 2013).</w:t>
      </w:r>
    </w:p>
    <w:p w14:paraId="028F25F9" w14:textId="0226DAB1" w:rsidR="00A364F4" w:rsidRPr="00A11FC0" w:rsidRDefault="006A0395" w:rsidP="00402991">
      <w:pPr>
        <w:pStyle w:val="Heading1"/>
        <w:spacing w:after="240"/>
        <w:rPr>
          <w:rFonts w:cs="Times New Roman"/>
          <w:szCs w:val="24"/>
        </w:rPr>
      </w:pPr>
      <w:r>
        <w:rPr>
          <w:rFonts w:cs="Times New Roman"/>
          <w:szCs w:val="24"/>
        </w:rPr>
        <w:lastRenderedPageBreak/>
        <w:t xml:space="preserve">4.0 </w:t>
      </w:r>
      <w:r w:rsidRPr="00A11FC0">
        <w:rPr>
          <w:rFonts w:cs="Times New Roman"/>
          <w:szCs w:val="24"/>
        </w:rPr>
        <w:t>Discussion</w:t>
      </w:r>
    </w:p>
    <w:p w14:paraId="48B07FA6" w14:textId="6CC2038E" w:rsidR="00A364F4" w:rsidRPr="00A11FC0" w:rsidRDefault="006A0395" w:rsidP="00402991">
      <w:pPr>
        <w:pStyle w:val="Heading2"/>
        <w:spacing w:after="240"/>
        <w:rPr>
          <w:rFonts w:cs="Times New Roman"/>
        </w:rPr>
      </w:pPr>
      <w:r>
        <w:rPr>
          <w:rFonts w:cs="Times New Roman"/>
        </w:rPr>
        <w:t xml:space="preserve">4.1 </w:t>
      </w:r>
      <w:r w:rsidRPr="00A11FC0">
        <w:rPr>
          <w:rFonts w:cs="Times New Roman"/>
        </w:rPr>
        <w:t xml:space="preserve">Principal </w:t>
      </w:r>
      <w:r w:rsidR="00C10E61" w:rsidRPr="00A11FC0">
        <w:rPr>
          <w:rFonts w:cs="Times New Roman"/>
        </w:rPr>
        <w:t>Findings</w:t>
      </w:r>
    </w:p>
    <w:p w14:paraId="361DD401" w14:textId="77777777" w:rsidR="00A364F4" w:rsidRPr="00A11FC0" w:rsidRDefault="00000000" w:rsidP="00C10E61">
      <w:pPr>
        <w:spacing w:after="240" w:line="300" w:lineRule="auto"/>
        <w:rPr>
          <w:rFonts w:cs="Times New Roman"/>
          <w:szCs w:val="24"/>
        </w:rPr>
      </w:pPr>
      <w:r w:rsidRPr="00A11FC0">
        <w:rPr>
          <w:rFonts w:cs="Times New Roman"/>
          <w:szCs w:val="24"/>
        </w:rPr>
        <w:t>This review set out to establish how building maintenance is assessed in Lagos and how that assessment could be strengthened. Three conclusions answer the research questions directly. First, the international literature already provides a coherent KPI architecture organised into technical, economic, and organisational families and anchored by reliability metrics (British Standards Institution, 2022; Oxmaint, 2025). Second, the Lagos evidence assesses maintenance almost exclusively through perception-based factor rankings, which converge on the absence of preventive maintenance as the dominant impairment and on inadequate funding as its sustaining cause (Adenuga et al., 2007; Fateye et al., 2022; Waziri &amp; Vanduhe, 2013). Third, the quantitative indicators that would permit proactive assessment are absent from the Nigerian record, leaving a measurement gap that the proposed four-tier framework is designed to close.</w:t>
      </w:r>
    </w:p>
    <w:p w14:paraId="315B0CE5" w14:textId="179FA20E" w:rsidR="00A364F4" w:rsidRPr="00A11FC0" w:rsidRDefault="006A0395" w:rsidP="00402991">
      <w:pPr>
        <w:pStyle w:val="Heading2"/>
        <w:spacing w:after="240"/>
        <w:rPr>
          <w:rFonts w:cs="Times New Roman"/>
        </w:rPr>
      </w:pPr>
      <w:r>
        <w:rPr>
          <w:rFonts w:cs="Times New Roman"/>
        </w:rPr>
        <w:t xml:space="preserve">4.2 </w:t>
      </w:r>
      <w:r w:rsidRPr="00A11FC0">
        <w:rPr>
          <w:rFonts w:cs="Times New Roman"/>
        </w:rPr>
        <w:t xml:space="preserve">Theoretical </w:t>
      </w:r>
      <w:r w:rsidR="00C10E61" w:rsidRPr="00A11FC0">
        <w:rPr>
          <w:rFonts w:cs="Times New Roman"/>
        </w:rPr>
        <w:t>Contribution</w:t>
      </w:r>
    </w:p>
    <w:p w14:paraId="0D0A8190" w14:textId="77777777" w:rsidR="00A364F4" w:rsidRPr="00A11FC0" w:rsidRDefault="00000000" w:rsidP="00C10E61">
      <w:pPr>
        <w:spacing w:after="240" w:line="300" w:lineRule="auto"/>
        <w:rPr>
          <w:rFonts w:cs="Times New Roman"/>
          <w:szCs w:val="24"/>
        </w:rPr>
      </w:pPr>
      <w:r w:rsidRPr="00A11FC0">
        <w:rPr>
          <w:rFonts w:cs="Times New Roman"/>
          <w:szCs w:val="24"/>
        </w:rPr>
        <w:t>The contribution is to reframe Nigerian maintenance scholarship from the identification of factors to the construction of indicators. The proposed framework extends the generic three-family taxonomy of BS EN 15341 into a developing-country, life-safety setting by binding it to factors that have been empirically validated in Lagos, and it elevates preventive-maintenance compliance from a recurrently lamented absence into a keystone indicator that links the perception-based local literature to the reliability-based international literature (British Standards Institution, 2022; Fateye et al., 2022). In doing so it positions maintenance assessment not as a downstream facilities task but as a component of structural-safety governance, a positioning justified by the demonstrated concentration of building failure in the same city (Ohenhen &amp; Shirzaei, 2022).</w:t>
      </w:r>
    </w:p>
    <w:p w14:paraId="67193904" w14:textId="2B7D7535" w:rsidR="00A364F4" w:rsidRPr="00A11FC0" w:rsidRDefault="006A0395" w:rsidP="00402991">
      <w:pPr>
        <w:pStyle w:val="Heading2"/>
        <w:spacing w:after="240"/>
        <w:rPr>
          <w:rFonts w:cs="Times New Roman"/>
        </w:rPr>
      </w:pPr>
      <w:r>
        <w:rPr>
          <w:rFonts w:cs="Times New Roman"/>
        </w:rPr>
        <w:t xml:space="preserve">4.3 </w:t>
      </w:r>
      <w:r w:rsidRPr="00A11FC0">
        <w:rPr>
          <w:rFonts w:cs="Times New Roman"/>
        </w:rPr>
        <w:t xml:space="preserve">Implications for </w:t>
      </w:r>
      <w:r w:rsidR="00C10E61" w:rsidRPr="00A11FC0">
        <w:rPr>
          <w:rFonts w:cs="Times New Roman"/>
        </w:rPr>
        <w:t xml:space="preserve">Practice </w:t>
      </w:r>
      <w:r w:rsidRPr="00A11FC0">
        <w:rPr>
          <w:rFonts w:cs="Times New Roman"/>
        </w:rPr>
        <w:t xml:space="preserve">and </w:t>
      </w:r>
      <w:r w:rsidR="00C10E61" w:rsidRPr="00A11FC0">
        <w:rPr>
          <w:rFonts w:cs="Times New Roman"/>
        </w:rPr>
        <w:t>Policy</w:t>
      </w:r>
    </w:p>
    <w:p w14:paraId="4DAD4823" w14:textId="77777777" w:rsidR="00A364F4" w:rsidRPr="00A11FC0" w:rsidRDefault="00000000" w:rsidP="00C10E61">
      <w:pPr>
        <w:spacing w:after="240" w:line="300" w:lineRule="auto"/>
        <w:rPr>
          <w:rFonts w:cs="Times New Roman"/>
          <w:szCs w:val="24"/>
        </w:rPr>
      </w:pPr>
      <w:r w:rsidRPr="00A11FC0">
        <w:rPr>
          <w:rFonts w:cs="Times New Roman"/>
          <w:szCs w:val="24"/>
        </w:rPr>
        <w:t>For facilities managers, the evidence indicates that the immediate priority is the capture of data: adopting a computerised maintenance management system and tracking mean time between failures, mean time to repair, and the preventive-to-corrective ratio would convert assessment from after-the-fact judgement into early warning. For regulators such as the Lagos State Building Control Agency, the framework suggests embedding periodic condition indices and structural-audit compliance into the existing inspection regime, so that maintenance performance is monitored continuously rather than investigated only after collapse. For those who fund public buildings, the budget-to-requirement ratio offers a single, auditable indicator that exposes the funding shortfalls repeatedly documented in the literature (Adenuga et al., 2007; Aghimien et al., 2019).</w:t>
      </w:r>
    </w:p>
    <w:p w14:paraId="0BB53FF5" w14:textId="1C57C69D" w:rsidR="00A364F4" w:rsidRPr="00A11FC0" w:rsidRDefault="006A0395" w:rsidP="00402991">
      <w:pPr>
        <w:pStyle w:val="Heading2"/>
        <w:spacing w:after="240"/>
        <w:rPr>
          <w:rFonts w:cs="Times New Roman"/>
        </w:rPr>
      </w:pPr>
      <w:r>
        <w:rPr>
          <w:rFonts w:cs="Times New Roman"/>
        </w:rPr>
        <w:lastRenderedPageBreak/>
        <w:t xml:space="preserve">4.4 </w:t>
      </w:r>
      <w:r w:rsidRPr="00A11FC0">
        <w:rPr>
          <w:rFonts w:cs="Times New Roman"/>
        </w:rPr>
        <w:t xml:space="preserve">Limitations and </w:t>
      </w:r>
      <w:r w:rsidR="004E5E4D" w:rsidRPr="00A11FC0">
        <w:rPr>
          <w:rFonts w:cs="Times New Roman"/>
        </w:rPr>
        <w:t>Future Research</w:t>
      </w:r>
    </w:p>
    <w:p w14:paraId="43635A4B" w14:textId="010EC112" w:rsidR="00A364F4" w:rsidRPr="00A11FC0" w:rsidRDefault="00000000" w:rsidP="004E5E4D">
      <w:pPr>
        <w:spacing w:after="240" w:line="300" w:lineRule="auto"/>
        <w:rPr>
          <w:rFonts w:cs="Times New Roman"/>
          <w:szCs w:val="24"/>
        </w:rPr>
      </w:pPr>
      <w:r w:rsidRPr="00A11FC0">
        <w:rPr>
          <w:rFonts w:cs="Times New Roman"/>
          <w:szCs w:val="24"/>
        </w:rPr>
        <w:t>Several limitations qualify these conclusions and point to future work. The review was restricted to English-language sources, which reflects the language of Nigerian academic publishing but may omit relevant grey literature. The Nigerian evidence base is itself dominated by cross-sectional perception studies, so the synthesis inherits that methodological narrowness and cannot report pooled effects. The proposed framework is, at this stage, a conceptual instrument derived from the literature rather than an empirically tested one. Three lines of future research follow directly. The framework should be piloted with primary data from a sample of Lagos buildings to test the feasibility of each indicator. The relative weight of the indicators should be established through an expert-consensus method such as the Delphi technique or the analytic hierarchy process. And the integration of building information modelling and computerised maintenance management systems should be examined as the data infrastructure on which any reliable KPI regime in Lagos will ultimately depend.</w:t>
      </w:r>
    </w:p>
    <w:p w14:paraId="43D1BFBE" w14:textId="77777777" w:rsidR="00C10E61" w:rsidRDefault="00C10E61">
      <w:pPr>
        <w:jc w:val="left"/>
        <w:rPr>
          <w:rFonts w:cs="Times New Roman"/>
          <w:b/>
          <w:bCs/>
          <w:color w:val="000000"/>
          <w:szCs w:val="24"/>
        </w:rPr>
      </w:pPr>
      <w:r>
        <w:rPr>
          <w:rFonts w:cs="Times New Roman"/>
          <w:szCs w:val="24"/>
        </w:rPr>
        <w:br w:type="page"/>
      </w:r>
    </w:p>
    <w:p w14:paraId="558BC33D" w14:textId="61D83EEE" w:rsidR="00A364F4" w:rsidRPr="00A11FC0" w:rsidRDefault="006A0395" w:rsidP="00402991">
      <w:pPr>
        <w:pStyle w:val="Heading1"/>
        <w:spacing w:after="240"/>
        <w:rPr>
          <w:rFonts w:cs="Times New Roman"/>
          <w:szCs w:val="24"/>
        </w:rPr>
      </w:pPr>
      <w:r>
        <w:rPr>
          <w:rFonts w:cs="Times New Roman"/>
          <w:szCs w:val="24"/>
        </w:rPr>
        <w:lastRenderedPageBreak/>
        <w:t xml:space="preserve">5.0 </w:t>
      </w:r>
      <w:r w:rsidRPr="00A11FC0">
        <w:rPr>
          <w:rFonts w:cs="Times New Roman"/>
          <w:szCs w:val="24"/>
        </w:rPr>
        <w:t>Conclusion</w:t>
      </w:r>
    </w:p>
    <w:p w14:paraId="6DCDECC0" w14:textId="77777777" w:rsidR="00A364F4" w:rsidRPr="00A11FC0" w:rsidRDefault="00000000" w:rsidP="00C10E61">
      <w:pPr>
        <w:spacing w:after="240" w:line="300" w:lineRule="auto"/>
        <w:rPr>
          <w:rFonts w:cs="Times New Roman"/>
          <w:szCs w:val="24"/>
        </w:rPr>
      </w:pPr>
      <w:r w:rsidRPr="00A11FC0">
        <w:rPr>
          <w:rFonts w:cs="Times New Roman"/>
          <w:szCs w:val="24"/>
        </w:rPr>
        <w:t>Building maintenance in Lagos is currently assessed by counting failures rather than by measuring performance. The international standards literature shows that maintenance can be governed through a balanced set of technical, economic, organisational, and service indicators, yet the Nigerian evidence, for all its careful cataloguing of the factors that degrade buildings, has not translated those factors into indicators that anticipate failure. The synthesis offered here closes that distance by consolidating the validated local factors and the recognised international families into a single four-tier framework, and by naming preventive-maintenance compliance as its keystone. The field now has, in one place, both a diagnosis of why Lagos buildings are poorly maintained and a structured proposal for measuring whether that is changing. Turning the proposal into a tested instrument is the task that the safety of the city's building stock now makes urgent.</w:t>
      </w:r>
    </w:p>
    <w:p w14:paraId="100069AE" w14:textId="77777777" w:rsidR="00A364F4" w:rsidRPr="00A11FC0" w:rsidRDefault="00000000" w:rsidP="00402991">
      <w:pPr>
        <w:spacing w:after="240"/>
        <w:rPr>
          <w:rFonts w:cs="Times New Roman"/>
          <w:szCs w:val="24"/>
        </w:rPr>
      </w:pPr>
      <w:r w:rsidRPr="00A11FC0">
        <w:rPr>
          <w:rFonts w:cs="Times New Roman"/>
          <w:szCs w:val="24"/>
        </w:rPr>
        <w:br w:type="page"/>
      </w:r>
    </w:p>
    <w:p w14:paraId="7AE2E949" w14:textId="1DEE77B8" w:rsidR="00A364F4" w:rsidRPr="00A11FC0" w:rsidRDefault="006A0395" w:rsidP="00402991">
      <w:pPr>
        <w:pStyle w:val="Heading1"/>
        <w:spacing w:after="240"/>
        <w:rPr>
          <w:rFonts w:cs="Times New Roman"/>
          <w:szCs w:val="24"/>
        </w:rPr>
      </w:pPr>
      <w:r w:rsidRPr="00A11FC0">
        <w:rPr>
          <w:rFonts w:cs="Times New Roman"/>
          <w:szCs w:val="24"/>
        </w:rPr>
        <w:lastRenderedPageBreak/>
        <w:t>REFERENCES</w:t>
      </w:r>
    </w:p>
    <w:p w14:paraId="66B7C557"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Abisuga, O. A., Ogungbemi, A. O., Akinpelu, A. A., &amp; Oshodi, O. S. (2017). Assessment of building maintenance projects success factors in Lagos, Nigeria. </w:t>
      </w:r>
      <w:r w:rsidRPr="00A11FC0">
        <w:rPr>
          <w:rFonts w:cs="Times New Roman"/>
          <w:i/>
          <w:iCs/>
          <w:szCs w:val="24"/>
        </w:rPr>
        <w:t>Journal of Construction Business and Management, 1</w:t>
      </w:r>
      <w:r w:rsidRPr="00A11FC0">
        <w:rPr>
          <w:rFonts w:cs="Times New Roman"/>
          <w:szCs w:val="24"/>
        </w:rPr>
        <w:t xml:space="preserve">(1), 29–38. </w:t>
      </w:r>
      <w:hyperlink r:id="rId9" w:history="1">
        <w:r w:rsidRPr="00A11FC0">
          <w:rPr>
            <w:rStyle w:val="Hyperlink"/>
            <w:rFonts w:cs="Times New Roman"/>
            <w:szCs w:val="24"/>
          </w:rPr>
          <w:t>https://doi.org/10.15641/jcbm.1.1.57</w:t>
        </w:r>
      </w:hyperlink>
    </w:p>
    <w:p w14:paraId="331A9869" w14:textId="77777777" w:rsidR="00C10E61" w:rsidRPr="00C510DC" w:rsidRDefault="00C10E61" w:rsidP="006A0395">
      <w:pPr>
        <w:spacing w:after="240"/>
        <w:ind w:left="720" w:hanging="720"/>
        <w:rPr>
          <w:rFonts w:cs="Times New Roman"/>
          <w:szCs w:val="24"/>
        </w:rPr>
      </w:pPr>
      <w:r w:rsidRPr="00C510DC">
        <w:rPr>
          <w:rFonts w:cs="Times New Roman"/>
          <w:szCs w:val="24"/>
        </w:rPr>
        <w:t xml:space="preserve">Adebayo, S. A. (1991). </w:t>
      </w:r>
      <w:r w:rsidRPr="00C510DC">
        <w:rPr>
          <w:rFonts w:cs="Times New Roman"/>
          <w:i/>
          <w:iCs/>
          <w:szCs w:val="24"/>
        </w:rPr>
        <w:t>Maintenance management of public buildings in Nigeria</w:t>
      </w:r>
      <w:r w:rsidRPr="00C510DC">
        <w:rPr>
          <w:rFonts w:cs="Times New Roman"/>
          <w:szCs w:val="24"/>
        </w:rPr>
        <w:t xml:space="preserve"> [Unpublished doctoral dissertation]. University of Lagos, Nigeria. </w:t>
      </w:r>
      <w:r w:rsidRPr="00A11FC0">
        <w:rPr>
          <w:rFonts w:cs="Times New Roman"/>
          <w:szCs w:val="24"/>
        </w:rPr>
        <w:t>https://ir.unilag.edu.ng/items/90a3e1d8-c1d0-45d4-b677-89c40002bde0</w:t>
      </w:r>
    </w:p>
    <w:p w14:paraId="1E55CD03" w14:textId="77777777" w:rsidR="00C10E61" w:rsidRPr="00C510DC" w:rsidRDefault="00C10E61" w:rsidP="006A0395">
      <w:pPr>
        <w:spacing w:after="240"/>
        <w:ind w:left="720" w:hanging="720"/>
        <w:rPr>
          <w:rFonts w:cs="Times New Roman"/>
          <w:szCs w:val="24"/>
        </w:rPr>
      </w:pPr>
      <w:r w:rsidRPr="00A11FC0">
        <w:rPr>
          <w:rFonts w:cs="Times New Roman"/>
          <w:szCs w:val="24"/>
        </w:rPr>
        <w:t>Adenuga, O. A., &amp; Iyagba, R. O. A. (2005). Strategic approach to maintenance practices for public buildings in Lagos state. </w:t>
      </w:r>
      <w:r w:rsidRPr="00A11FC0">
        <w:rPr>
          <w:rFonts w:cs="Times New Roman"/>
          <w:i/>
          <w:iCs/>
          <w:szCs w:val="24"/>
        </w:rPr>
        <w:t>Journal of Environmental Studies</w:t>
      </w:r>
      <w:r w:rsidRPr="00A11FC0">
        <w:rPr>
          <w:rFonts w:cs="Times New Roman"/>
          <w:szCs w:val="24"/>
        </w:rPr>
        <w:t>, </w:t>
      </w:r>
      <w:r w:rsidRPr="00A11FC0">
        <w:rPr>
          <w:rFonts w:cs="Times New Roman"/>
          <w:i/>
          <w:iCs/>
          <w:szCs w:val="24"/>
        </w:rPr>
        <w:t>5</w:t>
      </w:r>
      <w:r w:rsidRPr="00A11FC0">
        <w:rPr>
          <w:rFonts w:cs="Times New Roman"/>
          <w:szCs w:val="24"/>
        </w:rPr>
        <w:t>(1), 23-25. https://scholar.google.com/citations?view_op=view_citation&amp;hl=en&amp;user=sUg8uZQAAAAJ&amp;citation_for_view=sUg8uZQAAAAJ:Y0pCki6q_DkC</w:t>
      </w:r>
    </w:p>
    <w:p w14:paraId="5CA6AFE6"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Adenuga, O. A., Odusami, K. T., &amp; Faremi, J. O. (2007). </w:t>
      </w:r>
      <w:r w:rsidRPr="00A11FC0">
        <w:rPr>
          <w:rFonts w:cs="Times New Roman"/>
          <w:i/>
          <w:iCs/>
          <w:szCs w:val="24"/>
        </w:rPr>
        <w:t>Assessment of factors affecting maintenance management of public hospital buildings in Lagos State, Nigeria</w:t>
      </w:r>
      <w:r w:rsidRPr="00A11FC0">
        <w:rPr>
          <w:rFonts w:cs="Times New Roman"/>
          <w:szCs w:val="24"/>
        </w:rPr>
        <w:t xml:space="preserve">. University of Lagos Institutional Repository. </w:t>
      </w:r>
      <w:hyperlink r:id="rId10" w:history="1">
        <w:r w:rsidRPr="00A11FC0">
          <w:rPr>
            <w:rStyle w:val="Hyperlink"/>
            <w:rFonts w:cs="Times New Roman"/>
            <w:szCs w:val="24"/>
          </w:rPr>
          <w:t>https://ir.unilag.edu.ng/items/9f3e0aeb-3552-409d-b375-31037f5f8e8e</w:t>
        </w:r>
      </w:hyperlink>
    </w:p>
    <w:p w14:paraId="01B6F329"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Adetunji, M. A., Oyeleye, O. I., &amp; Akindele, O. A. (2018). Assessment of building collapse in Lagos Island, Nigeria. </w:t>
      </w:r>
      <w:r w:rsidRPr="00A11FC0">
        <w:rPr>
          <w:rFonts w:cs="Times New Roman"/>
          <w:i/>
          <w:iCs/>
          <w:szCs w:val="24"/>
        </w:rPr>
        <w:t>American Journal of Sustainable Cities and Society, 1</w:t>
      </w:r>
      <w:r w:rsidRPr="00A11FC0">
        <w:rPr>
          <w:rFonts w:cs="Times New Roman"/>
          <w:szCs w:val="24"/>
        </w:rPr>
        <w:t xml:space="preserve">(7), 18–28. </w:t>
      </w:r>
      <w:hyperlink r:id="rId11" w:history="1">
        <w:r w:rsidRPr="00A11FC0">
          <w:rPr>
            <w:rStyle w:val="Hyperlink"/>
            <w:rFonts w:cs="Times New Roman"/>
            <w:szCs w:val="24"/>
          </w:rPr>
          <w:t>https://doi.org/10.26808/rs.aj.i7v1.04</w:t>
        </w:r>
      </w:hyperlink>
    </w:p>
    <w:p w14:paraId="629B0EE2"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Aghimien, D., Oke, A., &amp; Aigbavboa, C. (2019). Barriers of building maintenance in private tertiary institutions in Nigeria. In J. Charytonowicz &amp; C. Falcão (Eds.), </w:t>
      </w:r>
      <w:r w:rsidRPr="00A11FC0">
        <w:rPr>
          <w:rFonts w:cs="Times New Roman"/>
          <w:i/>
          <w:iCs/>
          <w:szCs w:val="24"/>
        </w:rPr>
        <w:t>Advances in human factors, sustainable urban planning and infrastructure</w:t>
      </w:r>
      <w:r w:rsidRPr="00A11FC0">
        <w:rPr>
          <w:rFonts w:cs="Times New Roman"/>
          <w:szCs w:val="24"/>
        </w:rPr>
        <w:t xml:space="preserve"> (Advances in Intelligent Systems and Computing, Vol. 788, pp. 312–323). Springer. </w:t>
      </w:r>
      <w:hyperlink r:id="rId12" w:history="1">
        <w:r w:rsidRPr="00A11FC0">
          <w:rPr>
            <w:rStyle w:val="Hyperlink"/>
            <w:rFonts w:cs="Times New Roman"/>
            <w:szCs w:val="24"/>
          </w:rPr>
          <w:t>https://doi.org/10.1007/978-3-319-94199-8_30</w:t>
        </w:r>
      </w:hyperlink>
    </w:p>
    <w:p w14:paraId="7196EDA3"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British Standards Institution. (2022). </w:t>
      </w:r>
      <w:r w:rsidRPr="00A11FC0">
        <w:rPr>
          <w:rFonts w:cs="Times New Roman"/>
          <w:i/>
          <w:iCs/>
          <w:szCs w:val="24"/>
        </w:rPr>
        <w:t>Maintenance. Maintenance key performance indicators</w:t>
      </w:r>
      <w:r w:rsidRPr="00A11FC0">
        <w:rPr>
          <w:rFonts w:cs="Times New Roman"/>
          <w:szCs w:val="24"/>
        </w:rPr>
        <w:t xml:space="preserve"> (BS EN 15341:2019+A1:2022). BSI Knowledge. </w:t>
      </w:r>
      <w:hyperlink r:id="rId13" w:history="1">
        <w:r w:rsidRPr="00A11FC0">
          <w:rPr>
            <w:rStyle w:val="Hyperlink"/>
            <w:rFonts w:cs="Times New Roman"/>
            <w:szCs w:val="24"/>
          </w:rPr>
          <w:t>https://knowledge.bsigroup.com/products/maintenance-maintenance-key-performance-indicators-2</w:t>
        </w:r>
      </w:hyperlink>
    </w:p>
    <w:p w14:paraId="46276885"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Daily Trust. (2025, January 27). </w:t>
      </w:r>
      <w:r w:rsidRPr="00A11FC0">
        <w:rPr>
          <w:rFonts w:cs="Times New Roman"/>
          <w:i/>
          <w:iCs/>
          <w:szCs w:val="24"/>
        </w:rPr>
        <w:t>How 14 states accounted for 47 building collapse in 2024: Report</w:t>
      </w:r>
      <w:r w:rsidRPr="00A11FC0">
        <w:rPr>
          <w:rFonts w:cs="Times New Roman"/>
          <w:szCs w:val="24"/>
        </w:rPr>
        <w:t xml:space="preserve">. </w:t>
      </w:r>
      <w:hyperlink r:id="rId14" w:history="1">
        <w:r w:rsidRPr="00A11FC0">
          <w:rPr>
            <w:rStyle w:val="Hyperlink"/>
            <w:rFonts w:cs="Times New Roman"/>
            <w:szCs w:val="24"/>
          </w:rPr>
          <w:t>https://dailytrust.com/how-14-states-accounted-for-47-building-collapse-in-2024-report/</w:t>
        </w:r>
      </w:hyperlink>
    </w:p>
    <w:p w14:paraId="70E19C24" w14:textId="77777777" w:rsidR="00C10E61" w:rsidRPr="00C510DC" w:rsidRDefault="00C10E61" w:rsidP="006A0395">
      <w:pPr>
        <w:spacing w:after="240"/>
        <w:ind w:left="720" w:hanging="720"/>
        <w:rPr>
          <w:rFonts w:cs="Times New Roman"/>
          <w:szCs w:val="24"/>
        </w:rPr>
      </w:pPr>
      <w:r w:rsidRPr="00C510DC">
        <w:rPr>
          <w:rFonts w:cs="Times New Roman"/>
          <w:szCs w:val="24"/>
        </w:rPr>
        <w:t xml:space="preserve">Ede, A. N. (2010). Building collapse in Nigeria: The trend of casualties in the last decade (2000–2010). </w:t>
      </w:r>
      <w:r w:rsidRPr="00C510DC">
        <w:rPr>
          <w:rFonts w:cs="Times New Roman"/>
          <w:i/>
          <w:iCs/>
          <w:szCs w:val="24"/>
        </w:rPr>
        <w:t>International Journal of Civil and Environmental Engineering, 10</w:t>
      </w:r>
      <w:r w:rsidRPr="00C510DC">
        <w:rPr>
          <w:rFonts w:cs="Times New Roman"/>
          <w:szCs w:val="24"/>
        </w:rPr>
        <w:t xml:space="preserve">(6), 32–42. </w:t>
      </w:r>
      <w:r w:rsidRPr="00A11FC0">
        <w:rPr>
          <w:rFonts w:cs="Times New Roman"/>
          <w:szCs w:val="24"/>
        </w:rPr>
        <w:t>https://www.researchgate.net/publication/305985641_BUILDING_COLLAPSE_IN_NIGERIA_THE_TREND_OF_CASUALTIES_IN_THE_LAST_DECADE_2000_-2010</w:t>
      </w:r>
    </w:p>
    <w:p w14:paraId="1A300B83"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Fateye, T. B., Oluwole, T. G., Ibisola, A. S., &amp; Agbato, S. E. (2022). Assessment of operation and maintenance practices in facilities management of office buildings in Lagos, Nigeria. </w:t>
      </w:r>
      <w:r w:rsidRPr="00A11FC0">
        <w:rPr>
          <w:rFonts w:cs="Times New Roman"/>
          <w:i/>
          <w:iCs/>
          <w:szCs w:val="24"/>
        </w:rPr>
        <w:t>International Journal of Property Sciences</w:t>
      </w:r>
      <w:r w:rsidRPr="00A11FC0">
        <w:rPr>
          <w:rFonts w:cs="Times New Roman"/>
          <w:szCs w:val="24"/>
        </w:rPr>
        <w:t xml:space="preserve">. </w:t>
      </w:r>
      <w:hyperlink r:id="rId15" w:history="1">
        <w:r w:rsidRPr="00A11FC0">
          <w:rPr>
            <w:rStyle w:val="Hyperlink"/>
            <w:rFonts w:cs="Times New Roman"/>
            <w:szCs w:val="24"/>
          </w:rPr>
          <w:t>https://ejournal.um.edu.my/index.php/IJPS/article/view/33469</w:t>
        </w:r>
      </w:hyperlink>
    </w:p>
    <w:p w14:paraId="403672F0" w14:textId="77777777" w:rsidR="00C10E61" w:rsidRPr="00A11FC0" w:rsidRDefault="00C10E61" w:rsidP="006A0395">
      <w:pPr>
        <w:spacing w:after="240"/>
        <w:ind w:left="720" w:hanging="720"/>
        <w:rPr>
          <w:rFonts w:cs="Times New Roman"/>
          <w:szCs w:val="24"/>
        </w:rPr>
      </w:pPr>
      <w:r w:rsidRPr="00A11FC0">
        <w:rPr>
          <w:rFonts w:cs="Times New Roman"/>
          <w:szCs w:val="24"/>
        </w:rPr>
        <w:lastRenderedPageBreak/>
        <w:t xml:space="preserve">International Organization for Standardization. (2018). </w:t>
      </w:r>
      <w:r w:rsidRPr="00A11FC0">
        <w:rPr>
          <w:rFonts w:cs="Times New Roman"/>
          <w:i/>
          <w:iCs/>
          <w:szCs w:val="24"/>
        </w:rPr>
        <w:t>Facility management. Management systems. Requirements with guidance for use</w:t>
      </w:r>
      <w:r w:rsidRPr="00A11FC0">
        <w:rPr>
          <w:rFonts w:cs="Times New Roman"/>
          <w:szCs w:val="24"/>
        </w:rPr>
        <w:t xml:space="preserve"> (ISO 41001:2018). </w:t>
      </w:r>
      <w:hyperlink r:id="rId16" w:history="1">
        <w:r w:rsidRPr="00A11FC0">
          <w:rPr>
            <w:rStyle w:val="Hyperlink"/>
            <w:rFonts w:cs="Times New Roman"/>
            <w:szCs w:val="24"/>
          </w:rPr>
          <w:t>https://www.iso.org/standard/68021.html</w:t>
        </w:r>
      </w:hyperlink>
    </w:p>
    <w:p w14:paraId="03E42C92"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Lateef, O. A., Khamidi, M. F., &amp; Idrus, A. (2010). Building maintenance management in a Malaysian university campus: A case study. </w:t>
      </w:r>
      <w:r w:rsidRPr="00A11FC0">
        <w:rPr>
          <w:rFonts w:cs="Times New Roman"/>
          <w:i/>
          <w:iCs/>
          <w:szCs w:val="24"/>
        </w:rPr>
        <w:t>Australasian Journal of Construction Economics and Building, 10</w:t>
      </w:r>
      <w:r w:rsidRPr="00A11FC0">
        <w:rPr>
          <w:rFonts w:cs="Times New Roman"/>
          <w:szCs w:val="24"/>
        </w:rPr>
        <w:t xml:space="preserve">(1/2), 76–89. </w:t>
      </w:r>
      <w:hyperlink r:id="rId17" w:history="1">
        <w:r w:rsidRPr="00A11FC0">
          <w:rPr>
            <w:rStyle w:val="Hyperlink"/>
            <w:rFonts w:cs="Times New Roman"/>
            <w:szCs w:val="24"/>
          </w:rPr>
          <w:t>https://doi.org/10.5130/ajceb.v10i1/2.1593</w:t>
        </w:r>
      </w:hyperlink>
    </w:p>
    <w:p w14:paraId="638E862C"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Ohenhen, L. O., &amp; Shirzaei, M. (2022). Land subsidence hazard and building collapse risk in the coastal city of Lagos, West Africa. </w:t>
      </w:r>
      <w:r w:rsidRPr="00A11FC0">
        <w:rPr>
          <w:rFonts w:cs="Times New Roman"/>
          <w:i/>
          <w:iCs/>
          <w:szCs w:val="24"/>
        </w:rPr>
        <w:t>Earth's Future, 10</w:t>
      </w:r>
      <w:r w:rsidRPr="00A11FC0">
        <w:rPr>
          <w:rFonts w:cs="Times New Roman"/>
          <w:szCs w:val="24"/>
        </w:rPr>
        <w:t xml:space="preserve">(12), e2022EF003219. </w:t>
      </w:r>
      <w:hyperlink r:id="rId18" w:history="1">
        <w:r w:rsidRPr="00A11FC0">
          <w:rPr>
            <w:rStyle w:val="Hyperlink"/>
            <w:rFonts w:cs="Times New Roman"/>
            <w:szCs w:val="24"/>
          </w:rPr>
          <w:t>https://doi.org/10.1029/2022EF003219</w:t>
        </w:r>
      </w:hyperlink>
    </w:p>
    <w:p w14:paraId="6DBE3B78"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Olanrewaju, A. A. (2010). Quantitative analysis of criteria in university building maintenance in Malaysia. </w:t>
      </w:r>
      <w:r w:rsidRPr="00A11FC0">
        <w:rPr>
          <w:rFonts w:cs="Times New Roman"/>
          <w:i/>
          <w:iCs/>
          <w:szCs w:val="24"/>
        </w:rPr>
        <w:t>Australasian Journal of Construction Economics and Building, 10</w:t>
      </w:r>
      <w:r w:rsidRPr="00A11FC0">
        <w:rPr>
          <w:rFonts w:cs="Times New Roman"/>
          <w:szCs w:val="24"/>
        </w:rPr>
        <w:t xml:space="preserve">(3), 51–61. </w:t>
      </w:r>
      <w:hyperlink r:id="rId19" w:history="1">
        <w:r w:rsidRPr="00A11FC0">
          <w:rPr>
            <w:rStyle w:val="Hyperlink"/>
            <w:rFonts w:cs="Times New Roman"/>
            <w:szCs w:val="24"/>
          </w:rPr>
          <w:t>https://doi.org/10.5130/ajceb.v10i3.1681</w:t>
        </w:r>
      </w:hyperlink>
    </w:p>
    <w:p w14:paraId="35FC639B"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Olanrewaju, A. A. (2012). </w:t>
      </w:r>
      <w:r w:rsidRPr="00A11FC0">
        <w:rPr>
          <w:rFonts w:cs="Times New Roman"/>
          <w:i/>
          <w:iCs/>
          <w:szCs w:val="24"/>
        </w:rPr>
        <w:t>Value-based building maintenance management framework for university campuses</w:t>
      </w:r>
      <w:r w:rsidRPr="00A11FC0">
        <w:rPr>
          <w:rFonts w:cs="Times New Roman"/>
          <w:szCs w:val="24"/>
        </w:rPr>
        <w:t xml:space="preserve"> [Doctoral dissertation, Universiti Teknologi PETRONAS]. UTPedia. </w:t>
      </w:r>
      <w:hyperlink r:id="rId20" w:history="1">
        <w:r w:rsidRPr="00A11FC0">
          <w:rPr>
            <w:rStyle w:val="Hyperlink"/>
            <w:rFonts w:cs="Times New Roman"/>
            <w:szCs w:val="24"/>
          </w:rPr>
          <w:t>https://utpedia.utp.edu.my/id/eprint/3328/</w:t>
        </w:r>
      </w:hyperlink>
    </w:p>
    <w:p w14:paraId="2E85F246"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Osuya, L. A., Adenuga, O. A., &amp; Oshodi, O. S. (2023). Assessment of maintenance management practice in government-owned tertiary institution. </w:t>
      </w:r>
      <w:r w:rsidRPr="00A11FC0">
        <w:rPr>
          <w:rFonts w:cs="Times New Roman"/>
          <w:i/>
          <w:iCs/>
          <w:szCs w:val="24"/>
        </w:rPr>
        <w:t>Civil and Sustainable Urban Engineering</w:t>
      </w:r>
      <w:r w:rsidRPr="00A11FC0">
        <w:rPr>
          <w:rFonts w:cs="Times New Roman"/>
          <w:szCs w:val="24"/>
        </w:rPr>
        <w:t xml:space="preserve">. </w:t>
      </w:r>
      <w:hyperlink r:id="rId21" w:history="1">
        <w:r w:rsidRPr="00A11FC0">
          <w:rPr>
            <w:rStyle w:val="Hyperlink"/>
            <w:rFonts w:cs="Times New Roman"/>
            <w:szCs w:val="24"/>
          </w:rPr>
          <w:t>https://tecnoscientifica.com/journal/csue/article/view/139</w:t>
        </w:r>
      </w:hyperlink>
    </w:p>
    <w:p w14:paraId="63AC2D69"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Oxmaint. (2025). </w:t>
      </w:r>
      <w:r w:rsidRPr="00A11FC0">
        <w:rPr>
          <w:rFonts w:cs="Times New Roman"/>
          <w:i/>
          <w:iCs/>
          <w:szCs w:val="24"/>
        </w:rPr>
        <w:t>Maintenance and reliability benchmarking for efficiency</w:t>
      </w:r>
      <w:r w:rsidRPr="00A11FC0">
        <w:rPr>
          <w:rFonts w:cs="Times New Roman"/>
          <w:szCs w:val="24"/>
        </w:rPr>
        <w:t xml:space="preserve">. </w:t>
      </w:r>
      <w:hyperlink r:id="rId22" w:history="1">
        <w:r w:rsidRPr="00A11FC0">
          <w:rPr>
            <w:rStyle w:val="Hyperlink"/>
            <w:rFonts w:cs="Times New Roman"/>
            <w:szCs w:val="24"/>
          </w:rPr>
          <w:t>https://www.oxmaint.com/blog/post/maintenance-and-reliability-benchmarking-for-efficiency</w:t>
        </w:r>
      </w:hyperlink>
    </w:p>
    <w:p w14:paraId="5F570802"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Page, M. J., McKenzie, J. E., Bossuyt, P. M., Boutron, I., Hoffmann, T. C., Mulrow, C. D., Shamseer, L., Tetzlaff, J. M., Akl, E. A., Brennan, S. E., Chou, R., Glanville, J., Grimshaw, J. M., Hróbjartsson, A., Lalu, M. M., Li, T., Loder, E. W., Mayo-Wilson, E., McDonald, S., … Moher, D. (2021). The PRISMA 2020 statement: An updated guideline for reporting systematic reviews. </w:t>
      </w:r>
      <w:r w:rsidRPr="00A11FC0">
        <w:rPr>
          <w:rFonts w:cs="Times New Roman"/>
          <w:i/>
          <w:iCs/>
          <w:szCs w:val="24"/>
        </w:rPr>
        <w:t>BMJ, 372</w:t>
      </w:r>
      <w:r w:rsidRPr="00A11FC0">
        <w:rPr>
          <w:rFonts w:cs="Times New Roman"/>
          <w:szCs w:val="24"/>
        </w:rPr>
        <w:t xml:space="preserve">, n71. </w:t>
      </w:r>
      <w:hyperlink r:id="rId23" w:history="1">
        <w:r w:rsidRPr="00A11FC0">
          <w:rPr>
            <w:rStyle w:val="Hyperlink"/>
            <w:rFonts w:cs="Times New Roman"/>
            <w:szCs w:val="24"/>
          </w:rPr>
          <w:t>https://doi.org/10.1136/bmj.n71</w:t>
        </w:r>
      </w:hyperlink>
    </w:p>
    <w:p w14:paraId="28DB2007"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This Day. (2024, October 25). </w:t>
      </w:r>
      <w:r w:rsidRPr="00A11FC0">
        <w:rPr>
          <w:rFonts w:cs="Times New Roman"/>
          <w:i/>
          <w:iCs/>
          <w:szCs w:val="24"/>
        </w:rPr>
        <w:t>Building collapse in Nigeria: A case of Lagos State</w:t>
      </w:r>
      <w:r w:rsidRPr="00A11FC0">
        <w:rPr>
          <w:rFonts w:cs="Times New Roman"/>
          <w:szCs w:val="24"/>
        </w:rPr>
        <w:t xml:space="preserve">. </w:t>
      </w:r>
      <w:hyperlink r:id="rId24" w:history="1">
        <w:r w:rsidRPr="00A11FC0">
          <w:rPr>
            <w:rStyle w:val="Hyperlink"/>
            <w:rFonts w:cs="Times New Roman"/>
            <w:szCs w:val="24"/>
          </w:rPr>
          <w:t>https://www.thisdaylive.com/index.php/2024/10/25/building-collapse-in-nigeria-a-case-of-lagos-state/</w:t>
        </w:r>
      </w:hyperlink>
    </w:p>
    <w:p w14:paraId="79686436" w14:textId="77777777" w:rsidR="00C10E61" w:rsidRPr="00A11FC0" w:rsidRDefault="00C10E61" w:rsidP="006A0395">
      <w:pPr>
        <w:spacing w:after="240"/>
        <w:ind w:left="720" w:hanging="720"/>
        <w:rPr>
          <w:rFonts w:cs="Times New Roman"/>
          <w:szCs w:val="24"/>
        </w:rPr>
      </w:pPr>
      <w:r w:rsidRPr="00A11FC0">
        <w:rPr>
          <w:rFonts w:cs="Times New Roman"/>
          <w:szCs w:val="24"/>
        </w:rPr>
        <w:t xml:space="preserve">Waziri, B. S., &amp; Vanduhe, B. A. (2013). Evaluation of factors affecting residential building maintenance in Nigeria: Users' perspective. </w:t>
      </w:r>
      <w:r w:rsidRPr="00A11FC0">
        <w:rPr>
          <w:rFonts w:cs="Times New Roman"/>
          <w:i/>
          <w:iCs/>
          <w:szCs w:val="24"/>
        </w:rPr>
        <w:t>Civil and Environmental Research, 3</w:t>
      </w:r>
      <w:r w:rsidRPr="00A11FC0">
        <w:rPr>
          <w:rFonts w:cs="Times New Roman"/>
          <w:szCs w:val="24"/>
        </w:rPr>
        <w:t xml:space="preserve">(8), 19–24. </w:t>
      </w:r>
      <w:hyperlink r:id="rId25" w:history="1">
        <w:r w:rsidRPr="00A11FC0">
          <w:rPr>
            <w:rStyle w:val="Hyperlink"/>
            <w:rFonts w:cs="Times New Roman"/>
            <w:szCs w:val="24"/>
          </w:rPr>
          <w:t>https://www.iiste.org/Journals/index.php/CER/article/view/6578</w:t>
        </w:r>
      </w:hyperlink>
    </w:p>
    <w:p w14:paraId="34D96A3F" w14:textId="0A6C81AF" w:rsidR="00C10E61" w:rsidRPr="00C510DC" w:rsidRDefault="00C10E61" w:rsidP="006A0395">
      <w:pPr>
        <w:spacing w:after="240"/>
        <w:ind w:left="720" w:hanging="720"/>
        <w:rPr>
          <w:rFonts w:cs="Times New Roman"/>
          <w:szCs w:val="24"/>
        </w:rPr>
      </w:pPr>
      <w:r w:rsidRPr="00C510DC">
        <w:rPr>
          <w:rFonts w:cs="Times New Roman"/>
          <w:szCs w:val="24"/>
        </w:rPr>
        <w:t xml:space="preserve">Zubairu, S. N. (2000). </w:t>
      </w:r>
      <w:r w:rsidRPr="00C510DC">
        <w:rPr>
          <w:rFonts w:cs="Times New Roman"/>
          <w:i/>
          <w:iCs/>
          <w:szCs w:val="24"/>
        </w:rPr>
        <w:t>Post-occupancy evaluation of government office buildings in Nigeria</w:t>
      </w:r>
      <w:r w:rsidRPr="00C510DC">
        <w:rPr>
          <w:rFonts w:cs="Times New Roman"/>
          <w:szCs w:val="24"/>
        </w:rPr>
        <w:t xml:space="preserve"> [</w:t>
      </w:r>
      <w:r w:rsidR="006A0395">
        <w:rPr>
          <w:rFonts w:cs="Times New Roman"/>
          <w:szCs w:val="24"/>
        </w:rPr>
        <w:t>D</w:t>
      </w:r>
      <w:r w:rsidRPr="00C510DC">
        <w:rPr>
          <w:rFonts w:cs="Times New Roman"/>
          <w:szCs w:val="24"/>
        </w:rPr>
        <w:t xml:space="preserve">octoral dissertation]. University of Lagos, Nigeria. </w:t>
      </w:r>
      <w:r w:rsidRPr="00A11FC0">
        <w:rPr>
          <w:rFonts w:cs="Times New Roman"/>
          <w:szCs w:val="24"/>
        </w:rPr>
        <w:t>https://ir.unilag.edu.ng/items/7bb97b4b-79ba-4017-b988-b85fdbea9e15</w:t>
      </w:r>
    </w:p>
    <w:p w14:paraId="2F943D5C" w14:textId="0C483E3D" w:rsidR="00A364F4" w:rsidRPr="00A11FC0" w:rsidRDefault="00000000" w:rsidP="00402991">
      <w:pPr>
        <w:spacing w:after="240" w:line="276" w:lineRule="auto"/>
        <w:ind w:left="720" w:hanging="720"/>
        <w:rPr>
          <w:rFonts w:cs="Times New Roman"/>
          <w:szCs w:val="24"/>
        </w:rPr>
      </w:pPr>
      <w:r w:rsidRPr="00A11FC0">
        <w:rPr>
          <w:rFonts w:cs="Times New Roman"/>
          <w:szCs w:val="24"/>
        </w:rPr>
        <w:br w:type="page"/>
      </w:r>
    </w:p>
    <w:p w14:paraId="37BEAD15" w14:textId="77777777" w:rsidR="00C10E61" w:rsidRDefault="00C10E61" w:rsidP="00402991">
      <w:pPr>
        <w:pStyle w:val="Heading1"/>
        <w:spacing w:after="240"/>
        <w:rPr>
          <w:rFonts w:cs="Times New Roman"/>
          <w:szCs w:val="24"/>
        </w:rPr>
      </w:pPr>
      <w:r>
        <w:rPr>
          <w:rFonts w:cs="Times New Roman"/>
          <w:szCs w:val="24"/>
        </w:rPr>
        <w:lastRenderedPageBreak/>
        <w:t>APPENDIX</w:t>
      </w:r>
    </w:p>
    <w:p w14:paraId="6502C524" w14:textId="2D65DC3C" w:rsidR="00A364F4" w:rsidRPr="00A11FC0" w:rsidRDefault="00000000" w:rsidP="00C10E61">
      <w:pPr>
        <w:pStyle w:val="Heading2"/>
      </w:pPr>
      <w:r w:rsidRPr="00A11FC0">
        <w:t>Appendix A: Search Strings</w:t>
      </w:r>
    </w:p>
    <w:p w14:paraId="3651E44C" w14:textId="17734C5D" w:rsidR="00A364F4" w:rsidRPr="00A11FC0" w:rsidRDefault="00000000" w:rsidP="00C10E61">
      <w:pPr>
        <w:spacing w:after="240" w:line="300" w:lineRule="auto"/>
        <w:rPr>
          <w:rFonts w:cs="Times New Roman"/>
          <w:szCs w:val="24"/>
        </w:rPr>
      </w:pPr>
      <w:r w:rsidRPr="00A11FC0">
        <w:rPr>
          <w:rFonts w:cs="Times New Roman"/>
          <w:szCs w:val="24"/>
        </w:rPr>
        <w:t xml:space="preserve">The following strings </w:t>
      </w:r>
      <w:r w:rsidR="00C10E61">
        <w:rPr>
          <w:rFonts w:cs="Times New Roman"/>
          <w:szCs w:val="24"/>
        </w:rPr>
        <w:t>shows</w:t>
      </w:r>
      <w:r w:rsidRPr="00A11FC0">
        <w:rPr>
          <w:rFonts w:cs="Times New Roman"/>
          <w:szCs w:val="24"/>
        </w:rPr>
        <w:t xml:space="preserve"> the searches run in each source group. Strings were adapted to the syntax of each database. Block A captured maintenance terms, Block B captured performance and assessment terms, and Block C captured context terms.</w:t>
      </w:r>
    </w:p>
    <w:p w14:paraId="7EB018DD" w14:textId="77777777" w:rsidR="00A364F4" w:rsidRPr="00A11FC0" w:rsidRDefault="00000000" w:rsidP="00402991">
      <w:pPr>
        <w:spacing w:after="240" w:line="276" w:lineRule="auto"/>
        <w:rPr>
          <w:rFonts w:cs="Times New Roman"/>
          <w:szCs w:val="24"/>
        </w:rPr>
      </w:pPr>
      <w:r w:rsidRPr="00A11FC0">
        <w:rPr>
          <w:rFonts w:cs="Times New Roman"/>
          <w:b/>
          <w:bCs/>
          <w:szCs w:val="24"/>
        </w:rPr>
        <w:t xml:space="preserve">Block A (maintenance): </w:t>
      </w:r>
      <w:r w:rsidRPr="00A11FC0">
        <w:rPr>
          <w:rFonts w:cs="Times New Roman"/>
          <w:szCs w:val="24"/>
        </w:rPr>
        <w:t>("building maintenance" OR "facilities management" OR "facility management" OR upkeep OR "maintenance management")</w:t>
      </w:r>
    </w:p>
    <w:p w14:paraId="44B6CDA5" w14:textId="77777777" w:rsidR="00A364F4" w:rsidRPr="00A11FC0" w:rsidRDefault="00000000" w:rsidP="00402991">
      <w:pPr>
        <w:spacing w:after="240" w:line="276" w:lineRule="auto"/>
        <w:rPr>
          <w:rFonts w:cs="Times New Roman"/>
          <w:szCs w:val="24"/>
        </w:rPr>
      </w:pPr>
      <w:r w:rsidRPr="00A11FC0">
        <w:rPr>
          <w:rFonts w:cs="Times New Roman"/>
          <w:b/>
          <w:bCs/>
          <w:szCs w:val="24"/>
        </w:rPr>
        <w:t xml:space="preserve">Block B (performance and assessment): </w:t>
      </w:r>
      <w:r w:rsidRPr="00A11FC0">
        <w:rPr>
          <w:rFonts w:cs="Times New Roman"/>
          <w:szCs w:val="24"/>
        </w:rPr>
        <w:t>("key performance indicator*" OR KPI OR "performance measurement" OR "performance assessment" OR "condition assessment" OR "maintenance performance")</w:t>
      </w:r>
    </w:p>
    <w:p w14:paraId="33FC1A6B" w14:textId="77777777" w:rsidR="00A364F4" w:rsidRPr="00A11FC0" w:rsidRDefault="00000000" w:rsidP="00402991">
      <w:pPr>
        <w:spacing w:after="240" w:line="276" w:lineRule="auto"/>
        <w:rPr>
          <w:rFonts w:cs="Times New Roman"/>
          <w:szCs w:val="24"/>
        </w:rPr>
      </w:pPr>
      <w:r w:rsidRPr="00A11FC0">
        <w:rPr>
          <w:rFonts w:cs="Times New Roman"/>
          <w:b/>
          <w:bCs/>
          <w:szCs w:val="24"/>
        </w:rPr>
        <w:t xml:space="preserve">Block C (context): </w:t>
      </w:r>
      <w:r w:rsidRPr="00A11FC0">
        <w:rPr>
          <w:rFonts w:cs="Times New Roman"/>
          <w:szCs w:val="24"/>
        </w:rPr>
        <w:t>(Nigeria OR Lagos)</w:t>
      </w:r>
    </w:p>
    <w:p w14:paraId="698E4ECA" w14:textId="77777777" w:rsidR="00A364F4" w:rsidRPr="00A11FC0" w:rsidRDefault="00000000" w:rsidP="00402991">
      <w:pPr>
        <w:spacing w:after="240" w:line="276" w:lineRule="auto"/>
        <w:rPr>
          <w:rFonts w:cs="Times New Roman"/>
          <w:szCs w:val="24"/>
        </w:rPr>
      </w:pPr>
      <w:r w:rsidRPr="00A11FC0">
        <w:rPr>
          <w:rFonts w:cs="Times New Roman"/>
          <w:b/>
          <w:bCs/>
          <w:szCs w:val="24"/>
        </w:rPr>
        <w:t xml:space="preserve">Combined string: </w:t>
      </w:r>
      <w:r w:rsidRPr="00A11FC0">
        <w:rPr>
          <w:rFonts w:cs="Times New Roman"/>
          <w:szCs w:val="24"/>
        </w:rPr>
        <w:t>Block A AND Block B AND Block C, with a date filter of 2000 to 2026 applied where the database allowed.</w:t>
      </w:r>
    </w:p>
    <w:p w14:paraId="13718602" w14:textId="77777777" w:rsidR="00A364F4" w:rsidRPr="00A11FC0" w:rsidRDefault="00000000" w:rsidP="00402991">
      <w:pPr>
        <w:spacing w:after="240" w:line="276" w:lineRule="auto"/>
        <w:rPr>
          <w:rFonts w:cs="Times New Roman"/>
          <w:szCs w:val="24"/>
        </w:rPr>
      </w:pPr>
      <w:r w:rsidRPr="00A11FC0">
        <w:rPr>
          <w:rFonts w:cs="Times New Roman"/>
          <w:b/>
          <w:bCs/>
          <w:szCs w:val="24"/>
        </w:rPr>
        <w:t xml:space="preserve">Supplementary searches: </w:t>
      </w:r>
      <w:r w:rsidRPr="00A11FC0">
        <w:rPr>
          <w:rFonts w:cs="Times New Roman"/>
          <w:szCs w:val="24"/>
        </w:rPr>
        <w:t>("building collapse" AND Lagos); ("maintenance KPI" OR "EN 15341" OR "ISO 41001").</w:t>
      </w:r>
    </w:p>
    <w:p w14:paraId="367D03D1" w14:textId="77777777" w:rsidR="00C10E61" w:rsidRDefault="00C10E61" w:rsidP="00C10E61">
      <w:pPr>
        <w:spacing w:after="240"/>
        <w:rPr>
          <w:rFonts w:cs="Times New Roman"/>
          <w:szCs w:val="24"/>
        </w:rPr>
      </w:pPr>
    </w:p>
    <w:p w14:paraId="6D985322" w14:textId="594E937D" w:rsidR="00A364F4" w:rsidRPr="00A11FC0" w:rsidRDefault="00000000" w:rsidP="00C10E61">
      <w:pPr>
        <w:pStyle w:val="Heading2"/>
      </w:pPr>
      <w:r w:rsidRPr="00A11FC0">
        <w:t>Appendix B: Characteristics of Included Sources</w:t>
      </w:r>
    </w:p>
    <w:tbl>
      <w:tblPr>
        <w:tblStyle w:val="TableGrid"/>
        <w:tblW w:w="9360" w:type="dxa"/>
        <w:tblLayout w:type="fixed"/>
        <w:tblLook w:val="0000" w:firstRow="0" w:lastRow="0" w:firstColumn="0" w:lastColumn="0" w:noHBand="0" w:noVBand="0"/>
      </w:tblPr>
      <w:tblGrid>
        <w:gridCol w:w="1255"/>
        <w:gridCol w:w="810"/>
        <w:gridCol w:w="2070"/>
        <w:gridCol w:w="2070"/>
        <w:gridCol w:w="3155"/>
      </w:tblGrid>
      <w:tr w:rsidR="00A364F4" w:rsidRPr="00A11FC0" w14:paraId="5C67A7FC" w14:textId="77777777" w:rsidTr="006A0395">
        <w:trPr>
          <w:tblHeader/>
        </w:trPr>
        <w:tc>
          <w:tcPr>
            <w:tcW w:w="1255" w:type="dxa"/>
          </w:tcPr>
          <w:p w14:paraId="07BA3B23" w14:textId="77777777" w:rsidR="00A364F4" w:rsidRPr="00A11FC0" w:rsidRDefault="00000000" w:rsidP="00C10E61">
            <w:pPr>
              <w:jc w:val="left"/>
              <w:rPr>
                <w:rFonts w:cs="Times New Roman"/>
                <w:szCs w:val="24"/>
              </w:rPr>
            </w:pPr>
            <w:r w:rsidRPr="00A11FC0">
              <w:rPr>
                <w:rFonts w:cs="Times New Roman"/>
                <w:b/>
                <w:bCs/>
                <w:szCs w:val="24"/>
              </w:rPr>
              <w:t>Source</w:t>
            </w:r>
          </w:p>
        </w:tc>
        <w:tc>
          <w:tcPr>
            <w:tcW w:w="810" w:type="dxa"/>
          </w:tcPr>
          <w:p w14:paraId="0E7B63E4" w14:textId="77777777" w:rsidR="00A364F4" w:rsidRPr="00A11FC0" w:rsidRDefault="00000000" w:rsidP="00C10E61">
            <w:pPr>
              <w:jc w:val="center"/>
              <w:rPr>
                <w:rFonts w:cs="Times New Roman"/>
                <w:szCs w:val="24"/>
              </w:rPr>
            </w:pPr>
            <w:r w:rsidRPr="00A11FC0">
              <w:rPr>
                <w:rFonts w:cs="Times New Roman"/>
                <w:b/>
                <w:bCs/>
                <w:szCs w:val="24"/>
              </w:rPr>
              <w:t>Year</w:t>
            </w:r>
          </w:p>
        </w:tc>
        <w:tc>
          <w:tcPr>
            <w:tcW w:w="2070" w:type="dxa"/>
          </w:tcPr>
          <w:p w14:paraId="2EB3E1D1" w14:textId="38533A43" w:rsidR="00A364F4" w:rsidRPr="00C10E61" w:rsidRDefault="00C10E61" w:rsidP="00C10E61">
            <w:pPr>
              <w:jc w:val="center"/>
              <w:rPr>
                <w:rFonts w:cs="Times New Roman"/>
                <w:szCs w:val="24"/>
              </w:rPr>
            </w:pPr>
            <w:r w:rsidRPr="00A11FC0">
              <w:rPr>
                <w:rFonts w:cs="Times New Roman"/>
                <w:b/>
                <w:bCs/>
                <w:szCs w:val="24"/>
              </w:rPr>
              <w:t>Design</w:t>
            </w:r>
          </w:p>
        </w:tc>
        <w:tc>
          <w:tcPr>
            <w:tcW w:w="2070" w:type="dxa"/>
          </w:tcPr>
          <w:p w14:paraId="45EAED69" w14:textId="77777777" w:rsidR="00A364F4" w:rsidRPr="00A11FC0" w:rsidRDefault="00000000" w:rsidP="00C10E61">
            <w:pPr>
              <w:jc w:val="center"/>
              <w:rPr>
                <w:rFonts w:cs="Times New Roman"/>
                <w:szCs w:val="24"/>
              </w:rPr>
            </w:pPr>
            <w:r w:rsidRPr="00A11FC0">
              <w:rPr>
                <w:rFonts w:cs="Times New Roman"/>
                <w:b/>
                <w:bCs/>
                <w:szCs w:val="24"/>
              </w:rPr>
              <w:t>Focus</w:t>
            </w:r>
          </w:p>
        </w:tc>
        <w:tc>
          <w:tcPr>
            <w:tcW w:w="3155" w:type="dxa"/>
          </w:tcPr>
          <w:p w14:paraId="60A2B0DB" w14:textId="03D7660B" w:rsidR="00A364F4" w:rsidRPr="00C10E61" w:rsidRDefault="00C10E61" w:rsidP="00C10E61">
            <w:pPr>
              <w:jc w:val="center"/>
              <w:rPr>
                <w:rFonts w:cs="Times New Roman"/>
                <w:szCs w:val="24"/>
              </w:rPr>
            </w:pPr>
            <w:r w:rsidRPr="00A11FC0">
              <w:rPr>
                <w:rFonts w:cs="Times New Roman"/>
                <w:b/>
                <w:bCs/>
                <w:szCs w:val="24"/>
              </w:rPr>
              <w:t>Finding</w:t>
            </w:r>
          </w:p>
        </w:tc>
      </w:tr>
      <w:tr w:rsidR="00A364F4" w:rsidRPr="00A11FC0" w14:paraId="29D02F28" w14:textId="77777777" w:rsidTr="00C10E61">
        <w:tc>
          <w:tcPr>
            <w:tcW w:w="1255" w:type="dxa"/>
          </w:tcPr>
          <w:p w14:paraId="0FA45401" w14:textId="77777777" w:rsidR="00A364F4" w:rsidRPr="00A11FC0" w:rsidRDefault="00000000" w:rsidP="00C10E61">
            <w:pPr>
              <w:jc w:val="left"/>
              <w:rPr>
                <w:rFonts w:cs="Times New Roman"/>
                <w:szCs w:val="24"/>
              </w:rPr>
            </w:pPr>
            <w:r w:rsidRPr="00A11FC0">
              <w:rPr>
                <w:rFonts w:cs="Times New Roman"/>
                <w:szCs w:val="24"/>
              </w:rPr>
              <w:t>Abisuga et al.</w:t>
            </w:r>
          </w:p>
        </w:tc>
        <w:tc>
          <w:tcPr>
            <w:tcW w:w="810" w:type="dxa"/>
          </w:tcPr>
          <w:p w14:paraId="2E375B98" w14:textId="77777777" w:rsidR="00A364F4" w:rsidRPr="00A11FC0" w:rsidRDefault="00000000" w:rsidP="00C10E61">
            <w:pPr>
              <w:jc w:val="center"/>
              <w:rPr>
                <w:rFonts w:cs="Times New Roman"/>
                <w:szCs w:val="24"/>
              </w:rPr>
            </w:pPr>
            <w:r w:rsidRPr="00A11FC0">
              <w:rPr>
                <w:rFonts w:cs="Times New Roman"/>
                <w:szCs w:val="24"/>
              </w:rPr>
              <w:t>2017</w:t>
            </w:r>
          </w:p>
        </w:tc>
        <w:tc>
          <w:tcPr>
            <w:tcW w:w="2070" w:type="dxa"/>
          </w:tcPr>
          <w:p w14:paraId="1CC196A9" w14:textId="77777777" w:rsidR="00A364F4" w:rsidRPr="00A11FC0" w:rsidRDefault="00000000" w:rsidP="00C10E61">
            <w:pPr>
              <w:jc w:val="center"/>
              <w:rPr>
                <w:rFonts w:cs="Times New Roman"/>
                <w:szCs w:val="24"/>
              </w:rPr>
            </w:pPr>
            <w:r w:rsidRPr="00A11FC0">
              <w:rPr>
                <w:rFonts w:cs="Times New Roman"/>
                <w:szCs w:val="24"/>
              </w:rPr>
              <w:t>Survey + factor analysis (Lagos)</w:t>
            </w:r>
          </w:p>
        </w:tc>
        <w:tc>
          <w:tcPr>
            <w:tcW w:w="2070" w:type="dxa"/>
          </w:tcPr>
          <w:p w14:paraId="49BD8CF6" w14:textId="77777777" w:rsidR="00A364F4" w:rsidRPr="00A11FC0" w:rsidRDefault="00000000" w:rsidP="00C10E61">
            <w:pPr>
              <w:jc w:val="center"/>
              <w:rPr>
                <w:rFonts w:cs="Times New Roman"/>
                <w:szCs w:val="24"/>
              </w:rPr>
            </w:pPr>
            <w:r w:rsidRPr="00A11FC0">
              <w:rPr>
                <w:rFonts w:cs="Times New Roman"/>
                <w:szCs w:val="24"/>
              </w:rPr>
              <w:t>Maintenance project success factors</w:t>
            </w:r>
          </w:p>
        </w:tc>
        <w:tc>
          <w:tcPr>
            <w:tcW w:w="3155" w:type="dxa"/>
          </w:tcPr>
          <w:p w14:paraId="07D5A2B8" w14:textId="77777777" w:rsidR="00A364F4" w:rsidRPr="00A11FC0" w:rsidRDefault="00000000" w:rsidP="00C10E61">
            <w:pPr>
              <w:rPr>
                <w:rFonts w:cs="Times New Roman"/>
                <w:szCs w:val="24"/>
              </w:rPr>
            </w:pPr>
            <w:r w:rsidRPr="00A11FC0">
              <w:rPr>
                <w:rFonts w:cs="Times New Roman"/>
                <w:szCs w:val="24"/>
              </w:rPr>
              <w:t>Six critical success factors, incl. team integration, planning, communication</w:t>
            </w:r>
          </w:p>
        </w:tc>
      </w:tr>
      <w:tr w:rsidR="00A364F4" w:rsidRPr="00A11FC0" w14:paraId="300F6ED6" w14:textId="77777777" w:rsidTr="00C10E61">
        <w:tc>
          <w:tcPr>
            <w:tcW w:w="1255" w:type="dxa"/>
          </w:tcPr>
          <w:p w14:paraId="32ADE1DB" w14:textId="77777777" w:rsidR="00A364F4" w:rsidRPr="00A11FC0" w:rsidRDefault="00000000" w:rsidP="00C10E61">
            <w:pPr>
              <w:jc w:val="left"/>
              <w:rPr>
                <w:rFonts w:cs="Times New Roman"/>
                <w:szCs w:val="24"/>
              </w:rPr>
            </w:pPr>
            <w:r w:rsidRPr="00A11FC0">
              <w:rPr>
                <w:rFonts w:cs="Times New Roman"/>
                <w:szCs w:val="24"/>
              </w:rPr>
              <w:t>Adenuga et al.</w:t>
            </w:r>
          </w:p>
        </w:tc>
        <w:tc>
          <w:tcPr>
            <w:tcW w:w="810" w:type="dxa"/>
          </w:tcPr>
          <w:p w14:paraId="53BE5D9B" w14:textId="77777777" w:rsidR="00A364F4" w:rsidRPr="00A11FC0" w:rsidRDefault="00000000" w:rsidP="00C10E61">
            <w:pPr>
              <w:jc w:val="center"/>
              <w:rPr>
                <w:rFonts w:cs="Times New Roman"/>
                <w:szCs w:val="24"/>
              </w:rPr>
            </w:pPr>
            <w:r w:rsidRPr="00A11FC0">
              <w:rPr>
                <w:rFonts w:cs="Times New Roman"/>
                <w:szCs w:val="24"/>
              </w:rPr>
              <w:t>2007</w:t>
            </w:r>
          </w:p>
        </w:tc>
        <w:tc>
          <w:tcPr>
            <w:tcW w:w="2070" w:type="dxa"/>
          </w:tcPr>
          <w:p w14:paraId="4919F559" w14:textId="77777777" w:rsidR="00A364F4" w:rsidRPr="00A11FC0" w:rsidRDefault="00000000" w:rsidP="00C10E61">
            <w:pPr>
              <w:jc w:val="center"/>
              <w:rPr>
                <w:rFonts w:cs="Times New Roman"/>
                <w:szCs w:val="24"/>
              </w:rPr>
            </w:pPr>
            <w:r w:rsidRPr="00A11FC0">
              <w:rPr>
                <w:rFonts w:cs="Times New Roman"/>
                <w:szCs w:val="24"/>
              </w:rPr>
              <w:t>Survey, descriptive + inferential (Lagos)</w:t>
            </w:r>
          </w:p>
        </w:tc>
        <w:tc>
          <w:tcPr>
            <w:tcW w:w="2070" w:type="dxa"/>
          </w:tcPr>
          <w:p w14:paraId="03E642B5" w14:textId="77777777" w:rsidR="00A364F4" w:rsidRPr="00A11FC0" w:rsidRDefault="00000000" w:rsidP="00C10E61">
            <w:pPr>
              <w:jc w:val="center"/>
              <w:rPr>
                <w:rFonts w:cs="Times New Roman"/>
                <w:szCs w:val="24"/>
              </w:rPr>
            </w:pPr>
            <w:r w:rsidRPr="00A11FC0">
              <w:rPr>
                <w:rFonts w:cs="Times New Roman"/>
                <w:szCs w:val="24"/>
              </w:rPr>
              <w:t>Public hospital building maintenance</w:t>
            </w:r>
          </w:p>
        </w:tc>
        <w:tc>
          <w:tcPr>
            <w:tcW w:w="3155" w:type="dxa"/>
          </w:tcPr>
          <w:p w14:paraId="3399D865" w14:textId="77777777" w:rsidR="00A364F4" w:rsidRPr="00A11FC0" w:rsidRDefault="00000000" w:rsidP="00C10E61">
            <w:pPr>
              <w:rPr>
                <w:rFonts w:cs="Times New Roman"/>
                <w:szCs w:val="24"/>
              </w:rPr>
            </w:pPr>
            <w:r w:rsidRPr="00A11FC0">
              <w:rPr>
                <w:rFonts w:cs="Times New Roman"/>
                <w:szCs w:val="24"/>
              </w:rPr>
              <w:t>Operational state "average"; insufficient funds a top factor</w:t>
            </w:r>
          </w:p>
        </w:tc>
      </w:tr>
      <w:tr w:rsidR="00A364F4" w:rsidRPr="00A11FC0" w14:paraId="4C82DDCA" w14:textId="77777777" w:rsidTr="00C10E61">
        <w:tc>
          <w:tcPr>
            <w:tcW w:w="1255" w:type="dxa"/>
          </w:tcPr>
          <w:p w14:paraId="5B1BE0E8" w14:textId="42A6EE56" w:rsidR="00A364F4" w:rsidRPr="00A11FC0" w:rsidRDefault="00000000" w:rsidP="00C10E61">
            <w:pPr>
              <w:jc w:val="left"/>
              <w:rPr>
                <w:rFonts w:cs="Times New Roman"/>
                <w:szCs w:val="24"/>
              </w:rPr>
            </w:pPr>
            <w:r w:rsidRPr="00A11FC0">
              <w:rPr>
                <w:rFonts w:cs="Times New Roman"/>
                <w:szCs w:val="24"/>
              </w:rPr>
              <w:t>Adenuga &amp; Iyagba</w:t>
            </w:r>
          </w:p>
        </w:tc>
        <w:tc>
          <w:tcPr>
            <w:tcW w:w="810" w:type="dxa"/>
          </w:tcPr>
          <w:p w14:paraId="579003F7" w14:textId="77777777" w:rsidR="00A364F4" w:rsidRPr="00A11FC0" w:rsidRDefault="00000000" w:rsidP="00C10E61">
            <w:pPr>
              <w:jc w:val="center"/>
              <w:rPr>
                <w:rFonts w:cs="Times New Roman"/>
                <w:szCs w:val="24"/>
              </w:rPr>
            </w:pPr>
            <w:r w:rsidRPr="00A11FC0">
              <w:rPr>
                <w:rFonts w:cs="Times New Roman"/>
                <w:szCs w:val="24"/>
              </w:rPr>
              <w:t>2005</w:t>
            </w:r>
          </w:p>
        </w:tc>
        <w:tc>
          <w:tcPr>
            <w:tcW w:w="2070" w:type="dxa"/>
          </w:tcPr>
          <w:p w14:paraId="4AF4F2D9" w14:textId="77777777" w:rsidR="00A364F4" w:rsidRPr="00A11FC0" w:rsidRDefault="00000000" w:rsidP="00C10E61">
            <w:pPr>
              <w:jc w:val="center"/>
              <w:rPr>
                <w:rFonts w:cs="Times New Roman"/>
                <w:szCs w:val="24"/>
              </w:rPr>
            </w:pPr>
            <w:r w:rsidRPr="00A11FC0">
              <w:rPr>
                <w:rFonts w:cs="Times New Roman"/>
                <w:szCs w:val="24"/>
              </w:rPr>
              <w:t>Conceptual (Lagos)</w:t>
            </w:r>
          </w:p>
        </w:tc>
        <w:tc>
          <w:tcPr>
            <w:tcW w:w="2070" w:type="dxa"/>
          </w:tcPr>
          <w:p w14:paraId="321539B0" w14:textId="77777777" w:rsidR="00A364F4" w:rsidRPr="00A11FC0" w:rsidRDefault="00000000" w:rsidP="00C10E61">
            <w:pPr>
              <w:jc w:val="center"/>
              <w:rPr>
                <w:rFonts w:cs="Times New Roman"/>
                <w:szCs w:val="24"/>
              </w:rPr>
            </w:pPr>
            <w:r w:rsidRPr="00A11FC0">
              <w:rPr>
                <w:rFonts w:cs="Times New Roman"/>
                <w:szCs w:val="24"/>
              </w:rPr>
              <w:t>Strategic preventive approach</w:t>
            </w:r>
          </w:p>
        </w:tc>
        <w:tc>
          <w:tcPr>
            <w:tcW w:w="3155" w:type="dxa"/>
          </w:tcPr>
          <w:p w14:paraId="7352DA05" w14:textId="77777777" w:rsidR="00A364F4" w:rsidRPr="00A11FC0" w:rsidRDefault="00000000" w:rsidP="00C10E61">
            <w:pPr>
              <w:rPr>
                <w:rFonts w:cs="Times New Roman"/>
                <w:szCs w:val="24"/>
              </w:rPr>
            </w:pPr>
            <w:r w:rsidRPr="00A11FC0">
              <w:rPr>
                <w:rFonts w:cs="Times New Roman"/>
                <w:szCs w:val="24"/>
              </w:rPr>
              <w:t>Advocacy of preventive FM at the strategic level</w:t>
            </w:r>
          </w:p>
        </w:tc>
      </w:tr>
      <w:tr w:rsidR="00A364F4" w:rsidRPr="00A11FC0" w14:paraId="28A3BDD4" w14:textId="77777777" w:rsidTr="00C10E61">
        <w:tc>
          <w:tcPr>
            <w:tcW w:w="1255" w:type="dxa"/>
          </w:tcPr>
          <w:p w14:paraId="53835E7B" w14:textId="5D56D6BB" w:rsidR="00A364F4" w:rsidRPr="00A11FC0" w:rsidRDefault="00000000" w:rsidP="00C10E61">
            <w:pPr>
              <w:jc w:val="left"/>
              <w:rPr>
                <w:rFonts w:cs="Times New Roman"/>
                <w:szCs w:val="24"/>
              </w:rPr>
            </w:pPr>
            <w:r w:rsidRPr="00A11FC0">
              <w:rPr>
                <w:rFonts w:cs="Times New Roman"/>
                <w:szCs w:val="24"/>
              </w:rPr>
              <w:t>Adebayo</w:t>
            </w:r>
          </w:p>
        </w:tc>
        <w:tc>
          <w:tcPr>
            <w:tcW w:w="810" w:type="dxa"/>
          </w:tcPr>
          <w:p w14:paraId="71CC7530" w14:textId="77777777" w:rsidR="00A364F4" w:rsidRPr="00A11FC0" w:rsidRDefault="00000000" w:rsidP="00C10E61">
            <w:pPr>
              <w:jc w:val="center"/>
              <w:rPr>
                <w:rFonts w:cs="Times New Roman"/>
                <w:szCs w:val="24"/>
              </w:rPr>
            </w:pPr>
            <w:r w:rsidRPr="00A11FC0">
              <w:rPr>
                <w:rFonts w:cs="Times New Roman"/>
                <w:szCs w:val="24"/>
              </w:rPr>
              <w:t>1991</w:t>
            </w:r>
          </w:p>
        </w:tc>
        <w:tc>
          <w:tcPr>
            <w:tcW w:w="2070" w:type="dxa"/>
          </w:tcPr>
          <w:p w14:paraId="4BB8B0D7" w14:textId="77777777" w:rsidR="00A364F4" w:rsidRPr="00A11FC0" w:rsidRDefault="00000000" w:rsidP="00C10E61">
            <w:pPr>
              <w:jc w:val="center"/>
              <w:rPr>
                <w:rFonts w:cs="Times New Roman"/>
                <w:szCs w:val="24"/>
              </w:rPr>
            </w:pPr>
            <w:r w:rsidRPr="00A11FC0">
              <w:rPr>
                <w:rFonts w:cs="Times New Roman"/>
                <w:szCs w:val="24"/>
              </w:rPr>
              <w:t>Doctoral thesis (Nigeria)</w:t>
            </w:r>
          </w:p>
        </w:tc>
        <w:tc>
          <w:tcPr>
            <w:tcW w:w="2070" w:type="dxa"/>
          </w:tcPr>
          <w:p w14:paraId="0765126F" w14:textId="77777777" w:rsidR="00A364F4" w:rsidRPr="00A11FC0" w:rsidRDefault="00000000" w:rsidP="00C10E61">
            <w:pPr>
              <w:jc w:val="center"/>
              <w:rPr>
                <w:rFonts w:cs="Times New Roman"/>
                <w:szCs w:val="24"/>
              </w:rPr>
            </w:pPr>
            <w:r w:rsidRPr="00A11FC0">
              <w:rPr>
                <w:rFonts w:cs="Times New Roman"/>
                <w:szCs w:val="24"/>
              </w:rPr>
              <w:t>Maintenance management of public buildings</w:t>
            </w:r>
          </w:p>
        </w:tc>
        <w:tc>
          <w:tcPr>
            <w:tcW w:w="3155" w:type="dxa"/>
          </w:tcPr>
          <w:p w14:paraId="4B80D622" w14:textId="77777777" w:rsidR="00A364F4" w:rsidRPr="00A11FC0" w:rsidRDefault="00000000" w:rsidP="00C10E61">
            <w:pPr>
              <w:rPr>
                <w:rFonts w:cs="Times New Roman"/>
                <w:szCs w:val="24"/>
              </w:rPr>
            </w:pPr>
            <w:r w:rsidRPr="00A11FC0">
              <w:rPr>
                <w:rFonts w:cs="Times New Roman"/>
                <w:szCs w:val="24"/>
              </w:rPr>
              <w:t>Foundational study of maintenance management</w:t>
            </w:r>
          </w:p>
        </w:tc>
      </w:tr>
      <w:tr w:rsidR="00A364F4" w:rsidRPr="00A11FC0" w14:paraId="392CA925" w14:textId="77777777" w:rsidTr="00C10E61">
        <w:tc>
          <w:tcPr>
            <w:tcW w:w="1255" w:type="dxa"/>
          </w:tcPr>
          <w:p w14:paraId="2CB641F0" w14:textId="77777777" w:rsidR="00A364F4" w:rsidRPr="00A11FC0" w:rsidRDefault="00000000" w:rsidP="00C10E61">
            <w:pPr>
              <w:jc w:val="left"/>
              <w:rPr>
                <w:rFonts w:cs="Times New Roman"/>
                <w:szCs w:val="24"/>
              </w:rPr>
            </w:pPr>
            <w:r w:rsidRPr="00A11FC0">
              <w:rPr>
                <w:rFonts w:cs="Times New Roman"/>
                <w:szCs w:val="24"/>
              </w:rPr>
              <w:t>Adetunji et al.</w:t>
            </w:r>
          </w:p>
        </w:tc>
        <w:tc>
          <w:tcPr>
            <w:tcW w:w="810" w:type="dxa"/>
          </w:tcPr>
          <w:p w14:paraId="670C5872" w14:textId="77777777" w:rsidR="00A364F4" w:rsidRPr="00A11FC0" w:rsidRDefault="00000000" w:rsidP="00C10E61">
            <w:pPr>
              <w:jc w:val="center"/>
              <w:rPr>
                <w:rFonts w:cs="Times New Roman"/>
                <w:szCs w:val="24"/>
              </w:rPr>
            </w:pPr>
            <w:r w:rsidRPr="00A11FC0">
              <w:rPr>
                <w:rFonts w:cs="Times New Roman"/>
                <w:szCs w:val="24"/>
              </w:rPr>
              <w:t>2018</w:t>
            </w:r>
          </w:p>
        </w:tc>
        <w:tc>
          <w:tcPr>
            <w:tcW w:w="2070" w:type="dxa"/>
          </w:tcPr>
          <w:p w14:paraId="5FA9F976" w14:textId="77777777" w:rsidR="00A364F4" w:rsidRPr="00A11FC0" w:rsidRDefault="00000000" w:rsidP="00C10E61">
            <w:pPr>
              <w:jc w:val="center"/>
              <w:rPr>
                <w:rFonts w:cs="Times New Roman"/>
                <w:szCs w:val="24"/>
              </w:rPr>
            </w:pPr>
            <w:r w:rsidRPr="00A11FC0">
              <w:rPr>
                <w:rFonts w:cs="Times New Roman"/>
                <w:szCs w:val="24"/>
              </w:rPr>
              <w:t>Survey (Lagos Island)</w:t>
            </w:r>
          </w:p>
        </w:tc>
        <w:tc>
          <w:tcPr>
            <w:tcW w:w="2070" w:type="dxa"/>
          </w:tcPr>
          <w:p w14:paraId="16D3FADD" w14:textId="77777777" w:rsidR="00A364F4" w:rsidRPr="00A11FC0" w:rsidRDefault="00000000" w:rsidP="00C10E61">
            <w:pPr>
              <w:jc w:val="center"/>
              <w:rPr>
                <w:rFonts w:cs="Times New Roman"/>
                <w:szCs w:val="24"/>
              </w:rPr>
            </w:pPr>
            <w:r w:rsidRPr="00A11FC0">
              <w:rPr>
                <w:rFonts w:cs="Times New Roman"/>
                <w:szCs w:val="24"/>
              </w:rPr>
              <w:t>Building collapse assessment</w:t>
            </w:r>
          </w:p>
        </w:tc>
        <w:tc>
          <w:tcPr>
            <w:tcW w:w="3155" w:type="dxa"/>
          </w:tcPr>
          <w:p w14:paraId="5D4B9F57" w14:textId="77777777" w:rsidR="00A364F4" w:rsidRPr="00A11FC0" w:rsidRDefault="00000000" w:rsidP="00C10E61">
            <w:pPr>
              <w:rPr>
                <w:rFonts w:cs="Times New Roman"/>
                <w:szCs w:val="24"/>
              </w:rPr>
            </w:pPr>
            <w:r w:rsidRPr="00A11FC0">
              <w:rPr>
                <w:rFonts w:cs="Times New Roman"/>
                <w:szCs w:val="24"/>
              </w:rPr>
              <w:t>Change of use and material quality as causes</w:t>
            </w:r>
          </w:p>
        </w:tc>
      </w:tr>
      <w:tr w:rsidR="00A364F4" w:rsidRPr="00A11FC0" w14:paraId="47CADD17" w14:textId="77777777" w:rsidTr="00C10E61">
        <w:tc>
          <w:tcPr>
            <w:tcW w:w="1255" w:type="dxa"/>
          </w:tcPr>
          <w:p w14:paraId="0161B06F" w14:textId="77777777" w:rsidR="00A364F4" w:rsidRPr="00A11FC0" w:rsidRDefault="00000000" w:rsidP="00C10E61">
            <w:pPr>
              <w:jc w:val="left"/>
              <w:rPr>
                <w:rFonts w:cs="Times New Roman"/>
                <w:szCs w:val="24"/>
              </w:rPr>
            </w:pPr>
            <w:r w:rsidRPr="00A11FC0">
              <w:rPr>
                <w:rFonts w:cs="Times New Roman"/>
                <w:szCs w:val="24"/>
              </w:rPr>
              <w:t>Aghimien et al.</w:t>
            </w:r>
          </w:p>
        </w:tc>
        <w:tc>
          <w:tcPr>
            <w:tcW w:w="810" w:type="dxa"/>
          </w:tcPr>
          <w:p w14:paraId="1BBA4A73" w14:textId="77777777" w:rsidR="00A364F4" w:rsidRPr="00A11FC0" w:rsidRDefault="00000000" w:rsidP="00C10E61">
            <w:pPr>
              <w:jc w:val="center"/>
              <w:rPr>
                <w:rFonts w:cs="Times New Roman"/>
                <w:szCs w:val="24"/>
              </w:rPr>
            </w:pPr>
            <w:r w:rsidRPr="00A11FC0">
              <w:rPr>
                <w:rFonts w:cs="Times New Roman"/>
                <w:szCs w:val="24"/>
              </w:rPr>
              <w:t>2019</w:t>
            </w:r>
          </w:p>
        </w:tc>
        <w:tc>
          <w:tcPr>
            <w:tcW w:w="2070" w:type="dxa"/>
          </w:tcPr>
          <w:p w14:paraId="54C6D320" w14:textId="77777777" w:rsidR="00A364F4" w:rsidRPr="00A11FC0" w:rsidRDefault="00000000" w:rsidP="00C10E61">
            <w:pPr>
              <w:jc w:val="center"/>
              <w:rPr>
                <w:rFonts w:cs="Times New Roman"/>
                <w:szCs w:val="24"/>
              </w:rPr>
            </w:pPr>
            <w:r w:rsidRPr="00A11FC0">
              <w:rPr>
                <w:rFonts w:cs="Times New Roman"/>
                <w:szCs w:val="24"/>
              </w:rPr>
              <w:t>Survey (Nigeria)</w:t>
            </w:r>
          </w:p>
        </w:tc>
        <w:tc>
          <w:tcPr>
            <w:tcW w:w="2070" w:type="dxa"/>
          </w:tcPr>
          <w:p w14:paraId="6A9E648D" w14:textId="77777777" w:rsidR="00A364F4" w:rsidRPr="00A11FC0" w:rsidRDefault="00000000" w:rsidP="00C10E61">
            <w:pPr>
              <w:jc w:val="center"/>
              <w:rPr>
                <w:rFonts w:cs="Times New Roman"/>
                <w:szCs w:val="24"/>
              </w:rPr>
            </w:pPr>
            <w:r w:rsidRPr="00A11FC0">
              <w:rPr>
                <w:rFonts w:cs="Times New Roman"/>
                <w:szCs w:val="24"/>
              </w:rPr>
              <w:t>Barriers in private tertiary institutions</w:t>
            </w:r>
          </w:p>
        </w:tc>
        <w:tc>
          <w:tcPr>
            <w:tcW w:w="3155" w:type="dxa"/>
          </w:tcPr>
          <w:p w14:paraId="5984695C" w14:textId="77777777" w:rsidR="00A364F4" w:rsidRPr="00A11FC0" w:rsidRDefault="00000000" w:rsidP="00C10E61">
            <w:pPr>
              <w:rPr>
                <w:rFonts w:cs="Times New Roman"/>
                <w:szCs w:val="24"/>
              </w:rPr>
            </w:pPr>
            <w:r w:rsidRPr="00A11FC0">
              <w:rPr>
                <w:rFonts w:cs="Times New Roman"/>
                <w:szCs w:val="24"/>
              </w:rPr>
              <w:t>Funding and policy barriers to maintenance</w:t>
            </w:r>
          </w:p>
        </w:tc>
      </w:tr>
      <w:tr w:rsidR="00A364F4" w:rsidRPr="00A11FC0" w14:paraId="08B191AD" w14:textId="77777777" w:rsidTr="00C10E61">
        <w:tc>
          <w:tcPr>
            <w:tcW w:w="1255" w:type="dxa"/>
          </w:tcPr>
          <w:p w14:paraId="4C90A00F" w14:textId="77777777" w:rsidR="00A364F4" w:rsidRPr="00A11FC0" w:rsidRDefault="00000000" w:rsidP="00C10E61">
            <w:pPr>
              <w:jc w:val="left"/>
              <w:rPr>
                <w:rFonts w:cs="Times New Roman"/>
                <w:szCs w:val="24"/>
              </w:rPr>
            </w:pPr>
            <w:r w:rsidRPr="00A11FC0">
              <w:rPr>
                <w:rFonts w:cs="Times New Roman"/>
                <w:szCs w:val="24"/>
              </w:rPr>
              <w:lastRenderedPageBreak/>
              <w:t>British Standards Institution</w:t>
            </w:r>
          </w:p>
        </w:tc>
        <w:tc>
          <w:tcPr>
            <w:tcW w:w="810" w:type="dxa"/>
          </w:tcPr>
          <w:p w14:paraId="63593E15" w14:textId="77777777" w:rsidR="00A364F4" w:rsidRPr="00A11FC0" w:rsidRDefault="00000000" w:rsidP="00C10E61">
            <w:pPr>
              <w:jc w:val="center"/>
              <w:rPr>
                <w:rFonts w:cs="Times New Roman"/>
                <w:szCs w:val="24"/>
              </w:rPr>
            </w:pPr>
            <w:r w:rsidRPr="00A11FC0">
              <w:rPr>
                <w:rFonts w:cs="Times New Roman"/>
                <w:szCs w:val="24"/>
              </w:rPr>
              <w:t>2022</w:t>
            </w:r>
          </w:p>
        </w:tc>
        <w:tc>
          <w:tcPr>
            <w:tcW w:w="2070" w:type="dxa"/>
          </w:tcPr>
          <w:p w14:paraId="71AF9546" w14:textId="77777777" w:rsidR="00A364F4" w:rsidRPr="00A11FC0" w:rsidRDefault="00000000" w:rsidP="00C10E61">
            <w:pPr>
              <w:jc w:val="center"/>
              <w:rPr>
                <w:rFonts w:cs="Times New Roman"/>
                <w:szCs w:val="24"/>
              </w:rPr>
            </w:pPr>
            <w:r w:rsidRPr="00A11FC0">
              <w:rPr>
                <w:rFonts w:cs="Times New Roman"/>
                <w:szCs w:val="24"/>
              </w:rPr>
              <w:t>Standard</w:t>
            </w:r>
          </w:p>
        </w:tc>
        <w:tc>
          <w:tcPr>
            <w:tcW w:w="2070" w:type="dxa"/>
          </w:tcPr>
          <w:p w14:paraId="77FEA2FA" w14:textId="77777777" w:rsidR="00A364F4" w:rsidRPr="00A11FC0" w:rsidRDefault="00000000" w:rsidP="00C10E61">
            <w:pPr>
              <w:jc w:val="center"/>
              <w:rPr>
                <w:rFonts w:cs="Times New Roman"/>
                <w:szCs w:val="24"/>
              </w:rPr>
            </w:pPr>
            <w:r w:rsidRPr="00A11FC0">
              <w:rPr>
                <w:rFonts w:cs="Times New Roman"/>
                <w:szCs w:val="24"/>
              </w:rPr>
              <w:t>Maintenance KPI taxonomy</w:t>
            </w:r>
          </w:p>
        </w:tc>
        <w:tc>
          <w:tcPr>
            <w:tcW w:w="3155" w:type="dxa"/>
          </w:tcPr>
          <w:p w14:paraId="7EBF3718" w14:textId="77777777" w:rsidR="00A364F4" w:rsidRPr="00A11FC0" w:rsidRDefault="00000000" w:rsidP="00C10E61">
            <w:pPr>
              <w:rPr>
                <w:rFonts w:cs="Times New Roman"/>
                <w:szCs w:val="24"/>
              </w:rPr>
            </w:pPr>
            <w:r w:rsidRPr="00A11FC0">
              <w:rPr>
                <w:rFonts w:cs="Times New Roman"/>
                <w:szCs w:val="24"/>
              </w:rPr>
              <w:t>Economic, technical, organisational KPI families</w:t>
            </w:r>
          </w:p>
        </w:tc>
      </w:tr>
      <w:tr w:rsidR="00A364F4" w:rsidRPr="00A11FC0" w14:paraId="12EDF8A5" w14:textId="77777777" w:rsidTr="00C10E61">
        <w:tc>
          <w:tcPr>
            <w:tcW w:w="1255" w:type="dxa"/>
          </w:tcPr>
          <w:p w14:paraId="1F2E5A5D" w14:textId="77777777" w:rsidR="00A364F4" w:rsidRPr="00A11FC0" w:rsidRDefault="00000000" w:rsidP="00C10E61">
            <w:pPr>
              <w:jc w:val="left"/>
              <w:rPr>
                <w:rFonts w:cs="Times New Roman"/>
                <w:szCs w:val="24"/>
              </w:rPr>
            </w:pPr>
            <w:r w:rsidRPr="00A11FC0">
              <w:rPr>
                <w:rFonts w:cs="Times New Roman"/>
                <w:szCs w:val="24"/>
              </w:rPr>
              <w:t>Daily Trust</w:t>
            </w:r>
          </w:p>
        </w:tc>
        <w:tc>
          <w:tcPr>
            <w:tcW w:w="810" w:type="dxa"/>
          </w:tcPr>
          <w:p w14:paraId="504D6452" w14:textId="77777777" w:rsidR="00A364F4" w:rsidRPr="00A11FC0" w:rsidRDefault="00000000" w:rsidP="00C10E61">
            <w:pPr>
              <w:jc w:val="center"/>
              <w:rPr>
                <w:rFonts w:cs="Times New Roman"/>
                <w:szCs w:val="24"/>
              </w:rPr>
            </w:pPr>
            <w:r w:rsidRPr="00A11FC0">
              <w:rPr>
                <w:rFonts w:cs="Times New Roman"/>
                <w:szCs w:val="24"/>
              </w:rPr>
              <w:t>2025</w:t>
            </w:r>
          </w:p>
        </w:tc>
        <w:tc>
          <w:tcPr>
            <w:tcW w:w="2070" w:type="dxa"/>
          </w:tcPr>
          <w:p w14:paraId="440E8304" w14:textId="77777777" w:rsidR="00A364F4" w:rsidRPr="00A11FC0" w:rsidRDefault="00000000" w:rsidP="00C10E61">
            <w:pPr>
              <w:jc w:val="center"/>
              <w:rPr>
                <w:rFonts w:cs="Times New Roman"/>
                <w:szCs w:val="24"/>
              </w:rPr>
            </w:pPr>
            <w:r w:rsidRPr="00A11FC0">
              <w:rPr>
                <w:rFonts w:cs="Times New Roman"/>
                <w:szCs w:val="24"/>
              </w:rPr>
              <w:t>Sectoral report</w:t>
            </w:r>
          </w:p>
        </w:tc>
        <w:tc>
          <w:tcPr>
            <w:tcW w:w="2070" w:type="dxa"/>
          </w:tcPr>
          <w:p w14:paraId="7BC51980" w14:textId="77777777" w:rsidR="00A364F4" w:rsidRPr="00A11FC0" w:rsidRDefault="00000000" w:rsidP="00C10E61">
            <w:pPr>
              <w:jc w:val="center"/>
              <w:rPr>
                <w:rFonts w:cs="Times New Roman"/>
                <w:szCs w:val="24"/>
              </w:rPr>
            </w:pPr>
            <w:r w:rsidRPr="00A11FC0">
              <w:rPr>
                <w:rFonts w:cs="Times New Roman"/>
                <w:szCs w:val="24"/>
              </w:rPr>
              <w:t>National collapse tally</w:t>
            </w:r>
          </w:p>
        </w:tc>
        <w:tc>
          <w:tcPr>
            <w:tcW w:w="3155" w:type="dxa"/>
          </w:tcPr>
          <w:p w14:paraId="537036AA" w14:textId="77777777" w:rsidR="00A364F4" w:rsidRPr="00A11FC0" w:rsidRDefault="00000000" w:rsidP="00C10E61">
            <w:pPr>
              <w:rPr>
                <w:rFonts w:cs="Times New Roman"/>
                <w:szCs w:val="24"/>
              </w:rPr>
            </w:pPr>
            <w:r w:rsidRPr="00A11FC0">
              <w:rPr>
                <w:rFonts w:cs="Times New Roman"/>
                <w:szCs w:val="24"/>
              </w:rPr>
              <w:t>Lagos = 351 of 635 (~55%); 13 of 47 in 2024</w:t>
            </w:r>
          </w:p>
        </w:tc>
      </w:tr>
      <w:tr w:rsidR="00A364F4" w:rsidRPr="00A11FC0" w14:paraId="7B777EB4" w14:textId="77777777" w:rsidTr="00C10E61">
        <w:tc>
          <w:tcPr>
            <w:tcW w:w="1255" w:type="dxa"/>
          </w:tcPr>
          <w:p w14:paraId="4E688019" w14:textId="129C1F37" w:rsidR="00A364F4" w:rsidRPr="00A11FC0" w:rsidRDefault="00000000" w:rsidP="00C10E61">
            <w:pPr>
              <w:jc w:val="left"/>
              <w:rPr>
                <w:rFonts w:cs="Times New Roman"/>
                <w:szCs w:val="24"/>
              </w:rPr>
            </w:pPr>
            <w:r w:rsidRPr="00A11FC0">
              <w:rPr>
                <w:rFonts w:cs="Times New Roman"/>
                <w:szCs w:val="24"/>
              </w:rPr>
              <w:t>Ede</w:t>
            </w:r>
          </w:p>
        </w:tc>
        <w:tc>
          <w:tcPr>
            <w:tcW w:w="810" w:type="dxa"/>
          </w:tcPr>
          <w:p w14:paraId="1A0714BA" w14:textId="77777777" w:rsidR="00A364F4" w:rsidRPr="00A11FC0" w:rsidRDefault="00000000" w:rsidP="00C10E61">
            <w:pPr>
              <w:jc w:val="center"/>
              <w:rPr>
                <w:rFonts w:cs="Times New Roman"/>
                <w:szCs w:val="24"/>
              </w:rPr>
            </w:pPr>
            <w:r w:rsidRPr="00A11FC0">
              <w:rPr>
                <w:rFonts w:cs="Times New Roman"/>
                <w:szCs w:val="24"/>
              </w:rPr>
              <w:t>2010</w:t>
            </w:r>
          </w:p>
        </w:tc>
        <w:tc>
          <w:tcPr>
            <w:tcW w:w="2070" w:type="dxa"/>
          </w:tcPr>
          <w:p w14:paraId="1CB2EEA7" w14:textId="77777777" w:rsidR="00A364F4" w:rsidRPr="00A11FC0" w:rsidRDefault="00000000" w:rsidP="00C10E61">
            <w:pPr>
              <w:jc w:val="center"/>
              <w:rPr>
                <w:rFonts w:cs="Times New Roman"/>
                <w:szCs w:val="24"/>
              </w:rPr>
            </w:pPr>
            <w:r w:rsidRPr="00A11FC0">
              <w:rPr>
                <w:rFonts w:cs="Times New Roman"/>
                <w:szCs w:val="24"/>
              </w:rPr>
              <w:t>Survey (Nigeria)</w:t>
            </w:r>
          </w:p>
        </w:tc>
        <w:tc>
          <w:tcPr>
            <w:tcW w:w="2070" w:type="dxa"/>
          </w:tcPr>
          <w:p w14:paraId="177A304C" w14:textId="77777777" w:rsidR="00A364F4" w:rsidRPr="00A11FC0" w:rsidRDefault="00000000" w:rsidP="00C10E61">
            <w:pPr>
              <w:jc w:val="center"/>
              <w:rPr>
                <w:rFonts w:cs="Times New Roman"/>
                <w:szCs w:val="24"/>
              </w:rPr>
            </w:pPr>
            <w:r w:rsidRPr="00A11FC0">
              <w:rPr>
                <w:rFonts w:cs="Times New Roman"/>
                <w:szCs w:val="24"/>
              </w:rPr>
              <w:t>Collapse casualty trend 2000–2010</w:t>
            </w:r>
          </w:p>
        </w:tc>
        <w:tc>
          <w:tcPr>
            <w:tcW w:w="3155" w:type="dxa"/>
          </w:tcPr>
          <w:p w14:paraId="459B8CDB" w14:textId="77777777" w:rsidR="00A364F4" w:rsidRPr="00A11FC0" w:rsidRDefault="00000000" w:rsidP="00C10E61">
            <w:pPr>
              <w:rPr>
                <w:rFonts w:cs="Times New Roman"/>
                <w:szCs w:val="24"/>
              </w:rPr>
            </w:pPr>
            <w:r w:rsidRPr="00A11FC0">
              <w:rPr>
                <w:rFonts w:cs="Times New Roman"/>
                <w:szCs w:val="24"/>
              </w:rPr>
              <w:t>Rising casualties decade on decade</w:t>
            </w:r>
          </w:p>
        </w:tc>
      </w:tr>
      <w:tr w:rsidR="00A364F4" w:rsidRPr="00A11FC0" w14:paraId="405ABE07" w14:textId="77777777" w:rsidTr="00C10E61">
        <w:tc>
          <w:tcPr>
            <w:tcW w:w="1255" w:type="dxa"/>
          </w:tcPr>
          <w:p w14:paraId="3244B4BB" w14:textId="77777777" w:rsidR="00A364F4" w:rsidRPr="00A11FC0" w:rsidRDefault="00000000" w:rsidP="00C10E61">
            <w:pPr>
              <w:jc w:val="left"/>
              <w:rPr>
                <w:rFonts w:cs="Times New Roman"/>
                <w:szCs w:val="24"/>
              </w:rPr>
            </w:pPr>
            <w:r w:rsidRPr="00A11FC0">
              <w:rPr>
                <w:rFonts w:cs="Times New Roman"/>
                <w:szCs w:val="24"/>
              </w:rPr>
              <w:t>Fateye et al.</w:t>
            </w:r>
          </w:p>
        </w:tc>
        <w:tc>
          <w:tcPr>
            <w:tcW w:w="810" w:type="dxa"/>
          </w:tcPr>
          <w:p w14:paraId="10D62ECC" w14:textId="77777777" w:rsidR="00A364F4" w:rsidRPr="00A11FC0" w:rsidRDefault="00000000" w:rsidP="00C10E61">
            <w:pPr>
              <w:jc w:val="center"/>
              <w:rPr>
                <w:rFonts w:cs="Times New Roman"/>
                <w:szCs w:val="24"/>
              </w:rPr>
            </w:pPr>
            <w:r w:rsidRPr="00A11FC0">
              <w:rPr>
                <w:rFonts w:cs="Times New Roman"/>
                <w:szCs w:val="24"/>
              </w:rPr>
              <w:t>2022</w:t>
            </w:r>
          </w:p>
        </w:tc>
        <w:tc>
          <w:tcPr>
            <w:tcW w:w="2070" w:type="dxa"/>
          </w:tcPr>
          <w:p w14:paraId="03CDF8D1" w14:textId="77777777" w:rsidR="00A364F4" w:rsidRPr="00A11FC0" w:rsidRDefault="00000000" w:rsidP="00C10E61">
            <w:pPr>
              <w:jc w:val="center"/>
              <w:rPr>
                <w:rFonts w:cs="Times New Roman"/>
                <w:szCs w:val="24"/>
              </w:rPr>
            </w:pPr>
            <w:r w:rsidRPr="00A11FC0">
              <w:rPr>
                <w:rFonts w:cs="Times New Roman"/>
                <w:szCs w:val="24"/>
              </w:rPr>
              <w:t>Survey, WMS / RSI / Kruskal-Wallis (Lagos)</w:t>
            </w:r>
          </w:p>
        </w:tc>
        <w:tc>
          <w:tcPr>
            <w:tcW w:w="2070" w:type="dxa"/>
          </w:tcPr>
          <w:p w14:paraId="0FCF1FF4" w14:textId="77777777" w:rsidR="00A364F4" w:rsidRPr="00A11FC0" w:rsidRDefault="00000000" w:rsidP="00C10E61">
            <w:pPr>
              <w:jc w:val="center"/>
              <w:rPr>
                <w:rFonts w:cs="Times New Roman"/>
                <w:szCs w:val="24"/>
              </w:rPr>
            </w:pPr>
            <w:r w:rsidRPr="00A11FC0">
              <w:rPr>
                <w:rFonts w:cs="Times New Roman"/>
                <w:szCs w:val="24"/>
              </w:rPr>
              <w:t>Office-building operation and maintenance</w:t>
            </w:r>
          </w:p>
        </w:tc>
        <w:tc>
          <w:tcPr>
            <w:tcW w:w="3155" w:type="dxa"/>
          </w:tcPr>
          <w:p w14:paraId="180985B2" w14:textId="77777777" w:rsidR="00A364F4" w:rsidRPr="00A11FC0" w:rsidRDefault="00000000" w:rsidP="00C10E61">
            <w:pPr>
              <w:rPr>
                <w:rFonts w:cs="Times New Roman"/>
                <w:szCs w:val="24"/>
              </w:rPr>
            </w:pPr>
            <w:r w:rsidRPr="00A11FC0">
              <w:rPr>
                <w:rFonts w:cs="Times New Roman"/>
                <w:szCs w:val="24"/>
              </w:rPr>
              <w:t>Lack of preventive maintenance RSI = 0.685 (top)</w:t>
            </w:r>
          </w:p>
        </w:tc>
      </w:tr>
      <w:tr w:rsidR="00A364F4" w:rsidRPr="00A11FC0" w14:paraId="118CFF89" w14:textId="77777777" w:rsidTr="00C10E61">
        <w:tc>
          <w:tcPr>
            <w:tcW w:w="1255" w:type="dxa"/>
          </w:tcPr>
          <w:p w14:paraId="7438ED81" w14:textId="77777777" w:rsidR="00A364F4" w:rsidRPr="00A11FC0" w:rsidRDefault="00000000" w:rsidP="00C10E61">
            <w:pPr>
              <w:jc w:val="left"/>
              <w:rPr>
                <w:rFonts w:cs="Times New Roman"/>
                <w:szCs w:val="24"/>
              </w:rPr>
            </w:pPr>
            <w:r w:rsidRPr="00A11FC0">
              <w:rPr>
                <w:rFonts w:cs="Times New Roman"/>
                <w:szCs w:val="24"/>
              </w:rPr>
              <w:t>Int. Org. for Standardization</w:t>
            </w:r>
          </w:p>
        </w:tc>
        <w:tc>
          <w:tcPr>
            <w:tcW w:w="810" w:type="dxa"/>
          </w:tcPr>
          <w:p w14:paraId="46FC5B55" w14:textId="77777777" w:rsidR="00A364F4" w:rsidRPr="00A11FC0" w:rsidRDefault="00000000" w:rsidP="00C10E61">
            <w:pPr>
              <w:jc w:val="center"/>
              <w:rPr>
                <w:rFonts w:cs="Times New Roman"/>
                <w:szCs w:val="24"/>
              </w:rPr>
            </w:pPr>
            <w:r w:rsidRPr="00A11FC0">
              <w:rPr>
                <w:rFonts w:cs="Times New Roman"/>
                <w:szCs w:val="24"/>
              </w:rPr>
              <w:t>2018</w:t>
            </w:r>
          </w:p>
        </w:tc>
        <w:tc>
          <w:tcPr>
            <w:tcW w:w="2070" w:type="dxa"/>
          </w:tcPr>
          <w:p w14:paraId="5A48B441" w14:textId="77777777" w:rsidR="00A364F4" w:rsidRPr="00A11FC0" w:rsidRDefault="00000000" w:rsidP="00C10E61">
            <w:pPr>
              <w:jc w:val="center"/>
              <w:rPr>
                <w:rFonts w:cs="Times New Roman"/>
                <w:szCs w:val="24"/>
              </w:rPr>
            </w:pPr>
            <w:r w:rsidRPr="00A11FC0">
              <w:rPr>
                <w:rFonts w:cs="Times New Roman"/>
                <w:szCs w:val="24"/>
              </w:rPr>
              <w:t>Standard</w:t>
            </w:r>
          </w:p>
        </w:tc>
        <w:tc>
          <w:tcPr>
            <w:tcW w:w="2070" w:type="dxa"/>
          </w:tcPr>
          <w:p w14:paraId="3237FC6D" w14:textId="77777777" w:rsidR="00A364F4" w:rsidRPr="00A11FC0" w:rsidRDefault="00000000" w:rsidP="00C10E61">
            <w:pPr>
              <w:jc w:val="center"/>
              <w:rPr>
                <w:rFonts w:cs="Times New Roman"/>
                <w:szCs w:val="24"/>
              </w:rPr>
            </w:pPr>
            <w:r w:rsidRPr="00A11FC0">
              <w:rPr>
                <w:rFonts w:cs="Times New Roman"/>
                <w:szCs w:val="24"/>
              </w:rPr>
              <w:t>FM management systems</w:t>
            </w:r>
          </w:p>
        </w:tc>
        <w:tc>
          <w:tcPr>
            <w:tcW w:w="3155" w:type="dxa"/>
          </w:tcPr>
          <w:p w14:paraId="28DBC122" w14:textId="77777777" w:rsidR="00A364F4" w:rsidRPr="00A11FC0" w:rsidRDefault="00000000" w:rsidP="00C10E61">
            <w:pPr>
              <w:rPr>
                <w:rFonts w:cs="Times New Roman"/>
                <w:szCs w:val="24"/>
              </w:rPr>
            </w:pPr>
            <w:r w:rsidRPr="00A11FC0">
              <w:rPr>
                <w:rFonts w:cs="Times New Roman"/>
                <w:szCs w:val="24"/>
              </w:rPr>
              <w:t>Service-quality and satisfaction dimension</w:t>
            </w:r>
          </w:p>
        </w:tc>
      </w:tr>
      <w:tr w:rsidR="00A364F4" w:rsidRPr="00A11FC0" w14:paraId="73758AC0" w14:textId="77777777" w:rsidTr="00C10E61">
        <w:tc>
          <w:tcPr>
            <w:tcW w:w="1255" w:type="dxa"/>
          </w:tcPr>
          <w:p w14:paraId="6933D780" w14:textId="77777777" w:rsidR="00A364F4" w:rsidRPr="00A11FC0" w:rsidRDefault="00000000" w:rsidP="00C10E61">
            <w:pPr>
              <w:jc w:val="left"/>
              <w:rPr>
                <w:rFonts w:cs="Times New Roman"/>
                <w:szCs w:val="24"/>
              </w:rPr>
            </w:pPr>
            <w:r w:rsidRPr="00A11FC0">
              <w:rPr>
                <w:rFonts w:cs="Times New Roman"/>
                <w:szCs w:val="24"/>
              </w:rPr>
              <w:t>Lateef et al.</w:t>
            </w:r>
          </w:p>
        </w:tc>
        <w:tc>
          <w:tcPr>
            <w:tcW w:w="810" w:type="dxa"/>
          </w:tcPr>
          <w:p w14:paraId="04DF3434" w14:textId="77777777" w:rsidR="00A364F4" w:rsidRPr="00A11FC0" w:rsidRDefault="00000000" w:rsidP="00C10E61">
            <w:pPr>
              <w:jc w:val="center"/>
              <w:rPr>
                <w:rFonts w:cs="Times New Roman"/>
                <w:szCs w:val="24"/>
              </w:rPr>
            </w:pPr>
            <w:r w:rsidRPr="00A11FC0">
              <w:rPr>
                <w:rFonts w:cs="Times New Roman"/>
                <w:szCs w:val="24"/>
              </w:rPr>
              <w:t>2010</w:t>
            </w:r>
          </w:p>
        </w:tc>
        <w:tc>
          <w:tcPr>
            <w:tcW w:w="2070" w:type="dxa"/>
          </w:tcPr>
          <w:p w14:paraId="01E2552F" w14:textId="77777777" w:rsidR="00A364F4" w:rsidRPr="00A11FC0" w:rsidRDefault="00000000" w:rsidP="00C10E61">
            <w:pPr>
              <w:jc w:val="center"/>
              <w:rPr>
                <w:rFonts w:cs="Times New Roman"/>
                <w:szCs w:val="24"/>
              </w:rPr>
            </w:pPr>
            <w:r w:rsidRPr="00A11FC0">
              <w:rPr>
                <w:rFonts w:cs="Times New Roman"/>
                <w:szCs w:val="24"/>
              </w:rPr>
              <w:t>Case study (Malaysia)</w:t>
            </w:r>
          </w:p>
        </w:tc>
        <w:tc>
          <w:tcPr>
            <w:tcW w:w="2070" w:type="dxa"/>
          </w:tcPr>
          <w:p w14:paraId="62EA9894" w14:textId="77777777" w:rsidR="00A364F4" w:rsidRPr="00A11FC0" w:rsidRDefault="00000000" w:rsidP="00C10E61">
            <w:pPr>
              <w:jc w:val="center"/>
              <w:rPr>
                <w:rFonts w:cs="Times New Roman"/>
                <w:szCs w:val="24"/>
              </w:rPr>
            </w:pPr>
            <w:r w:rsidRPr="00A11FC0">
              <w:rPr>
                <w:rFonts w:cs="Times New Roman"/>
                <w:szCs w:val="24"/>
              </w:rPr>
              <w:t>Campus maintenance management</w:t>
            </w:r>
          </w:p>
        </w:tc>
        <w:tc>
          <w:tcPr>
            <w:tcW w:w="3155" w:type="dxa"/>
          </w:tcPr>
          <w:p w14:paraId="5CEC61EC" w14:textId="77777777" w:rsidR="00A364F4" w:rsidRPr="00A11FC0" w:rsidRDefault="00000000" w:rsidP="00C10E61">
            <w:pPr>
              <w:rPr>
                <w:rFonts w:cs="Times New Roman"/>
                <w:szCs w:val="24"/>
              </w:rPr>
            </w:pPr>
            <w:r w:rsidRPr="00A11FC0">
              <w:rPr>
                <w:rFonts w:cs="Times New Roman"/>
                <w:szCs w:val="24"/>
              </w:rPr>
              <w:t>Comparator FM management model</w:t>
            </w:r>
          </w:p>
        </w:tc>
      </w:tr>
      <w:tr w:rsidR="00A364F4" w:rsidRPr="00A11FC0" w14:paraId="75EE0742" w14:textId="77777777" w:rsidTr="00C10E61">
        <w:tc>
          <w:tcPr>
            <w:tcW w:w="1255" w:type="dxa"/>
          </w:tcPr>
          <w:p w14:paraId="7F58D6CA" w14:textId="77777777" w:rsidR="00A364F4" w:rsidRPr="00A11FC0" w:rsidRDefault="00000000" w:rsidP="00C10E61">
            <w:pPr>
              <w:jc w:val="left"/>
              <w:rPr>
                <w:rFonts w:cs="Times New Roman"/>
                <w:szCs w:val="24"/>
              </w:rPr>
            </w:pPr>
            <w:r w:rsidRPr="00A11FC0">
              <w:rPr>
                <w:rFonts w:cs="Times New Roman"/>
                <w:szCs w:val="24"/>
              </w:rPr>
              <w:t>Ohenhen &amp; Shirzaei</w:t>
            </w:r>
          </w:p>
        </w:tc>
        <w:tc>
          <w:tcPr>
            <w:tcW w:w="810" w:type="dxa"/>
          </w:tcPr>
          <w:p w14:paraId="0E350B15" w14:textId="77777777" w:rsidR="00A364F4" w:rsidRPr="00A11FC0" w:rsidRDefault="00000000" w:rsidP="00C10E61">
            <w:pPr>
              <w:jc w:val="center"/>
              <w:rPr>
                <w:rFonts w:cs="Times New Roman"/>
                <w:szCs w:val="24"/>
              </w:rPr>
            </w:pPr>
            <w:r w:rsidRPr="00A11FC0">
              <w:rPr>
                <w:rFonts w:cs="Times New Roman"/>
                <w:szCs w:val="24"/>
              </w:rPr>
              <w:t>2022</w:t>
            </w:r>
          </w:p>
        </w:tc>
        <w:tc>
          <w:tcPr>
            <w:tcW w:w="2070" w:type="dxa"/>
          </w:tcPr>
          <w:p w14:paraId="23F6D64F" w14:textId="77777777" w:rsidR="00A364F4" w:rsidRPr="00A11FC0" w:rsidRDefault="00000000" w:rsidP="00C10E61">
            <w:pPr>
              <w:jc w:val="center"/>
              <w:rPr>
                <w:rFonts w:cs="Times New Roman"/>
                <w:szCs w:val="24"/>
              </w:rPr>
            </w:pPr>
            <w:r w:rsidRPr="00A11FC0">
              <w:rPr>
                <w:rFonts w:cs="Times New Roman"/>
                <w:szCs w:val="24"/>
              </w:rPr>
              <w:t>Remote sensing / InSAR (Lagos)</w:t>
            </w:r>
          </w:p>
        </w:tc>
        <w:tc>
          <w:tcPr>
            <w:tcW w:w="2070" w:type="dxa"/>
          </w:tcPr>
          <w:p w14:paraId="4F885895" w14:textId="77777777" w:rsidR="00A364F4" w:rsidRPr="00A11FC0" w:rsidRDefault="00000000" w:rsidP="00C10E61">
            <w:pPr>
              <w:jc w:val="center"/>
              <w:rPr>
                <w:rFonts w:cs="Times New Roman"/>
                <w:szCs w:val="24"/>
              </w:rPr>
            </w:pPr>
            <w:r w:rsidRPr="00A11FC0">
              <w:rPr>
                <w:rFonts w:cs="Times New Roman"/>
                <w:szCs w:val="24"/>
              </w:rPr>
              <w:t>Subsidence and collapse risk</w:t>
            </w:r>
          </w:p>
        </w:tc>
        <w:tc>
          <w:tcPr>
            <w:tcW w:w="3155" w:type="dxa"/>
          </w:tcPr>
          <w:p w14:paraId="3CBB3BB3" w14:textId="77777777" w:rsidR="00A364F4" w:rsidRPr="00A11FC0" w:rsidRDefault="00000000" w:rsidP="00C10E61">
            <w:pPr>
              <w:rPr>
                <w:rFonts w:cs="Times New Roman"/>
                <w:szCs w:val="24"/>
              </w:rPr>
            </w:pPr>
            <w:r w:rsidRPr="00A11FC0">
              <w:rPr>
                <w:rFonts w:cs="Times New Roman"/>
                <w:szCs w:val="24"/>
              </w:rPr>
              <w:t>152 failures, 200+ casualties since 2005</w:t>
            </w:r>
          </w:p>
        </w:tc>
      </w:tr>
      <w:tr w:rsidR="00A364F4" w:rsidRPr="00A11FC0" w14:paraId="58676DB0" w14:textId="77777777" w:rsidTr="00C10E61">
        <w:tc>
          <w:tcPr>
            <w:tcW w:w="1255" w:type="dxa"/>
          </w:tcPr>
          <w:p w14:paraId="479968E2" w14:textId="77777777" w:rsidR="00A364F4" w:rsidRPr="00A11FC0" w:rsidRDefault="00000000" w:rsidP="00C10E61">
            <w:pPr>
              <w:jc w:val="left"/>
              <w:rPr>
                <w:rFonts w:cs="Times New Roman"/>
                <w:szCs w:val="24"/>
              </w:rPr>
            </w:pPr>
            <w:r w:rsidRPr="00A11FC0">
              <w:rPr>
                <w:rFonts w:cs="Times New Roman"/>
                <w:szCs w:val="24"/>
              </w:rPr>
              <w:t>Olanrewaju</w:t>
            </w:r>
          </w:p>
        </w:tc>
        <w:tc>
          <w:tcPr>
            <w:tcW w:w="810" w:type="dxa"/>
          </w:tcPr>
          <w:p w14:paraId="63599452" w14:textId="77777777" w:rsidR="00A364F4" w:rsidRPr="00A11FC0" w:rsidRDefault="00000000" w:rsidP="00C10E61">
            <w:pPr>
              <w:jc w:val="center"/>
              <w:rPr>
                <w:rFonts w:cs="Times New Roman"/>
                <w:szCs w:val="24"/>
              </w:rPr>
            </w:pPr>
            <w:r w:rsidRPr="00A11FC0">
              <w:rPr>
                <w:rFonts w:cs="Times New Roman"/>
                <w:szCs w:val="24"/>
              </w:rPr>
              <w:t>2010</w:t>
            </w:r>
          </w:p>
        </w:tc>
        <w:tc>
          <w:tcPr>
            <w:tcW w:w="2070" w:type="dxa"/>
          </w:tcPr>
          <w:p w14:paraId="7E9BEF0B" w14:textId="77777777" w:rsidR="00A364F4" w:rsidRPr="00A11FC0" w:rsidRDefault="00000000" w:rsidP="00C10E61">
            <w:pPr>
              <w:jc w:val="center"/>
              <w:rPr>
                <w:rFonts w:cs="Times New Roman"/>
                <w:szCs w:val="24"/>
              </w:rPr>
            </w:pPr>
            <w:r w:rsidRPr="00A11FC0">
              <w:rPr>
                <w:rFonts w:cs="Times New Roman"/>
                <w:szCs w:val="24"/>
              </w:rPr>
              <w:t>Quantitative analysis (Malaysia)</w:t>
            </w:r>
          </w:p>
        </w:tc>
        <w:tc>
          <w:tcPr>
            <w:tcW w:w="2070" w:type="dxa"/>
          </w:tcPr>
          <w:p w14:paraId="3F2E705B" w14:textId="77777777" w:rsidR="00A364F4" w:rsidRPr="00A11FC0" w:rsidRDefault="00000000" w:rsidP="00C10E61">
            <w:pPr>
              <w:jc w:val="center"/>
              <w:rPr>
                <w:rFonts w:cs="Times New Roman"/>
                <w:szCs w:val="24"/>
              </w:rPr>
            </w:pPr>
            <w:r w:rsidRPr="00A11FC0">
              <w:rPr>
                <w:rFonts w:cs="Times New Roman"/>
                <w:szCs w:val="24"/>
              </w:rPr>
              <w:t>University maintenance criteria</w:t>
            </w:r>
          </w:p>
        </w:tc>
        <w:tc>
          <w:tcPr>
            <w:tcW w:w="3155" w:type="dxa"/>
          </w:tcPr>
          <w:p w14:paraId="73993A88" w14:textId="77777777" w:rsidR="00A364F4" w:rsidRPr="00A11FC0" w:rsidRDefault="00000000" w:rsidP="00C10E61">
            <w:pPr>
              <w:rPr>
                <w:rFonts w:cs="Times New Roman"/>
                <w:szCs w:val="24"/>
              </w:rPr>
            </w:pPr>
            <w:r w:rsidRPr="00A11FC0">
              <w:rPr>
                <w:rFonts w:cs="Times New Roman"/>
                <w:szCs w:val="24"/>
              </w:rPr>
              <w:t>Criteria weighting for maintenance value</w:t>
            </w:r>
          </w:p>
        </w:tc>
      </w:tr>
      <w:tr w:rsidR="00A364F4" w:rsidRPr="00A11FC0" w14:paraId="4080C647" w14:textId="77777777" w:rsidTr="00C10E61">
        <w:tc>
          <w:tcPr>
            <w:tcW w:w="1255" w:type="dxa"/>
          </w:tcPr>
          <w:p w14:paraId="12E7E390" w14:textId="77777777" w:rsidR="00A364F4" w:rsidRPr="00A11FC0" w:rsidRDefault="00000000" w:rsidP="00C10E61">
            <w:pPr>
              <w:jc w:val="left"/>
              <w:rPr>
                <w:rFonts w:cs="Times New Roman"/>
                <w:szCs w:val="24"/>
              </w:rPr>
            </w:pPr>
            <w:r w:rsidRPr="00A11FC0">
              <w:rPr>
                <w:rFonts w:cs="Times New Roman"/>
                <w:szCs w:val="24"/>
              </w:rPr>
              <w:t>Olanrewaju</w:t>
            </w:r>
          </w:p>
        </w:tc>
        <w:tc>
          <w:tcPr>
            <w:tcW w:w="810" w:type="dxa"/>
          </w:tcPr>
          <w:p w14:paraId="6511D0FE" w14:textId="77777777" w:rsidR="00A364F4" w:rsidRPr="00A11FC0" w:rsidRDefault="00000000" w:rsidP="00C10E61">
            <w:pPr>
              <w:jc w:val="center"/>
              <w:rPr>
                <w:rFonts w:cs="Times New Roman"/>
                <w:szCs w:val="24"/>
              </w:rPr>
            </w:pPr>
            <w:r w:rsidRPr="00A11FC0">
              <w:rPr>
                <w:rFonts w:cs="Times New Roman"/>
                <w:szCs w:val="24"/>
              </w:rPr>
              <w:t>2012</w:t>
            </w:r>
          </w:p>
        </w:tc>
        <w:tc>
          <w:tcPr>
            <w:tcW w:w="2070" w:type="dxa"/>
          </w:tcPr>
          <w:p w14:paraId="778B9DA0" w14:textId="77777777" w:rsidR="00A364F4" w:rsidRPr="00A11FC0" w:rsidRDefault="00000000" w:rsidP="00C10E61">
            <w:pPr>
              <w:jc w:val="center"/>
              <w:rPr>
                <w:rFonts w:cs="Times New Roman"/>
                <w:szCs w:val="24"/>
              </w:rPr>
            </w:pPr>
            <w:r w:rsidRPr="00A11FC0">
              <w:rPr>
                <w:rFonts w:cs="Times New Roman"/>
                <w:szCs w:val="24"/>
              </w:rPr>
              <w:t>Doctoral thesis (Malaysia)</w:t>
            </w:r>
          </w:p>
        </w:tc>
        <w:tc>
          <w:tcPr>
            <w:tcW w:w="2070" w:type="dxa"/>
          </w:tcPr>
          <w:p w14:paraId="422AFEE8" w14:textId="77777777" w:rsidR="00A364F4" w:rsidRPr="00A11FC0" w:rsidRDefault="00000000" w:rsidP="00C10E61">
            <w:pPr>
              <w:jc w:val="center"/>
              <w:rPr>
                <w:rFonts w:cs="Times New Roman"/>
                <w:szCs w:val="24"/>
              </w:rPr>
            </w:pPr>
            <w:r w:rsidRPr="00A11FC0">
              <w:rPr>
                <w:rFonts w:cs="Times New Roman"/>
                <w:szCs w:val="24"/>
              </w:rPr>
              <w:t>Value-based maintenance framework</w:t>
            </w:r>
          </w:p>
        </w:tc>
        <w:tc>
          <w:tcPr>
            <w:tcW w:w="3155" w:type="dxa"/>
          </w:tcPr>
          <w:p w14:paraId="0681E6D2" w14:textId="77777777" w:rsidR="00A364F4" w:rsidRPr="00A11FC0" w:rsidRDefault="00000000" w:rsidP="00C10E61">
            <w:pPr>
              <w:rPr>
                <w:rFonts w:cs="Times New Roman"/>
                <w:szCs w:val="24"/>
              </w:rPr>
            </w:pPr>
            <w:r w:rsidRPr="00A11FC0">
              <w:rPr>
                <w:rFonts w:cs="Times New Roman"/>
                <w:szCs w:val="24"/>
              </w:rPr>
              <w:t>Value-based maintenance management model</w:t>
            </w:r>
          </w:p>
        </w:tc>
      </w:tr>
      <w:tr w:rsidR="00A364F4" w:rsidRPr="00A11FC0" w14:paraId="0CB1C62F" w14:textId="77777777" w:rsidTr="00C10E61">
        <w:tc>
          <w:tcPr>
            <w:tcW w:w="1255" w:type="dxa"/>
          </w:tcPr>
          <w:p w14:paraId="27437048" w14:textId="77777777" w:rsidR="00A364F4" w:rsidRPr="00A11FC0" w:rsidRDefault="00000000" w:rsidP="00C10E61">
            <w:pPr>
              <w:jc w:val="left"/>
              <w:rPr>
                <w:rFonts w:cs="Times New Roman"/>
                <w:szCs w:val="24"/>
              </w:rPr>
            </w:pPr>
            <w:r w:rsidRPr="00A11FC0">
              <w:rPr>
                <w:rFonts w:cs="Times New Roman"/>
                <w:szCs w:val="24"/>
              </w:rPr>
              <w:t>Osuya et al.</w:t>
            </w:r>
          </w:p>
        </w:tc>
        <w:tc>
          <w:tcPr>
            <w:tcW w:w="810" w:type="dxa"/>
          </w:tcPr>
          <w:p w14:paraId="61372F81" w14:textId="77777777" w:rsidR="00A364F4" w:rsidRPr="00A11FC0" w:rsidRDefault="00000000" w:rsidP="00C10E61">
            <w:pPr>
              <w:jc w:val="center"/>
              <w:rPr>
                <w:rFonts w:cs="Times New Roman"/>
                <w:szCs w:val="24"/>
              </w:rPr>
            </w:pPr>
            <w:r w:rsidRPr="00A11FC0">
              <w:rPr>
                <w:rFonts w:cs="Times New Roman"/>
                <w:szCs w:val="24"/>
              </w:rPr>
              <w:t>2023</w:t>
            </w:r>
          </w:p>
        </w:tc>
        <w:tc>
          <w:tcPr>
            <w:tcW w:w="2070" w:type="dxa"/>
          </w:tcPr>
          <w:p w14:paraId="1D264E4B" w14:textId="77777777" w:rsidR="00A364F4" w:rsidRPr="00A11FC0" w:rsidRDefault="00000000" w:rsidP="00C10E61">
            <w:pPr>
              <w:jc w:val="center"/>
              <w:rPr>
                <w:rFonts w:cs="Times New Roman"/>
                <w:szCs w:val="24"/>
              </w:rPr>
            </w:pPr>
            <w:r w:rsidRPr="00A11FC0">
              <w:rPr>
                <w:rFonts w:cs="Times New Roman"/>
                <w:szCs w:val="24"/>
              </w:rPr>
              <w:t>Survey (Nigeria)</w:t>
            </w:r>
          </w:p>
        </w:tc>
        <w:tc>
          <w:tcPr>
            <w:tcW w:w="2070" w:type="dxa"/>
          </w:tcPr>
          <w:p w14:paraId="61965256" w14:textId="77777777" w:rsidR="00A364F4" w:rsidRPr="00A11FC0" w:rsidRDefault="00000000" w:rsidP="00C10E61">
            <w:pPr>
              <w:jc w:val="center"/>
              <w:rPr>
                <w:rFonts w:cs="Times New Roman"/>
                <w:szCs w:val="24"/>
              </w:rPr>
            </w:pPr>
            <w:r w:rsidRPr="00A11FC0">
              <w:rPr>
                <w:rFonts w:cs="Times New Roman"/>
                <w:szCs w:val="24"/>
              </w:rPr>
              <w:t>Government tertiary-institution maintenance</w:t>
            </w:r>
          </w:p>
        </w:tc>
        <w:tc>
          <w:tcPr>
            <w:tcW w:w="3155" w:type="dxa"/>
          </w:tcPr>
          <w:p w14:paraId="5EE184D5" w14:textId="77777777" w:rsidR="00A364F4" w:rsidRPr="00A11FC0" w:rsidRDefault="00000000" w:rsidP="00C10E61">
            <w:pPr>
              <w:rPr>
                <w:rFonts w:cs="Times New Roman"/>
                <w:szCs w:val="24"/>
              </w:rPr>
            </w:pPr>
            <w:r w:rsidRPr="00A11FC0">
              <w:rPr>
                <w:rFonts w:cs="Times New Roman"/>
                <w:szCs w:val="24"/>
              </w:rPr>
              <w:t>Perception-based condition; practice gaps</w:t>
            </w:r>
          </w:p>
        </w:tc>
      </w:tr>
      <w:tr w:rsidR="00A364F4" w:rsidRPr="00A11FC0" w14:paraId="56C97982" w14:textId="77777777" w:rsidTr="00C10E61">
        <w:tc>
          <w:tcPr>
            <w:tcW w:w="1255" w:type="dxa"/>
          </w:tcPr>
          <w:p w14:paraId="1B0CB4A5" w14:textId="77777777" w:rsidR="00A364F4" w:rsidRPr="00A11FC0" w:rsidRDefault="00000000" w:rsidP="00C10E61">
            <w:pPr>
              <w:jc w:val="left"/>
              <w:rPr>
                <w:rFonts w:cs="Times New Roman"/>
                <w:szCs w:val="24"/>
              </w:rPr>
            </w:pPr>
            <w:r w:rsidRPr="00A11FC0">
              <w:rPr>
                <w:rFonts w:cs="Times New Roman"/>
                <w:szCs w:val="24"/>
              </w:rPr>
              <w:t>Oxmaint</w:t>
            </w:r>
          </w:p>
        </w:tc>
        <w:tc>
          <w:tcPr>
            <w:tcW w:w="810" w:type="dxa"/>
          </w:tcPr>
          <w:p w14:paraId="517AE0ED" w14:textId="77777777" w:rsidR="00A364F4" w:rsidRPr="00A11FC0" w:rsidRDefault="00000000" w:rsidP="00C10E61">
            <w:pPr>
              <w:jc w:val="center"/>
              <w:rPr>
                <w:rFonts w:cs="Times New Roman"/>
                <w:szCs w:val="24"/>
              </w:rPr>
            </w:pPr>
            <w:r w:rsidRPr="00A11FC0">
              <w:rPr>
                <w:rFonts w:cs="Times New Roman"/>
                <w:szCs w:val="24"/>
              </w:rPr>
              <w:t>2025</w:t>
            </w:r>
          </w:p>
        </w:tc>
        <w:tc>
          <w:tcPr>
            <w:tcW w:w="2070" w:type="dxa"/>
          </w:tcPr>
          <w:p w14:paraId="7213CCC5" w14:textId="77777777" w:rsidR="00A364F4" w:rsidRPr="00A11FC0" w:rsidRDefault="00000000" w:rsidP="00C10E61">
            <w:pPr>
              <w:jc w:val="center"/>
              <w:rPr>
                <w:rFonts w:cs="Times New Roman"/>
                <w:szCs w:val="24"/>
              </w:rPr>
            </w:pPr>
            <w:r w:rsidRPr="00A11FC0">
              <w:rPr>
                <w:rFonts w:cs="Times New Roman"/>
                <w:szCs w:val="24"/>
              </w:rPr>
              <w:t>Practitioner synthesis</w:t>
            </w:r>
          </w:p>
        </w:tc>
        <w:tc>
          <w:tcPr>
            <w:tcW w:w="2070" w:type="dxa"/>
          </w:tcPr>
          <w:p w14:paraId="7CA39840" w14:textId="77777777" w:rsidR="00A364F4" w:rsidRPr="00A11FC0" w:rsidRDefault="00000000" w:rsidP="00C10E61">
            <w:pPr>
              <w:jc w:val="center"/>
              <w:rPr>
                <w:rFonts w:cs="Times New Roman"/>
                <w:szCs w:val="24"/>
              </w:rPr>
            </w:pPr>
            <w:r w:rsidRPr="00A11FC0">
              <w:rPr>
                <w:rFonts w:cs="Times New Roman"/>
                <w:szCs w:val="24"/>
              </w:rPr>
              <w:t>Reliability benchmarking</w:t>
            </w:r>
          </w:p>
        </w:tc>
        <w:tc>
          <w:tcPr>
            <w:tcW w:w="3155" w:type="dxa"/>
          </w:tcPr>
          <w:p w14:paraId="2B14C4AA" w14:textId="77777777" w:rsidR="00A364F4" w:rsidRPr="00A11FC0" w:rsidRDefault="00000000" w:rsidP="00C10E61">
            <w:pPr>
              <w:rPr>
                <w:rFonts w:cs="Times New Roman"/>
                <w:szCs w:val="24"/>
              </w:rPr>
            </w:pPr>
            <w:r w:rsidRPr="00A11FC0">
              <w:rPr>
                <w:rFonts w:cs="Times New Roman"/>
                <w:szCs w:val="24"/>
              </w:rPr>
              <w:t>MTBF, MTTR, balanced KPI sets</w:t>
            </w:r>
          </w:p>
        </w:tc>
      </w:tr>
      <w:tr w:rsidR="00A364F4" w:rsidRPr="00A11FC0" w14:paraId="5EF05905" w14:textId="77777777" w:rsidTr="00C10E61">
        <w:tc>
          <w:tcPr>
            <w:tcW w:w="1255" w:type="dxa"/>
          </w:tcPr>
          <w:p w14:paraId="0A476292" w14:textId="77777777" w:rsidR="00A364F4" w:rsidRPr="00A11FC0" w:rsidRDefault="00000000" w:rsidP="00C10E61">
            <w:pPr>
              <w:jc w:val="left"/>
              <w:rPr>
                <w:rFonts w:cs="Times New Roman"/>
                <w:szCs w:val="24"/>
              </w:rPr>
            </w:pPr>
            <w:r w:rsidRPr="00A11FC0">
              <w:rPr>
                <w:rFonts w:cs="Times New Roman"/>
                <w:szCs w:val="24"/>
              </w:rPr>
              <w:t>Page et al.</w:t>
            </w:r>
          </w:p>
        </w:tc>
        <w:tc>
          <w:tcPr>
            <w:tcW w:w="810" w:type="dxa"/>
          </w:tcPr>
          <w:p w14:paraId="6F9D358E" w14:textId="77777777" w:rsidR="00A364F4" w:rsidRPr="00A11FC0" w:rsidRDefault="00000000" w:rsidP="00C10E61">
            <w:pPr>
              <w:jc w:val="center"/>
              <w:rPr>
                <w:rFonts w:cs="Times New Roman"/>
                <w:szCs w:val="24"/>
              </w:rPr>
            </w:pPr>
            <w:r w:rsidRPr="00A11FC0">
              <w:rPr>
                <w:rFonts w:cs="Times New Roman"/>
                <w:szCs w:val="24"/>
              </w:rPr>
              <w:t>2021</w:t>
            </w:r>
          </w:p>
        </w:tc>
        <w:tc>
          <w:tcPr>
            <w:tcW w:w="2070" w:type="dxa"/>
          </w:tcPr>
          <w:p w14:paraId="7D1C8377" w14:textId="77777777" w:rsidR="00A364F4" w:rsidRPr="00A11FC0" w:rsidRDefault="00000000" w:rsidP="00C10E61">
            <w:pPr>
              <w:jc w:val="center"/>
              <w:rPr>
                <w:rFonts w:cs="Times New Roman"/>
                <w:szCs w:val="24"/>
              </w:rPr>
            </w:pPr>
            <w:r w:rsidRPr="00A11FC0">
              <w:rPr>
                <w:rFonts w:cs="Times New Roman"/>
                <w:szCs w:val="24"/>
              </w:rPr>
              <w:t>Methodological guideline</w:t>
            </w:r>
          </w:p>
        </w:tc>
        <w:tc>
          <w:tcPr>
            <w:tcW w:w="2070" w:type="dxa"/>
          </w:tcPr>
          <w:p w14:paraId="49EC683D" w14:textId="77777777" w:rsidR="00A364F4" w:rsidRPr="00A11FC0" w:rsidRDefault="00000000" w:rsidP="00C10E61">
            <w:pPr>
              <w:jc w:val="center"/>
              <w:rPr>
                <w:rFonts w:cs="Times New Roman"/>
                <w:szCs w:val="24"/>
              </w:rPr>
            </w:pPr>
            <w:r w:rsidRPr="00A11FC0">
              <w:rPr>
                <w:rFonts w:cs="Times New Roman"/>
                <w:szCs w:val="24"/>
              </w:rPr>
              <w:t>PRISMA 2020</w:t>
            </w:r>
          </w:p>
        </w:tc>
        <w:tc>
          <w:tcPr>
            <w:tcW w:w="3155" w:type="dxa"/>
          </w:tcPr>
          <w:p w14:paraId="0D67B751" w14:textId="77777777" w:rsidR="00A364F4" w:rsidRPr="00A11FC0" w:rsidRDefault="00000000" w:rsidP="00C10E61">
            <w:pPr>
              <w:rPr>
                <w:rFonts w:cs="Times New Roman"/>
                <w:szCs w:val="24"/>
              </w:rPr>
            </w:pPr>
            <w:r w:rsidRPr="00A11FC0">
              <w:rPr>
                <w:rFonts w:cs="Times New Roman"/>
                <w:szCs w:val="24"/>
              </w:rPr>
              <w:t>Reporting standard for the review</w:t>
            </w:r>
          </w:p>
        </w:tc>
      </w:tr>
      <w:tr w:rsidR="00A364F4" w:rsidRPr="00A11FC0" w14:paraId="0192C639" w14:textId="77777777" w:rsidTr="00C10E61">
        <w:tc>
          <w:tcPr>
            <w:tcW w:w="1255" w:type="dxa"/>
          </w:tcPr>
          <w:p w14:paraId="4593F04E" w14:textId="77777777" w:rsidR="00A364F4" w:rsidRPr="00A11FC0" w:rsidRDefault="00000000" w:rsidP="00C10E61">
            <w:pPr>
              <w:jc w:val="left"/>
              <w:rPr>
                <w:rFonts w:cs="Times New Roman"/>
                <w:szCs w:val="24"/>
              </w:rPr>
            </w:pPr>
            <w:r w:rsidRPr="00A11FC0">
              <w:rPr>
                <w:rFonts w:cs="Times New Roman"/>
                <w:szCs w:val="24"/>
              </w:rPr>
              <w:t>This Day</w:t>
            </w:r>
          </w:p>
        </w:tc>
        <w:tc>
          <w:tcPr>
            <w:tcW w:w="810" w:type="dxa"/>
          </w:tcPr>
          <w:p w14:paraId="5776B1DB" w14:textId="77777777" w:rsidR="00A364F4" w:rsidRPr="00A11FC0" w:rsidRDefault="00000000" w:rsidP="00C10E61">
            <w:pPr>
              <w:jc w:val="center"/>
              <w:rPr>
                <w:rFonts w:cs="Times New Roman"/>
                <w:szCs w:val="24"/>
              </w:rPr>
            </w:pPr>
            <w:r w:rsidRPr="00A11FC0">
              <w:rPr>
                <w:rFonts w:cs="Times New Roman"/>
                <w:szCs w:val="24"/>
              </w:rPr>
              <w:t>2024</w:t>
            </w:r>
          </w:p>
        </w:tc>
        <w:tc>
          <w:tcPr>
            <w:tcW w:w="2070" w:type="dxa"/>
          </w:tcPr>
          <w:p w14:paraId="7F92105F" w14:textId="77777777" w:rsidR="00A364F4" w:rsidRPr="00A11FC0" w:rsidRDefault="00000000" w:rsidP="00C10E61">
            <w:pPr>
              <w:jc w:val="center"/>
              <w:rPr>
                <w:rFonts w:cs="Times New Roman"/>
                <w:szCs w:val="24"/>
              </w:rPr>
            </w:pPr>
            <w:r w:rsidRPr="00A11FC0">
              <w:rPr>
                <w:rFonts w:cs="Times New Roman"/>
                <w:szCs w:val="24"/>
              </w:rPr>
              <w:t>Sectoral report</w:t>
            </w:r>
          </w:p>
        </w:tc>
        <w:tc>
          <w:tcPr>
            <w:tcW w:w="2070" w:type="dxa"/>
          </w:tcPr>
          <w:p w14:paraId="218B0958" w14:textId="77777777" w:rsidR="00A364F4" w:rsidRPr="00A11FC0" w:rsidRDefault="00000000" w:rsidP="00C10E61">
            <w:pPr>
              <w:jc w:val="center"/>
              <w:rPr>
                <w:rFonts w:cs="Times New Roman"/>
                <w:szCs w:val="24"/>
              </w:rPr>
            </w:pPr>
            <w:r w:rsidRPr="00A11FC0">
              <w:rPr>
                <w:rFonts w:cs="Times New Roman"/>
                <w:szCs w:val="24"/>
              </w:rPr>
              <w:t>Lagos collapse overview</w:t>
            </w:r>
          </w:p>
        </w:tc>
        <w:tc>
          <w:tcPr>
            <w:tcW w:w="3155" w:type="dxa"/>
          </w:tcPr>
          <w:p w14:paraId="6DF2401F" w14:textId="47CC06E0" w:rsidR="00A364F4" w:rsidRPr="00A11FC0" w:rsidRDefault="00000000" w:rsidP="00C10E61">
            <w:pPr>
              <w:rPr>
                <w:rFonts w:cs="Times New Roman"/>
                <w:szCs w:val="24"/>
              </w:rPr>
            </w:pPr>
            <w:r w:rsidRPr="00A11FC0">
              <w:rPr>
                <w:rFonts w:cs="Times New Roman"/>
                <w:szCs w:val="24"/>
              </w:rPr>
              <w:t>60.71% south-west predominance; 132 deaths</w:t>
            </w:r>
          </w:p>
        </w:tc>
      </w:tr>
      <w:tr w:rsidR="00A364F4" w:rsidRPr="00A11FC0" w14:paraId="369D4F63" w14:textId="77777777" w:rsidTr="00C10E61">
        <w:tc>
          <w:tcPr>
            <w:tcW w:w="1255" w:type="dxa"/>
          </w:tcPr>
          <w:p w14:paraId="76CB2DFA" w14:textId="77777777" w:rsidR="00A364F4" w:rsidRPr="00A11FC0" w:rsidRDefault="00000000" w:rsidP="00C10E61">
            <w:pPr>
              <w:jc w:val="left"/>
              <w:rPr>
                <w:rFonts w:cs="Times New Roman"/>
                <w:szCs w:val="24"/>
              </w:rPr>
            </w:pPr>
            <w:r w:rsidRPr="00A11FC0">
              <w:rPr>
                <w:rFonts w:cs="Times New Roman"/>
                <w:szCs w:val="24"/>
              </w:rPr>
              <w:t>Waziri &amp; Vanduhe</w:t>
            </w:r>
          </w:p>
        </w:tc>
        <w:tc>
          <w:tcPr>
            <w:tcW w:w="810" w:type="dxa"/>
          </w:tcPr>
          <w:p w14:paraId="6BAFD5A4" w14:textId="77777777" w:rsidR="00A364F4" w:rsidRPr="00A11FC0" w:rsidRDefault="00000000" w:rsidP="00C10E61">
            <w:pPr>
              <w:jc w:val="center"/>
              <w:rPr>
                <w:rFonts w:cs="Times New Roman"/>
                <w:szCs w:val="24"/>
              </w:rPr>
            </w:pPr>
            <w:r w:rsidRPr="00A11FC0">
              <w:rPr>
                <w:rFonts w:cs="Times New Roman"/>
                <w:szCs w:val="24"/>
              </w:rPr>
              <w:t>2013</w:t>
            </w:r>
          </w:p>
        </w:tc>
        <w:tc>
          <w:tcPr>
            <w:tcW w:w="2070" w:type="dxa"/>
          </w:tcPr>
          <w:p w14:paraId="53A3E9B1" w14:textId="77777777" w:rsidR="00A364F4" w:rsidRPr="00A11FC0" w:rsidRDefault="00000000" w:rsidP="00C10E61">
            <w:pPr>
              <w:jc w:val="center"/>
              <w:rPr>
                <w:rFonts w:cs="Times New Roman"/>
                <w:szCs w:val="24"/>
              </w:rPr>
            </w:pPr>
            <w:r w:rsidRPr="00A11FC0">
              <w:rPr>
                <w:rFonts w:cs="Times New Roman"/>
                <w:szCs w:val="24"/>
              </w:rPr>
              <w:t>Survey, RII (Nigeria)</w:t>
            </w:r>
          </w:p>
        </w:tc>
        <w:tc>
          <w:tcPr>
            <w:tcW w:w="2070" w:type="dxa"/>
          </w:tcPr>
          <w:p w14:paraId="5249018B" w14:textId="77777777" w:rsidR="00A364F4" w:rsidRPr="00A11FC0" w:rsidRDefault="00000000" w:rsidP="00C10E61">
            <w:pPr>
              <w:jc w:val="center"/>
              <w:rPr>
                <w:rFonts w:cs="Times New Roman"/>
                <w:szCs w:val="24"/>
              </w:rPr>
            </w:pPr>
            <w:r w:rsidRPr="00A11FC0">
              <w:rPr>
                <w:rFonts w:cs="Times New Roman"/>
                <w:szCs w:val="24"/>
              </w:rPr>
              <w:t>Residential maintenance factors</w:t>
            </w:r>
          </w:p>
        </w:tc>
        <w:tc>
          <w:tcPr>
            <w:tcW w:w="3155" w:type="dxa"/>
          </w:tcPr>
          <w:p w14:paraId="55CD0DF5" w14:textId="77777777" w:rsidR="00A364F4" w:rsidRPr="00A11FC0" w:rsidRDefault="00000000" w:rsidP="00C10E61">
            <w:pPr>
              <w:rPr>
                <w:rFonts w:cs="Times New Roman"/>
                <w:szCs w:val="24"/>
              </w:rPr>
            </w:pPr>
            <w:r w:rsidRPr="00A11FC0">
              <w:rPr>
                <w:rFonts w:cs="Times New Roman"/>
                <w:szCs w:val="24"/>
              </w:rPr>
              <w:t>Lack of preventive maintenance RII = 0.84 (top)</w:t>
            </w:r>
          </w:p>
        </w:tc>
      </w:tr>
      <w:tr w:rsidR="00A364F4" w:rsidRPr="00A11FC0" w14:paraId="5E6649C5" w14:textId="77777777" w:rsidTr="00C10E61">
        <w:tc>
          <w:tcPr>
            <w:tcW w:w="1255" w:type="dxa"/>
          </w:tcPr>
          <w:p w14:paraId="4BFB6B92" w14:textId="71797C7A" w:rsidR="00A364F4" w:rsidRPr="00A11FC0" w:rsidRDefault="00000000" w:rsidP="00C10E61">
            <w:pPr>
              <w:jc w:val="left"/>
              <w:rPr>
                <w:rFonts w:cs="Times New Roman"/>
                <w:szCs w:val="24"/>
              </w:rPr>
            </w:pPr>
            <w:r w:rsidRPr="00A11FC0">
              <w:rPr>
                <w:rFonts w:cs="Times New Roman"/>
                <w:szCs w:val="24"/>
              </w:rPr>
              <w:t>Zubairu</w:t>
            </w:r>
          </w:p>
        </w:tc>
        <w:tc>
          <w:tcPr>
            <w:tcW w:w="810" w:type="dxa"/>
          </w:tcPr>
          <w:p w14:paraId="075A9B61" w14:textId="77777777" w:rsidR="00A364F4" w:rsidRPr="00A11FC0" w:rsidRDefault="00000000" w:rsidP="00C10E61">
            <w:pPr>
              <w:jc w:val="center"/>
              <w:rPr>
                <w:rFonts w:cs="Times New Roman"/>
                <w:szCs w:val="24"/>
              </w:rPr>
            </w:pPr>
            <w:r w:rsidRPr="00A11FC0">
              <w:rPr>
                <w:rFonts w:cs="Times New Roman"/>
                <w:szCs w:val="24"/>
              </w:rPr>
              <w:t>2000</w:t>
            </w:r>
          </w:p>
        </w:tc>
        <w:tc>
          <w:tcPr>
            <w:tcW w:w="2070" w:type="dxa"/>
          </w:tcPr>
          <w:p w14:paraId="3A079BD3" w14:textId="77777777" w:rsidR="00A364F4" w:rsidRPr="00A11FC0" w:rsidRDefault="00000000" w:rsidP="00C10E61">
            <w:pPr>
              <w:jc w:val="center"/>
              <w:rPr>
                <w:rFonts w:cs="Times New Roman"/>
                <w:szCs w:val="24"/>
              </w:rPr>
            </w:pPr>
            <w:r w:rsidRPr="00A11FC0">
              <w:rPr>
                <w:rFonts w:cs="Times New Roman"/>
                <w:szCs w:val="24"/>
              </w:rPr>
              <w:t>Doctoral thesis (Nigeria)</w:t>
            </w:r>
          </w:p>
        </w:tc>
        <w:tc>
          <w:tcPr>
            <w:tcW w:w="2070" w:type="dxa"/>
          </w:tcPr>
          <w:p w14:paraId="50F1C159" w14:textId="77777777" w:rsidR="00A364F4" w:rsidRPr="00A11FC0" w:rsidRDefault="00000000" w:rsidP="00C10E61">
            <w:pPr>
              <w:jc w:val="center"/>
              <w:rPr>
                <w:rFonts w:cs="Times New Roman"/>
                <w:szCs w:val="24"/>
              </w:rPr>
            </w:pPr>
            <w:r w:rsidRPr="00A11FC0">
              <w:rPr>
                <w:rFonts w:cs="Times New Roman"/>
                <w:szCs w:val="24"/>
              </w:rPr>
              <w:t>POE of government office buildings</w:t>
            </w:r>
          </w:p>
        </w:tc>
        <w:tc>
          <w:tcPr>
            <w:tcW w:w="3155" w:type="dxa"/>
          </w:tcPr>
          <w:p w14:paraId="6593490C" w14:textId="77777777" w:rsidR="00A364F4" w:rsidRPr="00A11FC0" w:rsidRDefault="00000000" w:rsidP="00C10E61">
            <w:pPr>
              <w:rPr>
                <w:rFonts w:cs="Times New Roman"/>
                <w:szCs w:val="24"/>
              </w:rPr>
            </w:pPr>
            <w:r w:rsidRPr="00A11FC0">
              <w:rPr>
                <w:rFonts w:cs="Times New Roman"/>
                <w:szCs w:val="24"/>
              </w:rPr>
              <w:t>Foundational post-occupancy evaluation approach</w:t>
            </w:r>
          </w:p>
        </w:tc>
      </w:tr>
    </w:tbl>
    <w:p w14:paraId="1528E070" w14:textId="0C269755" w:rsidR="00A364F4" w:rsidRPr="00A11FC0" w:rsidRDefault="00A364F4" w:rsidP="00402991">
      <w:pPr>
        <w:spacing w:before="60" w:after="240"/>
        <w:rPr>
          <w:rFonts w:cs="Times New Roman"/>
          <w:szCs w:val="24"/>
        </w:rPr>
      </w:pPr>
    </w:p>
    <w:sectPr w:rsidR="00A364F4" w:rsidRPr="00A11FC0">
      <w:footerReference w:type="default" r:id="rId26"/>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EE77A" w14:textId="77777777" w:rsidR="00F36193" w:rsidRDefault="00F36193">
      <w:r>
        <w:separator/>
      </w:r>
    </w:p>
  </w:endnote>
  <w:endnote w:type="continuationSeparator" w:id="0">
    <w:p w14:paraId="6A6F2E03" w14:textId="77777777" w:rsidR="00F36193" w:rsidRDefault="00F36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D7C0D" w14:textId="686EBB15" w:rsidR="00A364F4" w:rsidRDefault="00A364F4">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67A2C" w14:textId="77777777" w:rsidR="00F36193" w:rsidRDefault="00F36193">
      <w:r>
        <w:separator/>
      </w:r>
    </w:p>
  </w:footnote>
  <w:footnote w:type="continuationSeparator" w:id="0">
    <w:p w14:paraId="29EC8575" w14:textId="77777777" w:rsidR="00F36193" w:rsidRDefault="00F36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25A17"/>
    <w:multiLevelType w:val="hybridMultilevel"/>
    <w:tmpl w:val="DD1E80FC"/>
    <w:lvl w:ilvl="0" w:tplc="A3FA3A1C">
      <w:start w:val="1"/>
      <w:numFmt w:val="bullet"/>
      <w:lvlText w:val="●"/>
      <w:lvlJc w:val="left"/>
      <w:pPr>
        <w:ind w:left="720" w:hanging="360"/>
      </w:pPr>
    </w:lvl>
    <w:lvl w:ilvl="1" w:tplc="8C062AC6">
      <w:start w:val="1"/>
      <w:numFmt w:val="bullet"/>
      <w:lvlText w:val="○"/>
      <w:lvlJc w:val="left"/>
      <w:pPr>
        <w:ind w:left="1440" w:hanging="360"/>
      </w:pPr>
    </w:lvl>
    <w:lvl w:ilvl="2" w:tplc="5EC4E62C">
      <w:start w:val="1"/>
      <w:numFmt w:val="bullet"/>
      <w:lvlText w:val="■"/>
      <w:lvlJc w:val="left"/>
      <w:pPr>
        <w:ind w:left="2160" w:hanging="360"/>
      </w:pPr>
    </w:lvl>
    <w:lvl w:ilvl="3" w:tplc="B1ACAB7C">
      <w:start w:val="1"/>
      <w:numFmt w:val="bullet"/>
      <w:lvlText w:val="●"/>
      <w:lvlJc w:val="left"/>
      <w:pPr>
        <w:ind w:left="2880" w:hanging="360"/>
      </w:pPr>
    </w:lvl>
    <w:lvl w:ilvl="4" w:tplc="542EC77E">
      <w:start w:val="1"/>
      <w:numFmt w:val="bullet"/>
      <w:lvlText w:val="○"/>
      <w:lvlJc w:val="left"/>
      <w:pPr>
        <w:ind w:left="3600" w:hanging="360"/>
      </w:pPr>
    </w:lvl>
    <w:lvl w:ilvl="5" w:tplc="A52C27B6">
      <w:start w:val="1"/>
      <w:numFmt w:val="bullet"/>
      <w:lvlText w:val="■"/>
      <w:lvlJc w:val="left"/>
      <w:pPr>
        <w:ind w:left="4320" w:hanging="360"/>
      </w:pPr>
    </w:lvl>
    <w:lvl w:ilvl="6" w:tplc="D452E912">
      <w:start w:val="1"/>
      <w:numFmt w:val="bullet"/>
      <w:lvlText w:val="●"/>
      <w:lvlJc w:val="left"/>
      <w:pPr>
        <w:ind w:left="5040" w:hanging="360"/>
      </w:pPr>
    </w:lvl>
    <w:lvl w:ilvl="7" w:tplc="DD7A36C6">
      <w:start w:val="1"/>
      <w:numFmt w:val="bullet"/>
      <w:lvlText w:val="●"/>
      <w:lvlJc w:val="left"/>
      <w:pPr>
        <w:ind w:left="5760" w:hanging="360"/>
      </w:pPr>
    </w:lvl>
    <w:lvl w:ilvl="8" w:tplc="BC6E55C2">
      <w:start w:val="1"/>
      <w:numFmt w:val="bullet"/>
      <w:lvlText w:val="●"/>
      <w:lvlJc w:val="left"/>
      <w:pPr>
        <w:ind w:left="6480" w:hanging="360"/>
      </w:pPr>
    </w:lvl>
  </w:abstractNum>
  <w:num w:numId="1" w16cid:durableId="108503579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4F4"/>
    <w:rsid w:val="00140DA0"/>
    <w:rsid w:val="00296AFC"/>
    <w:rsid w:val="003B0DD4"/>
    <w:rsid w:val="00402991"/>
    <w:rsid w:val="004E5E4D"/>
    <w:rsid w:val="00522F0A"/>
    <w:rsid w:val="005361EE"/>
    <w:rsid w:val="006A0395"/>
    <w:rsid w:val="007227D8"/>
    <w:rsid w:val="007D6B7D"/>
    <w:rsid w:val="00A11FC0"/>
    <w:rsid w:val="00A364F4"/>
    <w:rsid w:val="00B80C82"/>
    <w:rsid w:val="00C10E61"/>
    <w:rsid w:val="00C510DC"/>
    <w:rsid w:val="00C6037F"/>
    <w:rsid w:val="00C8032A"/>
    <w:rsid w:val="00DB31C7"/>
    <w:rsid w:val="00E43B33"/>
    <w:rsid w:val="00F36193"/>
    <w:rsid w:val="00F52786"/>
    <w:rsid w:val="00FB7A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4590"/>
  <w15:docId w15:val="{05802FFB-CA15-4C2F-9D5F-F9C8AD4A2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C7"/>
    <w:pPr>
      <w:jc w:val="both"/>
    </w:pPr>
    <w:rPr>
      <w:rFonts w:ascii="Times New Roman" w:hAnsi="Times New Roman"/>
      <w:sz w:val="24"/>
    </w:rPr>
  </w:style>
  <w:style w:type="paragraph" w:styleId="Heading1">
    <w:name w:val="heading 1"/>
    <w:autoRedefine/>
    <w:uiPriority w:val="9"/>
    <w:qFormat/>
    <w:rsid w:val="00DB31C7"/>
    <w:pPr>
      <w:spacing w:before="280" w:after="140"/>
      <w:jc w:val="center"/>
      <w:outlineLvl w:val="0"/>
    </w:pPr>
    <w:rPr>
      <w:rFonts w:ascii="Times New Roman" w:hAnsi="Times New Roman"/>
      <w:b/>
      <w:bCs/>
      <w:color w:val="000000"/>
      <w:sz w:val="24"/>
      <w:szCs w:val="30"/>
    </w:rPr>
  </w:style>
  <w:style w:type="paragraph" w:styleId="Heading2">
    <w:name w:val="heading 2"/>
    <w:autoRedefine/>
    <w:uiPriority w:val="9"/>
    <w:unhideWhenUsed/>
    <w:qFormat/>
    <w:rsid w:val="00DB31C7"/>
    <w:pPr>
      <w:spacing w:before="200" w:after="100"/>
      <w:jc w:val="both"/>
      <w:outlineLvl w:val="1"/>
    </w:pPr>
    <w:rPr>
      <w:rFonts w:ascii="Times New Roman" w:hAnsi="Times New Roman"/>
      <w:b/>
      <w:bCs/>
      <w:color w:val="000000" w:themeColor="text1"/>
      <w:sz w:val="24"/>
      <w:szCs w:val="24"/>
    </w:rPr>
  </w:style>
  <w:style w:type="paragraph" w:styleId="Heading3">
    <w:name w:val="heading 3"/>
    <w:autoRedefine/>
    <w:uiPriority w:val="9"/>
    <w:semiHidden/>
    <w:unhideWhenUsed/>
    <w:qFormat/>
    <w:rsid w:val="00DB31C7"/>
    <w:pPr>
      <w:jc w:val="both"/>
      <w:outlineLvl w:val="2"/>
    </w:pPr>
    <w:rPr>
      <w:rFonts w:ascii="Times New Roman" w:hAnsi="Times New Roman"/>
      <w:color w:val="000000" w:themeColor="text1"/>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rPr>
      <w:b/>
      <w:bCs/>
    </w:rPr>
  </w:style>
  <w:style w:type="paragraph" w:styleId="ListParagraph">
    <w:name w:val="List Paragraph"/>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C510DC"/>
    <w:rPr>
      <w:color w:val="605E5C"/>
      <w:shd w:val="clear" w:color="auto" w:fill="E1DFDD"/>
    </w:rPr>
  </w:style>
  <w:style w:type="table" w:styleId="TableGrid">
    <w:name w:val="Table Grid"/>
    <w:basedOn w:val="TableNormal"/>
    <w:uiPriority w:val="39"/>
    <w:rsid w:val="00A11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0E61"/>
    <w:pPr>
      <w:tabs>
        <w:tab w:val="center" w:pos="4513"/>
        <w:tab w:val="right" w:pos="9026"/>
      </w:tabs>
    </w:pPr>
  </w:style>
  <w:style w:type="character" w:customStyle="1" w:styleId="HeaderChar">
    <w:name w:val="Header Char"/>
    <w:basedOn w:val="DefaultParagraphFont"/>
    <w:link w:val="Header"/>
    <w:uiPriority w:val="99"/>
    <w:rsid w:val="00C10E61"/>
    <w:rPr>
      <w:rFonts w:ascii="Times New Roman" w:hAnsi="Times New Roman"/>
      <w:sz w:val="24"/>
    </w:rPr>
  </w:style>
  <w:style w:type="paragraph" w:styleId="Footer">
    <w:name w:val="footer"/>
    <w:basedOn w:val="Normal"/>
    <w:link w:val="FooterChar"/>
    <w:uiPriority w:val="99"/>
    <w:unhideWhenUsed/>
    <w:rsid w:val="00C10E61"/>
    <w:pPr>
      <w:tabs>
        <w:tab w:val="center" w:pos="4513"/>
        <w:tab w:val="right" w:pos="9026"/>
      </w:tabs>
    </w:pPr>
  </w:style>
  <w:style w:type="character" w:customStyle="1" w:styleId="FooterChar">
    <w:name w:val="Footer Char"/>
    <w:basedOn w:val="DefaultParagraphFont"/>
    <w:link w:val="Footer"/>
    <w:uiPriority w:val="99"/>
    <w:rsid w:val="00C10E6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knowledge.bsigroup.com/products/maintenance-maintenance-key-performance-indicators-2" TargetMode="External"/><Relationship Id="rId18" Type="http://schemas.openxmlformats.org/officeDocument/2006/relationships/hyperlink" Target="https://doi.org/10.1029/2022EF00321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tecnoscientifica.com/journal/csue/article/view/139" TargetMode="External"/><Relationship Id="rId7" Type="http://schemas.openxmlformats.org/officeDocument/2006/relationships/image" Target="media/image1.png"/><Relationship Id="rId12" Type="http://schemas.openxmlformats.org/officeDocument/2006/relationships/hyperlink" Target="https://doi.org/10.1007/978-3-319-94199-8_30" TargetMode="External"/><Relationship Id="rId17" Type="http://schemas.openxmlformats.org/officeDocument/2006/relationships/hyperlink" Target="https://doi.org/10.5130/ajceb.v10i1/2.1593" TargetMode="External"/><Relationship Id="rId25" Type="http://schemas.openxmlformats.org/officeDocument/2006/relationships/hyperlink" Target="https://www.iiste.org/Journals/index.php/CER/article/view/6578" TargetMode="External"/><Relationship Id="rId2" Type="http://schemas.openxmlformats.org/officeDocument/2006/relationships/styles" Target="styles.xml"/><Relationship Id="rId16" Type="http://schemas.openxmlformats.org/officeDocument/2006/relationships/hyperlink" Target="https://www.iso.org/standard/68021.html" TargetMode="External"/><Relationship Id="rId20" Type="http://schemas.openxmlformats.org/officeDocument/2006/relationships/hyperlink" Target="https://utpedia.utp.edu.my/id/eprint/332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6808/rs.aj.i7v1.04" TargetMode="External"/><Relationship Id="rId24" Type="http://schemas.openxmlformats.org/officeDocument/2006/relationships/hyperlink" Target="https://www.thisdaylive.com/index.php/2024/10/25/building-collapse-in-nigeria-a-case-of-lagos-state/" TargetMode="External"/><Relationship Id="rId5" Type="http://schemas.openxmlformats.org/officeDocument/2006/relationships/footnotes" Target="footnotes.xml"/><Relationship Id="rId15" Type="http://schemas.openxmlformats.org/officeDocument/2006/relationships/hyperlink" Target="https://ejournal.um.edu.my/index.php/IJPS/article/view/33469" TargetMode="External"/><Relationship Id="rId23" Type="http://schemas.openxmlformats.org/officeDocument/2006/relationships/hyperlink" Target="https://doi.org/10.1136/bmj.n71" TargetMode="External"/><Relationship Id="rId28" Type="http://schemas.openxmlformats.org/officeDocument/2006/relationships/theme" Target="theme/theme1.xml"/><Relationship Id="rId10" Type="http://schemas.openxmlformats.org/officeDocument/2006/relationships/hyperlink" Target="https://ir.unilag.edu.ng/items/9f3e0aeb-3552-409d-b375-31037f5f8e8e" TargetMode="External"/><Relationship Id="rId19" Type="http://schemas.openxmlformats.org/officeDocument/2006/relationships/hyperlink" Target="https://doi.org/10.5130/ajceb.v10i3.1681" TargetMode="External"/><Relationship Id="rId4" Type="http://schemas.openxmlformats.org/officeDocument/2006/relationships/webSettings" Target="webSettings.xml"/><Relationship Id="rId9" Type="http://schemas.openxmlformats.org/officeDocument/2006/relationships/hyperlink" Target="https://doi.org/10.15641/jcbm.1.1.57" TargetMode="External"/><Relationship Id="rId14" Type="http://schemas.openxmlformats.org/officeDocument/2006/relationships/hyperlink" Target="https://dailytrust.com/how-14-states-accounted-for-47-building-collapse-in-2024-report/" TargetMode="External"/><Relationship Id="rId22" Type="http://schemas.openxmlformats.org/officeDocument/2006/relationships/hyperlink" Target="https://www.oxmaint.com/blog/post/maintenance-and-reliability-benchmarking-for-efficienc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17</Pages>
  <Words>5355</Words>
  <Characters>30527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Olutope Adeniyi Adewole</dc:creator>
  <cp:lastModifiedBy>HomePC</cp:lastModifiedBy>
  <cp:revision>7</cp:revision>
  <dcterms:created xsi:type="dcterms:W3CDTF">2026-06-09T09:17:00Z</dcterms:created>
  <dcterms:modified xsi:type="dcterms:W3CDTF">2026-06-24T13:06:00Z</dcterms:modified>
</cp:coreProperties>
</file>