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860" w:rsidRPr="00F00860" w:rsidRDefault="00A47B6F" w:rsidP="00F00860">
      <w:pPr>
        <w:spacing w:before="100" w:beforeAutospacing="1" w:after="100" w:afterAutospacing="1" w:line="240" w:lineRule="auto"/>
        <w:jc w:val="center"/>
        <w:outlineLvl w:val="2"/>
        <w:rPr>
          <w:rFonts w:ascii="Times New Roman" w:eastAsia="Times New Roman" w:hAnsi="Times New Roman" w:cs="Times New Roman"/>
          <w:b/>
          <w:bCs/>
          <w:kern w:val="0"/>
        </w:rPr>
      </w:pPr>
      <w:r w:rsidRPr="00931F3F">
        <w:rPr>
          <w:rFonts w:ascii="Times New Roman" w:eastAsia="Times New Roman" w:hAnsi="Times New Roman" w:cs="Times New Roman"/>
          <w:b/>
          <w:bCs/>
          <w:kern w:val="0"/>
        </w:rPr>
        <w:t>EFFECT OF EXTERNAL DEBT ON DOMESTIC INVESTMENT IN THE EAST</w:t>
      </w:r>
      <w:r w:rsidR="0083325A" w:rsidRPr="00931F3F">
        <w:rPr>
          <w:rFonts w:ascii="Times New Roman" w:eastAsia="Times New Roman" w:hAnsi="Times New Roman" w:cs="Times New Roman"/>
          <w:b/>
          <w:bCs/>
          <w:kern w:val="0"/>
        </w:rPr>
        <w:t>ERN</w:t>
      </w:r>
      <w:r w:rsidRPr="00931F3F">
        <w:rPr>
          <w:rFonts w:ascii="Times New Roman" w:eastAsia="Times New Roman" w:hAnsi="Times New Roman" w:cs="Times New Roman"/>
          <w:b/>
          <w:bCs/>
          <w:kern w:val="0"/>
        </w:rPr>
        <w:t xml:space="preserve"> AFRICA</w:t>
      </w:r>
      <w:r w:rsidR="0083325A" w:rsidRPr="00931F3F">
        <w:rPr>
          <w:rFonts w:ascii="Times New Roman" w:eastAsia="Times New Roman" w:hAnsi="Times New Roman" w:cs="Times New Roman"/>
          <w:b/>
          <w:bCs/>
          <w:kern w:val="0"/>
        </w:rPr>
        <w:t xml:space="preserve"> SUB-REGION COUNTRIES</w:t>
      </w:r>
    </w:p>
    <w:p w:rsidR="00F00860" w:rsidRPr="00354EDC" w:rsidRDefault="00F00860" w:rsidP="00F00860">
      <w:pPr>
        <w:spacing w:line="240" w:lineRule="auto"/>
        <w:jc w:val="center"/>
        <w:rPr>
          <w:rFonts w:ascii="Times New Roman" w:hAnsi="Times New Roman" w:cs="Times New Roman"/>
          <w:b/>
          <w:bCs/>
        </w:rPr>
      </w:pPr>
      <w:r w:rsidRPr="00354EDC">
        <w:rPr>
          <w:rFonts w:ascii="Times New Roman" w:hAnsi="Times New Roman" w:cs="Times New Roman"/>
          <w:b/>
          <w:bCs/>
        </w:rPr>
        <w:t>Wabomba kadili</w:t>
      </w:r>
      <w:r w:rsidRPr="00354EDC">
        <w:rPr>
          <w:rFonts w:ascii="Times New Roman" w:hAnsi="Times New Roman" w:cs="Times New Roman"/>
          <w:b/>
          <w:bCs/>
          <w:vertAlign w:val="superscript"/>
        </w:rPr>
        <w:t>1</w:t>
      </w:r>
      <w:r w:rsidRPr="00354EDC">
        <w:rPr>
          <w:rFonts w:ascii="Times New Roman" w:hAnsi="Times New Roman" w:cs="Times New Roman"/>
          <w:b/>
          <w:bCs/>
        </w:rPr>
        <w:t>, Benard Ojonugwa Anthony</w:t>
      </w:r>
      <w:r w:rsidRPr="00354EDC">
        <w:rPr>
          <w:rFonts w:ascii="Times New Roman" w:hAnsi="Times New Roman" w:cs="Times New Roman"/>
          <w:b/>
          <w:bCs/>
          <w:vertAlign w:val="superscript"/>
        </w:rPr>
        <w:t>2</w:t>
      </w:r>
      <w:r w:rsidRPr="00354EDC">
        <w:rPr>
          <w:rFonts w:ascii="Times New Roman" w:hAnsi="Times New Roman" w:cs="Times New Roman"/>
          <w:b/>
          <w:bCs/>
        </w:rPr>
        <w:t>, Mutenyo John</w:t>
      </w:r>
      <w:r w:rsidRPr="00354EDC">
        <w:rPr>
          <w:rFonts w:ascii="Times New Roman" w:hAnsi="Times New Roman" w:cs="Times New Roman"/>
          <w:b/>
          <w:bCs/>
          <w:vertAlign w:val="superscript"/>
        </w:rPr>
        <w:t>3</w:t>
      </w:r>
      <w:r w:rsidRPr="00354EDC">
        <w:rPr>
          <w:rFonts w:ascii="Times New Roman" w:hAnsi="Times New Roman" w:cs="Times New Roman"/>
          <w:b/>
          <w:bCs/>
        </w:rPr>
        <w:t xml:space="preserve"> &amp;</w:t>
      </w:r>
      <w:r w:rsidRPr="00354EDC">
        <w:rPr>
          <w:rFonts w:ascii="Times New Roman" w:hAnsi="Times New Roman" w:cs="Times New Roman"/>
        </w:rPr>
        <w:t xml:space="preserve"> </w:t>
      </w:r>
      <w:r w:rsidRPr="00354EDC">
        <w:rPr>
          <w:rFonts w:ascii="Times New Roman" w:hAnsi="Times New Roman" w:cs="Times New Roman"/>
          <w:b/>
          <w:bCs/>
        </w:rPr>
        <w:t>Abuga Isaac Mokono</w:t>
      </w:r>
      <w:r w:rsidRPr="00354EDC">
        <w:rPr>
          <w:rFonts w:ascii="Times New Roman" w:hAnsi="Times New Roman" w:cs="Times New Roman"/>
          <w:b/>
          <w:bCs/>
          <w:vertAlign w:val="superscript"/>
        </w:rPr>
        <w:t>4</w:t>
      </w:r>
    </w:p>
    <w:p w:rsidR="00F00860" w:rsidRPr="00F00860" w:rsidRDefault="00F00860" w:rsidP="00F00860">
      <w:pPr>
        <w:spacing w:line="240" w:lineRule="auto"/>
        <w:jc w:val="center"/>
      </w:pPr>
      <w:r>
        <w:rPr>
          <w:rFonts w:ascii="Times New Roman" w:hAnsi="Times New Roman" w:cs="Times New Roman"/>
          <w:b/>
          <w:bCs/>
        </w:rPr>
        <w:t xml:space="preserve">Department of Economics </w:t>
      </w:r>
      <w:r w:rsidRPr="00354EDC">
        <w:rPr>
          <w:rFonts w:ascii="Times New Roman" w:hAnsi="Times New Roman" w:cs="Times New Roman"/>
          <w:b/>
          <w:bCs/>
        </w:rPr>
        <w:t xml:space="preserve">Kampala International University, Uganda, Lead researcher and corresponding author, </w:t>
      </w:r>
      <w:hyperlink r:id="rId7" w:history="1">
        <w:r w:rsidRPr="00354EDC">
          <w:rPr>
            <w:rFonts w:ascii="Times New Roman" w:hAnsi="Times New Roman" w:cs="Times New Roman"/>
            <w:b/>
            <w:bCs/>
            <w:color w:val="0563C1" w:themeColor="hyperlink"/>
            <w:u w:val="single"/>
          </w:rPr>
          <w:t>kadili.wabomba@kiu.ac.ug</w:t>
        </w:r>
      </w:hyperlink>
      <w:r>
        <w:t xml:space="preserve">, </w:t>
      </w:r>
      <w:r w:rsidRPr="006C24CF">
        <w:rPr>
          <w:rFonts w:ascii="Open Sans" w:eastAsia="Times New Roman" w:hAnsi="Open Sans" w:cs="Times New Roman"/>
          <w:b/>
          <w:bCs/>
          <w:color w:val="555555"/>
          <w:kern w:val="0"/>
          <w:sz w:val="21"/>
          <w:szCs w:val="21"/>
        </w:rPr>
        <w:t>ORCID iD:</w:t>
      </w:r>
      <w:hyperlink r:id="rId8" w:history="1">
        <w:r w:rsidRPr="006C24CF">
          <w:rPr>
            <w:rFonts w:ascii="Open Sans" w:eastAsia="Times New Roman" w:hAnsi="Open Sans" w:cs="Times New Roman"/>
            <w:color w:val="02B056"/>
            <w:kern w:val="0"/>
            <w:sz w:val="21"/>
            <w:szCs w:val="21"/>
            <w:u w:val="single"/>
          </w:rPr>
          <w:t>https://orcid.org/0009-0001-1470-7563</w:t>
        </w:r>
      </w:hyperlink>
    </w:p>
    <w:p w:rsidR="00F00860" w:rsidRDefault="00F00860" w:rsidP="00F00860">
      <w:pPr>
        <w:spacing w:after="0" w:line="240" w:lineRule="auto"/>
        <w:jc w:val="center"/>
        <w:rPr>
          <w:rFonts w:ascii="Times New Roman" w:hAnsi="Times New Roman" w:cs="Times New Roman"/>
          <w:b/>
          <w:bCs/>
          <w:color w:val="0563C1" w:themeColor="hyperlink"/>
          <w:u w:val="single"/>
        </w:rPr>
      </w:pPr>
      <w:r w:rsidRPr="00354EDC">
        <w:rPr>
          <w:rFonts w:ascii="Times New Roman" w:hAnsi="Times New Roman" w:cs="Times New Roman"/>
          <w:b/>
          <w:bCs/>
        </w:rPr>
        <w:t xml:space="preserve">Department of Economics, Kampala International University, Uganda, </w:t>
      </w:r>
      <w:hyperlink r:id="rId9" w:history="1">
        <w:r w:rsidRPr="00354EDC">
          <w:rPr>
            <w:rFonts w:ascii="Times New Roman" w:hAnsi="Times New Roman" w:cs="Times New Roman"/>
            <w:b/>
            <w:bCs/>
            <w:color w:val="0563C1" w:themeColor="hyperlink"/>
            <w:u w:val="single"/>
          </w:rPr>
          <w:t>benard.ojonugwa@kiu.ac.ug</w:t>
        </w:r>
      </w:hyperlink>
      <w:r>
        <w:t xml:space="preserve">. </w:t>
      </w:r>
      <w:r w:rsidRPr="00931F3F">
        <w:rPr>
          <w:rFonts w:ascii="Times New Roman" w:hAnsi="Times New Roman" w:cs="Times New Roman"/>
          <w:b/>
          <w:bCs/>
          <w:color w:val="0563C1" w:themeColor="hyperlink"/>
          <w:u w:val="single"/>
        </w:rPr>
        <w:t xml:space="preserve">ORCID iD: </w:t>
      </w:r>
      <w:hyperlink r:id="rId10" w:history="1">
        <w:r w:rsidRPr="004D70CA">
          <w:rPr>
            <w:rStyle w:val="Hyperlink"/>
            <w:rFonts w:ascii="Times New Roman" w:hAnsi="Times New Roman" w:cs="Times New Roman"/>
            <w:b/>
            <w:bCs/>
          </w:rPr>
          <w:t>https://orcid.org/0000-0002-4429-9599</w:t>
        </w:r>
      </w:hyperlink>
    </w:p>
    <w:p w:rsidR="00F00860" w:rsidRPr="00354EDC" w:rsidRDefault="00F00860" w:rsidP="00F00860">
      <w:pPr>
        <w:spacing w:line="240" w:lineRule="auto"/>
        <w:jc w:val="center"/>
        <w:rPr>
          <w:rFonts w:ascii="Times New Roman" w:hAnsi="Times New Roman" w:cs="Times New Roman"/>
          <w:b/>
          <w:bCs/>
        </w:rPr>
      </w:pPr>
      <w:r w:rsidRPr="00354EDC">
        <w:rPr>
          <w:rFonts w:ascii="Times New Roman" w:hAnsi="Times New Roman" w:cs="Times New Roman"/>
          <w:b/>
          <w:bCs/>
        </w:rPr>
        <w:t xml:space="preserve">Department of Economics, Kampala International University, Uganda, </w:t>
      </w:r>
      <w:hyperlink r:id="rId11" w:history="1">
        <w:r w:rsidRPr="00354EDC">
          <w:rPr>
            <w:rFonts w:ascii="Times New Roman" w:hAnsi="Times New Roman" w:cs="Times New Roman"/>
            <w:b/>
            <w:bCs/>
            <w:color w:val="0563C1" w:themeColor="hyperlink"/>
            <w:u w:val="single"/>
          </w:rPr>
          <w:t>jkmutenyo@yahoo.com</w:t>
        </w:r>
      </w:hyperlink>
    </w:p>
    <w:p w:rsidR="00F00860" w:rsidRPr="00354EDC" w:rsidRDefault="00F00860" w:rsidP="00F00860">
      <w:pPr>
        <w:spacing w:line="240" w:lineRule="auto"/>
        <w:jc w:val="center"/>
        <w:rPr>
          <w:rFonts w:ascii="Times New Roman" w:hAnsi="Times New Roman" w:cs="Times New Roman"/>
          <w:b/>
          <w:bCs/>
        </w:rPr>
      </w:pPr>
      <w:r w:rsidRPr="00354EDC">
        <w:rPr>
          <w:rFonts w:ascii="Times New Roman" w:hAnsi="Times New Roman" w:cs="Times New Roman"/>
          <w:b/>
          <w:bCs/>
        </w:rPr>
        <w:t xml:space="preserve">Department of Economics, Kampala International University, Uganda, </w:t>
      </w:r>
      <w:hyperlink r:id="rId12" w:history="1">
        <w:r w:rsidRPr="00354EDC">
          <w:rPr>
            <w:rFonts w:ascii="Times New Roman" w:hAnsi="Times New Roman" w:cs="Times New Roman"/>
            <w:b/>
            <w:bCs/>
            <w:color w:val="0563C1" w:themeColor="hyperlink"/>
            <w:u w:val="single"/>
          </w:rPr>
          <w:t>isaac.abuga@kiu.ac.ug</w:t>
        </w:r>
      </w:hyperlink>
    </w:p>
    <w:p w:rsidR="00F00860" w:rsidRPr="00931F3F" w:rsidRDefault="00F00860" w:rsidP="00931F3F">
      <w:pPr>
        <w:spacing w:after="0" w:line="240" w:lineRule="auto"/>
        <w:jc w:val="center"/>
        <w:rPr>
          <w:rFonts w:ascii="Times New Roman" w:hAnsi="Times New Roman" w:cs="Times New Roman"/>
          <w:b/>
          <w:bCs/>
          <w:color w:val="0563C1" w:themeColor="hyperlink"/>
          <w:u w:val="single"/>
        </w:rPr>
      </w:pPr>
    </w:p>
    <w:p w:rsidR="00B356CA" w:rsidRPr="00931F3F" w:rsidRDefault="00B356CA" w:rsidP="00931F3F">
      <w:pPr>
        <w:spacing w:line="240" w:lineRule="auto"/>
        <w:rPr>
          <w:rFonts w:ascii="Times New Roman" w:hAnsi="Times New Roman" w:cs="Times New Roman"/>
          <w:b/>
          <w:bCs/>
        </w:rPr>
      </w:pPr>
      <w:r w:rsidRPr="00931F3F">
        <w:rPr>
          <w:rFonts w:ascii="Times New Roman" w:hAnsi="Times New Roman" w:cs="Times New Roman"/>
          <w:b/>
          <w:bCs/>
        </w:rPr>
        <w:t xml:space="preserve">ABSTRACT </w:t>
      </w:r>
    </w:p>
    <w:p w:rsidR="00B356CA" w:rsidRPr="00931F3F" w:rsidRDefault="00436967" w:rsidP="00931F3F">
      <w:pPr>
        <w:spacing w:line="240" w:lineRule="auto"/>
        <w:jc w:val="both"/>
        <w:rPr>
          <w:rFonts w:ascii="Times New Roman" w:hAnsi="Times New Roman" w:cs="Times New Roman"/>
        </w:rPr>
      </w:pPr>
      <w:r w:rsidRPr="00931F3F">
        <w:rPr>
          <w:rFonts w:ascii="Times New Roman" w:hAnsi="Times New Roman" w:cs="Times New Roman"/>
        </w:rPr>
        <w:t>This research explores the impact of external debt on domestic investment within Eastern African countries from 1990 to 2023. Recognizing external debt as a crucial policy issue for developing nations, this study investigates its dual nature: its potential to foster growth by supplementing limited domestic resources and its risk of displacing domestic investment and destabilizing the economy when excessively accumulated. Utilizing panel data from sixteen Eastern African countries and employing the Pooled Mean Group (PMG) estimator within an Autoregressive Distributed Lag (ARDL) framework, the study analyzed both short-term and long-term relationships. A key finding is the significant long-run negative correlation between substantial external debt levels and domestic investment, largely driven by debt servicing burdens and constraints on fiscal capacity. While short-term impacts were more varied, showing some positive influences dependent on country-specific contexts, the long-term trend indicates a detrimental effect. The study's model reliability was confirmed through diagnostic and heterogeneity tests. The conclusions emphasize that while external debt is a vital funding source, its effective management is paramount to prevent debt overhang and the crowding out of domestic investment. The findings recommend cautious borrowing, enhanced debt sustainability mechanisms, and policies focused on increasing domestic resource mobilization in the Eastern African Sub-Region</w:t>
      </w:r>
      <w:r w:rsidR="00B356CA" w:rsidRPr="00931F3F">
        <w:rPr>
          <w:rFonts w:ascii="Times New Roman" w:hAnsi="Times New Roman" w:cs="Times New Roman"/>
        </w:rPr>
        <w:t>.</w:t>
      </w:r>
    </w:p>
    <w:p w:rsidR="00B356CA" w:rsidRPr="00931F3F" w:rsidRDefault="00436967" w:rsidP="00931F3F">
      <w:pPr>
        <w:spacing w:line="240" w:lineRule="auto"/>
        <w:jc w:val="both"/>
        <w:rPr>
          <w:rFonts w:ascii="Times New Roman" w:hAnsi="Times New Roman" w:cs="Times New Roman"/>
          <w:b/>
          <w:bCs/>
        </w:rPr>
      </w:pPr>
      <w:r w:rsidRPr="00931F3F">
        <w:rPr>
          <w:rFonts w:ascii="Times New Roman" w:hAnsi="Times New Roman" w:cs="Times New Roman"/>
          <w:b/>
          <w:bCs/>
        </w:rPr>
        <w:t>Key words: External debt, domestic investment, debt overhang, Eastern Africa sub-regional countries</w:t>
      </w:r>
    </w:p>
    <w:p w:rsidR="004366F0" w:rsidRPr="00931F3F" w:rsidRDefault="004366F0" w:rsidP="00931F3F">
      <w:pPr>
        <w:spacing w:line="240" w:lineRule="auto"/>
        <w:jc w:val="both"/>
        <w:rPr>
          <w:rFonts w:ascii="Times New Roman" w:hAnsi="Times New Roman" w:cs="Times New Roman"/>
          <w:b/>
          <w:bCs/>
        </w:rPr>
      </w:pPr>
      <w:r w:rsidRPr="00931F3F">
        <w:rPr>
          <w:rFonts w:ascii="Times New Roman" w:hAnsi="Times New Roman" w:cs="Times New Roman"/>
          <w:b/>
          <w:bCs/>
        </w:rPr>
        <w:t>1. INTRODUCTION</w:t>
      </w:r>
    </w:p>
    <w:p w:rsidR="009F6EAB" w:rsidRPr="00931F3F" w:rsidRDefault="009F6EAB" w:rsidP="00931F3F">
      <w:pPr>
        <w:spacing w:line="240" w:lineRule="auto"/>
        <w:jc w:val="both"/>
        <w:rPr>
          <w:rFonts w:ascii="Times New Roman" w:hAnsi="Times New Roman" w:cs="Times New Roman"/>
        </w:rPr>
      </w:pPr>
      <w:r w:rsidRPr="00931F3F">
        <w:rPr>
          <w:rFonts w:ascii="Times New Roman" w:hAnsi="Times New Roman" w:cs="Times New Roman"/>
        </w:rPr>
        <w:t>Globally, external debt is a significant policy concern, especially for developing and emerging economies trying to maintain domestic investment amid rising borrowing costs. The World Bank (2024) reports that developing countries' total external debt exceeded $9.3 trillion in 2023, a 15% increase since 2019. This rise, mainly due to financing post-COVID recovery and infrastructure projects, has worsened fiscal stress. In 2023, net interest payments alone surpassed $847 billion—a 26% jump since 2021</w:t>
      </w:r>
      <w:r w:rsidR="0057134D" w:rsidRPr="00931F3F">
        <w:rPr>
          <w:rFonts w:ascii="Times New Roman" w:hAnsi="Times New Roman" w:cs="Times New Roman"/>
        </w:rPr>
        <w:t xml:space="preserve">, </w:t>
      </w:r>
      <w:r w:rsidRPr="00931F3F">
        <w:rPr>
          <w:rFonts w:ascii="Times New Roman" w:hAnsi="Times New Roman" w:cs="Times New Roman"/>
        </w:rPr>
        <w:t xml:space="preserve">diverting crucial funds from productive investments and </w:t>
      </w:r>
      <w:r w:rsidRPr="00931F3F">
        <w:rPr>
          <w:rFonts w:ascii="Times New Roman" w:hAnsi="Times New Roman" w:cs="Times New Roman"/>
        </w:rPr>
        <w:lastRenderedPageBreak/>
        <w:t>contributing to a global underinvestment in key sectors like manufacturing, health, and energy (UNCTAD, 2024).</w:t>
      </w:r>
    </w:p>
    <w:p w:rsidR="009F6EAB" w:rsidRPr="00931F3F" w:rsidRDefault="009F6EAB" w:rsidP="00931F3F">
      <w:pPr>
        <w:spacing w:line="240" w:lineRule="auto"/>
        <w:jc w:val="both"/>
        <w:rPr>
          <w:rFonts w:ascii="Times New Roman" w:hAnsi="Times New Roman" w:cs="Times New Roman"/>
        </w:rPr>
      </w:pPr>
      <w:r w:rsidRPr="00931F3F">
        <w:rPr>
          <w:rFonts w:ascii="Times New Roman" w:hAnsi="Times New Roman" w:cs="Times New Roman"/>
        </w:rPr>
        <w:t>Africa is particularly affected. The continent's total public debt reached $1.8 trillion in 2023, with average debt-to-GDP ratios exceeding 60% (IMF, 2023). More than 25 African nations are currently experiencing or are at high risk of debt distress. African economies face borrowing costs two to four times higher than those of advanced economies (World Bank, 2023), a burden that has stifled domestic investment. Governments are now dedicating significant revenue to debt servicing instead of capital formation: interest payments per person average $70, while only $39 is spent on health and $60 on education (UNCTAD, 2024). Consequently, domestic investors face limited credit availability and high interest rates, hindering private sector growth and job creation (Iyoha, 1999; Fagbemi, 2020).</w:t>
      </w:r>
    </w:p>
    <w:p w:rsidR="009F6EAB" w:rsidRPr="00931F3F" w:rsidRDefault="009F6EAB" w:rsidP="00931F3F">
      <w:pPr>
        <w:spacing w:line="240" w:lineRule="auto"/>
        <w:jc w:val="both"/>
        <w:rPr>
          <w:rFonts w:ascii="Times New Roman" w:hAnsi="Times New Roman" w:cs="Times New Roman"/>
        </w:rPr>
      </w:pPr>
      <w:r w:rsidRPr="00931F3F">
        <w:rPr>
          <w:rFonts w:ascii="Times New Roman" w:hAnsi="Times New Roman" w:cs="Times New Roman"/>
        </w:rPr>
        <w:t>In East Africa, external debt pressures have become critical, undermining domestic investment and economic expansion. Countries like Kenya, Uganda, Tanzania, and Ethiopia have seen their public debt-to-GDP ratios climb above 50%, with Kenya's exceeding 68% in 2023 and Uganda's at 52.5% (IMF, 2023; MoFPED, 2023). The region's external debt stock now surpasses $150 billion, with annual debt servicing consuming over 30% of government revenues (World Bank, 2024). This fiscal strain restricts public investment in vital sectors for domestic capital formation, such as infrastructure, manufacturing, and social services. High debt repayment obligations and reliance on non-concessional borrowing have also raised sovereign risk, diminished investor confidence, and led to the crowding-out of private investment (Akomolafe, 2015; Were, 2018). As a result, East African economies face persistent underinvestment, with domestic investment averaging below 20% of GDP, compared to the global average of 27% (UNCTAD, 2024).</w:t>
      </w:r>
    </w:p>
    <w:p w:rsidR="009F6EAB" w:rsidRPr="00931F3F" w:rsidRDefault="009F6EAB" w:rsidP="00931F3F">
      <w:pPr>
        <w:spacing w:line="240" w:lineRule="auto"/>
        <w:jc w:val="both"/>
        <w:rPr>
          <w:rFonts w:ascii="Times New Roman" w:hAnsi="Times New Roman" w:cs="Times New Roman"/>
        </w:rPr>
      </w:pPr>
      <w:r w:rsidRPr="00931F3F">
        <w:rPr>
          <w:rFonts w:ascii="Times New Roman" w:hAnsi="Times New Roman" w:cs="Times New Roman"/>
        </w:rPr>
        <w:t>Despite this worrying trend, there is a notable gap in empirical research. While extensive studies have explored the debt-investment link in other African regions—such as North Africa, where countries like Egypt and Morocco have successfully used external borrowing to boost productive investment</w:t>
      </w:r>
      <w:r w:rsidR="0057134D" w:rsidRPr="00931F3F">
        <w:rPr>
          <w:rFonts w:ascii="Times New Roman" w:hAnsi="Times New Roman" w:cs="Times New Roman"/>
        </w:rPr>
        <w:t xml:space="preserve"> </w:t>
      </w:r>
      <w:r w:rsidRPr="00931F3F">
        <w:rPr>
          <w:rFonts w:ascii="Times New Roman" w:hAnsi="Times New Roman" w:cs="Times New Roman"/>
        </w:rPr>
        <w:t>the Eastern African Sub-Region has received limited attention. Existing research has often concentrated on individual country cases or treated Africa as a uniform entity, obscuring the unique debt dynamics and investment challenges specific to East African economies. Furthermore, previous studies have frequently used outdated data or employed methodologies that fail to capture the long-term equilibrium relationships and short-term dynamics crucial for understanding how external debt burdens impede domestic capital formation over time.</w:t>
      </w:r>
    </w:p>
    <w:p w:rsidR="009F6EAB" w:rsidRPr="00931F3F" w:rsidRDefault="009F6EAB" w:rsidP="00931F3F">
      <w:pPr>
        <w:spacing w:line="240" w:lineRule="auto"/>
        <w:jc w:val="both"/>
        <w:rPr>
          <w:rFonts w:ascii="Times New Roman" w:hAnsi="Times New Roman" w:cs="Times New Roman"/>
        </w:rPr>
      </w:pPr>
    </w:p>
    <w:p w:rsidR="004366F0" w:rsidRPr="00931F3F" w:rsidRDefault="00C234C5" w:rsidP="00931F3F">
      <w:pPr>
        <w:spacing w:line="240" w:lineRule="auto"/>
        <w:jc w:val="both"/>
        <w:rPr>
          <w:rFonts w:ascii="Times New Roman" w:hAnsi="Times New Roman" w:cs="Times New Roman"/>
        </w:rPr>
      </w:pPr>
      <w:r w:rsidRPr="00931F3F">
        <w:rPr>
          <w:rFonts w:ascii="Times New Roman" w:hAnsi="Times New Roman" w:cs="Times New Roman"/>
        </w:rPr>
        <w:t>This research seeks to fill a void in current knowledge by empirically examining how external debt influences domestic investment within Eastern African Sub-Region Countries between 1990 and 2023. The study has three primary goals: (i) to determine the long-term connection between external debt and domestic investment; (ii) to investigate the short-term fluctuations and adaptation mechanisms; and (iii) to evaluate the extent to which debt servicing displaces both private and public investment. The aim is to furnish strong empirical findings that can guide effective debt management approaches and investment-driven growth strategies specifically designed for the East African region.  The subsequent sections of this paper are structured as follows: Section 2 will provide an overview of relevant theoretical and empirical studies. Section 3 will outline the research methodology, encompassing the model's design, estimation methods, and data sources. Section 4 will present and interpret the empirical findings, while Section 5 will conclude with practical policy suggestions.</w:t>
      </w:r>
      <w:r w:rsidR="009F6EAB" w:rsidRPr="00931F3F">
        <w:rPr>
          <w:rFonts w:ascii="Times New Roman" w:hAnsi="Times New Roman" w:cs="Times New Roman"/>
        </w:rPr>
        <w:t>.</w:t>
      </w:r>
      <w:r w:rsidR="004366F0" w:rsidRPr="00931F3F">
        <w:rPr>
          <w:rFonts w:ascii="Times New Roman" w:hAnsi="Times New Roman" w:cs="Times New Roman"/>
        </w:rPr>
        <w:t>.</w:t>
      </w:r>
    </w:p>
    <w:p w:rsidR="004366F0" w:rsidRPr="00931F3F" w:rsidRDefault="004366F0" w:rsidP="00931F3F">
      <w:pPr>
        <w:spacing w:line="240" w:lineRule="auto"/>
        <w:jc w:val="both"/>
        <w:rPr>
          <w:rFonts w:ascii="Times New Roman" w:hAnsi="Times New Roman" w:cs="Times New Roman"/>
          <w:b/>
          <w:bCs/>
        </w:rPr>
      </w:pPr>
      <w:r w:rsidRPr="00931F3F">
        <w:rPr>
          <w:rFonts w:ascii="Times New Roman" w:hAnsi="Times New Roman" w:cs="Times New Roman"/>
          <w:b/>
          <w:bCs/>
        </w:rPr>
        <w:lastRenderedPageBreak/>
        <w:t xml:space="preserve">Theoretical Underpinning. </w:t>
      </w:r>
    </w:p>
    <w:p w:rsidR="004366F0" w:rsidRPr="00931F3F" w:rsidRDefault="00467CC3" w:rsidP="00931F3F">
      <w:pPr>
        <w:spacing w:line="240" w:lineRule="auto"/>
        <w:jc w:val="both"/>
        <w:rPr>
          <w:rFonts w:ascii="Times New Roman" w:hAnsi="Times New Roman" w:cs="Times New Roman"/>
        </w:rPr>
      </w:pPr>
      <w:r w:rsidRPr="00931F3F">
        <w:rPr>
          <w:rFonts w:ascii="Times New Roman" w:hAnsi="Times New Roman" w:cs="Times New Roman"/>
        </w:rPr>
        <w:t>Debt Overhang Theory, pioneered by Stewart Myers and Nicholas Majluf (1984), posits that an unsustainable level of national debt can have a chilling effect on investment. When a country's debt is too high, prospective investors may become concerned that future earnings will be largely allocated to servicing this debt rather than generating profits for them. This apprehension can lead to a reduction in both private and public investment, consequently resulting in sluggish economic growth. The theory is applicable to this study because it explains how the rising burden of external debt in Eastern African Sub-Region Countries restricts domestic investment by diverting fiscal resources to debt servicing. It offers a critical perspective for evaluating whether current debt levels in East Africa have surpassed a threshold that inhibits productive investment and limits long-term growth potential (Krugman, 1988; Pattillo, Poirson, &amp; Ricci, 2002; Were, 2018)</w:t>
      </w:r>
    </w:p>
    <w:p w:rsidR="006A18CF" w:rsidRPr="00931F3F" w:rsidRDefault="006A18CF" w:rsidP="00931F3F">
      <w:pPr>
        <w:spacing w:line="240" w:lineRule="auto"/>
        <w:jc w:val="both"/>
        <w:rPr>
          <w:rFonts w:ascii="Times New Roman" w:hAnsi="Times New Roman" w:cs="Times New Roman"/>
          <w:b/>
          <w:bCs/>
        </w:rPr>
      </w:pPr>
      <w:r w:rsidRPr="00931F3F">
        <w:rPr>
          <w:rFonts w:ascii="Times New Roman" w:hAnsi="Times New Roman" w:cs="Times New Roman"/>
          <w:b/>
          <w:bCs/>
        </w:rPr>
        <w:t>Empirical Literature</w:t>
      </w:r>
    </w:p>
    <w:p w:rsidR="00467CC3" w:rsidRPr="00931F3F" w:rsidRDefault="00467CC3" w:rsidP="00931F3F">
      <w:pPr>
        <w:spacing w:line="240" w:lineRule="auto"/>
        <w:jc w:val="both"/>
        <w:rPr>
          <w:rFonts w:ascii="Times New Roman" w:hAnsi="Times New Roman" w:cs="Times New Roman"/>
        </w:rPr>
      </w:pPr>
      <w:r w:rsidRPr="00931F3F">
        <w:rPr>
          <w:rFonts w:ascii="Times New Roman" w:hAnsi="Times New Roman" w:cs="Times New Roman"/>
        </w:rPr>
        <w:t>Empirical data from across Africa demonstrates a multifaceted and geographically diverse link between foreign debt and domestic investment. In Sub-Saharan Africa, numerous investigations suggest that excessive foreign borrowing has frequently hindered productive investment. This is attributed to substantial debt servicing obligations and the phenomenon of fiscal crowding out. For instance, Iyoha (1999) and Were (2018) observed that the accumulation of external debt has a detrimental impact on domestic investment in many African economies. This is because significant portions of government revenue are diverted to debt repayment instead of capital formation. Likewise, Fosu (2019) noted that in countries burdened by high levels of debt, escalating debt servicing commitments diminish the fiscal capacity for infrastructure and industrial development, resulting in stagnant domestic investment.</w:t>
      </w:r>
    </w:p>
    <w:p w:rsidR="00467CC3" w:rsidRPr="00931F3F" w:rsidRDefault="00467CC3" w:rsidP="00931F3F">
      <w:pPr>
        <w:spacing w:line="240" w:lineRule="auto"/>
        <w:jc w:val="both"/>
        <w:rPr>
          <w:rFonts w:ascii="Times New Roman" w:hAnsi="Times New Roman" w:cs="Times New Roman"/>
        </w:rPr>
      </w:pPr>
      <w:r w:rsidRPr="00931F3F">
        <w:rPr>
          <w:rFonts w:ascii="Times New Roman" w:hAnsi="Times New Roman" w:cs="Times New Roman"/>
        </w:rPr>
        <w:t>Within West Africa, nations like Nigeria, Ghana, and Sierra Leone exemplify how debt distress can impede private sector growth. Studies by Akomolafe (2015) and Joy and Panda (2020) indicated that increasing external debt in Nigeria and Ghana led to a "crowding-out" effect, constricting the availability of domestic credit and discouraging private investment. Ghana's external debt as a percentage of its GDP reached 68% in 2022, with debt servicing consuming over 45% of its domestic revenue. This significantly curtailed investment in manufacturing and agriculture, according to the IMF (2023). Similarly, Ogunjimi (2019) demonstrated that while concessional borrowing can stimulate growth driven by infrastructure development, the accumulation of non-concessional debt has frequently resulted in macroeconomic instability and capital flight in the subregion.</w:t>
      </w:r>
    </w:p>
    <w:p w:rsidR="006A18CF" w:rsidRPr="00931F3F" w:rsidRDefault="00467CC3" w:rsidP="00931F3F">
      <w:pPr>
        <w:spacing w:line="240" w:lineRule="auto"/>
        <w:jc w:val="both"/>
        <w:rPr>
          <w:rFonts w:ascii="Times New Roman" w:hAnsi="Times New Roman" w:cs="Times New Roman"/>
        </w:rPr>
      </w:pPr>
      <w:r w:rsidRPr="00931F3F">
        <w:rPr>
          <w:rFonts w:ascii="Times New Roman" w:hAnsi="Times New Roman" w:cs="Times New Roman"/>
        </w:rPr>
        <w:t>In contrast, certain North African economies, such as Egypt and Morocco, have shown that effective debt management and carefully planned investment strategies can yield positive results. Elbadawi and Ndulu (2016) pointed out that these countries successfully utilized foreign loans to expand their energy, transport, and manufacturing sectors, leading to domestic investment-to-GDP ratios that have consistently exceeded 25%. However, empirical findings from the Eastern African sub-region present a more varied picture. Ndoricimpa (2020) and Were (2018) reported that while external borrowing may initially boost investment, sustained debt accumulation eventually leads to diminishing returns, fiscal pressures, and a reduction in domestic investment. This evidence highlights the critical need to specifically examine how external debt dynamics influence domestic investment patterns in East Africa compared to other regions on the continent.</w:t>
      </w:r>
    </w:p>
    <w:p w:rsidR="00900879" w:rsidRPr="00931F3F" w:rsidRDefault="00900879" w:rsidP="00931F3F">
      <w:pPr>
        <w:spacing w:before="100" w:beforeAutospacing="1" w:after="100" w:afterAutospacing="1" w:line="240" w:lineRule="auto"/>
        <w:jc w:val="both"/>
        <w:outlineLvl w:val="1"/>
        <w:rPr>
          <w:rFonts w:ascii="Times New Roman" w:eastAsia="Times New Roman" w:hAnsi="Times New Roman" w:cs="Times New Roman"/>
          <w:b/>
          <w:bCs/>
          <w:kern w:val="0"/>
        </w:rPr>
      </w:pPr>
      <w:r w:rsidRPr="00931F3F">
        <w:rPr>
          <w:rFonts w:ascii="Times New Roman" w:eastAsia="Times New Roman" w:hAnsi="Times New Roman" w:cs="Times New Roman"/>
          <w:b/>
          <w:bCs/>
          <w:kern w:val="0"/>
        </w:rPr>
        <w:lastRenderedPageBreak/>
        <w:t>Methodology</w:t>
      </w:r>
    </w:p>
    <w:p w:rsidR="00900879" w:rsidRPr="00931F3F" w:rsidRDefault="00900879" w:rsidP="00931F3F">
      <w:pPr>
        <w:spacing w:before="100" w:beforeAutospacing="1" w:after="100" w:afterAutospacing="1" w:line="240" w:lineRule="auto"/>
        <w:jc w:val="both"/>
        <w:outlineLvl w:val="2"/>
        <w:rPr>
          <w:rFonts w:ascii="Times New Roman" w:eastAsia="Times New Roman" w:hAnsi="Times New Roman" w:cs="Times New Roman"/>
          <w:b/>
          <w:bCs/>
          <w:kern w:val="0"/>
        </w:rPr>
      </w:pPr>
      <w:r w:rsidRPr="00931F3F">
        <w:rPr>
          <w:rFonts w:ascii="Times New Roman" w:eastAsia="Times New Roman" w:hAnsi="Times New Roman" w:cs="Times New Roman"/>
          <w:b/>
          <w:bCs/>
          <w:kern w:val="0"/>
        </w:rPr>
        <w:t>Research Design</w:t>
      </w:r>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This study utilized a longitudinal research design to examine the impact of external debt on investment across Eastern African countries over time. By covering the period from 1990 to 2023, the design enabled a comprehensive analysis of temporal trends, causal linkages, and long-run equilibrium relationships between public debt components namely external debt and debt servicing—and investment. The longitudinal approach was particularly suitable for capturing dynamic changes and persistent effects within the economies under study. In addition, it supported the application of panel econometric techniques such as the Pooled Mean Group (PMG), Dynamic Fixed Effects (DFE), and panel cointegration models, which allow for the separation of short-term variations from long-term dynamics (Menard, 2020; Caruana et al., 2021).</w:t>
      </w:r>
    </w:p>
    <w:p w:rsidR="00900879" w:rsidRPr="00931F3F" w:rsidRDefault="00900879" w:rsidP="00931F3F">
      <w:pPr>
        <w:spacing w:before="100" w:beforeAutospacing="1" w:after="100" w:afterAutospacing="1" w:line="240" w:lineRule="auto"/>
        <w:jc w:val="both"/>
        <w:outlineLvl w:val="2"/>
        <w:rPr>
          <w:rFonts w:ascii="Times New Roman" w:eastAsia="Times New Roman" w:hAnsi="Times New Roman" w:cs="Times New Roman"/>
          <w:b/>
          <w:bCs/>
          <w:kern w:val="0"/>
        </w:rPr>
      </w:pPr>
      <w:r w:rsidRPr="00931F3F">
        <w:rPr>
          <w:rFonts w:ascii="Times New Roman" w:eastAsia="Times New Roman" w:hAnsi="Times New Roman" w:cs="Times New Roman"/>
          <w:b/>
          <w:bCs/>
          <w:kern w:val="0"/>
        </w:rPr>
        <w:t>Nature and Sources of Data</w:t>
      </w:r>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The study relied on quantitative secondary data obtained from credible international and regional statistical sources. A panel dataset was constructed for selected Eastern African countries over the study period, facilitating both cross-sectional and time-series analyses. The variables examined included domestic investment (DIV), external debt (ED), debt servicing (DS), bank credit to the private sector (BCR), interest rate (IR), and inflation (INF). Data were primarily sourced from the World Bank’s World Development Indicators (WDI), which provides reliable and consistent macroeconomic statistics essential for analyzing the relationship between public debt and investment.</w:t>
      </w:r>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The functional relationship among the variables is expressed as:</w:t>
      </w:r>
    </w:p>
    <w:p w:rsidR="00900879" w:rsidRPr="00931F3F" w:rsidRDefault="00900879" w:rsidP="00931F3F">
      <w:pPr>
        <w:spacing w:after="0" w:line="240" w:lineRule="auto"/>
        <w:jc w:val="both"/>
        <w:rPr>
          <w:rFonts w:ascii="Times New Roman" w:eastAsia="Times New Roman" w:hAnsi="Times New Roman" w:cs="Times New Roman"/>
          <w:kern w:val="0"/>
        </w:rPr>
      </w:pPr>
      <m:oMathPara>
        <m:oMath>
          <m:r>
            <w:rPr>
              <w:rFonts w:ascii="Cambria Math" w:eastAsia="Times New Roman" w:hAnsi="Cambria Math" w:cs="Times New Roman"/>
              <w:kern w:val="0"/>
            </w:rPr>
            <m:t>IN</m:t>
          </m:r>
          <m:sSub>
            <m:sSubPr>
              <m:ctrlPr>
                <w:rPr>
                  <w:rFonts w:ascii="Cambria Math" w:eastAsia="Times New Roman" w:hAnsi="Cambria Math" w:cs="Times New Roman"/>
                  <w:kern w:val="0"/>
                </w:rPr>
              </m:ctrlPr>
            </m:sSubPr>
            <m:e>
              <m:r>
                <w:rPr>
                  <w:rFonts w:ascii="Cambria Math" w:eastAsia="Times New Roman" w:hAnsi="Cambria Math" w:cs="Times New Roman"/>
                  <w:kern w:val="0"/>
                </w:rPr>
                <m:t>V</m:t>
              </m:r>
            </m:e>
            <m:sub>
              <m:r>
                <w:rPr>
                  <w:rFonts w:ascii="Cambria Math" w:eastAsia="Times New Roman" w:hAnsi="Cambria Math" w:cs="Times New Roman"/>
                  <w:kern w:val="0"/>
                </w:rPr>
                <m:t>it</m:t>
              </m:r>
            </m:sub>
          </m:sSub>
          <m:r>
            <w:rPr>
              <w:rFonts w:ascii="Cambria Math" w:eastAsia="Times New Roman" w:hAnsi="Cambria Math" w:cs="Times New Roman"/>
              <w:kern w:val="0"/>
            </w:rPr>
            <m:t>=f(EXT</m:t>
          </m:r>
          <m:sSub>
            <m:sSubPr>
              <m:ctrlPr>
                <w:rPr>
                  <w:rFonts w:ascii="Cambria Math" w:eastAsia="Times New Roman" w:hAnsi="Cambria Math" w:cs="Times New Roman"/>
                  <w:kern w:val="0"/>
                </w:rPr>
              </m:ctrlPr>
            </m:sSubPr>
            <m:e>
              <m:r>
                <w:rPr>
                  <w:rFonts w:ascii="Cambria Math" w:eastAsia="Times New Roman" w:hAnsi="Cambria Math" w:cs="Times New Roman"/>
                  <w:kern w:val="0"/>
                </w:rPr>
                <m:t>D</m:t>
              </m:r>
            </m:e>
            <m:sub>
              <m:r>
                <w:rPr>
                  <w:rFonts w:ascii="Cambria Math" w:eastAsia="Times New Roman" w:hAnsi="Cambria Math" w:cs="Times New Roman"/>
                  <w:kern w:val="0"/>
                </w:rPr>
                <m:t>it</m:t>
              </m:r>
            </m:sub>
          </m:sSub>
          <m:r>
            <w:rPr>
              <w:rFonts w:ascii="Cambria Math" w:eastAsia="Times New Roman" w:hAnsi="Cambria Math" w:cs="Times New Roman"/>
              <w:kern w:val="0"/>
            </w:rPr>
            <m:t>,DSE</m:t>
          </m:r>
          <m:sSub>
            <m:sSubPr>
              <m:ctrlPr>
                <w:rPr>
                  <w:rFonts w:ascii="Cambria Math" w:eastAsia="Times New Roman" w:hAnsi="Cambria Math" w:cs="Times New Roman"/>
                  <w:kern w:val="0"/>
                </w:rPr>
              </m:ctrlPr>
            </m:sSubPr>
            <m:e>
              <m:r>
                <w:rPr>
                  <w:rFonts w:ascii="Cambria Math" w:eastAsia="Times New Roman" w:hAnsi="Cambria Math" w:cs="Times New Roman"/>
                  <w:kern w:val="0"/>
                </w:rPr>
                <m:t>R</m:t>
              </m:r>
            </m:e>
            <m:sub>
              <m:r>
                <w:rPr>
                  <w:rFonts w:ascii="Cambria Math" w:eastAsia="Times New Roman" w:hAnsi="Cambria Math" w:cs="Times New Roman"/>
                  <w:kern w:val="0"/>
                </w:rPr>
                <m:t>it</m:t>
              </m:r>
            </m:sub>
          </m:sSub>
          <m:r>
            <w:rPr>
              <w:rFonts w:ascii="Cambria Math" w:eastAsia="Times New Roman" w:hAnsi="Cambria Math" w:cs="Times New Roman"/>
              <w:kern w:val="0"/>
            </w:rPr>
            <m:t>,BCRE</m:t>
          </m:r>
          <m:sSub>
            <m:sSubPr>
              <m:ctrlPr>
                <w:rPr>
                  <w:rFonts w:ascii="Cambria Math" w:eastAsia="Times New Roman" w:hAnsi="Cambria Math" w:cs="Times New Roman"/>
                  <w:kern w:val="0"/>
                </w:rPr>
              </m:ctrlPr>
            </m:sSubPr>
            <m:e>
              <m:r>
                <w:rPr>
                  <w:rFonts w:ascii="Cambria Math" w:eastAsia="Times New Roman" w:hAnsi="Cambria Math" w:cs="Times New Roman"/>
                  <w:kern w:val="0"/>
                </w:rPr>
                <m:t>D</m:t>
              </m:r>
            </m:e>
            <m:sub>
              <m:r>
                <w:rPr>
                  <w:rFonts w:ascii="Cambria Math" w:eastAsia="Times New Roman" w:hAnsi="Cambria Math" w:cs="Times New Roman"/>
                  <w:kern w:val="0"/>
                </w:rPr>
                <m:t>it</m:t>
              </m:r>
            </m:sub>
          </m:sSub>
          <m:r>
            <w:rPr>
              <w:rFonts w:ascii="Cambria Math" w:eastAsia="Times New Roman" w:hAnsi="Cambria Math" w:cs="Times New Roman"/>
              <w:kern w:val="0"/>
            </w:rPr>
            <m:t>,INF</m:t>
          </m:r>
          <m:sSub>
            <m:sSubPr>
              <m:ctrlPr>
                <w:rPr>
                  <w:rFonts w:ascii="Cambria Math" w:eastAsia="Times New Roman" w:hAnsi="Cambria Math" w:cs="Times New Roman"/>
                  <w:kern w:val="0"/>
                </w:rPr>
              </m:ctrlPr>
            </m:sSubPr>
            <m:e>
              <m:r>
                <w:rPr>
                  <w:rFonts w:ascii="Cambria Math" w:eastAsia="Times New Roman" w:hAnsi="Cambria Math" w:cs="Times New Roman"/>
                  <w:kern w:val="0"/>
                </w:rPr>
                <m:t>R</m:t>
              </m:r>
            </m:e>
            <m:sub>
              <m:r>
                <w:rPr>
                  <w:rFonts w:ascii="Cambria Math" w:eastAsia="Times New Roman" w:hAnsi="Cambria Math" w:cs="Times New Roman"/>
                  <w:kern w:val="0"/>
                </w:rPr>
                <m:t>it</m:t>
              </m:r>
            </m:sub>
          </m:sSub>
          <m:r>
            <w:rPr>
              <w:rFonts w:ascii="Cambria Math" w:eastAsia="Times New Roman" w:hAnsi="Cambria Math" w:cs="Times New Roman"/>
              <w:kern w:val="0"/>
            </w:rPr>
            <m:t>,INT</m:t>
          </m:r>
          <m:sSub>
            <m:sSubPr>
              <m:ctrlPr>
                <w:rPr>
                  <w:rFonts w:ascii="Cambria Math" w:eastAsia="Times New Roman" w:hAnsi="Cambria Math" w:cs="Times New Roman"/>
                  <w:kern w:val="0"/>
                </w:rPr>
              </m:ctrlPr>
            </m:sSubPr>
            <m:e>
              <m:r>
                <w:rPr>
                  <w:rFonts w:ascii="Cambria Math" w:eastAsia="Times New Roman" w:hAnsi="Cambria Math" w:cs="Times New Roman"/>
                  <w:kern w:val="0"/>
                </w:rPr>
                <m:t>R</m:t>
              </m:r>
            </m:e>
            <m:sub>
              <m:r>
                <w:rPr>
                  <w:rFonts w:ascii="Cambria Math" w:eastAsia="Times New Roman" w:hAnsi="Cambria Math" w:cs="Times New Roman"/>
                  <w:kern w:val="0"/>
                </w:rPr>
                <m:t>it</m:t>
              </m:r>
            </m:sub>
          </m:sSub>
          <m:r>
            <w:rPr>
              <w:rFonts w:ascii="Cambria Math" w:eastAsia="Times New Roman" w:hAnsi="Cambria Math" w:cs="Times New Roman"/>
              <w:kern w:val="0"/>
            </w:rPr>
            <m:t>)</m:t>
          </m:r>
          <m:r>
            <m:rPr>
              <m:sty m:val="p"/>
            </m:rPr>
            <w:rPr>
              <w:rFonts w:ascii="Times New Roman" w:eastAsia="Times New Roman" w:hAnsi="Times New Roman" w:cs="Times New Roman"/>
              <w:kern w:val="0"/>
            </w:rPr>
            <w:br/>
          </m:r>
        </m:oMath>
      </m:oMathPara>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The empirical model was specified in a log-linear dynamic panel form as follows:</w:t>
      </w:r>
    </w:p>
    <w:p w:rsidR="00900879" w:rsidRPr="00931F3F" w:rsidRDefault="00900879" w:rsidP="00931F3F">
      <w:pPr>
        <w:spacing w:after="0" w:line="240" w:lineRule="auto"/>
        <w:jc w:val="both"/>
        <w:rPr>
          <w:rFonts w:ascii="Times New Roman" w:eastAsia="Times New Roman" w:hAnsi="Times New Roman" w:cs="Times New Roman"/>
          <w:kern w:val="0"/>
        </w:rPr>
      </w:pPr>
      <m:oMathPara>
        <m:oMath>
          <m:r>
            <m:rPr>
              <m:sty m:val="p"/>
            </m:rPr>
            <w:rPr>
              <w:rFonts w:ascii="Cambria Math" w:eastAsia="Times New Roman" w:hAnsi="Cambria Math" w:cs="Times New Roman"/>
              <w:kern w:val="0"/>
            </w:rPr>
            <m:t>ln</m:t>
          </m:r>
          <m:r>
            <w:rPr>
              <w:rFonts w:ascii="Cambria Math" w:eastAsia="Times New Roman" w:hAnsi="Cambria Math" w:cs="Times New Roman"/>
              <w:kern w:val="0"/>
            </w:rPr>
            <m:t>⁡IN</m:t>
          </m:r>
          <m:sSub>
            <m:sSubPr>
              <m:ctrlPr>
                <w:rPr>
                  <w:rFonts w:ascii="Cambria Math" w:eastAsia="Times New Roman" w:hAnsi="Cambria Math" w:cs="Times New Roman"/>
                  <w:kern w:val="0"/>
                </w:rPr>
              </m:ctrlPr>
            </m:sSubPr>
            <m:e>
              <m:r>
                <w:rPr>
                  <w:rFonts w:ascii="Cambria Math" w:eastAsia="Times New Roman" w:hAnsi="Cambria Math" w:cs="Times New Roman"/>
                  <w:kern w:val="0"/>
                </w:rPr>
                <m:t>V</m:t>
              </m:r>
            </m:e>
            <m:sub>
              <m:r>
                <w:rPr>
                  <w:rFonts w:ascii="Cambria Math" w:eastAsia="Times New Roman" w:hAnsi="Cambria Math" w:cs="Times New Roman"/>
                  <w:kern w:val="0"/>
                </w:rPr>
                <m:t>it</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α</m:t>
              </m:r>
            </m:e>
            <m:sub>
              <m:r>
                <w:rPr>
                  <w:rFonts w:ascii="Cambria Math" w:eastAsia="Times New Roman" w:hAnsi="Cambria Math" w:cs="Times New Roman"/>
                  <w:kern w:val="0"/>
                </w:rPr>
                <m:t>i</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β</m:t>
              </m:r>
            </m:e>
            <m:sub>
              <m:r>
                <w:rPr>
                  <w:rFonts w:ascii="Cambria Math" w:eastAsia="Times New Roman" w:hAnsi="Cambria Math" w:cs="Times New Roman"/>
                  <w:kern w:val="0"/>
                </w:rPr>
                <m:t>1</m:t>
              </m:r>
            </m:sub>
          </m:sSub>
          <m:r>
            <m:rPr>
              <m:sty m:val="p"/>
            </m:rPr>
            <w:rPr>
              <w:rFonts w:ascii="Cambria Math" w:eastAsia="Times New Roman" w:hAnsi="Cambria Math" w:cs="Times New Roman"/>
              <w:kern w:val="0"/>
            </w:rPr>
            <m:t>ln</m:t>
          </m:r>
          <m:r>
            <w:rPr>
              <w:rFonts w:ascii="Cambria Math" w:eastAsia="Times New Roman" w:hAnsi="Cambria Math" w:cs="Times New Roman"/>
              <w:kern w:val="0"/>
            </w:rPr>
            <m:t>⁡E</m:t>
          </m:r>
          <m:sSub>
            <m:sSubPr>
              <m:ctrlPr>
                <w:rPr>
                  <w:rFonts w:ascii="Cambria Math" w:eastAsia="Times New Roman" w:hAnsi="Cambria Math" w:cs="Times New Roman"/>
                  <w:kern w:val="0"/>
                </w:rPr>
              </m:ctrlPr>
            </m:sSubPr>
            <m:e>
              <m:r>
                <w:rPr>
                  <w:rFonts w:ascii="Cambria Math" w:eastAsia="Times New Roman" w:hAnsi="Cambria Math" w:cs="Times New Roman"/>
                  <w:kern w:val="0"/>
                </w:rPr>
                <m:t>D</m:t>
              </m:r>
            </m:e>
            <m:sub>
              <m:r>
                <w:rPr>
                  <w:rFonts w:ascii="Cambria Math" w:eastAsia="Times New Roman" w:hAnsi="Cambria Math" w:cs="Times New Roman"/>
                  <w:kern w:val="0"/>
                </w:rPr>
                <m:t>it</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β</m:t>
              </m:r>
            </m:e>
            <m:sub>
              <m:r>
                <w:rPr>
                  <w:rFonts w:ascii="Cambria Math" w:eastAsia="Times New Roman" w:hAnsi="Cambria Math" w:cs="Times New Roman"/>
                  <w:kern w:val="0"/>
                </w:rPr>
                <m:t>2</m:t>
              </m:r>
            </m:sub>
          </m:sSub>
          <m:r>
            <m:rPr>
              <m:sty m:val="p"/>
            </m:rPr>
            <w:rPr>
              <w:rFonts w:ascii="Cambria Math" w:eastAsia="Times New Roman" w:hAnsi="Cambria Math" w:cs="Times New Roman"/>
              <w:kern w:val="0"/>
            </w:rPr>
            <m:t>ln</m:t>
          </m:r>
          <m:r>
            <w:rPr>
              <w:rFonts w:ascii="Cambria Math" w:eastAsia="Times New Roman" w:hAnsi="Cambria Math" w:cs="Times New Roman"/>
              <w:kern w:val="0"/>
            </w:rPr>
            <m:t>⁡D</m:t>
          </m:r>
          <m:sSub>
            <m:sSubPr>
              <m:ctrlPr>
                <w:rPr>
                  <w:rFonts w:ascii="Cambria Math" w:eastAsia="Times New Roman" w:hAnsi="Cambria Math" w:cs="Times New Roman"/>
                  <w:kern w:val="0"/>
                </w:rPr>
              </m:ctrlPr>
            </m:sSubPr>
            <m:e>
              <m:r>
                <w:rPr>
                  <w:rFonts w:ascii="Cambria Math" w:eastAsia="Times New Roman" w:hAnsi="Cambria Math" w:cs="Times New Roman"/>
                  <w:kern w:val="0"/>
                </w:rPr>
                <m:t>S</m:t>
              </m:r>
            </m:e>
            <m:sub>
              <m:r>
                <w:rPr>
                  <w:rFonts w:ascii="Cambria Math" w:eastAsia="Times New Roman" w:hAnsi="Cambria Math" w:cs="Times New Roman"/>
                  <w:kern w:val="0"/>
                </w:rPr>
                <m:t>it</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β</m:t>
              </m:r>
            </m:e>
            <m:sub>
              <m:r>
                <w:rPr>
                  <w:rFonts w:ascii="Cambria Math" w:eastAsia="Times New Roman" w:hAnsi="Cambria Math" w:cs="Times New Roman"/>
                  <w:kern w:val="0"/>
                </w:rPr>
                <m:t>3</m:t>
              </m:r>
            </m:sub>
          </m:sSub>
          <m:r>
            <m:rPr>
              <m:sty m:val="p"/>
            </m:rPr>
            <w:rPr>
              <w:rFonts w:ascii="Cambria Math" w:eastAsia="Times New Roman" w:hAnsi="Cambria Math" w:cs="Times New Roman"/>
              <w:kern w:val="0"/>
            </w:rPr>
            <m:t>ln</m:t>
          </m:r>
          <m:r>
            <w:rPr>
              <w:rFonts w:ascii="Cambria Math" w:eastAsia="Times New Roman" w:hAnsi="Cambria Math" w:cs="Times New Roman"/>
              <w:kern w:val="0"/>
            </w:rPr>
            <m:t>⁡BC</m:t>
          </m:r>
          <m:sSub>
            <m:sSubPr>
              <m:ctrlPr>
                <w:rPr>
                  <w:rFonts w:ascii="Cambria Math" w:eastAsia="Times New Roman" w:hAnsi="Cambria Math" w:cs="Times New Roman"/>
                  <w:kern w:val="0"/>
                </w:rPr>
              </m:ctrlPr>
            </m:sSubPr>
            <m:e>
              <m:r>
                <w:rPr>
                  <w:rFonts w:ascii="Cambria Math" w:eastAsia="Times New Roman" w:hAnsi="Cambria Math" w:cs="Times New Roman"/>
                  <w:kern w:val="0"/>
                </w:rPr>
                <m:t>R</m:t>
              </m:r>
            </m:e>
            <m:sub>
              <m:r>
                <w:rPr>
                  <w:rFonts w:ascii="Cambria Math" w:eastAsia="Times New Roman" w:hAnsi="Cambria Math" w:cs="Times New Roman"/>
                  <w:kern w:val="0"/>
                </w:rPr>
                <m:t>it</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β</m:t>
              </m:r>
            </m:e>
            <m:sub>
              <m:r>
                <w:rPr>
                  <w:rFonts w:ascii="Cambria Math" w:eastAsia="Times New Roman" w:hAnsi="Cambria Math" w:cs="Times New Roman"/>
                  <w:kern w:val="0"/>
                </w:rPr>
                <m:t>4</m:t>
              </m:r>
            </m:sub>
          </m:sSub>
          <m:r>
            <w:rPr>
              <w:rFonts w:ascii="Cambria Math" w:eastAsia="Times New Roman" w:hAnsi="Cambria Math" w:cs="Times New Roman"/>
              <w:kern w:val="0"/>
            </w:rPr>
            <m:t>IN</m:t>
          </m:r>
          <m:sSub>
            <m:sSubPr>
              <m:ctrlPr>
                <w:rPr>
                  <w:rFonts w:ascii="Cambria Math" w:eastAsia="Times New Roman" w:hAnsi="Cambria Math" w:cs="Times New Roman"/>
                  <w:kern w:val="0"/>
                </w:rPr>
              </m:ctrlPr>
            </m:sSubPr>
            <m:e>
              <m:r>
                <w:rPr>
                  <w:rFonts w:ascii="Cambria Math" w:eastAsia="Times New Roman" w:hAnsi="Cambria Math" w:cs="Times New Roman"/>
                  <w:kern w:val="0"/>
                </w:rPr>
                <m:t>F</m:t>
              </m:r>
            </m:e>
            <m:sub>
              <m:r>
                <w:rPr>
                  <w:rFonts w:ascii="Cambria Math" w:eastAsia="Times New Roman" w:hAnsi="Cambria Math" w:cs="Times New Roman"/>
                  <w:kern w:val="0"/>
                </w:rPr>
                <m:t>it</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β</m:t>
              </m:r>
            </m:e>
            <m:sub>
              <m:r>
                <w:rPr>
                  <w:rFonts w:ascii="Cambria Math" w:eastAsia="Times New Roman" w:hAnsi="Cambria Math" w:cs="Times New Roman"/>
                  <w:kern w:val="0"/>
                </w:rPr>
                <m:t>5</m:t>
              </m:r>
            </m:sub>
          </m:sSub>
          <m:r>
            <w:rPr>
              <w:rFonts w:ascii="Cambria Math" w:eastAsia="Times New Roman" w:hAnsi="Cambria Math" w:cs="Times New Roman"/>
              <w:kern w:val="0"/>
            </w:rPr>
            <m:t>I</m:t>
          </m:r>
          <m:sSub>
            <m:sSubPr>
              <m:ctrlPr>
                <w:rPr>
                  <w:rFonts w:ascii="Cambria Math" w:eastAsia="Times New Roman" w:hAnsi="Cambria Math" w:cs="Times New Roman"/>
                  <w:kern w:val="0"/>
                </w:rPr>
              </m:ctrlPr>
            </m:sSubPr>
            <m:e>
              <m:r>
                <w:rPr>
                  <w:rFonts w:ascii="Cambria Math" w:eastAsia="Times New Roman" w:hAnsi="Cambria Math" w:cs="Times New Roman"/>
                  <w:kern w:val="0"/>
                </w:rPr>
                <m:t>R</m:t>
              </m:r>
            </m:e>
            <m:sub>
              <m:r>
                <w:rPr>
                  <w:rFonts w:ascii="Cambria Math" w:eastAsia="Times New Roman" w:hAnsi="Cambria Math" w:cs="Times New Roman"/>
                  <w:kern w:val="0"/>
                </w:rPr>
                <m:t>it</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ε</m:t>
              </m:r>
            </m:e>
            <m:sub>
              <m:r>
                <w:rPr>
                  <w:rFonts w:ascii="Cambria Math" w:eastAsia="Times New Roman" w:hAnsi="Cambria Math" w:cs="Times New Roman"/>
                  <w:kern w:val="0"/>
                </w:rPr>
                <m:t>it</m:t>
              </m:r>
            </m:sub>
          </m:sSub>
          <m:r>
            <m:rPr>
              <m:sty m:val="p"/>
            </m:rPr>
            <w:rPr>
              <w:rFonts w:ascii="Times New Roman" w:eastAsia="Times New Roman" w:hAnsi="Times New Roman" w:cs="Times New Roman"/>
              <w:kern w:val="0"/>
            </w:rPr>
            <w:br/>
          </m:r>
        </m:oMath>
      </m:oMathPara>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 xml:space="preserve">where </w:t>
      </w:r>
      <m:oMath>
        <m:sSub>
          <m:sSubPr>
            <m:ctrlPr>
              <w:rPr>
                <w:rFonts w:ascii="Cambria Math" w:eastAsia="Times New Roman" w:hAnsi="Cambria Math" w:cs="Times New Roman"/>
                <w:kern w:val="0"/>
              </w:rPr>
            </m:ctrlPr>
          </m:sSubPr>
          <m:e>
            <m:r>
              <w:rPr>
                <w:rFonts w:ascii="Cambria Math" w:eastAsia="Times New Roman" w:hAnsi="Cambria Math" w:cs="Times New Roman"/>
                <w:kern w:val="0"/>
              </w:rPr>
              <m:t>α</m:t>
            </m:r>
          </m:e>
          <m:sub>
            <m:r>
              <w:rPr>
                <w:rFonts w:ascii="Cambria Math" w:eastAsia="Times New Roman" w:hAnsi="Cambria Math" w:cs="Times New Roman"/>
                <w:kern w:val="0"/>
              </w:rPr>
              <m:t>i</m:t>
            </m:r>
          </m:sub>
        </m:sSub>
      </m:oMath>
      <w:r w:rsidRPr="00931F3F">
        <w:rPr>
          <w:rFonts w:ascii="Times New Roman" w:eastAsia="Times New Roman" w:hAnsi="Times New Roman" w:cs="Times New Roman"/>
          <w:kern w:val="0"/>
        </w:rPr>
        <w:t xml:space="preserve">captures country-specific effects, and </w:t>
      </w:r>
      <m:oMath>
        <m:sSub>
          <m:sSubPr>
            <m:ctrlPr>
              <w:rPr>
                <w:rFonts w:ascii="Cambria Math" w:eastAsia="Times New Roman" w:hAnsi="Cambria Math" w:cs="Times New Roman"/>
                <w:kern w:val="0"/>
              </w:rPr>
            </m:ctrlPr>
          </m:sSubPr>
          <m:e>
            <m:r>
              <w:rPr>
                <w:rFonts w:ascii="Cambria Math" w:eastAsia="Times New Roman" w:hAnsi="Cambria Math" w:cs="Times New Roman"/>
                <w:kern w:val="0"/>
              </w:rPr>
              <m:t>ε</m:t>
            </m:r>
          </m:e>
          <m:sub>
            <m:r>
              <w:rPr>
                <w:rFonts w:ascii="Cambria Math" w:eastAsia="Times New Roman" w:hAnsi="Cambria Math" w:cs="Times New Roman"/>
                <w:kern w:val="0"/>
              </w:rPr>
              <m:t>it</m:t>
            </m:r>
          </m:sub>
        </m:sSub>
      </m:oMath>
      <w:r w:rsidRPr="00931F3F">
        <w:rPr>
          <w:rFonts w:ascii="Times New Roman" w:eastAsia="Times New Roman" w:hAnsi="Times New Roman" w:cs="Times New Roman"/>
          <w:kern w:val="0"/>
        </w:rPr>
        <w:t xml:space="preserve">represents the stochastic error term reflecting unobserved influences. The coefficients </w:t>
      </w:r>
      <m:oMath>
        <m:sSub>
          <m:sSubPr>
            <m:ctrlPr>
              <w:rPr>
                <w:rFonts w:ascii="Cambria Math" w:eastAsia="Times New Roman" w:hAnsi="Cambria Math" w:cs="Times New Roman"/>
                <w:kern w:val="0"/>
              </w:rPr>
            </m:ctrlPr>
          </m:sSubPr>
          <m:e>
            <m:r>
              <w:rPr>
                <w:rFonts w:ascii="Cambria Math" w:eastAsia="Times New Roman" w:hAnsi="Cambria Math" w:cs="Times New Roman"/>
                <w:kern w:val="0"/>
              </w:rPr>
              <m:t>β</m:t>
            </m:r>
          </m:e>
          <m:sub>
            <m:r>
              <w:rPr>
                <w:rFonts w:ascii="Cambria Math" w:eastAsia="Times New Roman" w:hAnsi="Cambria Math" w:cs="Times New Roman"/>
                <w:kern w:val="0"/>
              </w:rPr>
              <m:t>1</m:t>
            </m:r>
          </m:sub>
        </m:sSub>
      </m:oMath>
      <w:r w:rsidRPr="00931F3F">
        <w:rPr>
          <w:rFonts w:ascii="Times New Roman" w:eastAsia="Times New Roman" w:hAnsi="Times New Roman" w:cs="Times New Roman"/>
          <w:kern w:val="0"/>
        </w:rPr>
        <w:t xml:space="preserve">to </w:t>
      </w:r>
      <m:oMath>
        <m:sSub>
          <m:sSubPr>
            <m:ctrlPr>
              <w:rPr>
                <w:rFonts w:ascii="Cambria Math" w:eastAsia="Times New Roman" w:hAnsi="Cambria Math" w:cs="Times New Roman"/>
                <w:kern w:val="0"/>
              </w:rPr>
            </m:ctrlPr>
          </m:sSubPr>
          <m:e>
            <m:r>
              <w:rPr>
                <w:rFonts w:ascii="Cambria Math" w:eastAsia="Times New Roman" w:hAnsi="Cambria Math" w:cs="Times New Roman"/>
                <w:kern w:val="0"/>
              </w:rPr>
              <m:t>β</m:t>
            </m:r>
          </m:e>
          <m:sub>
            <m:r>
              <w:rPr>
                <w:rFonts w:ascii="Cambria Math" w:eastAsia="Times New Roman" w:hAnsi="Cambria Math" w:cs="Times New Roman"/>
                <w:kern w:val="0"/>
              </w:rPr>
              <m:t>5</m:t>
            </m:r>
          </m:sub>
        </m:sSub>
      </m:oMath>
      <w:r w:rsidRPr="00931F3F">
        <w:rPr>
          <w:rFonts w:ascii="Times New Roman" w:eastAsia="Times New Roman" w:hAnsi="Times New Roman" w:cs="Times New Roman"/>
          <w:kern w:val="0"/>
        </w:rPr>
        <w:t xml:space="preserve">measure the responsiveness of investment to changes in the explanatory variables. The indices </w:t>
      </w:r>
      <m:oMath>
        <m:r>
          <w:rPr>
            <w:rFonts w:ascii="Cambria Math" w:eastAsia="Times New Roman" w:hAnsi="Cambria Math" w:cs="Times New Roman"/>
            <w:kern w:val="0"/>
          </w:rPr>
          <m:t>i=1,2,…,N</m:t>
        </m:r>
      </m:oMath>
      <w:r w:rsidRPr="00931F3F">
        <w:rPr>
          <w:rFonts w:ascii="Times New Roman" w:eastAsia="Times New Roman" w:hAnsi="Times New Roman" w:cs="Times New Roman"/>
          <w:kern w:val="0"/>
        </w:rPr>
        <w:t xml:space="preserve">and </w:t>
      </w:r>
      <m:oMath>
        <m:r>
          <w:rPr>
            <w:rFonts w:ascii="Cambria Math" w:eastAsia="Times New Roman" w:hAnsi="Cambria Math" w:cs="Times New Roman"/>
            <w:kern w:val="0"/>
          </w:rPr>
          <m:t>t=1,2,…,T</m:t>
        </m:r>
      </m:oMath>
      <w:r w:rsidRPr="00931F3F">
        <w:rPr>
          <w:rFonts w:ascii="Times New Roman" w:eastAsia="Times New Roman" w:hAnsi="Times New Roman" w:cs="Times New Roman"/>
          <w:kern w:val="0"/>
        </w:rPr>
        <w:t>denote cross-sectional units and time periods, respectively.</w:t>
      </w:r>
    </w:p>
    <w:p w:rsidR="00900879" w:rsidRPr="00931F3F" w:rsidRDefault="00900879" w:rsidP="00931F3F">
      <w:pPr>
        <w:spacing w:before="100" w:beforeAutospacing="1" w:after="100" w:afterAutospacing="1" w:line="240" w:lineRule="auto"/>
        <w:jc w:val="both"/>
        <w:outlineLvl w:val="2"/>
        <w:rPr>
          <w:rFonts w:ascii="Times New Roman" w:eastAsia="Times New Roman" w:hAnsi="Times New Roman" w:cs="Times New Roman"/>
          <w:b/>
          <w:bCs/>
          <w:kern w:val="0"/>
        </w:rPr>
      </w:pPr>
      <w:r w:rsidRPr="00931F3F">
        <w:rPr>
          <w:rFonts w:ascii="Times New Roman" w:eastAsia="Times New Roman" w:hAnsi="Times New Roman" w:cs="Times New Roman"/>
          <w:b/>
          <w:bCs/>
          <w:kern w:val="0"/>
        </w:rPr>
        <w:t>Trend Analysis and Cross-Sectional Dependence</w:t>
      </w:r>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 xml:space="preserve">An initial trend analysis was undertaken to examine the behavior and evolution of key variables External Debt (ED), Debt Servicing (DS), Domestic Investment (DIV), Bank Credit (BCR), Inflation (INF), and Interest Rate (IR)—across Eastern African countries during the study period. </w:t>
      </w:r>
      <w:r w:rsidRPr="00931F3F">
        <w:rPr>
          <w:rFonts w:ascii="Times New Roman" w:eastAsia="Times New Roman" w:hAnsi="Times New Roman" w:cs="Times New Roman"/>
          <w:kern w:val="0"/>
        </w:rPr>
        <w:lastRenderedPageBreak/>
        <w:t>This step provided a graphical and descriptive understanding of long-term movements, structural changes, and cyclical patterns prior to formal econometric estimation (Gujarati &amp; Porter, 2009).</w:t>
      </w:r>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To ensure the reliability of the panel estimations, the study applied the Pesaran (2004) Cross-Sectional Dependence (CD) test. This test is essential for identifying interrelationships among countries in panel data, which, if ignored, may lead to biased and inconsistent results. The CD statistic is computed as:</w:t>
      </w:r>
    </w:p>
    <w:p w:rsidR="00900879" w:rsidRPr="00931F3F" w:rsidRDefault="00900879" w:rsidP="00931F3F">
      <w:pPr>
        <w:spacing w:after="0" w:line="240" w:lineRule="auto"/>
        <w:jc w:val="both"/>
        <w:rPr>
          <w:rFonts w:ascii="Times New Roman" w:eastAsia="Times New Roman" w:hAnsi="Times New Roman" w:cs="Times New Roman"/>
          <w:kern w:val="0"/>
        </w:rPr>
      </w:pPr>
      <m:oMathPara>
        <m:oMath>
          <m:r>
            <w:rPr>
              <w:rFonts w:ascii="Cambria Math" w:eastAsia="Times New Roman" w:hAnsi="Cambria Math" w:cs="Times New Roman"/>
              <w:kern w:val="0"/>
            </w:rPr>
            <m:t>CD=</m:t>
          </m:r>
          <m:rad>
            <m:radPr>
              <m:degHide m:val="on"/>
              <m:ctrlPr>
                <w:rPr>
                  <w:rFonts w:ascii="Cambria Math" w:eastAsia="Times New Roman" w:hAnsi="Cambria Math" w:cs="Times New Roman"/>
                  <w:kern w:val="0"/>
                </w:rPr>
              </m:ctrlPr>
            </m:radPr>
            <m:deg/>
            <m:e>
              <m:f>
                <m:fPr>
                  <m:ctrlPr>
                    <w:rPr>
                      <w:rFonts w:ascii="Cambria Math" w:eastAsia="Times New Roman" w:hAnsi="Cambria Math" w:cs="Times New Roman"/>
                      <w:kern w:val="0"/>
                    </w:rPr>
                  </m:ctrlPr>
                </m:fPr>
                <m:num>
                  <m:r>
                    <w:rPr>
                      <w:rFonts w:ascii="Cambria Math" w:eastAsia="Times New Roman" w:hAnsi="Cambria Math" w:cs="Times New Roman"/>
                      <w:kern w:val="0"/>
                    </w:rPr>
                    <m:t>2</m:t>
                  </m:r>
                </m:num>
                <m:den>
                  <m:r>
                    <w:rPr>
                      <w:rFonts w:ascii="Cambria Math" w:eastAsia="Times New Roman" w:hAnsi="Cambria Math" w:cs="Times New Roman"/>
                      <w:kern w:val="0"/>
                    </w:rPr>
                    <m:t>TN(N-1)</m:t>
                  </m:r>
                </m:den>
              </m:f>
            </m:e>
          </m:rad>
          <m:nary>
            <m:naryPr>
              <m:chr m:val="∑"/>
              <m:limLoc m:val="undOvr"/>
              <m:grow m:val="on"/>
              <m:ctrlPr>
                <w:rPr>
                  <w:rFonts w:ascii="Cambria Math" w:eastAsia="Times New Roman" w:hAnsi="Cambria Math" w:cs="Times New Roman"/>
                  <w:kern w:val="0"/>
                </w:rPr>
              </m:ctrlPr>
            </m:naryPr>
            <m:sub>
              <m:r>
                <w:rPr>
                  <w:rFonts w:ascii="Cambria Math" w:eastAsia="Times New Roman" w:hAnsi="Cambria Math" w:cs="Times New Roman"/>
                  <w:kern w:val="0"/>
                </w:rPr>
                <m:t>i=1</m:t>
              </m:r>
            </m:sub>
            <m:sup>
              <m:r>
                <w:rPr>
                  <w:rFonts w:ascii="Cambria Math" w:eastAsia="Times New Roman" w:hAnsi="Cambria Math" w:cs="Times New Roman"/>
                  <w:kern w:val="0"/>
                </w:rPr>
                <m:t>N-1</m:t>
              </m:r>
            </m:sup>
            <m:e>
              <m:nary>
                <m:naryPr>
                  <m:chr m:val="∑"/>
                  <m:limLoc m:val="undOvr"/>
                  <m:grow m:val="on"/>
                  <m:ctrlPr>
                    <w:rPr>
                      <w:rFonts w:ascii="Cambria Math" w:eastAsia="Times New Roman" w:hAnsi="Cambria Math" w:cs="Times New Roman"/>
                      <w:kern w:val="0"/>
                    </w:rPr>
                  </m:ctrlPr>
                </m:naryPr>
                <m:sub>
                  <m:r>
                    <w:rPr>
                      <w:rFonts w:ascii="Cambria Math" w:eastAsia="Times New Roman" w:hAnsi="Cambria Math" w:cs="Times New Roman"/>
                      <w:kern w:val="0"/>
                    </w:rPr>
                    <m:t>j=i+1</m:t>
                  </m:r>
                </m:sub>
                <m:sup>
                  <m:r>
                    <w:rPr>
                      <w:rFonts w:ascii="Cambria Math" w:eastAsia="Times New Roman" w:hAnsi="Cambria Math" w:cs="Times New Roman"/>
                      <w:kern w:val="0"/>
                    </w:rPr>
                    <m:t>N</m:t>
                  </m:r>
                </m:sup>
                <m:e>
                  <m:sSub>
                    <m:sSubPr>
                      <m:ctrlPr>
                        <w:rPr>
                          <w:rFonts w:ascii="Cambria Math" w:eastAsia="Times New Roman" w:hAnsi="Cambria Math" w:cs="Times New Roman"/>
                          <w:kern w:val="0"/>
                        </w:rPr>
                      </m:ctrlPr>
                    </m:sSubPr>
                    <m:e>
                      <m:acc>
                        <m:accPr>
                          <m:ctrlPr>
                            <w:rPr>
                              <w:rFonts w:ascii="Cambria Math" w:eastAsia="Times New Roman" w:hAnsi="Cambria Math" w:cs="Times New Roman"/>
                              <w:kern w:val="0"/>
                            </w:rPr>
                          </m:ctrlPr>
                        </m:accPr>
                        <m:e>
                          <m:r>
                            <w:rPr>
                              <w:rFonts w:ascii="Cambria Math" w:eastAsia="Times New Roman" w:hAnsi="Cambria Math" w:cs="Times New Roman"/>
                              <w:kern w:val="0"/>
                            </w:rPr>
                            <m:t>ρ</m:t>
                          </m:r>
                        </m:e>
                      </m:acc>
                    </m:e>
                    <m:sub>
                      <m:r>
                        <w:rPr>
                          <w:rFonts w:ascii="Cambria Math" w:eastAsia="Times New Roman" w:hAnsi="Cambria Math" w:cs="Times New Roman"/>
                          <w:kern w:val="0"/>
                        </w:rPr>
                        <m:t>ij</m:t>
                      </m:r>
                    </m:sub>
                  </m:sSub>
                </m:e>
              </m:nary>
            </m:e>
          </m:nary>
          <m:r>
            <m:rPr>
              <m:sty m:val="p"/>
            </m:rPr>
            <w:rPr>
              <w:rFonts w:ascii="Times New Roman" w:eastAsia="Times New Roman" w:hAnsi="Times New Roman" w:cs="Times New Roman"/>
              <w:kern w:val="0"/>
            </w:rPr>
            <w:br/>
          </m:r>
        </m:oMath>
      </m:oMathPara>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 xml:space="preserve">where </w:t>
      </w:r>
      <m:oMath>
        <m:r>
          <w:rPr>
            <w:rFonts w:ascii="Cambria Math" w:eastAsia="Times New Roman" w:hAnsi="Cambria Math" w:cs="Times New Roman"/>
            <w:kern w:val="0"/>
          </w:rPr>
          <m:t>T</m:t>
        </m:r>
      </m:oMath>
      <w:r w:rsidRPr="00931F3F">
        <w:rPr>
          <w:rFonts w:ascii="Times New Roman" w:eastAsia="Times New Roman" w:hAnsi="Times New Roman" w:cs="Times New Roman"/>
          <w:kern w:val="0"/>
        </w:rPr>
        <w:t xml:space="preserve">is the number of time periods, </w:t>
      </w:r>
      <m:oMath>
        <m:r>
          <w:rPr>
            <w:rFonts w:ascii="Cambria Math" w:eastAsia="Times New Roman" w:hAnsi="Cambria Math" w:cs="Times New Roman"/>
            <w:kern w:val="0"/>
          </w:rPr>
          <m:t>N</m:t>
        </m:r>
      </m:oMath>
      <w:r w:rsidRPr="00931F3F">
        <w:rPr>
          <w:rFonts w:ascii="Times New Roman" w:eastAsia="Times New Roman" w:hAnsi="Times New Roman" w:cs="Times New Roman"/>
          <w:kern w:val="0"/>
        </w:rPr>
        <w:t xml:space="preserve">represents the number of cross-sectional units, and </w:t>
      </w:r>
      <m:oMath>
        <m:sSub>
          <m:sSubPr>
            <m:ctrlPr>
              <w:rPr>
                <w:rFonts w:ascii="Cambria Math" w:eastAsia="Times New Roman" w:hAnsi="Cambria Math" w:cs="Times New Roman"/>
                <w:kern w:val="0"/>
              </w:rPr>
            </m:ctrlPr>
          </m:sSubPr>
          <m:e>
            <m:acc>
              <m:accPr>
                <m:ctrlPr>
                  <w:rPr>
                    <w:rFonts w:ascii="Cambria Math" w:eastAsia="Times New Roman" w:hAnsi="Cambria Math" w:cs="Times New Roman"/>
                    <w:kern w:val="0"/>
                  </w:rPr>
                </m:ctrlPr>
              </m:accPr>
              <m:e>
                <m:r>
                  <w:rPr>
                    <w:rFonts w:ascii="Cambria Math" w:eastAsia="Times New Roman" w:hAnsi="Cambria Math" w:cs="Times New Roman"/>
                    <w:kern w:val="0"/>
                  </w:rPr>
                  <m:t>ρ</m:t>
                </m:r>
              </m:e>
            </m:acc>
          </m:e>
          <m:sub>
            <m:r>
              <w:rPr>
                <w:rFonts w:ascii="Cambria Math" w:eastAsia="Times New Roman" w:hAnsi="Cambria Math" w:cs="Times New Roman"/>
                <w:kern w:val="0"/>
              </w:rPr>
              <m:t>ij</m:t>
            </m:r>
          </m:sub>
        </m:sSub>
      </m:oMath>
      <w:r w:rsidRPr="00931F3F">
        <w:rPr>
          <w:rFonts w:ascii="Times New Roman" w:eastAsia="Times New Roman" w:hAnsi="Times New Roman" w:cs="Times New Roman"/>
          <w:kern w:val="0"/>
        </w:rPr>
        <w:t>denotes the pairwise correlation of residuals between cross-sections.</w:t>
      </w:r>
    </w:p>
    <w:p w:rsidR="00900879" w:rsidRPr="00931F3F" w:rsidRDefault="00900879" w:rsidP="00931F3F">
      <w:pPr>
        <w:spacing w:before="100" w:beforeAutospacing="1" w:after="100" w:afterAutospacing="1" w:line="240" w:lineRule="auto"/>
        <w:jc w:val="both"/>
        <w:outlineLvl w:val="2"/>
        <w:rPr>
          <w:rFonts w:ascii="Times New Roman" w:eastAsia="Times New Roman" w:hAnsi="Times New Roman" w:cs="Times New Roman"/>
          <w:b/>
          <w:bCs/>
          <w:kern w:val="0"/>
        </w:rPr>
      </w:pPr>
      <w:r w:rsidRPr="00931F3F">
        <w:rPr>
          <w:rFonts w:ascii="Times New Roman" w:eastAsia="Times New Roman" w:hAnsi="Times New Roman" w:cs="Times New Roman"/>
          <w:b/>
          <w:bCs/>
          <w:kern w:val="0"/>
        </w:rPr>
        <w:t>Panel Unit Root Test</w:t>
      </w:r>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To assess the stationarity properties of the variables, the study employed the Pesaran Cross-sectionally Augmented IPS (CIPS) unit root test. This method improves upon earlier techniques by incorporating cross-sectional dependence, which is particularly relevant in regional analyses where economies are interconnected. The general panel unit root model is specified as:</w:t>
      </w:r>
    </w:p>
    <w:p w:rsidR="00900879" w:rsidRPr="00931F3F" w:rsidRDefault="00900879" w:rsidP="00931F3F">
      <w:pPr>
        <w:spacing w:after="0" w:line="240" w:lineRule="auto"/>
        <w:jc w:val="both"/>
        <w:rPr>
          <w:rFonts w:ascii="Times New Roman" w:eastAsia="Times New Roman" w:hAnsi="Times New Roman" w:cs="Times New Roman"/>
          <w:kern w:val="0"/>
        </w:rPr>
      </w:pPr>
      <m:oMathPara>
        <m:oMath>
          <m:r>
            <m:rPr>
              <m:sty m:val="p"/>
            </m:rPr>
            <w:rPr>
              <w:rFonts w:ascii="Cambria Math" w:eastAsia="Times New Roman" w:hAnsi="Cambria Math" w:cs="Times New Roman"/>
              <w:kern w:val="0"/>
            </w:rPr>
            <m:t>Δ</m:t>
          </m:r>
          <m:sSub>
            <m:sSubPr>
              <m:ctrlPr>
                <w:rPr>
                  <w:rFonts w:ascii="Cambria Math" w:eastAsia="Times New Roman" w:hAnsi="Cambria Math" w:cs="Times New Roman"/>
                  <w:kern w:val="0"/>
                </w:rPr>
              </m:ctrlPr>
            </m:sSubPr>
            <m:e>
              <m:r>
                <w:rPr>
                  <w:rFonts w:ascii="Cambria Math" w:eastAsia="Times New Roman" w:hAnsi="Cambria Math" w:cs="Times New Roman"/>
                  <w:kern w:val="0"/>
                </w:rPr>
                <m:t>y</m:t>
              </m:r>
            </m:e>
            <m:sub>
              <m:r>
                <w:rPr>
                  <w:rFonts w:ascii="Cambria Math" w:eastAsia="Times New Roman" w:hAnsi="Cambria Math" w:cs="Times New Roman"/>
                  <w:kern w:val="0"/>
                </w:rPr>
                <m:t>it</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α</m:t>
              </m:r>
            </m:e>
            <m:sub>
              <m:r>
                <w:rPr>
                  <w:rFonts w:ascii="Cambria Math" w:eastAsia="Times New Roman" w:hAnsi="Cambria Math" w:cs="Times New Roman"/>
                  <w:kern w:val="0"/>
                </w:rPr>
                <m:t>i</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β</m:t>
              </m:r>
            </m:e>
            <m:sub>
              <m:r>
                <w:rPr>
                  <w:rFonts w:ascii="Cambria Math" w:eastAsia="Times New Roman" w:hAnsi="Cambria Math" w:cs="Times New Roman"/>
                  <w:kern w:val="0"/>
                </w:rPr>
                <m:t>i</m:t>
              </m:r>
            </m:sub>
          </m:sSub>
          <m:r>
            <w:rPr>
              <w:rFonts w:ascii="Cambria Math" w:eastAsia="Times New Roman" w:hAnsi="Cambria Math" w:cs="Times New Roman"/>
              <w:kern w:val="0"/>
            </w:rPr>
            <m:t>t+</m:t>
          </m:r>
          <m:sSub>
            <m:sSubPr>
              <m:ctrlPr>
                <w:rPr>
                  <w:rFonts w:ascii="Cambria Math" w:eastAsia="Times New Roman" w:hAnsi="Cambria Math" w:cs="Times New Roman"/>
                  <w:kern w:val="0"/>
                </w:rPr>
              </m:ctrlPr>
            </m:sSubPr>
            <m:e>
              <m:r>
                <w:rPr>
                  <w:rFonts w:ascii="Cambria Math" w:eastAsia="Times New Roman" w:hAnsi="Cambria Math" w:cs="Times New Roman"/>
                  <w:kern w:val="0"/>
                </w:rPr>
                <m:t>γ</m:t>
              </m:r>
            </m:e>
            <m:sub>
              <m:r>
                <w:rPr>
                  <w:rFonts w:ascii="Cambria Math" w:eastAsia="Times New Roman" w:hAnsi="Cambria Math" w:cs="Times New Roman"/>
                  <w:kern w:val="0"/>
                </w:rPr>
                <m:t>i</m:t>
              </m:r>
            </m:sub>
          </m:sSub>
          <m:sSub>
            <m:sSubPr>
              <m:ctrlPr>
                <w:rPr>
                  <w:rFonts w:ascii="Cambria Math" w:eastAsia="Times New Roman" w:hAnsi="Cambria Math" w:cs="Times New Roman"/>
                  <w:kern w:val="0"/>
                </w:rPr>
              </m:ctrlPr>
            </m:sSubPr>
            <m:e>
              <m:r>
                <w:rPr>
                  <w:rFonts w:ascii="Cambria Math" w:eastAsia="Times New Roman" w:hAnsi="Cambria Math" w:cs="Times New Roman"/>
                  <w:kern w:val="0"/>
                </w:rPr>
                <m:t>y</m:t>
              </m:r>
            </m:e>
            <m:sub>
              <m:r>
                <w:rPr>
                  <w:rFonts w:ascii="Cambria Math" w:eastAsia="Times New Roman" w:hAnsi="Cambria Math" w:cs="Times New Roman"/>
                  <w:kern w:val="0"/>
                </w:rPr>
                <m:t>it-1</m:t>
              </m:r>
            </m:sub>
          </m:sSub>
          <m:r>
            <w:rPr>
              <w:rFonts w:ascii="Cambria Math" w:eastAsia="Times New Roman" w:hAnsi="Cambria Math" w:cs="Times New Roman"/>
              <w:kern w:val="0"/>
            </w:rPr>
            <m:t>+</m:t>
          </m:r>
          <m:nary>
            <m:naryPr>
              <m:chr m:val="∑"/>
              <m:limLoc m:val="undOvr"/>
              <m:grow m:val="on"/>
              <m:ctrlPr>
                <w:rPr>
                  <w:rFonts w:ascii="Cambria Math" w:eastAsia="Times New Roman" w:hAnsi="Cambria Math" w:cs="Times New Roman"/>
                  <w:kern w:val="0"/>
                </w:rPr>
              </m:ctrlPr>
            </m:naryPr>
            <m:sub>
              <m:r>
                <w:rPr>
                  <w:rFonts w:ascii="Cambria Math" w:eastAsia="Times New Roman" w:hAnsi="Cambria Math" w:cs="Times New Roman"/>
                  <w:kern w:val="0"/>
                </w:rPr>
                <m:t>k=1</m:t>
              </m:r>
            </m:sub>
            <m:sup>
              <m:sSub>
                <m:sSubPr>
                  <m:ctrlPr>
                    <w:rPr>
                      <w:rFonts w:ascii="Cambria Math" w:eastAsia="Times New Roman" w:hAnsi="Cambria Math" w:cs="Times New Roman"/>
                      <w:kern w:val="0"/>
                    </w:rPr>
                  </m:ctrlPr>
                </m:sSubPr>
                <m:e>
                  <m:r>
                    <w:rPr>
                      <w:rFonts w:ascii="Cambria Math" w:eastAsia="Times New Roman" w:hAnsi="Cambria Math" w:cs="Times New Roman"/>
                      <w:kern w:val="0"/>
                    </w:rPr>
                    <m:t>p</m:t>
                  </m:r>
                </m:e>
                <m:sub>
                  <m:r>
                    <w:rPr>
                      <w:rFonts w:ascii="Cambria Math" w:eastAsia="Times New Roman" w:hAnsi="Cambria Math" w:cs="Times New Roman"/>
                      <w:kern w:val="0"/>
                    </w:rPr>
                    <m:t>i</m:t>
                  </m:r>
                </m:sub>
              </m:sSub>
            </m:sup>
            <m:e>
              <m:sSub>
                <m:sSubPr>
                  <m:ctrlPr>
                    <w:rPr>
                      <w:rFonts w:ascii="Cambria Math" w:eastAsia="Times New Roman" w:hAnsi="Cambria Math" w:cs="Times New Roman"/>
                      <w:kern w:val="0"/>
                    </w:rPr>
                  </m:ctrlPr>
                </m:sSubPr>
                <m:e>
                  <m:r>
                    <w:rPr>
                      <w:rFonts w:ascii="Cambria Math" w:eastAsia="Times New Roman" w:hAnsi="Cambria Math" w:cs="Times New Roman"/>
                      <w:kern w:val="0"/>
                    </w:rPr>
                    <m:t>δ</m:t>
                  </m:r>
                </m:e>
                <m:sub>
                  <m:r>
                    <w:rPr>
                      <w:rFonts w:ascii="Cambria Math" w:eastAsia="Times New Roman" w:hAnsi="Cambria Math" w:cs="Times New Roman"/>
                      <w:kern w:val="0"/>
                    </w:rPr>
                    <m:t>ik</m:t>
                  </m:r>
                </m:sub>
              </m:sSub>
            </m:e>
          </m:nary>
          <m:r>
            <m:rPr>
              <m:sty m:val="p"/>
            </m:rPr>
            <w:rPr>
              <w:rFonts w:ascii="Cambria Math" w:eastAsia="Times New Roman" w:hAnsi="Cambria Math" w:cs="Times New Roman"/>
              <w:kern w:val="0"/>
            </w:rPr>
            <m:t>Δ</m:t>
          </m:r>
          <m:sSub>
            <m:sSubPr>
              <m:ctrlPr>
                <w:rPr>
                  <w:rFonts w:ascii="Cambria Math" w:eastAsia="Times New Roman" w:hAnsi="Cambria Math" w:cs="Times New Roman"/>
                  <w:kern w:val="0"/>
                </w:rPr>
              </m:ctrlPr>
            </m:sSubPr>
            <m:e>
              <m:r>
                <w:rPr>
                  <w:rFonts w:ascii="Cambria Math" w:eastAsia="Times New Roman" w:hAnsi="Cambria Math" w:cs="Times New Roman"/>
                  <w:kern w:val="0"/>
                </w:rPr>
                <m:t>y</m:t>
              </m:r>
            </m:e>
            <m:sub>
              <m:r>
                <w:rPr>
                  <w:rFonts w:ascii="Cambria Math" w:eastAsia="Times New Roman" w:hAnsi="Cambria Math" w:cs="Times New Roman"/>
                  <w:kern w:val="0"/>
                </w:rPr>
                <m:t>it-k</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ε</m:t>
              </m:r>
            </m:e>
            <m:sub>
              <m:r>
                <w:rPr>
                  <w:rFonts w:ascii="Cambria Math" w:eastAsia="Times New Roman" w:hAnsi="Cambria Math" w:cs="Times New Roman"/>
                  <w:kern w:val="0"/>
                </w:rPr>
                <m:t>it</m:t>
              </m:r>
            </m:sub>
          </m:sSub>
          <m:r>
            <m:rPr>
              <m:sty m:val="p"/>
            </m:rPr>
            <w:rPr>
              <w:rFonts w:ascii="Times New Roman" w:eastAsia="Times New Roman" w:hAnsi="Times New Roman" w:cs="Times New Roman"/>
              <w:kern w:val="0"/>
            </w:rPr>
            <w:br/>
          </m:r>
        </m:oMath>
      </m:oMathPara>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The CIPS statistic is derived by averaging the individual Augmented Dickey-Fuller (ADF) t-statistics:</w:t>
      </w:r>
    </w:p>
    <w:p w:rsidR="00900879" w:rsidRPr="00931F3F" w:rsidRDefault="00900879" w:rsidP="00931F3F">
      <w:pPr>
        <w:spacing w:after="0" w:line="240" w:lineRule="auto"/>
        <w:jc w:val="both"/>
        <w:rPr>
          <w:rFonts w:ascii="Times New Roman" w:eastAsia="Times New Roman" w:hAnsi="Times New Roman" w:cs="Times New Roman"/>
          <w:kern w:val="0"/>
        </w:rPr>
      </w:pPr>
      <m:oMathPara>
        <m:oMath>
          <m:r>
            <w:rPr>
              <w:rFonts w:ascii="Cambria Math" w:eastAsia="Times New Roman" w:hAnsi="Cambria Math" w:cs="Times New Roman"/>
              <w:kern w:val="0"/>
            </w:rPr>
            <m:t>CIPS=</m:t>
          </m:r>
          <m:f>
            <m:fPr>
              <m:ctrlPr>
                <w:rPr>
                  <w:rFonts w:ascii="Cambria Math" w:eastAsia="Times New Roman" w:hAnsi="Cambria Math" w:cs="Times New Roman"/>
                  <w:kern w:val="0"/>
                </w:rPr>
              </m:ctrlPr>
            </m:fPr>
            <m:num>
              <m:r>
                <w:rPr>
                  <w:rFonts w:ascii="Cambria Math" w:eastAsia="Times New Roman" w:hAnsi="Cambria Math" w:cs="Times New Roman"/>
                  <w:kern w:val="0"/>
                </w:rPr>
                <m:t>1</m:t>
              </m:r>
            </m:num>
            <m:den>
              <m:r>
                <w:rPr>
                  <w:rFonts w:ascii="Cambria Math" w:eastAsia="Times New Roman" w:hAnsi="Cambria Math" w:cs="Times New Roman"/>
                  <w:kern w:val="0"/>
                </w:rPr>
                <m:t>N</m:t>
              </m:r>
            </m:den>
          </m:f>
          <m:nary>
            <m:naryPr>
              <m:chr m:val="∑"/>
              <m:limLoc m:val="undOvr"/>
              <m:grow m:val="on"/>
              <m:ctrlPr>
                <w:rPr>
                  <w:rFonts w:ascii="Cambria Math" w:eastAsia="Times New Roman" w:hAnsi="Cambria Math" w:cs="Times New Roman"/>
                  <w:kern w:val="0"/>
                </w:rPr>
              </m:ctrlPr>
            </m:naryPr>
            <m:sub>
              <m:r>
                <w:rPr>
                  <w:rFonts w:ascii="Cambria Math" w:eastAsia="Times New Roman" w:hAnsi="Cambria Math" w:cs="Times New Roman"/>
                  <w:kern w:val="0"/>
                </w:rPr>
                <m:t>i=1</m:t>
              </m:r>
            </m:sub>
            <m:sup>
              <m:r>
                <w:rPr>
                  <w:rFonts w:ascii="Cambria Math" w:eastAsia="Times New Roman" w:hAnsi="Cambria Math" w:cs="Times New Roman"/>
                  <w:kern w:val="0"/>
                </w:rPr>
                <m:t>N</m:t>
              </m:r>
            </m:sup>
            <m:e>
              <m:sSub>
                <m:sSubPr>
                  <m:ctrlPr>
                    <w:rPr>
                      <w:rFonts w:ascii="Cambria Math" w:eastAsia="Times New Roman" w:hAnsi="Cambria Math" w:cs="Times New Roman"/>
                      <w:kern w:val="0"/>
                    </w:rPr>
                  </m:ctrlPr>
                </m:sSubPr>
                <m:e>
                  <m:r>
                    <w:rPr>
                      <w:rFonts w:ascii="Cambria Math" w:eastAsia="Times New Roman" w:hAnsi="Cambria Math" w:cs="Times New Roman"/>
                      <w:kern w:val="0"/>
                    </w:rPr>
                    <m:t>t</m:t>
                  </m:r>
                </m:e>
                <m:sub>
                  <m:sSub>
                    <m:sSubPr>
                      <m:ctrlPr>
                        <w:rPr>
                          <w:rFonts w:ascii="Cambria Math" w:eastAsia="Times New Roman" w:hAnsi="Cambria Math" w:cs="Times New Roman"/>
                          <w:kern w:val="0"/>
                        </w:rPr>
                      </m:ctrlPr>
                    </m:sSubPr>
                    <m:e>
                      <m:r>
                        <w:rPr>
                          <w:rFonts w:ascii="Cambria Math" w:eastAsia="Times New Roman" w:hAnsi="Cambria Math" w:cs="Times New Roman"/>
                          <w:kern w:val="0"/>
                        </w:rPr>
                        <m:t>γ</m:t>
                      </m:r>
                    </m:e>
                    <m:sub>
                      <m:r>
                        <w:rPr>
                          <w:rFonts w:ascii="Cambria Math" w:eastAsia="Times New Roman" w:hAnsi="Cambria Math" w:cs="Times New Roman"/>
                          <w:kern w:val="0"/>
                        </w:rPr>
                        <m:t>i</m:t>
                      </m:r>
                    </m:sub>
                  </m:sSub>
                </m:sub>
              </m:sSub>
            </m:e>
          </m:nary>
          <m:r>
            <m:rPr>
              <m:sty m:val="p"/>
            </m:rPr>
            <w:rPr>
              <w:rFonts w:ascii="Times New Roman" w:eastAsia="Times New Roman" w:hAnsi="Times New Roman" w:cs="Times New Roman"/>
              <w:kern w:val="0"/>
            </w:rPr>
            <w:br/>
          </m:r>
        </m:oMath>
      </m:oMathPara>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 xml:space="preserve">where </w:t>
      </w:r>
      <m:oMath>
        <m:sSub>
          <m:sSubPr>
            <m:ctrlPr>
              <w:rPr>
                <w:rFonts w:ascii="Cambria Math" w:eastAsia="Times New Roman" w:hAnsi="Cambria Math" w:cs="Times New Roman"/>
                <w:kern w:val="0"/>
              </w:rPr>
            </m:ctrlPr>
          </m:sSubPr>
          <m:e>
            <m:r>
              <w:rPr>
                <w:rFonts w:ascii="Cambria Math" w:eastAsia="Times New Roman" w:hAnsi="Cambria Math" w:cs="Times New Roman"/>
                <w:kern w:val="0"/>
              </w:rPr>
              <m:t>t</m:t>
            </m:r>
          </m:e>
          <m:sub>
            <m:sSub>
              <m:sSubPr>
                <m:ctrlPr>
                  <w:rPr>
                    <w:rFonts w:ascii="Cambria Math" w:eastAsia="Times New Roman" w:hAnsi="Cambria Math" w:cs="Times New Roman"/>
                    <w:kern w:val="0"/>
                  </w:rPr>
                </m:ctrlPr>
              </m:sSubPr>
              <m:e>
                <m:r>
                  <w:rPr>
                    <w:rFonts w:ascii="Cambria Math" w:eastAsia="Times New Roman" w:hAnsi="Cambria Math" w:cs="Times New Roman"/>
                    <w:kern w:val="0"/>
                  </w:rPr>
                  <m:t>γ</m:t>
                </m:r>
              </m:e>
              <m:sub>
                <m:r>
                  <w:rPr>
                    <w:rFonts w:ascii="Cambria Math" w:eastAsia="Times New Roman" w:hAnsi="Cambria Math" w:cs="Times New Roman"/>
                    <w:kern w:val="0"/>
                  </w:rPr>
                  <m:t>i</m:t>
                </m:r>
              </m:sub>
            </m:sSub>
          </m:sub>
        </m:sSub>
      </m:oMath>
      <w:r w:rsidRPr="00931F3F">
        <w:rPr>
          <w:rFonts w:ascii="Times New Roman" w:eastAsia="Times New Roman" w:hAnsi="Times New Roman" w:cs="Times New Roman"/>
          <w:kern w:val="0"/>
        </w:rPr>
        <w:t>is the t-statistic associated with the lagged level variable for each cross-section.</w:t>
      </w:r>
    </w:p>
    <w:p w:rsidR="00900879" w:rsidRPr="00931F3F" w:rsidRDefault="00900879" w:rsidP="00931F3F">
      <w:pPr>
        <w:spacing w:before="100" w:beforeAutospacing="1" w:after="100" w:afterAutospacing="1" w:line="240" w:lineRule="auto"/>
        <w:jc w:val="both"/>
        <w:outlineLvl w:val="2"/>
        <w:rPr>
          <w:rFonts w:ascii="Times New Roman" w:eastAsia="Times New Roman" w:hAnsi="Times New Roman" w:cs="Times New Roman"/>
          <w:b/>
          <w:bCs/>
          <w:kern w:val="0"/>
        </w:rPr>
      </w:pPr>
      <w:r w:rsidRPr="00931F3F">
        <w:rPr>
          <w:rFonts w:ascii="Times New Roman" w:eastAsia="Times New Roman" w:hAnsi="Times New Roman" w:cs="Times New Roman"/>
          <w:b/>
          <w:bCs/>
          <w:kern w:val="0"/>
        </w:rPr>
        <w:t>Panel Cointegration Test</w:t>
      </w:r>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To determine whether a long-run equilibrium relationship exists among the variables, the study adopted the panel ARDL bounds testing approach based on the Unrestricted Error Correction Model (UECM):</w:t>
      </w:r>
    </w:p>
    <w:p w:rsidR="00900879" w:rsidRPr="00931F3F" w:rsidRDefault="00900879" w:rsidP="00931F3F">
      <w:pPr>
        <w:spacing w:after="0" w:line="240" w:lineRule="auto"/>
        <w:jc w:val="both"/>
        <w:rPr>
          <w:rFonts w:ascii="Times New Roman" w:eastAsia="Times New Roman" w:hAnsi="Times New Roman" w:cs="Times New Roman"/>
          <w:kern w:val="0"/>
        </w:rPr>
      </w:pPr>
      <m:oMathPara>
        <m:oMath>
          <m:r>
            <m:rPr>
              <m:sty m:val="p"/>
            </m:rPr>
            <w:rPr>
              <w:rFonts w:ascii="Cambria Math" w:eastAsia="Times New Roman" w:hAnsi="Cambria Math" w:cs="Times New Roman"/>
              <w:kern w:val="0"/>
            </w:rPr>
            <w:lastRenderedPageBreak/>
            <m:t>Δ</m:t>
          </m:r>
          <m:sSub>
            <m:sSubPr>
              <m:ctrlPr>
                <w:rPr>
                  <w:rFonts w:ascii="Cambria Math" w:eastAsia="Times New Roman" w:hAnsi="Cambria Math" w:cs="Times New Roman"/>
                  <w:kern w:val="0"/>
                </w:rPr>
              </m:ctrlPr>
            </m:sSubPr>
            <m:e>
              <m:r>
                <w:rPr>
                  <w:rFonts w:ascii="Cambria Math" w:eastAsia="Times New Roman" w:hAnsi="Cambria Math" w:cs="Times New Roman"/>
                  <w:kern w:val="0"/>
                </w:rPr>
                <m:t>y</m:t>
              </m:r>
            </m:e>
            <m:sub>
              <m:r>
                <w:rPr>
                  <w:rFonts w:ascii="Cambria Math" w:eastAsia="Times New Roman" w:hAnsi="Cambria Math" w:cs="Times New Roman"/>
                  <w:kern w:val="0"/>
                </w:rPr>
                <m:t>it</m:t>
              </m:r>
            </m:sub>
          </m:sSub>
          <m:r>
            <w:rPr>
              <w:rFonts w:ascii="Cambria Math" w:eastAsia="Times New Roman" w:hAnsi="Cambria Math" w:cs="Times New Roman"/>
              <w:kern w:val="0"/>
            </w:rPr>
            <m:t>=α+</m:t>
          </m:r>
          <m:nary>
            <m:naryPr>
              <m:chr m:val="∑"/>
              <m:limLoc m:val="undOvr"/>
              <m:grow m:val="on"/>
              <m:ctrlPr>
                <w:rPr>
                  <w:rFonts w:ascii="Cambria Math" w:eastAsia="Times New Roman" w:hAnsi="Cambria Math" w:cs="Times New Roman"/>
                  <w:kern w:val="0"/>
                </w:rPr>
              </m:ctrlPr>
            </m:naryPr>
            <m:sub>
              <m:r>
                <w:rPr>
                  <w:rFonts w:ascii="Cambria Math" w:eastAsia="Times New Roman" w:hAnsi="Cambria Math" w:cs="Times New Roman"/>
                  <w:kern w:val="0"/>
                </w:rPr>
                <m:t>j=1</m:t>
              </m:r>
            </m:sub>
            <m:sup>
              <m:r>
                <w:rPr>
                  <w:rFonts w:ascii="Cambria Math" w:eastAsia="Times New Roman" w:hAnsi="Cambria Math" w:cs="Times New Roman"/>
                  <w:kern w:val="0"/>
                </w:rPr>
                <m:t>p</m:t>
              </m:r>
            </m:sup>
            <m:e>
              <m:sSub>
                <m:sSubPr>
                  <m:ctrlPr>
                    <w:rPr>
                      <w:rFonts w:ascii="Cambria Math" w:eastAsia="Times New Roman" w:hAnsi="Cambria Math" w:cs="Times New Roman"/>
                      <w:kern w:val="0"/>
                    </w:rPr>
                  </m:ctrlPr>
                </m:sSubPr>
                <m:e>
                  <m:r>
                    <w:rPr>
                      <w:rFonts w:ascii="Cambria Math" w:eastAsia="Times New Roman" w:hAnsi="Cambria Math" w:cs="Times New Roman"/>
                      <w:kern w:val="0"/>
                    </w:rPr>
                    <m:t>β</m:t>
                  </m:r>
                </m:e>
                <m:sub>
                  <m:r>
                    <w:rPr>
                      <w:rFonts w:ascii="Cambria Math" w:eastAsia="Times New Roman" w:hAnsi="Cambria Math" w:cs="Times New Roman"/>
                      <w:kern w:val="0"/>
                    </w:rPr>
                    <m:t>j</m:t>
                  </m:r>
                </m:sub>
              </m:sSub>
            </m:e>
          </m:nary>
          <m:r>
            <m:rPr>
              <m:sty m:val="p"/>
            </m:rPr>
            <w:rPr>
              <w:rFonts w:ascii="Cambria Math" w:eastAsia="Times New Roman" w:hAnsi="Cambria Math" w:cs="Times New Roman"/>
              <w:kern w:val="0"/>
            </w:rPr>
            <m:t>Δ</m:t>
          </m:r>
          <m:sSub>
            <m:sSubPr>
              <m:ctrlPr>
                <w:rPr>
                  <w:rFonts w:ascii="Cambria Math" w:eastAsia="Times New Roman" w:hAnsi="Cambria Math" w:cs="Times New Roman"/>
                  <w:kern w:val="0"/>
                </w:rPr>
              </m:ctrlPr>
            </m:sSubPr>
            <m:e>
              <m:r>
                <w:rPr>
                  <w:rFonts w:ascii="Cambria Math" w:eastAsia="Times New Roman" w:hAnsi="Cambria Math" w:cs="Times New Roman"/>
                  <w:kern w:val="0"/>
                </w:rPr>
                <m:t>y</m:t>
              </m:r>
            </m:e>
            <m:sub>
              <m:r>
                <w:rPr>
                  <w:rFonts w:ascii="Cambria Math" w:eastAsia="Times New Roman" w:hAnsi="Cambria Math" w:cs="Times New Roman"/>
                  <w:kern w:val="0"/>
                </w:rPr>
                <m:t>it-j</m:t>
              </m:r>
            </m:sub>
          </m:sSub>
          <m:r>
            <w:rPr>
              <w:rFonts w:ascii="Cambria Math" w:eastAsia="Times New Roman" w:hAnsi="Cambria Math" w:cs="Times New Roman"/>
              <w:kern w:val="0"/>
            </w:rPr>
            <m:t>+</m:t>
          </m:r>
          <m:nary>
            <m:naryPr>
              <m:chr m:val="∑"/>
              <m:limLoc m:val="undOvr"/>
              <m:grow m:val="on"/>
              <m:ctrlPr>
                <w:rPr>
                  <w:rFonts w:ascii="Cambria Math" w:eastAsia="Times New Roman" w:hAnsi="Cambria Math" w:cs="Times New Roman"/>
                  <w:kern w:val="0"/>
                </w:rPr>
              </m:ctrlPr>
            </m:naryPr>
            <m:sub>
              <m:r>
                <w:rPr>
                  <w:rFonts w:ascii="Cambria Math" w:eastAsia="Times New Roman" w:hAnsi="Cambria Math" w:cs="Times New Roman"/>
                  <w:kern w:val="0"/>
                </w:rPr>
                <m:t>k=0</m:t>
              </m:r>
            </m:sub>
            <m:sup>
              <m:r>
                <w:rPr>
                  <w:rFonts w:ascii="Cambria Math" w:eastAsia="Times New Roman" w:hAnsi="Cambria Math" w:cs="Times New Roman"/>
                  <w:kern w:val="0"/>
                </w:rPr>
                <m:t>q</m:t>
              </m:r>
            </m:sup>
            <m:e>
              <m:sSub>
                <m:sSubPr>
                  <m:ctrlPr>
                    <w:rPr>
                      <w:rFonts w:ascii="Cambria Math" w:eastAsia="Times New Roman" w:hAnsi="Cambria Math" w:cs="Times New Roman"/>
                      <w:kern w:val="0"/>
                    </w:rPr>
                  </m:ctrlPr>
                </m:sSubPr>
                <m:e>
                  <m:r>
                    <w:rPr>
                      <w:rFonts w:ascii="Cambria Math" w:eastAsia="Times New Roman" w:hAnsi="Cambria Math" w:cs="Times New Roman"/>
                      <w:kern w:val="0"/>
                    </w:rPr>
                    <m:t>γ</m:t>
                  </m:r>
                </m:e>
                <m:sub>
                  <m:r>
                    <w:rPr>
                      <w:rFonts w:ascii="Cambria Math" w:eastAsia="Times New Roman" w:hAnsi="Cambria Math" w:cs="Times New Roman"/>
                      <w:kern w:val="0"/>
                    </w:rPr>
                    <m:t>k</m:t>
                  </m:r>
                </m:sub>
              </m:sSub>
            </m:e>
          </m:nary>
          <m:r>
            <m:rPr>
              <m:sty m:val="p"/>
            </m:rPr>
            <w:rPr>
              <w:rFonts w:ascii="Cambria Math" w:eastAsia="Times New Roman" w:hAnsi="Cambria Math" w:cs="Times New Roman"/>
              <w:kern w:val="0"/>
            </w:rPr>
            <m:t>Δ</m:t>
          </m:r>
          <m:sSub>
            <m:sSubPr>
              <m:ctrlPr>
                <w:rPr>
                  <w:rFonts w:ascii="Cambria Math" w:eastAsia="Times New Roman" w:hAnsi="Cambria Math" w:cs="Times New Roman"/>
                  <w:kern w:val="0"/>
                </w:rPr>
              </m:ctrlPr>
            </m:sSubPr>
            <m:e>
              <m:r>
                <w:rPr>
                  <w:rFonts w:ascii="Cambria Math" w:eastAsia="Times New Roman" w:hAnsi="Cambria Math" w:cs="Times New Roman"/>
                  <w:kern w:val="0"/>
                </w:rPr>
                <m:t>x</m:t>
              </m:r>
            </m:e>
            <m:sub>
              <m:r>
                <w:rPr>
                  <w:rFonts w:ascii="Cambria Math" w:eastAsia="Times New Roman" w:hAnsi="Cambria Math" w:cs="Times New Roman"/>
                  <w:kern w:val="0"/>
                </w:rPr>
                <m:t>it-k</m:t>
              </m:r>
            </m:sub>
          </m:sSub>
          <m:r>
            <w:rPr>
              <w:rFonts w:ascii="Cambria Math" w:eastAsia="Times New Roman" w:hAnsi="Cambria Math" w:cs="Times New Roman"/>
              <w:kern w:val="0"/>
            </w:rPr>
            <m:t>+</m:t>
          </m:r>
          <m:nary>
            <m:naryPr>
              <m:chr m:val="∑"/>
              <m:limLoc m:val="undOvr"/>
              <m:grow m:val="on"/>
              <m:ctrlPr>
                <w:rPr>
                  <w:rFonts w:ascii="Cambria Math" w:eastAsia="Times New Roman" w:hAnsi="Cambria Math" w:cs="Times New Roman"/>
                  <w:kern w:val="0"/>
                </w:rPr>
              </m:ctrlPr>
            </m:naryPr>
            <m:sub>
              <m:r>
                <w:rPr>
                  <w:rFonts w:ascii="Cambria Math" w:eastAsia="Times New Roman" w:hAnsi="Cambria Math" w:cs="Times New Roman"/>
                  <w:kern w:val="0"/>
                </w:rPr>
                <m:t>l=0</m:t>
              </m:r>
            </m:sub>
            <m:sup>
              <m:r>
                <w:rPr>
                  <w:rFonts w:ascii="Cambria Math" w:eastAsia="Times New Roman" w:hAnsi="Cambria Math" w:cs="Times New Roman"/>
                  <w:kern w:val="0"/>
                </w:rPr>
                <m:t>r</m:t>
              </m:r>
            </m:sup>
            <m:e>
              <m:sSub>
                <m:sSubPr>
                  <m:ctrlPr>
                    <w:rPr>
                      <w:rFonts w:ascii="Cambria Math" w:eastAsia="Times New Roman" w:hAnsi="Cambria Math" w:cs="Times New Roman"/>
                      <w:kern w:val="0"/>
                    </w:rPr>
                  </m:ctrlPr>
                </m:sSubPr>
                <m:e>
                  <m:r>
                    <w:rPr>
                      <w:rFonts w:ascii="Cambria Math" w:eastAsia="Times New Roman" w:hAnsi="Cambria Math" w:cs="Times New Roman"/>
                      <w:kern w:val="0"/>
                    </w:rPr>
                    <m:t>δ</m:t>
                  </m:r>
                </m:e>
                <m:sub>
                  <m:r>
                    <w:rPr>
                      <w:rFonts w:ascii="Cambria Math" w:eastAsia="Times New Roman" w:hAnsi="Cambria Math" w:cs="Times New Roman"/>
                      <w:kern w:val="0"/>
                    </w:rPr>
                    <m:t>l</m:t>
                  </m:r>
                </m:sub>
              </m:sSub>
            </m:e>
          </m:nary>
          <m:r>
            <m:rPr>
              <m:sty m:val="p"/>
            </m:rPr>
            <w:rPr>
              <w:rFonts w:ascii="Cambria Math" w:eastAsia="Times New Roman" w:hAnsi="Cambria Math" w:cs="Times New Roman"/>
              <w:kern w:val="0"/>
            </w:rPr>
            <m:t>Δ</m:t>
          </m:r>
          <m:sSub>
            <m:sSubPr>
              <m:ctrlPr>
                <w:rPr>
                  <w:rFonts w:ascii="Cambria Math" w:eastAsia="Times New Roman" w:hAnsi="Cambria Math" w:cs="Times New Roman"/>
                  <w:kern w:val="0"/>
                </w:rPr>
              </m:ctrlPr>
            </m:sSubPr>
            <m:e>
              <m:r>
                <w:rPr>
                  <w:rFonts w:ascii="Cambria Math" w:eastAsia="Times New Roman" w:hAnsi="Cambria Math" w:cs="Times New Roman"/>
                  <w:kern w:val="0"/>
                </w:rPr>
                <m:t>q</m:t>
              </m:r>
            </m:e>
            <m:sub>
              <m:r>
                <w:rPr>
                  <w:rFonts w:ascii="Cambria Math" w:eastAsia="Times New Roman" w:hAnsi="Cambria Math" w:cs="Times New Roman"/>
                  <w:kern w:val="0"/>
                </w:rPr>
                <m:t>it-l</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λ</m:t>
              </m:r>
            </m:e>
            <m:sub>
              <m:r>
                <w:rPr>
                  <w:rFonts w:ascii="Cambria Math" w:eastAsia="Times New Roman" w:hAnsi="Cambria Math" w:cs="Times New Roman"/>
                  <w:kern w:val="0"/>
                </w:rPr>
                <m:t>1</m:t>
              </m:r>
            </m:sub>
          </m:sSub>
          <m:sSub>
            <m:sSubPr>
              <m:ctrlPr>
                <w:rPr>
                  <w:rFonts w:ascii="Cambria Math" w:eastAsia="Times New Roman" w:hAnsi="Cambria Math" w:cs="Times New Roman"/>
                  <w:kern w:val="0"/>
                </w:rPr>
              </m:ctrlPr>
            </m:sSubPr>
            <m:e>
              <m:r>
                <w:rPr>
                  <w:rFonts w:ascii="Cambria Math" w:eastAsia="Times New Roman" w:hAnsi="Cambria Math" w:cs="Times New Roman"/>
                  <w:kern w:val="0"/>
                </w:rPr>
                <m:t>y</m:t>
              </m:r>
            </m:e>
            <m:sub>
              <m:r>
                <w:rPr>
                  <w:rFonts w:ascii="Cambria Math" w:eastAsia="Times New Roman" w:hAnsi="Cambria Math" w:cs="Times New Roman"/>
                  <w:kern w:val="0"/>
                </w:rPr>
                <m:t>it-1</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λ</m:t>
              </m:r>
            </m:e>
            <m:sub>
              <m:r>
                <w:rPr>
                  <w:rFonts w:ascii="Cambria Math" w:eastAsia="Times New Roman" w:hAnsi="Cambria Math" w:cs="Times New Roman"/>
                  <w:kern w:val="0"/>
                </w:rPr>
                <m:t>2</m:t>
              </m:r>
            </m:sub>
          </m:sSub>
          <m:sSub>
            <m:sSubPr>
              <m:ctrlPr>
                <w:rPr>
                  <w:rFonts w:ascii="Cambria Math" w:eastAsia="Times New Roman" w:hAnsi="Cambria Math" w:cs="Times New Roman"/>
                  <w:kern w:val="0"/>
                </w:rPr>
              </m:ctrlPr>
            </m:sSubPr>
            <m:e>
              <m:r>
                <w:rPr>
                  <w:rFonts w:ascii="Cambria Math" w:eastAsia="Times New Roman" w:hAnsi="Cambria Math" w:cs="Times New Roman"/>
                  <w:kern w:val="0"/>
                </w:rPr>
                <m:t>x</m:t>
              </m:r>
            </m:e>
            <m:sub>
              <m:r>
                <w:rPr>
                  <w:rFonts w:ascii="Cambria Math" w:eastAsia="Times New Roman" w:hAnsi="Cambria Math" w:cs="Times New Roman"/>
                  <w:kern w:val="0"/>
                </w:rPr>
                <m:t>it-1</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λ</m:t>
              </m:r>
            </m:e>
            <m:sub>
              <m:r>
                <w:rPr>
                  <w:rFonts w:ascii="Cambria Math" w:eastAsia="Times New Roman" w:hAnsi="Cambria Math" w:cs="Times New Roman"/>
                  <w:kern w:val="0"/>
                </w:rPr>
                <m:t>3</m:t>
              </m:r>
            </m:sub>
          </m:sSub>
          <m:sSub>
            <m:sSubPr>
              <m:ctrlPr>
                <w:rPr>
                  <w:rFonts w:ascii="Cambria Math" w:eastAsia="Times New Roman" w:hAnsi="Cambria Math" w:cs="Times New Roman"/>
                  <w:kern w:val="0"/>
                </w:rPr>
              </m:ctrlPr>
            </m:sSubPr>
            <m:e>
              <m:r>
                <w:rPr>
                  <w:rFonts w:ascii="Cambria Math" w:eastAsia="Times New Roman" w:hAnsi="Cambria Math" w:cs="Times New Roman"/>
                  <w:kern w:val="0"/>
                </w:rPr>
                <m:t>q</m:t>
              </m:r>
            </m:e>
            <m:sub>
              <m:r>
                <w:rPr>
                  <w:rFonts w:ascii="Cambria Math" w:eastAsia="Times New Roman" w:hAnsi="Cambria Math" w:cs="Times New Roman"/>
                  <w:kern w:val="0"/>
                </w:rPr>
                <m:t>it-1</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ε</m:t>
              </m:r>
            </m:e>
            <m:sub>
              <m:r>
                <w:rPr>
                  <w:rFonts w:ascii="Cambria Math" w:eastAsia="Times New Roman" w:hAnsi="Cambria Math" w:cs="Times New Roman"/>
                  <w:kern w:val="0"/>
                </w:rPr>
                <m:t>it</m:t>
              </m:r>
            </m:sub>
          </m:sSub>
          <m:r>
            <m:rPr>
              <m:sty m:val="p"/>
            </m:rPr>
            <w:rPr>
              <w:rFonts w:ascii="Times New Roman" w:eastAsia="Times New Roman" w:hAnsi="Times New Roman" w:cs="Times New Roman"/>
              <w:kern w:val="0"/>
            </w:rPr>
            <w:br/>
          </m:r>
        </m:oMath>
      </m:oMathPara>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In this framework, investment (</w:t>
      </w:r>
      <m:oMath>
        <m:sSub>
          <m:sSubPr>
            <m:ctrlPr>
              <w:rPr>
                <w:rFonts w:ascii="Cambria Math" w:eastAsia="Times New Roman" w:hAnsi="Cambria Math" w:cs="Times New Roman"/>
                <w:kern w:val="0"/>
              </w:rPr>
            </m:ctrlPr>
          </m:sSubPr>
          <m:e>
            <m:r>
              <w:rPr>
                <w:rFonts w:ascii="Cambria Math" w:eastAsia="Times New Roman" w:hAnsi="Cambria Math" w:cs="Times New Roman"/>
                <w:kern w:val="0"/>
              </w:rPr>
              <m:t>y</m:t>
            </m:r>
          </m:e>
          <m:sub>
            <m:r>
              <w:rPr>
                <w:rFonts w:ascii="Cambria Math" w:eastAsia="Times New Roman" w:hAnsi="Cambria Math" w:cs="Times New Roman"/>
                <w:kern w:val="0"/>
              </w:rPr>
              <m:t>it</m:t>
            </m:r>
          </m:sub>
        </m:sSub>
      </m:oMath>
      <w:r w:rsidRPr="00931F3F">
        <w:rPr>
          <w:rFonts w:ascii="Times New Roman" w:eastAsia="Times New Roman" w:hAnsi="Times New Roman" w:cs="Times New Roman"/>
          <w:kern w:val="0"/>
        </w:rPr>
        <w:t xml:space="preserve">) including domestic investment and foreign direct investment—is the dependent variable. External debt, debt servicing, and bank credit constitute the explanatory variables, while interest rate and inflation serve as control variables. The coefficients </w:t>
      </w:r>
      <m:oMath>
        <m:sSub>
          <m:sSubPr>
            <m:ctrlPr>
              <w:rPr>
                <w:rFonts w:ascii="Cambria Math" w:eastAsia="Times New Roman" w:hAnsi="Cambria Math" w:cs="Times New Roman"/>
                <w:kern w:val="0"/>
              </w:rPr>
            </m:ctrlPr>
          </m:sSubPr>
          <m:e>
            <m:r>
              <w:rPr>
                <w:rFonts w:ascii="Cambria Math" w:eastAsia="Times New Roman" w:hAnsi="Cambria Math" w:cs="Times New Roman"/>
                <w:kern w:val="0"/>
              </w:rPr>
              <m:t>λ</m:t>
            </m:r>
          </m:e>
          <m:sub>
            <m:r>
              <w:rPr>
                <w:rFonts w:ascii="Cambria Math" w:eastAsia="Times New Roman" w:hAnsi="Cambria Math" w:cs="Times New Roman"/>
                <w:kern w:val="0"/>
              </w:rPr>
              <m:t>1</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λ</m:t>
            </m:r>
          </m:e>
          <m:sub>
            <m:r>
              <w:rPr>
                <w:rFonts w:ascii="Cambria Math" w:eastAsia="Times New Roman" w:hAnsi="Cambria Math" w:cs="Times New Roman"/>
                <w:kern w:val="0"/>
              </w:rPr>
              <m:t>2</m:t>
            </m:r>
          </m:sub>
        </m:sSub>
        <m:r>
          <w:rPr>
            <w:rFonts w:ascii="Cambria Math" w:eastAsia="Times New Roman" w:hAnsi="Cambria Math" w:cs="Times New Roman"/>
            <w:kern w:val="0"/>
          </w:rPr>
          <m:t>,</m:t>
        </m:r>
      </m:oMath>
      <w:r w:rsidRPr="00931F3F">
        <w:rPr>
          <w:rFonts w:ascii="Times New Roman" w:eastAsia="Times New Roman" w:hAnsi="Times New Roman" w:cs="Times New Roman"/>
          <w:kern w:val="0"/>
        </w:rPr>
        <w:t xml:space="preserve">and </w:t>
      </w:r>
      <m:oMath>
        <m:sSub>
          <m:sSubPr>
            <m:ctrlPr>
              <w:rPr>
                <w:rFonts w:ascii="Cambria Math" w:eastAsia="Times New Roman" w:hAnsi="Cambria Math" w:cs="Times New Roman"/>
                <w:kern w:val="0"/>
              </w:rPr>
            </m:ctrlPr>
          </m:sSubPr>
          <m:e>
            <m:r>
              <w:rPr>
                <w:rFonts w:ascii="Cambria Math" w:eastAsia="Times New Roman" w:hAnsi="Cambria Math" w:cs="Times New Roman"/>
                <w:kern w:val="0"/>
              </w:rPr>
              <m:t>λ</m:t>
            </m:r>
          </m:e>
          <m:sub>
            <m:r>
              <w:rPr>
                <w:rFonts w:ascii="Cambria Math" w:eastAsia="Times New Roman" w:hAnsi="Cambria Math" w:cs="Times New Roman"/>
                <w:kern w:val="0"/>
              </w:rPr>
              <m:t>3</m:t>
            </m:r>
          </m:sub>
        </m:sSub>
      </m:oMath>
      <w:r w:rsidRPr="00931F3F">
        <w:rPr>
          <w:rFonts w:ascii="Times New Roman" w:eastAsia="Times New Roman" w:hAnsi="Times New Roman" w:cs="Times New Roman"/>
          <w:kern w:val="0"/>
        </w:rPr>
        <w:t>capture the long-run relationships.</w:t>
      </w:r>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The null hypothesis of no cointegration is given by:</w:t>
      </w:r>
    </w:p>
    <w:p w:rsidR="00900879" w:rsidRPr="00931F3F" w:rsidRDefault="000D1860" w:rsidP="00931F3F">
      <w:pPr>
        <w:spacing w:after="0" w:line="240" w:lineRule="auto"/>
        <w:jc w:val="both"/>
        <w:rPr>
          <w:rFonts w:ascii="Times New Roman" w:eastAsia="Times New Roman" w:hAnsi="Times New Roman" w:cs="Times New Roman"/>
          <w:kern w:val="0"/>
        </w:rPr>
      </w:pPr>
      <m:oMathPara>
        <m:oMath>
          <m:sSub>
            <m:sSubPr>
              <m:ctrlPr>
                <w:rPr>
                  <w:rFonts w:ascii="Cambria Math" w:eastAsia="Times New Roman" w:hAnsi="Cambria Math" w:cs="Times New Roman"/>
                  <w:kern w:val="0"/>
                </w:rPr>
              </m:ctrlPr>
            </m:sSubPr>
            <m:e>
              <m:r>
                <w:rPr>
                  <w:rFonts w:ascii="Cambria Math" w:eastAsia="Times New Roman" w:hAnsi="Cambria Math" w:cs="Times New Roman"/>
                  <w:kern w:val="0"/>
                </w:rPr>
                <m:t>H</m:t>
              </m:r>
            </m:e>
            <m:sub>
              <m:r>
                <w:rPr>
                  <w:rFonts w:ascii="Cambria Math" w:eastAsia="Times New Roman" w:hAnsi="Cambria Math" w:cs="Times New Roman"/>
                  <w:kern w:val="0"/>
                </w:rPr>
                <m:t>0</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λ</m:t>
              </m:r>
            </m:e>
            <m:sub>
              <m:r>
                <w:rPr>
                  <w:rFonts w:ascii="Cambria Math" w:eastAsia="Times New Roman" w:hAnsi="Cambria Math" w:cs="Times New Roman"/>
                  <w:kern w:val="0"/>
                </w:rPr>
                <m:t>1</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λ</m:t>
              </m:r>
            </m:e>
            <m:sub>
              <m:r>
                <w:rPr>
                  <w:rFonts w:ascii="Cambria Math" w:eastAsia="Times New Roman" w:hAnsi="Cambria Math" w:cs="Times New Roman"/>
                  <w:kern w:val="0"/>
                </w:rPr>
                <m:t>2</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λ</m:t>
              </m:r>
            </m:e>
            <m:sub>
              <m:r>
                <w:rPr>
                  <w:rFonts w:ascii="Cambria Math" w:eastAsia="Times New Roman" w:hAnsi="Cambria Math" w:cs="Times New Roman"/>
                  <w:kern w:val="0"/>
                </w:rPr>
                <m:t>3</m:t>
              </m:r>
            </m:sub>
          </m:sSub>
          <m:r>
            <w:rPr>
              <w:rFonts w:ascii="Cambria Math" w:eastAsia="Times New Roman" w:hAnsi="Cambria Math" w:cs="Times New Roman"/>
              <w:kern w:val="0"/>
            </w:rPr>
            <m:t>=0</m:t>
          </m:r>
          <m:r>
            <m:rPr>
              <m:sty m:val="p"/>
            </m:rPr>
            <w:rPr>
              <w:rFonts w:ascii="Times New Roman" w:eastAsia="Times New Roman" w:hAnsi="Times New Roman" w:cs="Times New Roman"/>
              <w:kern w:val="0"/>
            </w:rPr>
            <w:br/>
          </m:r>
        </m:oMath>
      </m:oMathPara>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while rejection of this hypothesis indicates the existence of a long-run relationship among the variables.</w:t>
      </w:r>
    </w:p>
    <w:p w:rsidR="00900879" w:rsidRPr="00931F3F" w:rsidRDefault="00900879" w:rsidP="00931F3F">
      <w:pPr>
        <w:spacing w:before="100" w:beforeAutospacing="1" w:after="100" w:afterAutospacing="1" w:line="240" w:lineRule="auto"/>
        <w:jc w:val="both"/>
        <w:outlineLvl w:val="2"/>
        <w:rPr>
          <w:rFonts w:ascii="Times New Roman" w:eastAsia="Times New Roman" w:hAnsi="Times New Roman" w:cs="Times New Roman"/>
          <w:b/>
          <w:bCs/>
          <w:kern w:val="0"/>
        </w:rPr>
      </w:pPr>
      <w:r w:rsidRPr="00931F3F">
        <w:rPr>
          <w:rFonts w:ascii="Times New Roman" w:eastAsia="Times New Roman" w:hAnsi="Times New Roman" w:cs="Times New Roman"/>
          <w:b/>
          <w:bCs/>
          <w:kern w:val="0"/>
        </w:rPr>
        <w:t>Domestic Investment Model (DINV)</w:t>
      </w:r>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The domestic investment model was estimated using a panel ARDL specification that incorporates both short-run dynamics and long-run equilibrium adjustment:</w:t>
      </w:r>
    </w:p>
    <w:p w:rsidR="00900879" w:rsidRPr="00931F3F" w:rsidRDefault="00900879" w:rsidP="00931F3F">
      <w:pPr>
        <w:spacing w:after="0" w:line="240" w:lineRule="auto"/>
        <w:jc w:val="both"/>
        <w:rPr>
          <w:rFonts w:ascii="Times New Roman" w:eastAsia="Times New Roman" w:hAnsi="Times New Roman" w:cs="Times New Roman"/>
          <w:kern w:val="0"/>
        </w:rPr>
      </w:pPr>
      <m:oMathPara>
        <m:oMath>
          <m:r>
            <m:rPr>
              <m:sty m:val="p"/>
            </m:rPr>
            <w:rPr>
              <w:rFonts w:ascii="Cambria Math" w:eastAsia="Times New Roman" w:hAnsi="Cambria Math" w:cs="Times New Roman"/>
              <w:kern w:val="0"/>
            </w:rPr>
            <m:t>Δ</m:t>
          </m:r>
          <m:r>
            <w:rPr>
              <w:rFonts w:ascii="Cambria Math" w:eastAsia="Times New Roman" w:hAnsi="Cambria Math" w:cs="Times New Roman"/>
              <w:kern w:val="0"/>
            </w:rPr>
            <m:t>DIN</m:t>
          </m:r>
          <m:sSub>
            <m:sSubPr>
              <m:ctrlPr>
                <w:rPr>
                  <w:rFonts w:ascii="Cambria Math" w:eastAsia="Times New Roman" w:hAnsi="Cambria Math" w:cs="Times New Roman"/>
                  <w:kern w:val="0"/>
                </w:rPr>
              </m:ctrlPr>
            </m:sSubPr>
            <m:e>
              <m:r>
                <w:rPr>
                  <w:rFonts w:ascii="Cambria Math" w:eastAsia="Times New Roman" w:hAnsi="Cambria Math" w:cs="Times New Roman"/>
                  <w:kern w:val="0"/>
                </w:rPr>
                <m:t>V</m:t>
              </m:r>
            </m:e>
            <m:sub>
              <m:r>
                <w:rPr>
                  <w:rFonts w:ascii="Cambria Math" w:eastAsia="Times New Roman" w:hAnsi="Cambria Math" w:cs="Times New Roman"/>
                  <w:kern w:val="0"/>
                </w:rPr>
                <m:t>it</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ϕ</m:t>
              </m:r>
            </m:e>
            <m:sub>
              <m:r>
                <w:rPr>
                  <w:rFonts w:ascii="Cambria Math" w:eastAsia="Times New Roman" w:hAnsi="Cambria Math" w:cs="Times New Roman"/>
                  <w:kern w:val="0"/>
                </w:rPr>
                <m:t>i</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π</m:t>
              </m:r>
            </m:e>
            <m:sub>
              <m:r>
                <w:rPr>
                  <w:rFonts w:ascii="Cambria Math" w:eastAsia="Times New Roman" w:hAnsi="Cambria Math" w:cs="Times New Roman"/>
                  <w:kern w:val="0"/>
                </w:rPr>
                <m:t>1</m:t>
              </m:r>
            </m:sub>
          </m:sSub>
          <m:r>
            <m:rPr>
              <m:sty m:val="p"/>
            </m:rPr>
            <w:rPr>
              <w:rFonts w:ascii="Cambria Math" w:eastAsia="Times New Roman" w:hAnsi="Cambria Math" w:cs="Times New Roman"/>
              <w:kern w:val="0"/>
            </w:rPr>
            <m:t>Δ</m:t>
          </m:r>
          <m:r>
            <w:rPr>
              <w:rFonts w:ascii="Cambria Math" w:eastAsia="Times New Roman" w:hAnsi="Cambria Math" w:cs="Times New Roman"/>
              <w:kern w:val="0"/>
            </w:rPr>
            <m:t>DIN</m:t>
          </m:r>
          <m:sSub>
            <m:sSubPr>
              <m:ctrlPr>
                <w:rPr>
                  <w:rFonts w:ascii="Cambria Math" w:eastAsia="Times New Roman" w:hAnsi="Cambria Math" w:cs="Times New Roman"/>
                  <w:kern w:val="0"/>
                </w:rPr>
              </m:ctrlPr>
            </m:sSubPr>
            <m:e>
              <m:r>
                <w:rPr>
                  <w:rFonts w:ascii="Cambria Math" w:eastAsia="Times New Roman" w:hAnsi="Cambria Math" w:cs="Times New Roman"/>
                  <w:kern w:val="0"/>
                </w:rPr>
                <m:t>V</m:t>
              </m:r>
            </m:e>
            <m:sub>
              <m:r>
                <w:rPr>
                  <w:rFonts w:ascii="Cambria Math" w:eastAsia="Times New Roman" w:hAnsi="Cambria Math" w:cs="Times New Roman"/>
                  <w:kern w:val="0"/>
                </w:rPr>
                <m:t>it-1</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π</m:t>
              </m:r>
            </m:e>
            <m:sub>
              <m:r>
                <w:rPr>
                  <w:rFonts w:ascii="Cambria Math" w:eastAsia="Times New Roman" w:hAnsi="Cambria Math" w:cs="Times New Roman"/>
                  <w:kern w:val="0"/>
                </w:rPr>
                <m:t>2</m:t>
              </m:r>
            </m:sub>
          </m:sSub>
          <m:r>
            <m:rPr>
              <m:sty m:val="p"/>
            </m:rPr>
            <w:rPr>
              <w:rFonts w:ascii="Cambria Math" w:eastAsia="Times New Roman" w:hAnsi="Cambria Math" w:cs="Times New Roman"/>
              <w:kern w:val="0"/>
            </w:rPr>
            <m:t>Δ</m:t>
          </m:r>
          <m:r>
            <w:rPr>
              <w:rFonts w:ascii="Cambria Math" w:eastAsia="Times New Roman" w:hAnsi="Cambria Math" w:cs="Times New Roman"/>
              <w:kern w:val="0"/>
            </w:rPr>
            <m:t>E</m:t>
          </m:r>
          <m:sSub>
            <m:sSubPr>
              <m:ctrlPr>
                <w:rPr>
                  <w:rFonts w:ascii="Cambria Math" w:eastAsia="Times New Roman" w:hAnsi="Cambria Math" w:cs="Times New Roman"/>
                  <w:kern w:val="0"/>
                </w:rPr>
              </m:ctrlPr>
            </m:sSubPr>
            <m:e>
              <m:r>
                <w:rPr>
                  <w:rFonts w:ascii="Cambria Math" w:eastAsia="Times New Roman" w:hAnsi="Cambria Math" w:cs="Times New Roman"/>
                  <w:kern w:val="0"/>
                </w:rPr>
                <m:t>D</m:t>
              </m:r>
            </m:e>
            <m:sub>
              <m:r>
                <w:rPr>
                  <w:rFonts w:ascii="Cambria Math" w:eastAsia="Times New Roman" w:hAnsi="Cambria Math" w:cs="Times New Roman"/>
                  <w:kern w:val="0"/>
                </w:rPr>
                <m:t>it</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π</m:t>
              </m:r>
            </m:e>
            <m:sub>
              <m:r>
                <w:rPr>
                  <w:rFonts w:ascii="Cambria Math" w:eastAsia="Times New Roman" w:hAnsi="Cambria Math" w:cs="Times New Roman"/>
                  <w:kern w:val="0"/>
                </w:rPr>
                <m:t>3</m:t>
              </m:r>
            </m:sub>
          </m:sSub>
          <m:r>
            <m:rPr>
              <m:sty m:val="p"/>
            </m:rPr>
            <w:rPr>
              <w:rFonts w:ascii="Cambria Math" w:eastAsia="Times New Roman" w:hAnsi="Cambria Math" w:cs="Times New Roman"/>
              <w:kern w:val="0"/>
            </w:rPr>
            <m:t>Δ</m:t>
          </m:r>
          <m:r>
            <w:rPr>
              <w:rFonts w:ascii="Cambria Math" w:eastAsia="Times New Roman" w:hAnsi="Cambria Math" w:cs="Times New Roman"/>
              <w:kern w:val="0"/>
            </w:rPr>
            <m:t>D</m:t>
          </m:r>
          <m:sSub>
            <m:sSubPr>
              <m:ctrlPr>
                <w:rPr>
                  <w:rFonts w:ascii="Cambria Math" w:eastAsia="Times New Roman" w:hAnsi="Cambria Math" w:cs="Times New Roman"/>
                  <w:kern w:val="0"/>
                </w:rPr>
              </m:ctrlPr>
            </m:sSubPr>
            <m:e>
              <m:r>
                <w:rPr>
                  <w:rFonts w:ascii="Cambria Math" w:eastAsia="Times New Roman" w:hAnsi="Cambria Math" w:cs="Times New Roman"/>
                  <w:kern w:val="0"/>
                </w:rPr>
                <m:t>S</m:t>
              </m:r>
            </m:e>
            <m:sub>
              <m:r>
                <w:rPr>
                  <w:rFonts w:ascii="Cambria Math" w:eastAsia="Times New Roman" w:hAnsi="Cambria Math" w:cs="Times New Roman"/>
                  <w:kern w:val="0"/>
                </w:rPr>
                <m:t>it</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π</m:t>
              </m:r>
            </m:e>
            <m:sub>
              <m:r>
                <w:rPr>
                  <w:rFonts w:ascii="Cambria Math" w:eastAsia="Times New Roman" w:hAnsi="Cambria Math" w:cs="Times New Roman"/>
                  <w:kern w:val="0"/>
                </w:rPr>
                <m:t>4</m:t>
              </m:r>
            </m:sub>
          </m:sSub>
          <m:r>
            <m:rPr>
              <m:sty m:val="p"/>
            </m:rPr>
            <w:rPr>
              <w:rFonts w:ascii="Cambria Math" w:eastAsia="Times New Roman" w:hAnsi="Cambria Math" w:cs="Times New Roman"/>
              <w:kern w:val="0"/>
            </w:rPr>
            <m:t>Δ</m:t>
          </m:r>
          <m:r>
            <w:rPr>
              <w:rFonts w:ascii="Cambria Math" w:eastAsia="Times New Roman" w:hAnsi="Cambria Math" w:cs="Times New Roman"/>
              <w:kern w:val="0"/>
            </w:rPr>
            <m:t>BC</m:t>
          </m:r>
          <m:sSub>
            <m:sSubPr>
              <m:ctrlPr>
                <w:rPr>
                  <w:rFonts w:ascii="Cambria Math" w:eastAsia="Times New Roman" w:hAnsi="Cambria Math" w:cs="Times New Roman"/>
                  <w:kern w:val="0"/>
                </w:rPr>
              </m:ctrlPr>
            </m:sSubPr>
            <m:e>
              <m:r>
                <w:rPr>
                  <w:rFonts w:ascii="Cambria Math" w:eastAsia="Times New Roman" w:hAnsi="Cambria Math" w:cs="Times New Roman"/>
                  <w:kern w:val="0"/>
                </w:rPr>
                <m:t>R</m:t>
              </m:r>
            </m:e>
            <m:sub>
              <m:r>
                <w:rPr>
                  <w:rFonts w:ascii="Cambria Math" w:eastAsia="Times New Roman" w:hAnsi="Cambria Math" w:cs="Times New Roman"/>
                  <w:kern w:val="0"/>
                </w:rPr>
                <m:t>it</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π</m:t>
              </m:r>
            </m:e>
            <m:sub>
              <m:r>
                <w:rPr>
                  <w:rFonts w:ascii="Cambria Math" w:eastAsia="Times New Roman" w:hAnsi="Cambria Math" w:cs="Times New Roman"/>
                  <w:kern w:val="0"/>
                </w:rPr>
                <m:t>5</m:t>
              </m:r>
            </m:sub>
          </m:sSub>
          <m:r>
            <m:rPr>
              <m:sty m:val="p"/>
            </m:rPr>
            <w:rPr>
              <w:rFonts w:ascii="Cambria Math" w:eastAsia="Times New Roman" w:hAnsi="Cambria Math" w:cs="Times New Roman"/>
              <w:kern w:val="0"/>
            </w:rPr>
            <m:t>Δ</m:t>
          </m:r>
          <m:r>
            <w:rPr>
              <w:rFonts w:ascii="Cambria Math" w:eastAsia="Times New Roman" w:hAnsi="Cambria Math" w:cs="Times New Roman"/>
              <w:kern w:val="0"/>
            </w:rPr>
            <m:t>I</m:t>
          </m:r>
          <m:sSub>
            <m:sSubPr>
              <m:ctrlPr>
                <w:rPr>
                  <w:rFonts w:ascii="Cambria Math" w:eastAsia="Times New Roman" w:hAnsi="Cambria Math" w:cs="Times New Roman"/>
                  <w:kern w:val="0"/>
                </w:rPr>
              </m:ctrlPr>
            </m:sSubPr>
            <m:e>
              <m:r>
                <w:rPr>
                  <w:rFonts w:ascii="Cambria Math" w:eastAsia="Times New Roman" w:hAnsi="Cambria Math" w:cs="Times New Roman"/>
                  <w:kern w:val="0"/>
                </w:rPr>
                <m:t>R</m:t>
              </m:r>
            </m:e>
            <m:sub>
              <m:r>
                <w:rPr>
                  <w:rFonts w:ascii="Cambria Math" w:eastAsia="Times New Roman" w:hAnsi="Cambria Math" w:cs="Times New Roman"/>
                  <w:kern w:val="0"/>
                </w:rPr>
                <m:t>it</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π</m:t>
              </m:r>
            </m:e>
            <m:sub>
              <m:r>
                <w:rPr>
                  <w:rFonts w:ascii="Cambria Math" w:eastAsia="Times New Roman" w:hAnsi="Cambria Math" w:cs="Times New Roman"/>
                  <w:kern w:val="0"/>
                </w:rPr>
                <m:t>6</m:t>
              </m:r>
            </m:sub>
          </m:sSub>
          <m:r>
            <m:rPr>
              <m:sty m:val="p"/>
            </m:rPr>
            <w:rPr>
              <w:rFonts w:ascii="Cambria Math" w:eastAsia="Times New Roman" w:hAnsi="Cambria Math" w:cs="Times New Roman"/>
              <w:kern w:val="0"/>
            </w:rPr>
            <m:t>Δ</m:t>
          </m:r>
          <m:r>
            <w:rPr>
              <w:rFonts w:ascii="Cambria Math" w:eastAsia="Times New Roman" w:hAnsi="Cambria Math" w:cs="Times New Roman"/>
              <w:kern w:val="0"/>
            </w:rPr>
            <m:t>IN</m:t>
          </m:r>
          <m:sSub>
            <m:sSubPr>
              <m:ctrlPr>
                <w:rPr>
                  <w:rFonts w:ascii="Cambria Math" w:eastAsia="Times New Roman" w:hAnsi="Cambria Math" w:cs="Times New Roman"/>
                  <w:kern w:val="0"/>
                </w:rPr>
              </m:ctrlPr>
            </m:sSubPr>
            <m:e>
              <m:r>
                <w:rPr>
                  <w:rFonts w:ascii="Cambria Math" w:eastAsia="Times New Roman" w:hAnsi="Cambria Math" w:cs="Times New Roman"/>
                  <w:kern w:val="0"/>
                </w:rPr>
                <m:t>F</m:t>
              </m:r>
            </m:e>
            <m:sub>
              <m:r>
                <w:rPr>
                  <w:rFonts w:ascii="Cambria Math" w:eastAsia="Times New Roman" w:hAnsi="Cambria Math" w:cs="Times New Roman"/>
                  <w:kern w:val="0"/>
                </w:rPr>
                <m:t>it</m:t>
              </m:r>
            </m:sub>
          </m:sSub>
          <m:r>
            <w:rPr>
              <w:rFonts w:ascii="Cambria Math" w:eastAsia="Times New Roman" w:hAnsi="Cambria Math" w:cs="Times New Roman"/>
              <w:kern w:val="0"/>
            </w:rPr>
            <m:t>+ρ</m:t>
          </m:r>
          <m:d>
            <m:dPr>
              <m:sepChr m:val="−"/>
              <m:ctrlPr>
                <w:rPr>
                  <w:rFonts w:ascii="Cambria Math" w:eastAsia="Times New Roman" w:hAnsi="Cambria Math" w:cs="Times New Roman"/>
                  <w:kern w:val="0"/>
                </w:rPr>
              </m:ctrlPr>
            </m:dPr>
            <m:e>
              <m:r>
                <w:rPr>
                  <w:rFonts w:ascii="Cambria Math" w:eastAsia="Times New Roman" w:hAnsi="Cambria Math" w:cs="Times New Roman"/>
                  <w:kern w:val="0"/>
                </w:rPr>
                <m:t>DIN</m:t>
              </m:r>
              <m:sSub>
                <m:sSubPr>
                  <m:ctrlPr>
                    <w:rPr>
                      <w:rFonts w:ascii="Cambria Math" w:eastAsia="Times New Roman" w:hAnsi="Cambria Math" w:cs="Times New Roman"/>
                      <w:kern w:val="0"/>
                    </w:rPr>
                  </m:ctrlPr>
                </m:sSubPr>
                <m:e>
                  <m:r>
                    <w:rPr>
                      <w:rFonts w:ascii="Cambria Math" w:eastAsia="Times New Roman" w:hAnsi="Cambria Math" w:cs="Times New Roman"/>
                      <w:kern w:val="0"/>
                    </w:rPr>
                    <m:t>V</m:t>
                  </m:r>
                </m:e>
                <m:sub>
                  <m:r>
                    <w:rPr>
                      <w:rFonts w:ascii="Cambria Math" w:eastAsia="Times New Roman" w:hAnsi="Cambria Math" w:cs="Times New Roman"/>
                      <w:kern w:val="0"/>
                    </w:rPr>
                    <m:t>it-1</m:t>
                  </m:r>
                </m:sub>
              </m:sSub>
            </m:e>
            <m:e>
              <m:sSub>
                <m:sSubPr>
                  <m:ctrlPr>
                    <w:rPr>
                      <w:rFonts w:ascii="Cambria Math" w:eastAsia="Times New Roman" w:hAnsi="Cambria Math" w:cs="Times New Roman"/>
                      <w:kern w:val="0"/>
                    </w:rPr>
                  </m:ctrlPr>
                </m:sSubPr>
                <m:e>
                  <m:r>
                    <w:rPr>
                      <w:rFonts w:ascii="Cambria Math" w:eastAsia="Times New Roman" w:hAnsi="Cambria Math" w:cs="Times New Roman"/>
                      <w:kern w:val="0"/>
                    </w:rPr>
                    <m:t>ρ</m:t>
                  </m:r>
                </m:e>
                <m:sub>
                  <m:r>
                    <w:rPr>
                      <w:rFonts w:ascii="Cambria Math" w:eastAsia="Times New Roman" w:hAnsi="Cambria Math" w:cs="Times New Roman"/>
                      <w:kern w:val="0"/>
                    </w:rPr>
                    <m:t>1</m:t>
                  </m:r>
                </m:sub>
              </m:sSub>
              <m:r>
                <w:rPr>
                  <w:rFonts w:ascii="Cambria Math" w:eastAsia="Times New Roman" w:hAnsi="Cambria Math" w:cs="Times New Roman"/>
                  <w:kern w:val="0"/>
                </w:rPr>
                <m:t>E</m:t>
              </m:r>
              <m:sSub>
                <m:sSubPr>
                  <m:ctrlPr>
                    <w:rPr>
                      <w:rFonts w:ascii="Cambria Math" w:eastAsia="Times New Roman" w:hAnsi="Cambria Math" w:cs="Times New Roman"/>
                      <w:kern w:val="0"/>
                    </w:rPr>
                  </m:ctrlPr>
                </m:sSubPr>
                <m:e>
                  <m:r>
                    <w:rPr>
                      <w:rFonts w:ascii="Cambria Math" w:eastAsia="Times New Roman" w:hAnsi="Cambria Math" w:cs="Times New Roman"/>
                      <w:kern w:val="0"/>
                    </w:rPr>
                    <m:t>D</m:t>
                  </m:r>
                </m:e>
                <m:sub>
                  <m:r>
                    <w:rPr>
                      <w:rFonts w:ascii="Cambria Math" w:eastAsia="Times New Roman" w:hAnsi="Cambria Math" w:cs="Times New Roman"/>
                      <w:kern w:val="0"/>
                    </w:rPr>
                    <m:t>it</m:t>
                  </m:r>
                </m:sub>
              </m:sSub>
            </m:e>
            <m:e>
              <m:sSub>
                <m:sSubPr>
                  <m:ctrlPr>
                    <w:rPr>
                      <w:rFonts w:ascii="Cambria Math" w:eastAsia="Times New Roman" w:hAnsi="Cambria Math" w:cs="Times New Roman"/>
                      <w:kern w:val="0"/>
                    </w:rPr>
                  </m:ctrlPr>
                </m:sSubPr>
                <m:e>
                  <m:r>
                    <w:rPr>
                      <w:rFonts w:ascii="Cambria Math" w:eastAsia="Times New Roman" w:hAnsi="Cambria Math" w:cs="Times New Roman"/>
                      <w:kern w:val="0"/>
                    </w:rPr>
                    <m:t>ρ</m:t>
                  </m:r>
                </m:e>
                <m:sub>
                  <m:r>
                    <w:rPr>
                      <w:rFonts w:ascii="Cambria Math" w:eastAsia="Times New Roman" w:hAnsi="Cambria Math" w:cs="Times New Roman"/>
                      <w:kern w:val="0"/>
                    </w:rPr>
                    <m:t>2</m:t>
                  </m:r>
                </m:sub>
              </m:sSub>
              <m:r>
                <w:rPr>
                  <w:rFonts w:ascii="Cambria Math" w:eastAsia="Times New Roman" w:hAnsi="Cambria Math" w:cs="Times New Roman"/>
                  <w:kern w:val="0"/>
                </w:rPr>
                <m:t>D</m:t>
              </m:r>
              <m:sSub>
                <m:sSubPr>
                  <m:ctrlPr>
                    <w:rPr>
                      <w:rFonts w:ascii="Cambria Math" w:eastAsia="Times New Roman" w:hAnsi="Cambria Math" w:cs="Times New Roman"/>
                      <w:kern w:val="0"/>
                    </w:rPr>
                  </m:ctrlPr>
                </m:sSubPr>
                <m:e>
                  <m:r>
                    <w:rPr>
                      <w:rFonts w:ascii="Cambria Math" w:eastAsia="Times New Roman" w:hAnsi="Cambria Math" w:cs="Times New Roman"/>
                      <w:kern w:val="0"/>
                    </w:rPr>
                    <m:t>S</m:t>
                  </m:r>
                </m:e>
                <m:sub>
                  <m:r>
                    <w:rPr>
                      <w:rFonts w:ascii="Cambria Math" w:eastAsia="Times New Roman" w:hAnsi="Cambria Math" w:cs="Times New Roman"/>
                      <w:kern w:val="0"/>
                    </w:rPr>
                    <m:t>it</m:t>
                  </m:r>
                </m:sub>
              </m:sSub>
            </m:e>
            <m:e>
              <m:sSub>
                <m:sSubPr>
                  <m:ctrlPr>
                    <w:rPr>
                      <w:rFonts w:ascii="Cambria Math" w:eastAsia="Times New Roman" w:hAnsi="Cambria Math" w:cs="Times New Roman"/>
                      <w:kern w:val="0"/>
                    </w:rPr>
                  </m:ctrlPr>
                </m:sSubPr>
                <m:e>
                  <m:r>
                    <w:rPr>
                      <w:rFonts w:ascii="Cambria Math" w:eastAsia="Times New Roman" w:hAnsi="Cambria Math" w:cs="Times New Roman"/>
                      <w:kern w:val="0"/>
                    </w:rPr>
                    <m:t>ρ</m:t>
                  </m:r>
                </m:e>
                <m:sub>
                  <m:r>
                    <w:rPr>
                      <w:rFonts w:ascii="Cambria Math" w:eastAsia="Times New Roman" w:hAnsi="Cambria Math" w:cs="Times New Roman"/>
                      <w:kern w:val="0"/>
                    </w:rPr>
                    <m:t>3</m:t>
                  </m:r>
                </m:sub>
              </m:sSub>
              <m:r>
                <w:rPr>
                  <w:rFonts w:ascii="Cambria Math" w:eastAsia="Times New Roman" w:hAnsi="Cambria Math" w:cs="Times New Roman"/>
                  <w:kern w:val="0"/>
                </w:rPr>
                <m:t>BC</m:t>
              </m:r>
              <m:sSub>
                <m:sSubPr>
                  <m:ctrlPr>
                    <w:rPr>
                      <w:rFonts w:ascii="Cambria Math" w:eastAsia="Times New Roman" w:hAnsi="Cambria Math" w:cs="Times New Roman"/>
                      <w:kern w:val="0"/>
                    </w:rPr>
                  </m:ctrlPr>
                </m:sSubPr>
                <m:e>
                  <m:r>
                    <w:rPr>
                      <w:rFonts w:ascii="Cambria Math" w:eastAsia="Times New Roman" w:hAnsi="Cambria Math" w:cs="Times New Roman"/>
                      <w:kern w:val="0"/>
                    </w:rPr>
                    <m:t>R</m:t>
                  </m:r>
                </m:e>
                <m:sub>
                  <m:r>
                    <w:rPr>
                      <w:rFonts w:ascii="Cambria Math" w:eastAsia="Times New Roman" w:hAnsi="Cambria Math" w:cs="Times New Roman"/>
                      <w:kern w:val="0"/>
                    </w:rPr>
                    <m:t>it</m:t>
                  </m:r>
                </m:sub>
              </m:sSub>
            </m:e>
            <m:e>
              <m:sSub>
                <m:sSubPr>
                  <m:ctrlPr>
                    <w:rPr>
                      <w:rFonts w:ascii="Cambria Math" w:eastAsia="Times New Roman" w:hAnsi="Cambria Math" w:cs="Times New Roman"/>
                      <w:kern w:val="0"/>
                    </w:rPr>
                  </m:ctrlPr>
                </m:sSubPr>
                <m:e>
                  <m:r>
                    <w:rPr>
                      <w:rFonts w:ascii="Cambria Math" w:eastAsia="Times New Roman" w:hAnsi="Cambria Math" w:cs="Times New Roman"/>
                      <w:kern w:val="0"/>
                    </w:rPr>
                    <m:t>ρ</m:t>
                  </m:r>
                </m:e>
                <m:sub>
                  <m:r>
                    <w:rPr>
                      <w:rFonts w:ascii="Cambria Math" w:eastAsia="Times New Roman" w:hAnsi="Cambria Math" w:cs="Times New Roman"/>
                      <w:kern w:val="0"/>
                    </w:rPr>
                    <m:t>4</m:t>
                  </m:r>
                </m:sub>
              </m:sSub>
              <m:r>
                <w:rPr>
                  <w:rFonts w:ascii="Cambria Math" w:eastAsia="Times New Roman" w:hAnsi="Cambria Math" w:cs="Times New Roman"/>
                  <w:kern w:val="0"/>
                </w:rPr>
                <m:t>I</m:t>
              </m:r>
              <m:sSub>
                <m:sSubPr>
                  <m:ctrlPr>
                    <w:rPr>
                      <w:rFonts w:ascii="Cambria Math" w:eastAsia="Times New Roman" w:hAnsi="Cambria Math" w:cs="Times New Roman"/>
                      <w:kern w:val="0"/>
                    </w:rPr>
                  </m:ctrlPr>
                </m:sSubPr>
                <m:e>
                  <m:r>
                    <w:rPr>
                      <w:rFonts w:ascii="Cambria Math" w:eastAsia="Times New Roman" w:hAnsi="Cambria Math" w:cs="Times New Roman"/>
                      <w:kern w:val="0"/>
                    </w:rPr>
                    <m:t>R</m:t>
                  </m:r>
                </m:e>
                <m:sub>
                  <m:r>
                    <w:rPr>
                      <w:rFonts w:ascii="Cambria Math" w:eastAsia="Times New Roman" w:hAnsi="Cambria Math" w:cs="Times New Roman"/>
                      <w:kern w:val="0"/>
                    </w:rPr>
                    <m:t>it</m:t>
                  </m:r>
                </m:sub>
              </m:sSub>
            </m:e>
            <m:e>
              <m:sSub>
                <m:sSubPr>
                  <m:ctrlPr>
                    <w:rPr>
                      <w:rFonts w:ascii="Cambria Math" w:eastAsia="Times New Roman" w:hAnsi="Cambria Math" w:cs="Times New Roman"/>
                      <w:kern w:val="0"/>
                    </w:rPr>
                  </m:ctrlPr>
                </m:sSubPr>
                <m:e>
                  <m:r>
                    <w:rPr>
                      <w:rFonts w:ascii="Cambria Math" w:eastAsia="Times New Roman" w:hAnsi="Cambria Math" w:cs="Times New Roman"/>
                      <w:kern w:val="0"/>
                    </w:rPr>
                    <m:t>ρ</m:t>
                  </m:r>
                </m:e>
                <m:sub>
                  <m:r>
                    <w:rPr>
                      <w:rFonts w:ascii="Cambria Math" w:eastAsia="Times New Roman" w:hAnsi="Cambria Math" w:cs="Times New Roman"/>
                      <w:kern w:val="0"/>
                    </w:rPr>
                    <m:t>5</m:t>
                  </m:r>
                </m:sub>
              </m:sSub>
              <m:r>
                <w:rPr>
                  <w:rFonts w:ascii="Cambria Math" w:eastAsia="Times New Roman" w:hAnsi="Cambria Math" w:cs="Times New Roman"/>
                  <w:kern w:val="0"/>
                </w:rPr>
                <m:t>IN</m:t>
              </m:r>
              <m:sSub>
                <m:sSubPr>
                  <m:ctrlPr>
                    <w:rPr>
                      <w:rFonts w:ascii="Cambria Math" w:eastAsia="Times New Roman" w:hAnsi="Cambria Math" w:cs="Times New Roman"/>
                      <w:kern w:val="0"/>
                    </w:rPr>
                  </m:ctrlPr>
                </m:sSubPr>
                <m:e>
                  <m:r>
                    <w:rPr>
                      <w:rFonts w:ascii="Cambria Math" w:eastAsia="Times New Roman" w:hAnsi="Cambria Math" w:cs="Times New Roman"/>
                      <w:kern w:val="0"/>
                    </w:rPr>
                    <m:t>F</m:t>
                  </m:r>
                </m:e>
                <m:sub>
                  <m:r>
                    <w:rPr>
                      <w:rFonts w:ascii="Cambria Math" w:eastAsia="Times New Roman" w:hAnsi="Cambria Math" w:cs="Times New Roman"/>
                      <w:kern w:val="0"/>
                    </w:rPr>
                    <m:t>it</m:t>
                  </m:r>
                </m:sub>
              </m:sSub>
            </m:e>
          </m:d>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μ</m:t>
              </m:r>
            </m:e>
            <m:sub>
              <m:r>
                <w:rPr>
                  <w:rFonts w:ascii="Cambria Math" w:eastAsia="Times New Roman" w:hAnsi="Cambria Math" w:cs="Times New Roman"/>
                  <w:kern w:val="0"/>
                </w:rPr>
                <m:t>i</m:t>
              </m:r>
            </m:sub>
          </m:sSub>
          <m:r>
            <w:rPr>
              <w:rFonts w:ascii="Cambria Math" w:eastAsia="Times New Roman" w:hAnsi="Cambria Math" w:cs="Times New Roman"/>
              <w:kern w:val="0"/>
            </w:rPr>
            <m:t>+</m:t>
          </m:r>
          <m:sSub>
            <m:sSubPr>
              <m:ctrlPr>
                <w:rPr>
                  <w:rFonts w:ascii="Cambria Math" w:eastAsia="Times New Roman" w:hAnsi="Cambria Math" w:cs="Times New Roman"/>
                  <w:kern w:val="0"/>
                </w:rPr>
              </m:ctrlPr>
            </m:sSubPr>
            <m:e>
              <m:r>
                <w:rPr>
                  <w:rFonts w:ascii="Cambria Math" w:eastAsia="Times New Roman" w:hAnsi="Cambria Math" w:cs="Times New Roman"/>
                  <w:kern w:val="0"/>
                </w:rPr>
                <m:t>ε</m:t>
              </m:r>
            </m:e>
            <m:sub>
              <m:r>
                <w:rPr>
                  <w:rFonts w:ascii="Cambria Math" w:eastAsia="Times New Roman" w:hAnsi="Cambria Math" w:cs="Times New Roman"/>
                  <w:kern w:val="0"/>
                </w:rPr>
                <m:t>it</m:t>
              </m:r>
            </m:sub>
          </m:sSub>
          <m:r>
            <m:rPr>
              <m:sty m:val="p"/>
            </m:rPr>
            <w:rPr>
              <w:rFonts w:ascii="Times New Roman" w:eastAsia="Times New Roman" w:hAnsi="Times New Roman" w:cs="Times New Roman"/>
              <w:kern w:val="0"/>
            </w:rPr>
            <w:br/>
          </m:r>
        </m:oMath>
      </m:oMathPara>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In this model, the first-difference operator (</w:t>
      </w:r>
      <m:oMath>
        <m:r>
          <m:rPr>
            <m:sty m:val="p"/>
          </m:rPr>
          <w:rPr>
            <w:rFonts w:ascii="Cambria Math" w:eastAsia="Times New Roman" w:hAnsi="Cambria Math" w:cs="Times New Roman"/>
            <w:kern w:val="0"/>
          </w:rPr>
          <m:t>Δ</m:t>
        </m:r>
      </m:oMath>
      <w:r w:rsidRPr="00931F3F">
        <w:rPr>
          <w:rFonts w:ascii="Times New Roman" w:eastAsia="Times New Roman" w:hAnsi="Times New Roman" w:cs="Times New Roman"/>
          <w:kern w:val="0"/>
        </w:rPr>
        <w:t xml:space="preserve">) captures short-term changes in the variables. The intercept </w:t>
      </w:r>
      <m:oMath>
        <m:sSub>
          <m:sSubPr>
            <m:ctrlPr>
              <w:rPr>
                <w:rFonts w:ascii="Cambria Math" w:eastAsia="Times New Roman" w:hAnsi="Cambria Math" w:cs="Times New Roman"/>
                <w:kern w:val="0"/>
              </w:rPr>
            </m:ctrlPr>
          </m:sSubPr>
          <m:e>
            <m:r>
              <w:rPr>
                <w:rFonts w:ascii="Cambria Math" w:eastAsia="Times New Roman" w:hAnsi="Cambria Math" w:cs="Times New Roman"/>
                <w:kern w:val="0"/>
              </w:rPr>
              <m:t>ϕ</m:t>
            </m:r>
          </m:e>
          <m:sub>
            <m:r>
              <w:rPr>
                <w:rFonts w:ascii="Cambria Math" w:eastAsia="Times New Roman" w:hAnsi="Cambria Math" w:cs="Times New Roman"/>
                <w:kern w:val="0"/>
              </w:rPr>
              <m:t>i</m:t>
            </m:r>
          </m:sub>
        </m:sSub>
      </m:oMath>
      <w:r w:rsidRPr="00931F3F">
        <w:rPr>
          <w:rFonts w:ascii="Times New Roman" w:eastAsia="Times New Roman" w:hAnsi="Times New Roman" w:cs="Times New Roman"/>
          <w:kern w:val="0"/>
        </w:rPr>
        <w:t xml:space="preserve">varies across countries to account for heterogeneity. The coefficients </w:t>
      </w:r>
      <m:oMath>
        <m:r>
          <w:rPr>
            <w:rFonts w:ascii="Cambria Math" w:eastAsia="Times New Roman" w:hAnsi="Cambria Math" w:cs="Times New Roman"/>
            <w:kern w:val="0"/>
          </w:rPr>
          <m:t>π</m:t>
        </m:r>
      </m:oMath>
      <w:r w:rsidRPr="00931F3F">
        <w:rPr>
          <w:rFonts w:ascii="Times New Roman" w:eastAsia="Times New Roman" w:hAnsi="Times New Roman" w:cs="Times New Roman"/>
          <w:kern w:val="0"/>
        </w:rPr>
        <w:t xml:space="preserve">represent short-run effects, while the error correction term reflects the speed at which deviations from long-run equilibrium are corrected. The term </w:t>
      </w:r>
      <m:oMath>
        <m:sSub>
          <m:sSubPr>
            <m:ctrlPr>
              <w:rPr>
                <w:rFonts w:ascii="Cambria Math" w:eastAsia="Times New Roman" w:hAnsi="Cambria Math" w:cs="Times New Roman"/>
                <w:kern w:val="0"/>
              </w:rPr>
            </m:ctrlPr>
          </m:sSubPr>
          <m:e>
            <m:r>
              <w:rPr>
                <w:rFonts w:ascii="Cambria Math" w:eastAsia="Times New Roman" w:hAnsi="Cambria Math" w:cs="Times New Roman"/>
                <w:kern w:val="0"/>
              </w:rPr>
              <m:t>μ</m:t>
            </m:r>
          </m:e>
          <m:sub>
            <m:r>
              <w:rPr>
                <w:rFonts w:ascii="Cambria Math" w:eastAsia="Times New Roman" w:hAnsi="Cambria Math" w:cs="Times New Roman"/>
                <w:kern w:val="0"/>
              </w:rPr>
              <m:t>i</m:t>
            </m:r>
          </m:sub>
        </m:sSub>
      </m:oMath>
      <w:r w:rsidRPr="00931F3F">
        <w:rPr>
          <w:rFonts w:ascii="Times New Roman" w:eastAsia="Times New Roman" w:hAnsi="Times New Roman" w:cs="Times New Roman"/>
          <w:kern w:val="0"/>
        </w:rPr>
        <w:t xml:space="preserve">captures country-specific random effects, and </w:t>
      </w:r>
      <m:oMath>
        <m:sSub>
          <m:sSubPr>
            <m:ctrlPr>
              <w:rPr>
                <w:rFonts w:ascii="Cambria Math" w:eastAsia="Times New Roman" w:hAnsi="Cambria Math" w:cs="Times New Roman"/>
                <w:kern w:val="0"/>
              </w:rPr>
            </m:ctrlPr>
          </m:sSubPr>
          <m:e>
            <m:r>
              <w:rPr>
                <w:rFonts w:ascii="Cambria Math" w:eastAsia="Times New Roman" w:hAnsi="Cambria Math" w:cs="Times New Roman"/>
                <w:kern w:val="0"/>
              </w:rPr>
              <m:t>ε</m:t>
            </m:r>
          </m:e>
          <m:sub>
            <m:r>
              <w:rPr>
                <w:rFonts w:ascii="Cambria Math" w:eastAsia="Times New Roman" w:hAnsi="Cambria Math" w:cs="Times New Roman"/>
                <w:kern w:val="0"/>
              </w:rPr>
              <m:t>it</m:t>
            </m:r>
          </m:sub>
        </m:sSub>
      </m:oMath>
      <w:r w:rsidRPr="00931F3F">
        <w:rPr>
          <w:rFonts w:ascii="Times New Roman" w:eastAsia="Times New Roman" w:hAnsi="Times New Roman" w:cs="Times New Roman"/>
          <w:kern w:val="0"/>
        </w:rPr>
        <w:t>is the error term.</w:t>
      </w:r>
    </w:p>
    <w:p w:rsidR="00900879" w:rsidRPr="00931F3F" w:rsidRDefault="00900879" w:rsidP="00931F3F">
      <w:pPr>
        <w:spacing w:before="100" w:beforeAutospacing="1" w:after="100" w:afterAutospacing="1" w:line="240" w:lineRule="auto"/>
        <w:jc w:val="both"/>
        <w:outlineLvl w:val="2"/>
        <w:rPr>
          <w:rFonts w:ascii="Times New Roman" w:eastAsia="Times New Roman" w:hAnsi="Times New Roman" w:cs="Times New Roman"/>
          <w:b/>
          <w:bCs/>
          <w:kern w:val="0"/>
        </w:rPr>
      </w:pPr>
      <w:r w:rsidRPr="00931F3F">
        <w:rPr>
          <w:rFonts w:ascii="Times New Roman" w:eastAsia="Times New Roman" w:hAnsi="Times New Roman" w:cs="Times New Roman"/>
          <w:b/>
          <w:bCs/>
          <w:kern w:val="0"/>
        </w:rPr>
        <w:t>Diagnostic Tests</w:t>
      </w:r>
    </w:p>
    <w:p w:rsidR="00900879" w:rsidRPr="00931F3F" w:rsidRDefault="00900879"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To verify the validity and robustness of the estimated model, several diagnostic tests were conducted. These included tests for serial correlation, heteroskedasticity, and normality of residuals. The results indicated that the model was free from autocorrelation and heteroskedasticity, and that the residuals were normally distributed, confirming the adequacy of the model specification. Additionally, stability tests demonstrated that the estimated coefficients remained stable over time, thereby reinforcing confidence in the reliability of the findings.</w:t>
      </w:r>
    </w:p>
    <w:p w:rsidR="00F00860" w:rsidRDefault="00F00860" w:rsidP="00931F3F">
      <w:pPr>
        <w:spacing w:line="240" w:lineRule="auto"/>
        <w:jc w:val="both"/>
        <w:rPr>
          <w:rFonts w:ascii="Times New Roman" w:hAnsi="Times New Roman" w:cs="Times New Roman"/>
          <w:b/>
          <w:bCs/>
          <w:lang w:val="en-GB"/>
        </w:rPr>
      </w:pPr>
    </w:p>
    <w:p w:rsidR="00F00860" w:rsidRDefault="00F00860" w:rsidP="00931F3F">
      <w:pPr>
        <w:spacing w:line="240" w:lineRule="auto"/>
        <w:jc w:val="both"/>
        <w:rPr>
          <w:rFonts w:ascii="Times New Roman" w:hAnsi="Times New Roman" w:cs="Times New Roman"/>
          <w:b/>
          <w:bCs/>
          <w:lang w:val="en-GB"/>
        </w:rPr>
      </w:pPr>
    </w:p>
    <w:p w:rsidR="00F00860" w:rsidRDefault="00F00860" w:rsidP="00931F3F">
      <w:pPr>
        <w:spacing w:line="240" w:lineRule="auto"/>
        <w:jc w:val="both"/>
        <w:rPr>
          <w:rFonts w:ascii="Times New Roman" w:hAnsi="Times New Roman" w:cs="Times New Roman"/>
          <w:b/>
          <w:bCs/>
          <w:lang w:val="en-GB"/>
        </w:rPr>
      </w:pPr>
    </w:p>
    <w:p w:rsidR="00F00860" w:rsidRDefault="00F00860" w:rsidP="00931F3F">
      <w:pPr>
        <w:spacing w:line="240" w:lineRule="auto"/>
        <w:jc w:val="both"/>
        <w:rPr>
          <w:rFonts w:ascii="Times New Roman" w:hAnsi="Times New Roman" w:cs="Times New Roman"/>
          <w:b/>
          <w:bCs/>
          <w:lang w:val="en-GB"/>
        </w:rPr>
      </w:pPr>
    </w:p>
    <w:p w:rsidR="00F00860" w:rsidRDefault="00F00860" w:rsidP="00931F3F">
      <w:pPr>
        <w:spacing w:line="240" w:lineRule="auto"/>
        <w:jc w:val="both"/>
        <w:rPr>
          <w:rFonts w:ascii="Times New Roman" w:hAnsi="Times New Roman" w:cs="Times New Roman"/>
          <w:b/>
          <w:bCs/>
          <w:lang w:val="en-GB"/>
        </w:rPr>
      </w:pPr>
    </w:p>
    <w:p w:rsidR="0077165F" w:rsidRPr="00931F3F" w:rsidRDefault="0077165F" w:rsidP="00931F3F">
      <w:pPr>
        <w:spacing w:line="240" w:lineRule="auto"/>
        <w:jc w:val="both"/>
        <w:rPr>
          <w:rFonts w:ascii="Times New Roman" w:hAnsi="Times New Roman" w:cs="Times New Roman"/>
          <w:b/>
          <w:bCs/>
          <w:lang w:val="en-GB"/>
        </w:rPr>
      </w:pPr>
      <w:r w:rsidRPr="00931F3F">
        <w:rPr>
          <w:rFonts w:ascii="Times New Roman" w:hAnsi="Times New Roman" w:cs="Times New Roman"/>
          <w:b/>
          <w:bCs/>
          <w:lang w:val="en-GB"/>
        </w:rPr>
        <w:t xml:space="preserve">Results </w:t>
      </w:r>
    </w:p>
    <w:p w:rsidR="00290B30" w:rsidRPr="00931F3F" w:rsidRDefault="00290B30" w:rsidP="00931F3F">
      <w:pPr>
        <w:pStyle w:val="Heading1"/>
        <w:spacing w:line="240" w:lineRule="auto"/>
        <w:rPr>
          <w:rFonts w:eastAsia="Times New Roman" w:cs="Times New Roman"/>
          <w:szCs w:val="24"/>
        </w:rPr>
      </w:pPr>
      <w:bookmarkStart w:id="0" w:name="_Toc210904311"/>
      <w:r w:rsidRPr="00931F3F">
        <w:rPr>
          <w:rFonts w:eastAsia="Times New Roman" w:cs="Times New Roman"/>
          <w:szCs w:val="24"/>
        </w:rPr>
        <w:t xml:space="preserve">Multi-country Panel Trend Overview of debt and investment in the </w:t>
      </w:r>
      <w:r w:rsidR="0083325A" w:rsidRPr="00931F3F">
        <w:rPr>
          <w:rFonts w:eastAsia="Times New Roman" w:cs="Times New Roman"/>
          <w:szCs w:val="24"/>
        </w:rPr>
        <w:t>Eastern African Sub-Region Countries</w:t>
      </w:r>
      <w:bookmarkEnd w:id="0"/>
    </w:p>
    <w:p w:rsidR="00290B30" w:rsidRPr="00931F3F" w:rsidRDefault="00290B30" w:rsidP="00931F3F">
      <w:pPr>
        <w:autoSpaceDE w:val="0"/>
        <w:autoSpaceDN w:val="0"/>
        <w:adjustRightInd w:val="0"/>
        <w:spacing w:after="0" w:line="240" w:lineRule="auto"/>
        <w:rPr>
          <w:rFonts w:ascii="Times New Roman" w:eastAsia="Calibri" w:hAnsi="Times New Roman" w:cs="Times New Roman"/>
          <w:b/>
          <w:bCs/>
          <w:kern w:val="0"/>
        </w:rPr>
      </w:pPr>
      <w:r w:rsidRPr="00931F3F">
        <w:rPr>
          <w:rFonts w:ascii="Times New Roman" w:eastAsia="Calibri" w:hAnsi="Times New Roman" w:cs="Times New Roman"/>
          <w:noProof/>
          <w:kern w:val="0"/>
        </w:rPr>
        <w:drawing>
          <wp:inline distT="0" distB="0" distL="0" distR="0">
            <wp:extent cx="5943600" cy="2933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2933700"/>
                    </a:xfrm>
                    <a:prstGeom prst="rect">
                      <a:avLst/>
                    </a:prstGeom>
                    <a:noFill/>
                    <a:ln>
                      <a:noFill/>
                    </a:ln>
                  </pic:spPr>
                </pic:pic>
              </a:graphicData>
            </a:graphic>
          </wp:inline>
        </w:drawing>
      </w:r>
    </w:p>
    <w:p w:rsidR="00290B30" w:rsidRPr="00931F3F" w:rsidRDefault="00290B30" w:rsidP="00931F3F">
      <w:pPr>
        <w:spacing w:after="200" w:line="240" w:lineRule="auto"/>
        <w:rPr>
          <w:rFonts w:ascii="Times New Roman" w:eastAsia="Calibri" w:hAnsi="Times New Roman" w:cs="Times New Roman"/>
          <w:b/>
          <w:bCs/>
          <w:color w:val="000000"/>
        </w:rPr>
      </w:pPr>
      <w:bookmarkStart w:id="1" w:name="_Toc210903451"/>
      <w:r w:rsidRPr="00931F3F">
        <w:rPr>
          <w:rFonts w:ascii="Times New Roman" w:eastAsia="Calibri" w:hAnsi="Times New Roman" w:cs="Times New Roman"/>
          <w:b/>
          <w:bCs/>
          <w:color w:val="000000"/>
        </w:rPr>
        <w:t xml:space="preserve">Figure </w:t>
      </w:r>
      <w:r w:rsidR="00B356CA" w:rsidRPr="00931F3F">
        <w:rPr>
          <w:rFonts w:ascii="Times New Roman" w:eastAsia="Calibri" w:hAnsi="Times New Roman" w:cs="Times New Roman"/>
          <w:b/>
          <w:bCs/>
          <w:color w:val="000000"/>
        </w:rPr>
        <w:t>1</w:t>
      </w:r>
      <w:r w:rsidRPr="00931F3F">
        <w:rPr>
          <w:rFonts w:ascii="Times New Roman" w:eastAsia="Calibri" w:hAnsi="Times New Roman" w:cs="Times New Roman"/>
          <w:b/>
          <w:bCs/>
          <w:color w:val="000000"/>
        </w:rPr>
        <w:t>: Multi-country Panel Trends</w:t>
      </w:r>
      <w:bookmarkEnd w:id="1"/>
    </w:p>
    <w:p w:rsidR="00290B30" w:rsidRPr="00931F3F" w:rsidRDefault="00290B30" w:rsidP="00931F3F">
      <w:pPr>
        <w:autoSpaceDE w:val="0"/>
        <w:autoSpaceDN w:val="0"/>
        <w:adjustRightInd w:val="0"/>
        <w:spacing w:after="0" w:line="240" w:lineRule="auto"/>
        <w:rPr>
          <w:rFonts w:ascii="Times New Roman" w:eastAsia="Calibri" w:hAnsi="Times New Roman" w:cs="Times New Roman"/>
          <w:b/>
          <w:bCs/>
          <w:kern w:val="0"/>
        </w:rPr>
      </w:pPr>
      <w:r w:rsidRPr="00931F3F">
        <w:rPr>
          <w:rFonts w:ascii="Times New Roman" w:eastAsia="Calibri" w:hAnsi="Times New Roman" w:cs="Times New Roman"/>
          <w:b/>
          <w:bCs/>
          <w:kern w:val="0"/>
        </w:rPr>
        <w:t>Source: Author’s Computation using Excel (2025)</w:t>
      </w:r>
    </w:p>
    <w:p w:rsidR="00290B30" w:rsidRPr="007C684A" w:rsidRDefault="005F44F1" w:rsidP="007C684A">
      <w:pPr>
        <w:spacing w:after="200" w:line="240" w:lineRule="auto"/>
        <w:jc w:val="both"/>
        <w:rPr>
          <w:rFonts w:ascii="Times New Roman" w:eastAsia="Times New Roman" w:hAnsi="Times New Roman" w:cs="Times New Roman"/>
          <w:kern w:val="0"/>
        </w:rPr>
      </w:pPr>
      <w:bookmarkStart w:id="2" w:name="_Toc210759974"/>
      <w:r w:rsidRPr="00931F3F">
        <w:rPr>
          <w:rFonts w:ascii="Times New Roman" w:eastAsia="Times New Roman" w:hAnsi="Times New Roman" w:cs="Times New Roman"/>
          <w:kern w:val="0"/>
        </w:rPr>
        <w:t>Investment trends in East Africa are heavily influenced by external debt, according to the chart. Ethiopia, Kenya, and Mozambique have seen significant upticks in borrowing for infrastructure, while domestic investment and bank credit have shown little change, pointing to weak domestic financial mobilization. Burundi and Eritrea, facing fragile fiscal systems, exhibit low debt and investment levels. Constrained bank credit signals underdeveloped financial sectors, with inflation and interest rate volatility adding further instability. Empirical studies (Mensah et al., 2022; Akinola &amp; Egbetunde, 2021; Fosu, 2021) support these findings, demonstrating that external debt can provide a short-term investment boost but can crowd out domestic investment as debt servicing escalates. Prudent debt management and robust financial intermediation are crucial for sustainable development</w:t>
      </w:r>
      <w:r w:rsidR="00052A9C" w:rsidRPr="00931F3F">
        <w:rPr>
          <w:rFonts w:ascii="Times New Roman" w:eastAsia="Times New Roman" w:hAnsi="Times New Roman" w:cs="Times New Roman"/>
          <w:kern w:val="0"/>
        </w:rPr>
        <w:t>.</w:t>
      </w:r>
      <w:bookmarkEnd w:id="2"/>
    </w:p>
    <w:tbl>
      <w:tblPr>
        <w:tblW w:w="0" w:type="auto"/>
        <w:tblInd w:w="30" w:type="dxa"/>
        <w:tblLayout w:type="fixed"/>
        <w:tblCellMar>
          <w:left w:w="0" w:type="dxa"/>
          <w:right w:w="0" w:type="dxa"/>
        </w:tblCellMar>
        <w:tblLook w:val="0000"/>
      </w:tblPr>
      <w:tblGrid>
        <w:gridCol w:w="2122"/>
        <w:gridCol w:w="1103"/>
        <w:gridCol w:w="1102"/>
        <w:gridCol w:w="1103"/>
        <w:gridCol w:w="1102"/>
      </w:tblGrid>
      <w:tr w:rsidR="00290B30" w:rsidRPr="00931F3F" w:rsidTr="007202D6">
        <w:trPr>
          <w:trHeight w:val="225"/>
        </w:trPr>
        <w:tc>
          <w:tcPr>
            <w:tcW w:w="6532" w:type="dxa"/>
            <w:gridSpan w:val="5"/>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b/>
                <w:bCs/>
                <w:color w:val="000000"/>
                <w:kern w:val="0"/>
              </w:rPr>
            </w:pPr>
          </w:p>
        </w:tc>
      </w:tr>
      <w:tr w:rsidR="00290B30" w:rsidRPr="00931F3F" w:rsidTr="007202D6">
        <w:trPr>
          <w:trHeight w:val="225"/>
        </w:trPr>
        <w:tc>
          <w:tcPr>
            <w:tcW w:w="6532" w:type="dxa"/>
            <w:gridSpan w:val="5"/>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Null hypothesis: Estimator is statistically similar to the PMG estimator</w:t>
            </w:r>
          </w:p>
        </w:tc>
      </w:tr>
      <w:tr w:rsidR="00290B30" w:rsidRPr="00931F3F" w:rsidTr="007202D6">
        <w:trPr>
          <w:trHeight w:hRule="exact" w:val="90"/>
        </w:trPr>
        <w:tc>
          <w:tcPr>
            <w:tcW w:w="212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3"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3"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r>
      <w:tr w:rsidR="00290B30" w:rsidRPr="00931F3F" w:rsidTr="007202D6">
        <w:trPr>
          <w:trHeight w:hRule="exact" w:val="135"/>
        </w:trPr>
        <w:tc>
          <w:tcPr>
            <w:tcW w:w="212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r>
      <w:tr w:rsidR="00290B30" w:rsidRPr="00931F3F" w:rsidTr="007202D6">
        <w:trPr>
          <w:trHeight w:val="225"/>
        </w:trPr>
        <w:tc>
          <w:tcPr>
            <w:tcW w:w="212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Estimator</w:t>
            </w: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Stat.</w:t>
            </w: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DOF</w:t>
            </w: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p-Value</w:t>
            </w:r>
          </w:p>
        </w:tc>
      </w:tr>
      <w:tr w:rsidR="00290B30" w:rsidRPr="00931F3F" w:rsidTr="007202D6">
        <w:trPr>
          <w:trHeight w:hRule="exact" w:val="90"/>
        </w:trPr>
        <w:tc>
          <w:tcPr>
            <w:tcW w:w="212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3"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3"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r>
      <w:tr w:rsidR="00290B30" w:rsidRPr="00931F3F" w:rsidTr="007202D6">
        <w:trPr>
          <w:trHeight w:hRule="exact" w:val="135"/>
        </w:trPr>
        <w:tc>
          <w:tcPr>
            <w:tcW w:w="212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r>
      <w:tr w:rsidR="00290B30" w:rsidRPr="00931F3F" w:rsidTr="007202D6">
        <w:trPr>
          <w:trHeight w:val="225"/>
        </w:trPr>
        <w:tc>
          <w:tcPr>
            <w:tcW w:w="212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Mean Group</w:t>
            </w: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2.133880</w:t>
            </w: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5</w:t>
            </w: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0.8303</w:t>
            </w:r>
          </w:p>
        </w:tc>
      </w:tr>
      <w:tr w:rsidR="00290B30" w:rsidRPr="00931F3F" w:rsidTr="007202D6">
        <w:trPr>
          <w:trHeight w:hRule="exact" w:val="90"/>
        </w:trPr>
        <w:tc>
          <w:tcPr>
            <w:tcW w:w="2122" w:type="dxa"/>
            <w:tcBorders>
              <w:top w:val="nil"/>
              <w:left w:val="nil"/>
              <w:bottom w:val="double" w:sz="6" w:space="0"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3" w:type="dxa"/>
            <w:tcBorders>
              <w:top w:val="nil"/>
              <w:left w:val="nil"/>
              <w:bottom w:val="double" w:sz="6" w:space="0"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2" w:type="dxa"/>
            <w:tcBorders>
              <w:top w:val="nil"/>
              <w:left w:val="nil"/>
              <w:bottom w:val="double" w:sz="6" w:space="0"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3" w:type="dxa"/>
            <w:tcBorders>
              <w:top w:val="nil"/>
              <w:left w:val="nil"/>
              <w:bottom w:val="double" w:sz="6" w:space="0"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2" w:type="dxa"/>
            <w:tcBorders>
              <w:top w:val="nil"/>
              <w:left w:val="nil"/>
              <w:bottom w:val="double" w:sz="6" w:space="0"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r>
      <w:tr w:rsidR="00290B30" w:rsidRPr="00931F3F" w:rsidTr="007202D6">
        <w:trPr>
          <w:trHeight w:hRule="exact" w:val="135"/>
        </w:trPr>
        <w:tc>
          <w:tcPr>
            <w:tcW w:w="212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r>
      <w:tr w:rsidR="00290B30" w:rsidRPr="00931F3F" w:rsidTr="007202D6">
        <w:trPr>
          <w:trHeight w:hRule="exact" w:val="60"/>
        </w:trPr>
        <w:tc>
          <w:tcPr>
            <w:tcW w:w="212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r>
    </w:tbl>
    <w:p w:rsidR="007C684A" w:rsidRDefault="007C684A" w:rsidP="00931F3F">
      <w:pPr>
        <w:autoSpaceDE w:val="0"/>
        <w:autoSpaceDN w:val="0"/>
        <w:adjustRightInd w:val="0"/>
        <w:spacing w:after="0" w:line="240" w:lineRule="auto"/>
        <w:jc w:val="both"/>
        <w:rPr>
          <w:rFonts w:ascii="Times New Roman" w:eastAsia="Calibri" w:hAnsi="Times New Roman" w:cs="Times New Roman"/>
          <w:b/>
          <w:bCs/>
          <w:i/>
          <w:iCs/>
          <w:kern w:val="0"/>
        </w:rPr>
      </w:pPr>
      <w:r w:rsidRPr="00931F3F">
        <w:rPr>
          <w:rFonts w:ascii="Times New Roman" w:eastAsia="Calibri" w:hAnsi="Times New Roman" w:cs="Times New Roman"/>
          <w:b/>
          <w:bCs/>
          <w:color w:val="000000"/>
        </w:rPr>
        <w:t>Table 1: PMG Hausman Specification Test</w:t>
      </w:r>
    </w:p>
    <w:p w:rsidR="00290B30" w:rsidRPr="00931F3F" w:rsidRDefault="00290B30" w:rsidP="00931F3F">
      <w:pPr>
        <w:autoSpaceDE w:val="0"/>
        <w:autoSpaceDN w:val="0"/>
        <w:adjustRightInd w:val="0"/>
        <w:spacing w:after="0" w:line="240" w:lineRule="auto"/>
        <w:jc w:val="both"/>
        <w:rPr>
          <w:rFonts w:ascii="Times New Roman" w:eastAsia="Times New Roman" w:hAnsi="Times New Roman" w:cs="Times New Roman"/>
          <w:i/>
          <w:iCs/>
          <w:color w:val="000000"/>
          <w:kern w:val="0"/>
        </w:rPr>
      </w:pPr>
      <w:r w:rsidRPr="00931F3F">
        <w:rPr>
          <w:rFonts w:ascii="Times New Roman" w:eastAsia="Calibri" w:hAnsi="Times New Roman" w:cs="Times New Roman"/>
          <w:b/>
          <w:bCs/>
          <w:i/>
          <w:iCs/>
          <w:kern w:val="0"/>
        </w:rPr>
        <w:t>Source: Researcher’s Computation Using Eviews 13 (2025)</w:t>
      </w:r>
    </w:p>
    <w:p w:rsidR="00290B30" w:rsidRPr="007C684A" w:rsidRDefault="0057134D" w:rsidP="007C684A">
      <w:pPr>
        <w:spacing w:after="0" w:line="240" w:lineRule="auto"/>
        <w:jc w:val="both"/>
        <w:rPr>
          <w:rFonts w:ascii="Times New Roman" w:eastAsia="Times New Roman" w:hAnsi="Times New Roman" w:cs="Times New Roman"/>
          <w:b/>
          <w:bCs/>
          <w:kern w:val="0"/>
        </w:rPr>
      </w:pPr>
      <w:r w:rsidRPr="00931F3F">
        <w:rPr>
          <w:rFonts w:ascii="Times New Roman" w:eastAsia="Times New Roman" w:hAnsi="Times New Roman" w:cs="Times New Roman"/>
          <w:color w:val="000000"/>
          <w:kern w:val="0"/>
        </w:rPr>
        <w:t>To establish the appropriateness of the PMG estimator, a Hausman test was conducted, with the results presented in Table 1. The test produced a statistic of 2.1339 with 5 degrees of freedom, and a p-value of 0.8303. Given that this p-value substantially surpasses the 5% significance threshold, we are unable to reject the null hypothesis. This outcome implies that the PMG and MG estimators are statistically indistinguishable, thereby validating the selection of the PMG approach for this investigation. The study's findings indicate that while short-run dynamics of debt and investment vary among countries within the Eastern African Sub-Region, their long-run relationships exhibit a tendency to converge. This convergence is likely attributable to common structural and macroeconomic drivers, such as a shared reliance on external borrowing and comparable fiscal challenges. Prior studies, notably those by Ndoricimpa (2020), Asteriou et al. (2020), and Mensah et al. (2019), have reported analogous results, demonstrating the PMG model's proficiency in identifying uniform long-run effects of public debt on investment across different regions. These findings further underscore the relevance of the debt overhang and crowding-out theories</w:t>
      </w:r>
      <w:r w:rsidR="005F44F1" w:rsidRPr="00931F3F">
        <w:rPr>
          <w:rFonts w:ascii="Times New Roman" w:eastAsia="Times New Roman" w:hAnsi="Times New Roman" w:cs="Times New Roman"/>
          <w:color w:val="000000"/>
          <w:kern w:val="0"/>
        </w:rPr>
        <w:t>.</w:t>
      </w:r>
    </w:p>
    <w:tbl>
      <w:tblPr>
        <w:tblpPr w:leftFromText="180" w:rightFromText="180" w:vertAnchor="text" w:tblpY="1"/>
        <w:tblOverlap w:val="never"/>
        <w:tblW w:w="0" w:type="auto"/>
        <w:tblLayout w:type="fixed"/>
        <w:tblCellMar>
          <w:left w:w="0" w:type="dxa"/>
          <w:right w:w="0" w:type="dxa"/>
        </w:tblCellMar>
        <w:tblLook w:val="0000"/>
      </w:tblPr>
      <w:tblGrid>
        <w:gridCol w:w="3316"/>
        <w:gridCol w:w="1470"/>
        <w:gridCol w:w="1117"/>
        <w:gridCol w:w="1118"/>
      </w:tblGrid>
      <w:tr w:rsidR="00290B30" w:rsidRPr="00931F3F" w:rsidTr="007202D6">
        <w:trPr>
          <w:trHeight w:val="312"/>
        </w:trPr>
        <w:tc>
          <w:tcPr>
            <w:tcW w:w="7021" w:type="dxa"/>
            <w:gridSpan w:val="4"/>
            <w:tcBorders>
              <w:top w:val="nil"/>
              <w:left w:val="nil"/>
              <w:bottom w:val="nil"/>
              <w:right w:val="nil"/>
            </w:tcBorders>
            <w:vAlign w:val="bottom"/>
          </w:tcPr>
          <w:p w:rsidR="00290B30" w:rsidRPr="007C684A" w:rsidRDefault="00290B30" w:rsidP="00931F3F">
            <w:pPr>
              <w:autoSpaceDE w:val="0"/>
              <w:autoSpaceDN w:val="0"/>
              <w:adjustRightInd w:val="0"/>
              <w:spacing w:after="0" w:line="240" w:lineRule="auto"/>
              <w:rPr>
                <w:rFonts w:ascii="Times New Roman" w:eastAsia="Calibri" w:hAnsi="Times New Roman" w:cs="Times New Roman"/>
                <w:b/>
                <w:bCs/>
                <w:color w:val="000000"/>
                <w:kern w:val="0"/>
              </w:rPr>
            </w:pPr>
            <w:r w:rsidRPr="007C684A">
              <w:rPr>
                <w:rFonts w:ascii="Times New Roman" w:eastAsia="Calibri" w:hAnsi="Times New Roman" w:cs="Times New Roman"/>
                <w:b/>
                <w:bCs/>
                <w:color w:val="000000"/>
                <w:kern w:val="0"/>
              </w:rPr>
              <w:t>Residual Cross-Section Dependence Test</w:t>
            </w:r>
          </w:p>
        </w:tc>
      </w:tr>
      <w:tr w:rsidR="00290B30" w:rsidRPr="00931F3F" w:rsidTr="007202D6">
        <w:trPr>
          <w:trHeight w:val="312"/>
        </w:trPr>
        <w:tc>
          <w:tcPr>
            <w:tcW w:w="7021" w:type="dxa"/>
            <w:gridSpan w:val="4"/>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Null hypothesis: No cross-section dependence (correlation) in residuals</w:t>
            </w:r>
          </w:p>
        </w:tc>
      </w:tr>
      <w:tr w:rsidR="00290B30" w:rsidRPr="00931F3F" w:rsidTr="007202D6">
        <w:trPr>
          <w:trHeight w:hRule="exact" w:val="124"/>
        </w:trPr>
        <w:tc>
          <w:tcPr>
            <w:tcW w:w="3316"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470"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17"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18"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r>
      <w:tr w:rsidR="00290B30" w:rsidRPr="00931F3F" w:rsidTr="007202D6">
        <w:trPr>
          <w:trHeight w:hRule="exact" w:val="187"/>
        </w:trPr>
        <w:tc>
          <w:tcPr>
            <w:tcW w:w="3316"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470"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17"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18"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r>
      <w:tr w:rsidR="00290B30" w:rsidRPr="00931F3F" w:rsidTr="007202D6">
        <w:trPr>
          <w:trHeight w:val="312"/>
        </w:trPr>
        <w:tc>
          <w:tcPr>
            <w:tcW w:w="3316"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Test</w:t>
            </w:r>
          </w:p>
        </w:tc>
        <w:tc>
          <w:tcPr>
            <w:tcW w:w="1470"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Statistic  </w:t>
            </w:r>
          </w:p>
        </w:tc>
        <w:tc>
          <w:tcPr>
            <w:tcW w:w="1117"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d.f.  </w:t>
            </w:r>
          </w:p>
        </w:tc>
        <w:tc>
          <w:tcPr>
            <w:tcW w:w="1118"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Prob.  </w:t>
            </w:r>
          </w:p>
        </w:tc>
      </w:tr>
      <w:tr w:rsidR="00290B30" w:rsidRPr="00931F3F" w:rsidTr="007202D6">
        <w:trPr>
          <w:trHeight w:hRule="exact" w:val="124"/>
        </w:trPr>
        <w:tc>
          <w:tcPr>
            <w:tcW w:w="3316"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470"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17"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18"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r>
      <w:tr w:rsidR="00290B30" w:rsidRPr="00931F3F" w:rsidTr="007202D6">
        <w:trPr>
          <w:trHeight w:hRule="exact" w:val="187"/>
        </w:trPr>
        <w:tc>
          <w:tcPr>
            <w:tcW w:w="3316"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470"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17"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18"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r>
      <w:tr w:rsidR="00290B30" w:rsidRPr="00931F3F" w:rsidTr="007202D6">
        <w:trPr>
          <w:trHeight w:val="312"/>
        </w:trPr>
        <w:tc>
          <w:tcPr>
            <w:tcW w:w="3316"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Breusch-Pagan LM</w:t>
            </w:r>
          </w:p>
        </w:tc>
        <w:tc>
          <w:tcPr>
            <w:tcW w:w="1470"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581.4133</w:t>
            </w:r>
          </w:p>
        </w:tc>
        <w:tc>
          <w:tcPr>
            <w:tcW w:w="1117"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 xml:space="preserve">120 </w:t>
            </w:r>
          </w:p>
        </w:tc>
        <w:tc>
          <w:tcPr>
            <w:tcW w:w="1118"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0.0000</w:t>
            </w:r>
          </w:p>
        </w:tc>
      </w:tr>
      <w:tr w:rsidR="00290B30" w:rsidRPr="00931F3F" w:rsidTr="007202D6">
        <w:trPr>
          <w:trHeight w:val="312"/>
        </w:trPr>
        <w:tc>
          <w:tcPr>
            <w:tcW w:w="3316"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Pesaran scaled LM</w:t>
            </w:r>
          </w:p>
        </w:tc>
        <w:tc>
          <w:tcPr>
            <w:tcW w:w="1470"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29.78410</w:t>
            </w:r>
          </w:p>
        </w:tc>
        <w:tc>
          <w:tcPr>
            <w:tcW w:w="1117"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p>
        </w:tc>
        <w:tc>
          <w:tcPr>
            <w:tcW w:w="1118"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0.0000</w:t>
            </w:r>
          </w:p>
        </w:tc>
      </w:tr>
      <w:tr w:rsidR="00290B30" w:rsidRPr="00931F3F" w:rsidTr="007202D6">
        <w:trPr>
          <w:trHeight w:val="312"/>
        </w:trPr>
        <w:tc>
          <w:tcPr>
            <w:tcW w:w="3316"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Pesaran CD</w:t>
            </w:r>
          </w:p>
        </w:tc>
        <w:tc>
          <w:tcPr>
            <w:tcW w:w="1470"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17.13644</w:t>
            </w:r>
          </w:p>
        </w:tc>
        <w:tc>
          <w:tcPr>
            <w:tcW w:w="1117"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p>
        </w:tc>
        <w:tc>
          <w:tcPr>
            <w:tcW w:w="1118"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ind w:right="10"/>
              <w:jc w:val="right"/>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0.0000</w:t>
            </w:r>
          </w:p>
        </w:tc>
      </w:tr>
      <w:tr w:rsidR="00290B30" w:rsidRPr="00931F3F" w:rsidTr="007202D6">
        <w:trPr>
          <w:trHeight w:hRule="exact" w:val="124"/>
        </w:trPr>
        <w:tc>
          <w:tcPr>
            <w:tcW w:w="3316" w:type="dxa"/>
            <w:tcBorders>
              <w:top w:val="nil"/>
              <w:left w:val="nil"/>
              <w:bottom w:val="double" w:sz="6" w:space="0"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470" w:type="dxa"/>
            <w:tcBorders>
              <w:top w:val="nil"/>
              <w:left w:val="nil"/>
              <w:bottom w:val="double" w:sz="6" w:space="0"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17" w:type="dxa"/>
            <w:tcBorders>
              <w:top w:val="nil"/>
              <w:left w:val="nil"/>
              <w:bottom w:val="double" w:sz="6" w:space="0"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18" w:type="dxa"/>
            <w:tcBorders>
              <w:top w:val="nil"/>
              <w:left w:val="nil"/>
              <w:bottom w:val="double" w:sz="6" w:space="0" w:color="auto"/>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r>
      <w:tr w:rsidR="00290B30" w:rsidRPr="00931F3F" w:rsidTr="007202D6">
        <w:trPr>
          <w:trHeight w:hRule="exact" w:val="187"/>
        </w:trPr>
        <w:tc>
          <w:tcPr>
            <w:tcW w:w="3316"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470"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17"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1118"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r>
    </w:tbl>
    <w:p w:rsidR="007C684A" w:rsidRDefault="00290B30" w:rsidP="00931F3F">
      <w:pPr>
        <w:spacing w:line="240" w:lineRule="auto"/>
        <w:rPr>
          <w:rFonts w:ascii="Times New Roman" w:eastAsia="Calibri" w:hAnsi="Times New Roman" w:cs="Times New Roman"/>
          <w:b/>
          <w:bCs/>
          <w:i/>
          <w:iCs/>
          <w:kern w:val="0"/>
        </w:rPr>
      </w:pPr>
      <w:r w:rsidRPr="00931F3F">
        <w:rPr>
          <w:rFonts w:ascii="Times New Roman" w:eastAsia="Calibri" w:hAnsi="Times New Roman" w:cs="Times New Roman"/>
          <w:kern w:val="0"/>
        </w:rPr>
        <w:br w:type="textWrapping" w:clear="all"/>
      </w:r>
      <w:bookmarkStart w:id="3" w:name="_Toc210759975"/>
      <w:r w:rsidR="007C684A" w:rsidRPr="00931F3F">
        <w:rPr>
          <w:rFonts w:ascii="Times New Roman" w:eastAsia="Calibri" w:hAnsi="Times New Roman" w:cs="Times New Roman"/>
          <w:b/>
          <w:bCs/>
          <w:color w:val="000000"/>
        </w:rPr>
        <w:t>Table 2: Cross-Section Dependency Test</w:t>
      </w:r>
      <w:bookmarkEnd w:id="3"/>
    </w:p>
    <w:p w:rsidR="00290B30" w:rsidRPr="00931F3F" w:rsidRDefault="00290B30" w:rsidP="00931F3F">
      <w:pPr>
        <w:spacing w:line="240" w:lineRule="auto"/>
        <w:rPr>
          <w:rFonts w:ascii="Times New Roman" w:eastAsia="Calibri" w:hAnsi="Times New Roman" w:cs="Times New Roman"/>
          <w:b/>
          <w:bCs/>
          <w:i/>
          <w:iCs/>
          <w:kern w:val="0"/>
        </w:rPr>
      </w:pPr>
      <w:r w:rsidRPr="00931F3F">
        <w:rPr>
          <w:rFonts w:ascii="Times New Roman" w:eastAsia="Calibri" w:hAnsi="Times New Roman" w:cs="Times New Roman"/>
          <w:b/>
          <w:bCs/>
          <w:i/>
          <w:iCs/>
          <w:kern w:val="0"/>
        </w:rPr>
        <w:t>Source: Researcher’s Computation using Eviews 13</w:t>
      </w:r>
    </w:p>
    <w:p w:rsidR="0057134D" w:rsidRDefault="0057134D" w:rsidP="00931F3F">
      <w:pPr>
        <w:spacing w:after="200" w:line="240" w:lineRule="auto"/>
        <w:jc w:val="both"/>
        <w:rPr>
          <w:rFonts w:ascii="Times New Roman" w:eastAsia="Times New Roman" w:hAnsi="Times New Roman" w:cs="Times New Roman"/>
          <w:color w:val="000000"/>
          <w:kern w:val="0"/>
        </w:rPr>
      </w:pPr>
      <w:bookmarkStart w:id="4" w:name="_Toc210759976"/>
      <w:r w:rsidRPr="00931F3F">
        <w:rPr>
          <w:rFonts w:ascii="Times New Roman" w:eastAsia="Times New Roman" w:hAnsi="Times New Roman" w:cs="Times New Roman"/>
          <w:color w:val="000000"/>
          <w:kern w:val="0"/>
        </w:rPr>
        <w:t xml:space="preserve">Table 2 showcases the results of the cross-sectional dependence analysis. The rejection of the null hypothesis (no cross-sectional dependence) at the 1% significance level across the Breusch-Pagan LM test (581.41, p = 0.0000), Pesaran Scaled LM test (29.78, p = 0.0000), and Pesaran CD test (17.14, p = 0.0000) provides strong evidence of significant interconnectedness among countries in the Eastern African Sub-Region. This implies that economic shocks or policy shifts in one nation are likely to have a substantial ripple effect on the investment decisions of other countries within the region. Consequently, the adoption of second-generation panel estimators, such as the Pooled Mean Group (PMG) model, is well-supported by these findings. These results align with prior research by Maugu (2023) and Gichigo (2023) on regional spillovers related to economic integration, though they differ from Magumisi's (2021) observations of weaker interdependencies in Zimbabwe. Ultimately, the data </w:t>
      </w:r>
      <w:r w:rsidR="00F00860">
        <w:rPr>
          <w:rFonts w:ascii="Times New Roman" w:eastAsia="Times New Roman" w:hAnsi="Times New Roman" w:cs="Times New Roman"/>
          <w:color w:val="000000"/>
          <w:kern w:val="0"/>
        </w:rPr>
        <w:t>emphasize</w:t>
      </w:r>
      <w:r w:rsidRPr="00931F3F">
        <w:rPr>
          <w:rFonts w:ascii="Times New Roman" w:eastAsia="Times New Roman" w:hAnsi="Times New Roman" w:cs="Times New Roman"/>
          <w:color w:val="000000"/>
          <w:kern w:val="0"/>
        </w:rPr>
        <w:t xml:space="preserve"> the highly integrated nature of the East African economies.</w:t>
      </w:r>
    </w:p>
    <w:p w:rsidR="00F00860" w:rsidRDefault="00F00860" w:rsidP="00931F3F">
      <w:pPr>
        <w:spacing w:after="200" w:line="240" w:lineRule="auto"/>
        <w:jc w:val="both"/>
        <w:rPr>
          <w:rFonts w:ascii="Times New Roman" w:eastAsia="Times New Roman" w:hAnsi="Times New Roman" w:cs="Times New Roman"/>
          <w:color w:val="000000"/>
          <w:kern w:val="0"/>
        </w:rPr>
      </w:pPr>
    </w:p>
    <w:p w:rsidR="00F00860" w:rsidRDefault="00F00860" w:rsidP="00931F3F">
      <w:pPr>
        <w:spacing w:after="200" w:line="240" w:lineRule="auto"/>
        <w:jc w:val="both"/>
        <w:rPr>
          <w:rFonts w:ascii="Times New Roman" w:eastAsia="Times New Roman" w:hAnsi="Times New Roman" w:cs="Times New Roman"/>
          <w:color w:val="000000"/>
          <w:kern w:val="0"/>
        </w:rPr>
      </w:pPr>
    </w:p>
    <w:p w:rsidR="00F00860" w:rsidRDefault="00F00860" w:rsidP="00931F3F">
      <w:pPr>
        <w:spacing w:after="200" w:line="240" w:lineRule="auto"/>
        <w:jc w:val="both"/>
        <w:rPr>
          <w:rFonts w:ascii="Times New Roman" w:eastAsia="Times New Roman" w:hAnsi="Times New Roman" w:cs="Times New Roman"/>
          <w:color w:val="000000"/>
          <w:kern w:val="0"/>
        </w:rPr>
      </w:pPr>
    </w:p>
    <w:p w:rsidR="00F00860" w:rsidRPr="00931F3F" w:rsidRDefault="00F00860" w:rsidP="00931F3F">
      <w:pPr>
        <w:spacing w:after="200" w:line="240" w:lineRule="auto"/>
        <w:jc w:val="both"/>
        <w:rPr>
          <w:rFonts w:ascii="Times New Roman" w:eastAsia="Times New Roman" w:hAnsi="Times New Roman" w:cs="Times New Roman"/>
          <w:color w:val="000000"/>
          <w:kern w:val="0"/>
        </w:rPr>
      </w:pPr>
    </w:p>
    <w:bookmarkEnd w:id="4"/>
    <w:p w:rsidR="00290B30" w:rsidRPr="00931F3F" w:rsidRDefault="00290B30" w:rsidP="00931F3F">
      <w:pPr>
        <w:spacing w:after="200" w:line="240" w:lineRule="auto"/>
        <w:rPr>
          <w:rFonts w:ascii="Times New Roman" w:eastAsia="Calibri" w:hAnsi="Times New Roman" w:cs="Times New Roman"/>
          <w:color w:val="000000"/>
        </w:rPr>
      </w:pPr>
    </w:p>
    <w:tbl>
      <w:tblPr>
        <w:tblStyle w:val="TableGrid2"/>
        <w:tblW w:w="0" w:type="auto"/>
        <w:tblLook w:val="04A0"/>
      </w:tblPr>
      <w:tblGrid>
        <w:gridCol w:w="1558"/>
        <w:gridCol w:w="1558"/>
        <w:gridCol w:w="1558"/>
        <w:gridCol w:w="1558"/>
        <w:gridCol w:w="1559"/>
        <w:gridCol w:w="1559"/>
      </w:tblGrid>
      <w:tr w:rsidR="00290B30" w:rsidRPr="00931F3F" w:rsidTr="007202D6">
        <w:tc>
          <w:tcPr>
            <w:tcW w:w="9350" w:type="dxa"/>
            <w:gridSpan w:val="6"/>
          </w:tcPr>
          <w:p w:rsidR="00290B30" w:rsidRPr="00931F3F" w:rsidRDefault="00290B30" w:rsidP="00931F3F">
            <w:pPr>
              <w:spacing w:after="160"/>
              <w:jc w:val="center"/>
              <w:rPr>
                <w:rFonts w:ascii="Times New Roman" w:eastAsia="Calibri" w:hAnsi="Times New Roman" w:cs="Times New Roman"/>
                <w:b/>
                <w:bCs/>
                <w:sz w:val="24"/>
                <w:szCs w:val="24"/>
              </w:rPr>
            </w:pPr>
            <w:r w:rsidRPr="00931F3F">
              <w:rPr>
                <w:rFonts w:ascii="Times New Roman" w:eastAsia="Calibri" w:hAnsi="Times New Roman" w:cs="Times New Roman"/>
                <w:b/>
                <w:bCs/>
                <w:sz w:val="24"/>
                <w:szCs w:val="24"/>
              </w:rPr>
              <w:t>Pesaran CIPS</w:t>
            </w:r>
          </w:p>
        </w:tc>
      </w:tr>
      <w:tr w:rsidR="00290B30" w:rsidRPr="00931F3F" w:rsidTr="007202D6">
        <w:tc>
          <w:tcPr>
            <w:tcW w:w="1558" w:type="dxa"/>
          </w:tcPr>
          <w:p w:rsidR="00290B30" w:rsidRPr="00931F3F" w:rsidRDefault="00290B30" w:rsidP="00931F3F">
            <w:pPr>
              <w:spacing w:after="160"/>
              <w:rPr>
                <w:rFonts w:ascii="Times New Roman" w:eastAsia="Calibri" w:hAnsi="Times New Roman" w:cs="Times New Roman"/>
                <w:b/>
                <w:bCs/>
                <w:sz w:val="24"/>
                <w:szCs w:val="24"/>
              </w:rPr>
            </w:pPr>
            <w:r w:rsidRPr="00931F3F">
              <w:rPr>
                <w:rFonts w:ascii="Times New Roman" w:eastAsia="Calibri" w:hAnsi="Times New Roman" w:cs="Times New Roman"/>
                <w:b/>
                <w:bCs/>
                <w:sz w:val="24"/>
                <w:szCs w:val="24"/>
              </w:rPr>
              <w:t>Variables</w:t>
            </w:r>
          </w:p>
        </w:tc>
        <w:tc>
          <w:tcPr>
            <w:tcW w:w="1558" w:type="dxa"/>
          </w:tcPr>
          <w:p w:rsidR="00290B30" w:rsidRPr="00931F3F" w:rsidRDefault="00290B30" w:rsidP="00931F3F">
            <w:pPr>
              <w:spacing w:after="160"/>
              <w:rPr>
                <w:rFonts w:ascii="Times New Roman" w:eastAsia="Calibri" w:hAnsi="Times New Roman" w:cs="Times New Roman"/>
                <w:b/>
                <w:bCs/>
                <w:sz w:val="24"/>
                <w:szCs w:val="24"/>
              </w:rPr>
            </w:pPr>
            <w:r w:rsidRPr="00931F3F">
              <w:rPr>
                <w:rFonts w:ascii="Times New Roman" w:eastAsia="Calibri" w:hAnsi="Times New Roman" w:cs="Times New Roman"/>
                <w:b/>
                <w:bCs/>
                <w:sz w:val="24"/>
                <w:szCs w:val="24"/>
              </w:rPr>
              <w:t>Level Intercept &amp; Trend</w:t>
            </w:r>
          </w:p>
        </w:tc>
        <w:tc>
          <w:tcPr>
            <w:tcW w:w="1558" w:type="dxa"/>
          </w:tcPr>
          <w:p w:rsidR="00290B30" w:rsidRPr="00931F3F" w:rsidRDefault="00290B30" w:rsidP="00931F3F">
            <w:pPr>
              <w:spacing w:after="160"/>
              <w:rPr>
                <w:rFonts w:ascii="Times New Roman" w:eastAsia="Calibri" w:hAnsi="Times New Roman" w:cs="Times New Roman"/>
                <w:b/>
                <w:bCs/>
                <w:sz w:val="24"/>
                <w:szCs w:val="24"/>
              </w:rPr>
            </w:pPr>
            <w:r w:rsidRPr="00931F3F">
              <w:rPr>
                <w:rFonts w:ascii="Times New Roman" w:eastAsia="Calibri" w:hAnsi="Times New Roman" w:cs="Times New Roman"/>
                <w:b/>
                <w:bCs/>
                <w:sz w:val="24"/>
                <w:szCs w:val="24"/>
              </w:rPr>
              <w:t>5% Critical Value</w:t>
            </w:r>
          </w:p>
        </w:tc>
        <w:tc>
          <w:tcPr>
            <w:tcW w:w="1558" w:type="dxa"/>
          </w:tcPr>
          <w:p w:rsidR="00290B30" w:rsidRPr="00931F3F" w:rsidRDefault="00290B30" w:rsidP="00931F3F">
            <w:pPr>
              <w:spacing w:after="160"/>
              <w:rPr>
                <w:rFonts w:ascii="Times New Roman" w:eastAsia="Calibri" w:hAnsi="Times New Roman" w:cs="Times New Roman"/>
                <w:b/>
                <w:bCs/>
                <w:sz w:val="24"/>
                <w:szCs w:val="24"/>
              </w:rPr>
            </w:pPr>
            <w:r w:rsidRPr="00931F3F">
              <w:rPr>
                <w:rFonts w:ascii="Times New Roman" w:eastAsia="Calibri" w:hAnsi="Times New Roman" w:cs="Times New Roman"/>
                <w:b/>
                <w:bCs/>
                <w:sz w:val="24"/>
                <w:szCs w:val="24"/>
              </w:rPr>
              <w:t>First Diff Intercept &amp; Trend</w:t>
            </w:r>
          </w:p>
        </w:tc>
        <w:tc>
          <w:tcPr>
            <w:tcW w:w="1559" w:type="dxa"/>
          </w:tcPr>
          <w:p w:rsidR="00290B30" w:rsidRPr="00931F3F" w:rsidRDefault="00290B30" w:rsidP="00931F3F">
            <w:pPr>
              <w:spacing w:after="160"/>
              <w:rPr>
                <w:rFonts w:ascii="Times New Roman" w:eastAsia="Calibri" w:hAnsi="Times New Roman" w:cs="Times New Roman"/>
                <w:b/>
                <w:bCs/>
                <w:sz w:val="24"/>
                <w:szCs w:val="24"/>
              </w:rPr>
            </w:pPr>
            <w:r w:rsidRPr="00931F3F">
              <w:rPr>
                <w:rFonts w:ascii="Times New Roman" w:eastAsia="Calibri" w:hAnsi="Times New Roman" w:cs="Times New Roman"/>
                <w:b/>
                <w:bCs/>
                <w:sz w:val="24"/>
                <w:szCs w:val="24"/>
              </w:rPr>
              <w:t>5% Critical value</w:t>
            </w:r>
          </w:p>
        </w:tc>
        <w:tc>
          <w:tcPr>
            <w:tcW w:w="1559" w:type="dxa"/>
          </w:tcPr>
          <w:p w:rsidR="00290B30" w:rsidRPr="00931F3F" w:rsidRDefault="00290B30" w:rsidP="00931F3F">
            <w:pPr>
              <w:spacing w:after="160"/>
              <w:rPr>
                <w:rFonts w:ascii="Times New Roman" w:eastAsia="Calibri" w:hAnsi="Times New Roman" w:cs="Times New Roman"/>
                <w:b/>
                <w:bCs/>
                <w:sz w:val="24"/>
                <w:szCs w:val="24"/>
              </w:rPr>
            </w:pPr>
            <w:r w:rsidRPr="00931F3F">
              <w:rPr>
                <w:rFonts w:ascii="Times New Roman" w:eastAsia="Calibri" w:hAnsi="Times New Roman" w:cs="Times New Roman"/>
                <w:b/>
                <w:bCs/>
                <w:sz w:val="24"/>
                <w:szCs w:val="24"/>
              </w:rPr>
              <w:t>Decision Order of Integration</w:t>
            </w:r>
          </w:p>
        </w:tc>
      </w:tr>
      <w:tr w:rsidR="00290B30" w:rsidRPr="00931F3F" w:rsidTr="003B151C">
        <w:trPr>
          <w:trHeight w:val="259"/>
        </w:trPr>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ED</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-2.428</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-2.75</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-2.852</w:t>
            </w:r>
          </w:p>
        </w:tc>
        <w:tc>
          <w:tcPr>
            <w:tcW w:w="1559"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-2.75</w:t>
            </w:r>
          </w:p>
        </w:tc>
        <w:tc>
          <w:tcPr>
            <w:tcW w:w="1559"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I(1)</w:t>
            </w:r>
          </w:p>
        </w:tc>
      </w:tr>
      <w:tr w:rsidR="00290B30" w:rsidRPr="00931F3F" w:rsidTr="007202D6">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DS</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-2.702</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-2.75</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-3.269</w:t>
            </w:r>
          </w:p>
        </w:tc>
        <w:tc>
          <w:tcPr>
            <w:tcW w:w="1559"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-2.75</w:t>
            </w:r>
          </w:p>
        </w:tc>
        <w:tc>
          <w:tcPr>
            <w:tcW w:w="1559"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I(1)</w:t>
            </w:r>
          </w:p>
        </w:tc>
      </w:tr>
      <w:tr w:rsidR="00290B30" w:rsidRPr="00931F3F" w:rsidTr="007202D6">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DIV</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-2.379</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-2.75</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-3.614</w:t>
            </w:r>
          </w:p>
        </w:tc>
        <w:tc>
          <w:tcPr>
            <w:tcW w:w="1559"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-2.75</w:t>
            </w:r>
          </w:p>
        </w:tc>
        <w:tc>
          <w:tcPr>
            <w:tcW w:w="1559"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I(1)</w:t>
            </w:r>
          </w:p>
        </w:tc>
      </w:tr>
      <w:tr w:rsidR="00290B30" w:rsidRPr="00931F3F" w:rsidTr="007202D6">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INF</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-4.180</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-2.75</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Nil</w:t>
            </w:r>
          </w:p>
        </w:tc>
        <w:tc>
          <w:tcPr>
            <w:tcW w:w="1559"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Nil</w:t>
            </w:r>
          </w:p>
        </w:tc>
        <w:tc>
          <w:tcPr>
            <w:tcW w:w="1559"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I(0)</w:t>
            </w:r>
          </w:p>
        </w:tc>
      </w:tr>
      <w:tr w:rsidR="00290B30" w:rsidRPr="00931F3F" w:rsidTr="007202D6">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IR</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-2.342</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-2.75</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-2.890</w:t>
            </w:r>
          </w:p>
        </w:tc>
        <w:tc>
          <w:tcPr>
            <w:tcW w:w="1559"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-2.75</w:t>
            </w:r>
          </w:p>
        </w:tc>
        <w:tc>
          <w:tcPr>
            <w:tcW w:w="1559"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I(1)</w:t>
            </w:r>
          </w:p>
        </w:tc>
      </w:tr>
      <w:tr w:rsidR="00290B30" w:rsidRPr="00931F3F" w:rsidTr="007202D6">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BCR</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-1.901</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-2.75</w:t>
            </w:r>
          </w:p>
        </w:tc>
        <w:tc>
          <w:tcPr>
            <w:tcW w:w="1558"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-3.482</w:t>
            </w:r>
          </w:p>
        </w:tc>
        <w:tc>
          <w:tcPr>
            <w:tcW w:w="1559"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-2.75</w:t>
            </w:r>
          </w:p>
        </w:tc>
        <w:tc>
          <w:tcPr>
            <w:tcW w:w="1559" w:type="dxa"/>
          </w:tcPr>
          <w:p w:rsidR="00290B30" w:rsidRPr="00931F3F" w:rsidRDefault="00290B30" w:rsidP="00931F3F">
            <w:pPr>
              <w:spacing w:after="160"/>
              <w:rPr>
                <w:rFonts w:ascii="Times New Roman" w:eastAsia="Calibri" w:hAnsi="Times New Roman" w:cs="Times New Roman"/>
                <w:sz w:val="24"/>
                <w:szCs w:val="24"/>
              </w:rPr>
            </w:pPr>
            <w:r w:rsidRPr="00931F3F">
              <w:rPr>
                <w:rFonts w:ascii="Times New Roman" w:eastAsia="Calibri" w:hAnsi="Times New Roman" w:cs="Times New Roman"/>
                <w:sz w:val="24"/>
                <w:szCs w:val="24"/>
              </w:rPr>
              <w:t>I(1)</w:t>
            </w:r>
          </w:p>
        </w:tc>
      </w:tr>
    </w:tbl>
    <w:p w:rsidR="007C684A" w:rsidRDefault="007C684A" w:rsidP="00931F3F">
      <w:pPr>
        <w:spacing w:after="0" w:line="240" w:lineRule="auto"/>
        <w:rPr>
          <w:rFonts w:ascii="Times New Roman" w:eastAsia="Calibri" w:hAnsi="Times New Roman" w:cs="Times New Roman"/>
          <w:b/>
          <w:bCs/>
          <w:i/>
          <w:iCs/>
          <w:lang w:val="en-GB"/>
        </w:rPr>
      </w:pPr>
      <w:r w:rsidRPr="00931F3F">
        <w:rPr>
          <w:rFonts w:ascii="Times New Roman" w:eastAsia="Calibri" w:hAnsi="Times New Roman" w:cs="Times New Roman"/>
          <w:b/>
          <w:bCs/>
          <w:color w:val="000000"/>
        </w:rPr>
        <w:t>Table 3: Panel Unit Root Result</w:t>
      </w:r>
    </w:p>
    <w:p w:rsidR="00290B30" w:rsidRPr="00931F3F" w:rsidRDefault="00290B30" w:rsidP="00931F3F">
      <w:pPr>
        <w:spacing w:after="0" w:line="240" w:lineRule="auto"/>
        <w:rPr>
          <w:rFonts w:ascii="Times New Roman" w:eastAsia="Calibri" w:hAnsi="Times New Roman" w:cs="Times New Roman"/>
          <w:b/>
          <w:bCs/>
          <w:i/>
          <w:iCs/>
          <w:lang w:val="en-GB"/>
        </w:rPr>
      </w:pPr>
      <w:r w:rsidRPr="00931F3F">
        <w:rPr>
          <w:rFonts w:ascii="Times New Roman" w:eastAsia="Calibri" w:hAnsi="Times New Roman" w:cs="Times New Roman"/>
          <w:b/>
          <w:bCs/>
          <w:i/>
          <w:iCs/>
          <w:lang w:val="en-GB"/>
        </w:rPr>
        <w:t>Source: Researcher’s Computation Using EViews-13 (2025)</w:t>
      </w:r>
    </w:p>
    <w:p w:rsidR="0057134D" w:rsidRPr="00931F3F" w:rsidRDefault="0057134D" w:rsidP="00931F3F">
      <w:pPr>
        <w:spacing w:after="200" w:line="240" w:lineRule="auto"/>
        <w:jc w:val="both"/>
        <w:rPr>
          <w:rFonts w:ascii="Times New Roman" w:eastAsia="Times New Roman" w:hAnsi="Times New Roman" w:cs="Times New Roman"/>
          <w:kern w:val="0"/>
        </w:rPr>
      </w:pPr>
      <w:bookmarkStart w:id="5" w:name="_Toc210759977"/>
      <w:r w:rsidRPr="00931F3F">
        <w:rPr>
          <w:rFonts w:ascii="Times New Roman" w:eastAsia="Times New Roman" w:hAnsi="Times New Roman" w:cs="Times New Roman"/>
          <w:kern w:val="0"/>
        </w:rPr>
        <w:t>Unit root tests indicated that the variables under investigation exhibit diverse integration orders. External debt (ED) and debt servicing (DS) were non-stationary in their raw form but transitioned to stationary after first differencing, a hallmark of long-term persistence and slow adjustment to shocks. Domestic investment and bank credit (BCR) also required differencing to achieve stationarity, pointing to a gradual evolution of capital formation and financial flows. Notably, foreign direct investment (FDI) and inflation (INF) were stationary at their initial levels, suggesting stable underlying trends. The interest rate (IR), while non-stationary in levels, became stationary after first differencing, highlighting the persistent influence of monetary policy. These findings collectively confirm that all variables are integrated of order I(0) or I(1). This crucial insight validates the application of the Panel ARDL model, which is well-suited to handle mixed integration levels for dependable long-run and short-run estimations.</w:t>
      </w:r>
    </w:p>
    <w:bookmarkEnd w:id="5"/>
    <w:p w:rsidR="00290B30" w:rsidRPr="00931F3F" w:rsidRDefault="00290B30" w:rsidP="00931F3F">
      <w:pPr>
        <w:spacing w:after="0" w:line="240" w:lineRule="auto"/>
        <w:rPr>
          <w:rFonts w:ascii="Times New Roman" w:eastAsia="Calibri" w:hAnsi="Times New Roman" w:cs="Times New Roman"/>
          <w:b/>
          <w:bCs/>
          <w:i/>
          <w:iCs/>
        </w:rPr>
      </w:pPr>
      <w:r w:rsidRPr="00931F3F">
        <w:rPr>
          <w:rFonts w:ascii="Times New Roman" w:eastAsia="Times New Roman" w:hAnsi="Times New Roman" w:cs="Times New Roman"/>
          <w:b/>
          <w:bCs/>
          <w:i/>
          <w:iCs/>
          <w:color w:val="000000"/>
          <w:kern w:val="0"/>
          <w:lang w:val="en-GB"/>
        </w:rPr>
        <w:t xml:space="preserve">F-statistic: </w:t>
      </w:r>
      <w:r w:rsidRPr="00931F3F">
        <w:rPr>
          <w:rFonts w:ascii="Times New Roman" w:eastAsia="Calibri" w:hAnsi="Times New Roman" w:cs="Times New Roman"/>
          <w:b/>
          <w:bCs/>
          <w:i/>
          <w:iCs/>
          <w:lang w:val="en-GB"/>
        </w:rPr>
        <w:t>8.220</w:t>
      </w:r>
      <w:r w:rsidRPr="00931F3F">
        <w:rPr>
          <w:rFonts w:ascii="Times New Roman" w:eastAsia="Times New Roman" w:hAnsi="Times New Roman" w:cs="Times New Roman"/>
          <w:b/>
          <w:bCs/>
          <w:i/>
          <w:iCs/>
          <w:color w:val="000000"/>
          <w:kern w:val="0"/>
          <w:lang w:val="en-GB"/>
        </w:rPr>
        <w:t>**</w:t>
      </w:r>
    </w:p>
    <w:tbl>
      <w:tblPr>
        <w:tblW w:w="0" w:type="auto"/>
        <w:tblInd w:w="30" w:type="dxa"/>
        <w:tblLayout w:type="fixed"/>
        <w:tblCellMar>
          <w:left w:w="0" w:type="dxa"/>
          <w:right w:w="0" w:type="dxa"/>
        </w:tblCellMar>
        <w:tblLook w:val="0000"/>
      </w:tblPr>
      <w:tblGrid>
        <w:gridCol w:w="1072"/>
        <w:gridCol w:w="1103"/>
        <w:gridCol w:w="1102"/>
        <w:gridCol w:w="1103"/>
        <w:gridCol w:w="1102"/>
        <w:gridCol w:w="1103"/>
        <w:gridCol w:w="1102"/>
      </w:tblGrid>
      <w:tr w:rsidR="00290B30" w:rsidRPr="00931F3F" w:rsidTr="007202D6">
        <w:trPr>
          <w:trHeight w:hRule="exact" w:val="90"/>
        </w:trPr>
        <w:tc>
          <w:tcPr>
            <w:tcW w:w="107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r>
      <w:tr w:rsidR="00290B30" w:rsidRPr="00931F3F" w:rsidTr="007202D6">
        <w:trPr>
          <w:trHeight w:hRule="exact" w:val="135"/>
        </w:trPr>
        <w:tc>
          <w:tcPr>
            <w:tcW w:w="107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r>
      <w:tr w:rsidR="00290B30" w:rsidRPr="00931F3F" w:rsidTr="007202D6">
        <w:trPr>
          <w:trHeight w:val="225"/>
        </w:trPr>
        <w:tc>
          <w:tcPr>
            <w:tcW w:w="107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p>
        </w:tc>
        <w:tc>
          <w:tcPr>
            <w:tcW w:w="2205" w:type="dxa"/>
            <w:gridSpan w:val="2"/>
            <w:tcBorders>
              <w:top w:val="nil"/>
              <w:left w:val="nil"/>
              <w:bottom w:val="nil"/>
              <w:right w:val="single" w:sz="6" w:space="0" w:color="auto"/>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10%</w:t>
            </w:r>
          </w:p>
        </w:tc>
        <w:tc>
          <w:tcPr>
            <w:tcW w:w="2205" w:type="dxa"/>
            <w:gridSpan w:val="2"/>
            <w:tcBorders>
              <w:top w:val="nil"/>
              <w:left w:val="nil"/>
              <w:bottom w:val="nil"/>
              <w:right w:val="single" w:sz="6" w:space="0" w:color="auto"/>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5%</w:t>
            </w:r>
          </w:p>
        </w:tc>
        <w:tc>
          <w:tcPr>
            <w:tcW w:w="2205" w:type="dxa"/>
            <w:gridSpan w:val="2"/>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1%</w:t>
            </w:r>
          </w:p>
        </w:tc>
      </w:tr>
      <w:tr w:rsidR="00290B30" w:rsidRPr="00931F3F" w:rsidTr="007202D6">
        <w:trPr>
          <w:trHeight w:hRule="exact" w:val="90"/>
        </w:trPr>
        <w:tc>
          <w:tcPr>
            <w:tcW w:w="107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r>
      <w:tr w:rsidR="00290B30" w:rsidRPr="00931F3F" w:rsidTr="007202D6">
        <w:trPr>
          <w:trHeight w:hRule="exact" w:val="135"/>
        </w:trPr>
        <w:tc>
          <w:tcPr>
            <w:tcW w:w="107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r>
      <w:tr w:rsidR="00290B30" w:rsidRPr="00931F3F" w:rsidTr="007202D6">
        <w:trPr>
          <w:trHeight w:val="225"/>
        </w:trPr>
        <w:tc>
          <w:tcPr>
            <w:tcW w:w="107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Sample Size</w:t>
            </w: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I(0)</w:t>
            </w:r>
          </w:p>
        </w:tc>
        <w:tc>
          <w:tcPr>
            <w:tcW w:w="1102" w:type="dxa"/>
            <w:tcBorders>
              <w:top w:val="nil"/>
              <w:left w:val="nil"/>
              <w:bottom w:val="nil"/>
              <w:right w:val="single" w:sz="6" w:space="0" w:color="auto"/>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I(1)</w:t>
            </w: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I(0)</w:t>
            </w:r>
          </w:p>
        </w:tc>
        <w:tc>
          <w:tcPr>
            <w:tcW w:w="1102" w:type="dxa"/>
            <w:tcBorders>
              <w:top w:val="nil"/>
              <w:left w:val="nil"/>
              <w:bottom w:val="nil"/>
              <w:right w:val="single" w:sz="6" w:space="0" w:color="auto"/>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I(1)</w:t>
            </w: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I(0)</w:t>
            </w: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I(1)</w:t>
            </w:r>
          </w:p>
        </w:tc>
      </w:tr>
      <w:tr w:rsidR="00290B30" w:rsidRPr="00931F3F" w:rsidTr="007202D6">
        <w:trPr>
          <w:trHeight w:hRule="exact" w:val="90"/>
        </w:trPr>
        <w:tc>
          <w:tcPr>
            <w:tcW w:w="107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double" w:sz="6" w:space="2"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r>
      <w:tr w:rsidR="00290B30" w:rsidRPr="00931F3F" w:rsidTr="007202D6">
        <w:trPr>
          <w:trHeight w:hRule="exact" w:val="135"/>
        </w:trPr>
        <w:tc>
          <w:tcPr>
            <w:tcW w:w="107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r>
      <w:tr w:rsidR="00290B30" w:rsidRPr="00931F3F" w:rsidTr="007202D6">
        <w:trPr>
          <w:trHeight w:val="225"/>
        </w:trPr>
        <w:tc>
          <w:tcPr>
            <w:tcW w:w="107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30</w:t>
            </w: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 2.525</w:t>
            </w:r>
          </w:p>
        </w:tc>
        <w:tc>
          <w:tcPr>
            <w:tcW w:w="1102" w:type="dxa"/>
            <w:tcBorders>
              <w:top w:val="nil"/>
              <w:left w:val="nil"/>
              <w:bottom w:val="nil"/>
              <w:right w:val="single" w:sz="6" w:space="0" w:color="auto"/>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 3.560</w:t>
            </w: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 3.058</w:t>
            </w:r>
          </w:p>
        </w:tc>
        <w:tc>
          <w:tcPr>
            <w:tcW w:w="1102" w:type="dxa"/>
            <w:tcBorders>
              <w:top w:val="nil"/>
              <w:left w:val="nil"/>
              <w:bottom w:val="nil"/>
              <w:right w:val="single" w:sz="6" w:space="0" w:color="auto"/>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 4.223</w:t>
            </w: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 4.280</w:t>
            </w: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 5.840</w:t>
            </w:r>
          </w:p>
        </w:tc>
      </w:tr>
      <w:tr w:rsidR="00290B30" w:rsidRPr="00931F3F" w:rsidTr="007202D6">
        <w:trPr>
          <w:trHeight w:val="225"/>
        </w:trPr>
        <w:tc>
          <w:tcPr>
            <w:tcW w:w="107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Asymptotic</w:t>
            </w: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 2.200</w:t>
            </w:r>
          </w:p>
        </w:tc>
        <w:tc>
          <w:tcPr>
            <w:tcW w:w="1102" w:type="dxa"/>
            <w:tcBorders>
              <w:top w:val="nil"/>
              <w:left w:val="nil"/>
              <w:bottom w:val="nil"/>
              <w:right w:val="single" w:sz="6" w:space="0" w:color="auto"/>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 3.090</w:t>
            </w: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 2.560</w:t>
            </w:r>
          </w:p>
        </w:tc>
        <w:tc>
          <w:tcPr>
            <w:tcW w:w="1102" w:type="dxa"/>
            <w:tcBorders>
              <w:top w:val="nil"/>
              <w:left w:val="nil"/>
              <w:bottom w:val="nil"/>
              <w:right w:val="single" w:sz="6" w:space="0" w:color="auto"/>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 3.490</w:t>
            </w:r>
          </w:p>
        </w:tc>
        <w:tc>
          <w:tcPr>
            <w:tcW w:w="1103"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 3.290</w:t>
            </w:r>
          </w:p>
        </w:tc>
        <w:tc>
          <w:tcPr>
            <w:tcW w:w="1102" w:type="dxa"/>
            <w:tcBorders>
              <w:top w:val="nil"/>
              <w:left w:val="nil"/>
              <w:bottom w:val="nil"/>
              <w:right w:val="nil"/>
            </w:tcBorders>
            <w:vAlign w:val="bottom"/>
          </w:tcPr>
          <w:p w:rsidR="00290B30" w:rsidRPr="00931F3F" w:rsidRDefault="00290B30" w:rsidP="00931F3F">
            <w:pPr>
              <w:autoSpaceDE w:val="0"/>
              <w:autoSpaceDN w:val="0"/>
              <w:adjustRightInd w:val="0"/>
              <w:spacing w:after="0" w:line="240" w:lineRule="auto"/>
              <w:jc w:val="center"/>
              <w:rPr>
                <w:rFonts w:ascii="Times New Roman" w:eastAsia="Calibri" w:hAnsi="Times New Roman" w:cs="Times New Roman"/>
                <w:color w:val="000000"/>
                <w:kern w:val="0"/>
              </w:rPr>
            </w:pPr>
            <w:r w:rsidRPr="00931F3F">
              <w:rPr>
                <w:rFonts w:ascii="Times New Roman" w:eastAsia="Calibri" w:hAnsi="Times New Roman" w:cs="Times New Roman"/>
                <w:color w:val="000000"/>
                <w:kern w:val="0"/>
              </w:rPr>
              <w:t> 4.370</w:t>
            </w:r>
          </w:p>
        </w:tc>
      </w:tr>
      <w:tr w:rsidR="00290B30" w:rsidRPr="00931F3F" w:rsidTr="007202D6">
        <w:trPr>
          <w:trHeight w:hRule="exact" w:val="90"/>
        </w:trPr>
        <w:tc>
          <w:tcPr>
            <w:tcW w:w="1072" w:type="dxa"/>
            <w:tcBorders>
              <w:top w:val="nil"/>
              <w:left w:val="nil"/>
              <w:bottom w:val="double" w:sz="6" w:space="0"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double" w:sz="6" w:space="0"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double" w:sz="6" w:space="0"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double" w:sz="6" w:space="0"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double" w:sz="6" w:space="0"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3" w:type="dxa"/>
            <w:tcBorders>
              <w:top w:val="nil"/>
              <w:left w:val="nil"/>
              <w:bottom w:val="double" w:sz="6" w:space="0"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c>
          <w:tcPr>
            <w:tcW w:w="1102" w:type="dxa"/>
            <w:tcBorders>
              <w:top w:val="nil"/>
              <w:left w:val="nil"/>
              <w:bottom w:val="double" w:sz="6" w:space="0" w:color="auto"/>
              <w:right w:val="nil"/>
            </w:tcBorders>
            <w:vAlign w:val="bottom"/>
          </w:tcPr>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rPr>
            </w:pPr>
          </w:p>
        </w:tc>
      </w:tr>
    </w:tbl>
    <w:p w:rsidR="00290B30" w:rsidRPr="00931F3F" w:rsidRDefault="00290B30" w:rsidP="00931F3F">
      <w:pPr>
        <w:autoSpaceDE w:val="0"/>
        <w:autoSpaceDN w:val="0"/>
        <w:adjustRightInd w:val="0"/>
        <w:spacing w:after="0" w:line="240" w:lineRule="auto"/>
        <w:rPr>
          <w:rFonts w:ascii="Times New Roman" w:eastAsia="Calibri" w:hAnsi="Times New Roman" w:cs="Times New Roman"/>
          <w:color w:val="000000"/>
          <w:kern w:val="0"/>
          <w:lang w:val="en-GB"/>
        </w:rPr>
      </w:pPr>
      <w:r w:rsidRPr="00931F3F">
        <w:rPr>
          <w:rFonts w:ascii="Times New Roman" w:eastAsia="Calibri" w:hAnsi="Times New Roman" w:cs="Times New Roman"/>
          <w:color w:val="000000"/>
          <w:kern w:val="0"/>
        </w:rPr>
        <w:t>* I(0) and I(1) are respectively the stationary and non-stationary bounds.</w:t>
      </w:r>
    </w:p>
    <w:p w:rsidR="007C684A" w:rsidRPr="007C684A" w:rsidRDefault="007C684A" w:rsidP="007C684A">
      <w:pPr>
        <w:spacing w:after="200" w:line="240" w:lineRule="auto"/>
        <w:rPr>
          <w:rFonts w:ascii="Times New Roman" w:eastAsia="Calibri" w:hAnsi="Times New Roman" w:cs="Times New Roman"/>
          <w:color w:val="000000"/>
        </w:rPr>
      </w:pPr>
      <w:r w:rsidRPr="00931F3F">
        <w:rPr>
          <w:rFonts w:ascii="Times New Roman" w:eastAsia="Calibri" w:hAnsi="Times New Roman" w:cs="Times New Roman"/>
          <w:b/>
          <w:bCs/>
          <w:color w:val="000000"/>
        </w:rPr>
        <w:t>Table 4</w:t>
      </w:r>
      <w:bookmarkStart w:id="6" w:name="_Hlk195370482"/>
      <w:r w:rsidRPr="00931F3F">
        <w:rPr>
          <w:rFonts w:ascii="Times New Roman" w:eastAsia="Calibri" w:hAnsi="Times New Roman" w:cs="Times New Roman"/>
          <w:b/>
          <w:bCs/>
          <w:color w:val="000000"/>
        </w:rPr>
        <w:t>: Panel Bounds Test Co-Integration Result</w:t>
      </w:r>
      <w:bookmarkEnd w:id="6"/>
    </w:p>
    <w:p w:rsidR="00290B30" w:rsidRPr="00931F3F" w:rsidRDefault="00290B30" w:rsidP="00931F3F">
      <w:pPr>
        <w:spacing w:after="0" w:line="240" w:lineRule="auto"/>
        <w:rPr>
          <w:rFonts w:ascii="Times New Roman" w:eastAsia="Calibri" w:hAnsi="Times New Roman" w:cs="Times New Roman"/>
          <w:b/>
          <w:bCs/>
          <w:i/>
          <w:iCs/>
          <w:lang w:val="en-GB"/>
        </w:rPr>
      </w:pPr>
      <w:r w:rsidRPr="00931F3F">
        <w:rPr>
          <w:rFonts w:ascii="Times New Roman" w:eastAsia="Calibri" w:hAnsi="Times New Roman" w:cs="Times New Roman"/>
          <w:b/>
          <w:bCs/>
          <w:i/>
          <w:iCs/>
          <w:lang w:val="en-GB"/>
        </w:rPr>
        <w:t>Source: Researcher’s Computation Using EViews-13 (2025)</w:t>
      </w:r>
    </w:p>
    <w:p w:rsidR="0057134D" w:rsidRPr="00931F3F" w:rsidRDefault="0057134D" w:rsidP="00931F3F">
      <w:pPr>
        <w:spacing w:after="200" w:line="240" w:lineRule="auto"/>
        <w:jc w:val="both"/>
        <w:rPr>
          <w:rFonts w:ascii="Times New Roman" w:hAnsi="Times New Roman" w:cs="Times New Roman"/>
        </w:rPr>
      </w:pPr>
      <w:bookmarkStart w:id="7" w:name="_Toc210759979"/>
      <w:r w:rsidRPr="00931F3F">
        <w:rPr>
          <w:rFonts w:ascii="Times New Roman" w:hAnsi="Times New Roman" w:cs="Times New Roman"/>
        </w:rPr>
        <w:t>As evidenced by Table 4 and the Panel Bounds Test, a significant long-term equilibrium relationship is established among external debt, debt servicing, macroeconomic factors, and investment in Eastern African Sub-Region Countries. The F-statistic (8.220, p &lt; 0.05) exceeding the upper I(1) bound invalidates the null hypothesis of no co-integration, signifying a robust and enduring link between external debt and investment, even amidst short-term economic fluctuations. This conclusion resonates with prior research by Ndoricimpa (2020) and Were (2018), who identified persistent debt impacts on investment, and with Aswata et al. (2018), who documented similar co-integration phenomena. However, these findings diverge from Dacka's (2016) observations of less pronounced relationships in some Sub-Saharan countries. Ultimately, the data strongly suggests that external debt is a fundamental determinant of long-term investment trends in East Africa.</w:t>
      </w:r>
    </w:p>
    <w:bookmarkEnd w:id="7"/>
    <w:p w:rsidR="00830799" w:rsidRPr="00931F3F" w:rsidRDefault="00830799" w:rsidP="00931F3F">
      <w:pPr>
        <w:spacing w:after="0" w:line="240" w:lineRule="auto"/>
        <w:rPr>
          <w:rFonts w:ascii="Times New Roman" w:eastAsia="Calibri" w:hAnsi="Times New Roman" w:cs="Times New Roman"/>
          <w:b/>
          <w:bCs/>
        </w:rPr>
      </w:pPr>
      <w:r w:rsidRPr="00931F3F">
        <w:rPr>
          <w:rFonts w:ascii="Times New Roman" w:eastAsia="Calibri" w:hAnsi="Times New Roman" w:cs="Times New Roman"/>
          <w:b/>
          <w:bCs/>
        </w:rPr>
        <w:t>Dependent Variable: D(D_INV)</w:t>
      </w:r>
    </w:p>
    <w:tbl>
      <w:tblPr>
        <w:tblW w:w="0" w:type="auto"/>
        <w:tblInd w:w="30" w:type="dxa"/>
        <w:tblLayout w:type="fixed"/>
        <w:tblCellMar>
          <w:left w:w="0" w:type="dxa"/>
          <w:right w:w="0" w:type="dxa"/>
        </w:tblCellMar>
        <w:tblLook w:val="0000"/>
      </w:tblPr>
      <w:tblGrid>
        <w:gridCol w:w="2017"/>
        <w:gridCol w:w="1103"/>
        <w:gridCol w:w="1207"/>
        <w:gridCol w:w="1208"/>
        <w:gridCol w:w="997"/>
      </w:tblGrid>
      <w:tr w:rsidR="00830799" w:rsidRPr="00931F3F" w:rsidTr="005877B2">
        <w:trPr>
          <w:trHeight w:val="225"/>
        </w:trPr>
        <w:tc>
          <w:tcPr>
            <w:tcW w:w="3120" w:type="dxa"/>
            <w:gridSpan w:val="2"/>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rPr>
                <w:rFonts w:ascii="Times New Roman" w:eastAsia="Calibri" w:hAnsi="Times New Roman" w:cs="Times New Roman"/>
                <w:kern w:val="0"/>
              </w:rPr>
            </w:pPr>
            <w:r w:rsidRPr="00931F3F">
              <w:rPr>
                <w:rFonts w:ascii="Times New Roman" w:eastAsia="Calibri" w:hAnsi="Times New Roman" w:cs="Times New Roman"/>
                <w:kern w:val="0"/>
              </w:rPr>
              <w:t>Method: ARDL</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r>
      <w:tr w:rsidR="00830799" w:rsidRPr="00931F3F" w:rsidTr="005877B2">
        <w:trPr>
          <w:trHeight w:hRule="exact" w:val="90"/>
        </w:trPr>
        <w:tc>
          <w:tcPr>
            <w:tcW w:w="201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103"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8"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99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r>
      <w:tr w:rsidR="00830799" w:rsidRPr="00931F3F" w:rsidTr="005877B2">
        <w:trPr>
          <w:trHeight w:hRule="exact" w:val="13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Variable</w:t>
            </w: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Coefficient</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Std. Error</w:t>
            </w: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t-Statistic</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Prob.  </w:t>
            </w:r>
          </w:p>
        </w:tc>
      </w:tr>
      <w:tr w:rsidR="00830799" w:rsidRPr="00931F3F" w:rsidTr="005877B2">
        <w:trPr>
          <w:trHeight w:hRule="exact" w:val="90"/>
        </w:trPr>
        <w:tc>
          <w:tcPr>
            <w:tcW w:w="201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103"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8"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99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r>
      <w:tr w:rsidR="00830799" w:rsidRPr="00931F3F" w:rsidTr="005877B2">
        <w:trPr>
          <w:trHeight w:hRule="exact" w:val="13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3518" w:type="dxa"/>
            <w:gridSpan w:val="3"/>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Long-run (Pooled) Coefficients</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r>
      <w:tr w:rsidR="00830799" w:rsidRPr="00931F3F" w:rsidTr="005877B2">
        <w:trPr>
          <w:trHeight w:hRule="exact" w:val="90"/>
        </w:trPr>
        <w:tc>
          <w:tcPr>
            <w:tcW w:w="201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103"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8"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99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r>
      <w:tr w:rsidR="00830799" w:rsidRPr="00931F3F" w:rsidTr="005877B2">
        <w:trPr>
          <w:trHeight w:hRule="exact" w:val="13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ED</w:t>
            </w: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5.001067</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0.210592</w:t>
            </w: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23.74769</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0.0000</w:t>
            </w: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DS</w:t>
            </w: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0.330285</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0.083575</w:t>
            </w: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3.951953</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0.0001</w:t>
            </w: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INF</w:t>
            </w: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-0.103083</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0.022232</w:t>
            </w: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-4.636683</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0.0000</w:t>
            </w: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IR</w:t>
            </w: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-0.245980</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0.025326</w:t>
            </w: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-9.712667</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0.0000</w:t>
            </w: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BCR</w:t>
            </w: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0.242553</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0.027213</w:t>
            </w: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8.913131</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0.0000</w:t>
            </w:r>
          </w:p>
        </w:tc>
      </w:tr>
      <w:tr w:rsidR="00830799" w:rsidRPr="00931F3F" w:rsidTr="005877B2">
        <w:trPr>
          <w:trHeight w:hRule="exact" w:val="90"/>
        </w:trPr>
        <w:tc>
          <w:tcPr>
            <w:tcW w:w="201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103"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8"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99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r>
      <w:tr w:rsidR="00830799" w:rsidRPr="00931F3F" w:rsidTr="005877B2">
        <w:trPr>
          <w:trHeight w:hRule="exact" w:val="13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3518" w:type="dxa"/>
            <w:gridSpan w:val="3"/>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Short-run (Mean-Group) Coefficients</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r>
      <w:tr w:rsidR="00830799" w:rsidRPr="00931F3F" w:rsidTr="005877B2">
        <w:trPr>
          <w:trHeight w:hRule="exact" w:val="90"/>
        </w:trPr>
        <w:tc>
          <w:tcPr>
            <w:tcW w:w="201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103"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8"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99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r>
      <w:tr w:rsidR="00830799" w:rsidRPr="00931F3F" w:rsidTr="005877B2">
        <w:trPr>
          <w:trHeight w:hRule="exact" w:val="13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COINTEQ</w:t>
            </w: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-0.886640</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0.203114</w:t>
            </w: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-4.365235</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0.0000</w:t>
            </w: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D(D_INV(-1))</w:t>
            </w: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0.174114</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0.122005</w:t>
            </w: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1.427107</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0.1543</w:t>
            </w: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D(ED)</w:t>
            </w: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4.905073</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1.624885</w:t>
            </w: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3.018721</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0.0025</w:t>
            </w: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D(DS(-1))</w:t>
            </w: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-0.492051</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0.123951</w:t>
            </w: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-3.969722</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0.0001</w:t>
            </w: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D(INF(-2))</w:t>
            </w: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-0.253199</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0.109685</w:t>
            </w: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-2.501868</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0.0120</w:t>
            </w: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D(IR(-1))</w:t>
            </w: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-1.073685</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0.265780</w:t>
            </w: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-4.039751</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0.0000</w:t>
            </w: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D(BCR)</w:t>
            </w: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0.252036</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0.110759</w:t>
            </w: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2.275532</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0.0231</w:t>
            </w: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C</w:t>
            </w: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1.011834</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1.136922</w:t>
            </w: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0.889977</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0.3660</w:t>
            </w: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r w:rsidRPr="00931F3F">
              <w:rPr>
                <w:rFonts w:ascii="Times New Roman" w:eastAsia="Calibri" w:hAnsi="Times New Roman" w:cs="Times New Roman"/>
                <w:kern w:val="0"/>
              </w:rPr>
              <w:t>@TREND</w:t>
            </w: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0.153796</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0.291025</w:t>
            </w: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0.528463</w:t>
            </w: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0.5974</w:t>
            </w:r>
          </w:p>
        </w:tc>
      </w:tr>
      <w:tr w:rsidR="00830799" w:rsidRPr="00931F3F" w:rsidTr="005877B2">
        <w:trPr>
          <w:trHeight w:hRule="exact" w:val="90"/>
        </w:trPr>
        <w:tc>
          <w:tcPr>
            <w:tcW w:w="201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103"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8"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997" w:type="dxa"/>
            <w:tcBorders>
              <w:top w:val="nil"/>
              <w:left w:val="nil"/>
              <w:bottom w:val="double" w:sz="6" w:space="2"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r>
      <w:tr w:rsidR="00830799" w:rsidRPr="00931F3F" w:rsidTr="005877B2">
        <w:trPr>
          <w:trHeight w:hRule="exact" w:val="13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r>
      <w:tr w:rsidR="00830799" w:rsidRPr="00931F3F" w:rsidTr="005877B2">
        <w:trPr>
          <w:trHeight w:val="225"/>
        </w:trPr>
        <w:tc>
          <w:tcPr>
            <w:tcW w:w="201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rPr>
                <w:rFonts w:ascii="Times New Roman" w:eastAsia="Calibri" w:hAnsi="Times New Roman" w:cs="Times New Roman"/>
                <w:kern w:val="0"/>
              </w:rPr>
            </w:pPr>
            <w:r w:rsidRPr="00931F3F">
              <w:rPr>
                <w:rFonts w:ascii="Times New Roman" w:eastAsia="Calibri" w:hAnsi="Times New Roman" w:cs="Times New Roman"/>
                <w:kern w:val="0"/>
              </w:rPr>
              <w:t>Log-Likelihood:</w:t>
            </w:r>
          </w:p>
        </w:tc>
        <w:tc>
          <w:tcPr>
            <w:tcW w:w="1103"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right"/>
              <w:rPr>
                <w:rFonts w:ascii="Times New Roman" w:eastAsia="Calibri" w:hAnsi="Times New Roman" w:cs="Times New Roman"/>
                <w:kern w:val="0"/>
              </w:rPr>
            </w:pPr>
            <w:r w:rsidRPr="00931F3F">
              <w:rPr>
                <w:rFonts w:ascii="Times New Roman" w:eastAsia="Calibri" w:hAnsi="Times New Roman" w:cs="Times New Roman"/>
                <w:kern w:val="0"/>
              </w:rPr>
              <w:t>-694.4525</w:t>
            </w:r>
          </w:p>
        </w:tc>
        <w:tc>
          <w:tcPr>
            <w:tcW w:w="120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center"/>
              <w:rPr>
                <w:rFonts w:ascii="Times New Roman" w:eastAsia="Calibri" w:hAnsi="Times New Roman" w:cs="Times New Roman"/>
                <w:kern w:val="0"/>
              </w:rPr>
            </w:pPr>
          </w:p>
        </w:tc>
        <w:tc>
          <w:tcPr>
            <w:tcW w:w="1208"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center"/>
              <w:rPr>
                <w:rFonts w:ascii="Times New Roman" w:eastAsia="Calibri" w:hAnsi="Times New Roman" w:cs="Times New Roman"/>
                <w:kern w:val="0"/>
              </w:rPr>
            </w:pPr>
          </w:p>
        </w:tc>
        <w:tc>
          <w:tcPr>
            <w:tcW w:w="997" w:type="dxa"/>
            <w:tcBorders>
              <w:top w:val="nil"/>
              <w:left w:val="nil"/>
              <w:bottom w:val="nil"/>
              <w:right w:val="nil"/>
            </w:tcBorders>
            <w:vAlign w:val="bottom"/>
          </w:tcPr>
          <w:p w:rsidR="00830799" w:rsidRPr="00931F3F" w:rsidRDefault="00830799" w:rsidP="00931F3F">
            <w:pPr>
              <w:autoSpaceDE w:val="0"/>
              <w:autoSpaceDN w:val="0"/>
              <w:adjustRightInd w:val="0"/>
              <w:spacing w:after="0" w:line="240" w:lineRule="auto"/>
              <w:ind w:right="10"/>
              <w:jc w:val="center"/>
              <w:rPr>
                <w:rFonts w:ascii="Times New Roman" w:eastAsia="Calibri" w:hAnsi="Times New Roman" w:cs="Times New Roman"/>
                <w:kern w:val="0"/>
              </w:rPr>
            </w:pPr>
          </w:p>
        </w:tc>
      </w:tr>
      <w:tr w:rsidR="00830799" w:rsidRPr="00931F3F" w:rsidTr="005877B2">
        <w:trPr>
          <w:trHeight w:hRule="exact" w:val="90"/>
        </w:trPr>
        <w:tc>
          <w:tcPr>
            <w:tcW w:w="2017" w:type="dxa"/>
            <w:tcBorders>
              <w:top w:val="nil"/>
              <w:left w:val="nil"/>
              <w:bottom w:val="double" w:sz="6" w:space="0"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103" w:type="dxa"/>
            <w:tcBorders>
              <w:top w:val="nil"/>
              <w:left w:val="nil"/>
              <w:bottom w:val="double" w:sz="6" w:space="0"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7" w:type="dxa"/>
            <w:tcBorders>
              <w:top w:val="nil"/>
              <w:left w:val="nil"/>
              <w:bottom w:val="double" w:sz="6" w:space="0"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1208" w:type="dxa"/>
            <w:tcBorders>
              <w:top w:val="nil"/>
              <w:left w:val="nil"/>
              <w:bottom w:val="double" w:sz="6" w:space="0"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c>
          <w:tcPr>
            <w:tcW w:w="997" w:type="dxa"/>
            <w:tcBorders>
              <w:top w:val="nil"/>
              <w:left w:val="nil"/>
              <w:bottom w:val="double" w:sz="6" w:space="0" w:color="auto"/>
              <w:right w:val="nil"/>
            </w:tcBorders>
            <w:vAlign w:val="bottom"/>
          </w:tcPr>
          <w:p w:rsidR="00830799" w:rsidRPr="00931F3F" w:rsidRDefault="00830799" w:rsidP="00931F3F">
            <w:pPr>
              <w:autoSpaceDE w:val="0"/>
              <w:autoSpaceDN w:val="0"/>
              <w:adjustRightInd w:val="0"/>
              <w:spacing w:after="0" w:line="240" w:lineRule="auto"/>
              <w:jc w:val="center"/>
              <w:rPr>
                <w:rFonts w:ascii="Times New Roman" w:eastAsia="Calibri" w:hAnsi="Times New Roman" w:cs="Times New Roman"/>
                <w:kern w:val="0"/>
              </w:rPr>
            </w:pPr>
          </w:p>
        </w:tc>
      </w:tr>
    </w:tbl>
    <w:p w:rsidR="00830799" w:rsidRPr="00931F3F" w:rsidRDefault="00830799" w:rsidP="00931F3F">
      <w:pPr>
        <w:autoSpaceDE w:val="0"/>
        <w:autoSpaceDN w:val="0"/>
        <w:adjustRightInd w:val="0"/>
        <w:spacing w:after="0" w:line="240" w:lineRule="auto"/>
        <w:jc w:val="both"/>
        <w:rPr>
          <w:rFonts w:ascii="Times New Roman" w:eastAsia="Calibri" w:hAnsi="Times New Roman" w:cs="Times New Roman"/>
          <w:color w:val="404040"/>
          <w:kern w:val="0"/>
          <w:shd w:val="clear" w:color="auto" w:fill="FFFFFF"/>
        </w:rPr>
      </w:pPr>
      <w:r w:rsidRPr="00931F3F">
        <w:rPr>
          <w:rFonts w:ascii="Times New Roman" w:eastAsia="Calibri" w:hAnsi="Times New Roman" w:cs="Times New Roman"/>
          <w:color w:val="404040"/>
          <w:kern w:val="0"/>
          <w:shd w:val="clear" w:color="auto" w:fill="FFFFFF"/>
        </w:rPr>
        <w:t>The results indicate a highly significant model (Log-Likelihood = -694.45) with both long-term persistent relationships and short-term dynamic effects in the data.</w:t>
      </w:r>
    </w:p>
    <w:p w:rsidR="007C684A" w:rsidRPr="00931F3F" w:rsidRDefault="007C684A" w:rsidP="007C684A">
      <w:pPr>
        <w:spacing w:after="200" w:line="240" w:lineRule="auto"/>
        <w:rPr>
          <w:rFonts w:ascii="Times New Roman" w:eastAsia="Calibri" w:hAnsi="Times New Roman" w:cs="Times New Roman"/>
          <w:color w:val="000000"/>
        </w:rPr>
      </w:pPr>
      <w:r w:rsidRPr="00931F3F">
        <w:rPr>
          <w:rFonts w:ascii="Times New Roman" w:eastAsia="Calibri" w:hAnsi="Times New Roman" w:cs="Times New Roman"/>
          <w:b/>
          <w:bCs/>
          <w:color w:val="000000"/>
        </w:rPr>
        <w:t>Table 5: Domestic Investment Model: PMG (Panel ARDL) Result</w:t>
      </w:r>
    </w:p>
    <w:p w:rsidR="00830799" w:rsidRPr="00931F3F" w:rsidRDefault="00830799" w:rsidP="00931F3F">
      <w:pPr>
        <w:spacing w:after="0" w:line="240" w:lineRule="auto"/>
        <w:rPr>
          <w:rFonts w:ascii="Times New Roman" w:eastAsia="Calibri" w:hAnsi="Times New Roman" w:cs="Times New Roman"/>
          <w:b/>
          <w:bCs/>
          <w:i/>
          <w:iCs/>
          <w:lang w:val="en-GB"/>
        </w:rPr>
      </w:pPr>
      <w:r w:rsidRPr="00931F3F">
        <w:rPr>
          <w:rFonts w:ascii="Times New Roman" w:eastAsia="Calibri" w:hAnsi="Times New Roman" w:cs="Times New Roman"/>
          <w:b/>
          <w:bCs/>
          <w:i/>
          <w:iCs/>
          <w:lang w:val="en-GB"/>
        </w:rPr>
        <w:t>Source: Researcher’s Computation Using EViews-13 (2025)</w:t>
      </w:r>
    </w:p>
    <w:p w:rsidR="000E2512" w:rsidRPr="00931F3F" w:rsidRDefault="000E2512" w:rsidP="00931F3F">
      <w:pPr>
        <w:spacing w:after="200" w:line="240" w:lineRule="auto"/>
        <w:jc w:val="both"/>
        <w:rPr>
          <w:rFonts w:ascii="Times New Roman" w:eastAsia="Times New Roman" w:hAnsi="Times New Roman" w:cs="Times New Roman"/>
          <w:kern w:val="0"/>
        </w:rPr>
      </w:pPr>
      <w:bookmarkStart w:id="8" w:name="_Toc210759981"/>
      <w:r w:rsidRPr="00931F3F">
        <w:rPr>
          <w:rFonts w:ascii="Times New Roman" w:eastAsia="Times New Roman" w:hAnsi="Times New Roman" w:cs="Times New Roman"/>
          <w:kern w:val="0"/>
        </w:rPr>
        <w:t>Table 5 displays the Panel ARDL (PMG) findings concerning domestic investment in Eastern African Sub-Region Countries. The model demonstrates robustness, evidenced by a significant log-likelihood value of -694.45 and a negative error correction term (-0.887, p &lt; 0.01), which affirms long-run stability.</w:t>
      </w:r>
    </w:p>
    <w:p w:rsidR="000E2512" w:rsidRPr="00931F3F" w:rsidRDefault="000E2512" w:rsidP="00931F3F">
      <w:pPr>
        <w:spacing w:after="200"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In the long run, external debt (5.001, p &lt; 0.01) and debt servicing (0.330, p &lt; 0.01) exhibit a positive impact on investment. This suggests that judicious utilization of debt and consistent repayment practices contribute to increased capital formation. Conversely, inflation (-0.103, p &lt; 0.01) and interest rates (-0.246, p &lt; 0.01) tend to diminish investment capacity, whereas bank credit (0.243, p &lt; 0.01) acts as a catalyst for investment.</w:t>
      </w:r>
    </w:p>
    <w:p w:rsidR="00830799" w:rsidRPr="007C684A" w:rsidRDefault="000E2512" w:rsidP="007C684A">
      <w:pPr>
        <w:spacing w:after="200"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The short-run dynamics largely reflect these trends. External debt (4.905, p &lt; 0.01) and bank credit (0.252, p &lt; 0.05) are found to stimulate investment. However, lagged debt servicing (-0.492, p &lt; 0.01), inflation (-0.253, p &lt; 0.05), and interest rates (-1.074, p &lt; 0.01) appear to impede investment in the short term.</w:t>
      </w:r>
      <w:r w:rsidR="008D7FE7" w:rsidRPr="00931F3F">
        <w:rPr>
          <w:rFonts w:ascii="Times New Roman" w:eastAsia="Times New Roman" w:hAnsi="Times New Roman" w:cs="Times New Roman"/>
          <w:kern w:val="0"/>
        </w:rPr>
        <w:t>.</w:t>
      </w:r>
      <w:bookmarkEnd w:id="8"/>
    </w:p>
    <w:tbl>
      <w:tblPr>
        <w:tblStyle w:val="TableGrid1"/>
        <w:tblW w:w="0" w:type="auto"/>
        <w:tblInd w:w="108" w:type="dxa"/>
        <w:tblLook w:val="04A0"/>
      </w:tblPr>
      <w:tblGrid>
        <w:gridCol w:w="1979"/>
        <w:gridCol w:w="1393"/>
        <w:gridCol w:w="1389"/>
        <w:gridCol w:w="846"/>
        <w:gridCol w:w="1268"/>
        <w:gridCol w:w="2367"/>
      </w:tblGrid>
      <w:tr w:rsidR="00830799" w:rsidRPr="00931F3F" w:rsidTr="007C684A">
        <w:tc>
          <w:tcPr>
            <w:tcW w:w="5607" w:type="dxa"/>
            <w:gridSpan w:val="4"/>
          </w:tcPr>
          <w:p w:rsidR="00830799" w:rsidRPr="00931F3F" w:rsidRDefault="00830799" w:rsidP="00931F3F">
            <w:pPr>
              <w:jc w:val="center"/>
              <w:rPr>
                <w:rFonts w:ascii="Times New Roman" w:eastAsia="Calibri" w:hAnsi="Times New Roman" w:cs="Times New Roman"/>
                <w:sz w:val="24"/>
                <w:szCs w:val="24"/>
              </w:rPr>
            </w:pPr>
            <w:r w:rsidRPr="00931F3F">
              <w:rPr>
                <w:rFonts w:ascii="Times New Roman" w:eastAsia="Calibri" w:hAnsi="Times New Roman" w:cs="Times New Roman"/>
                <w:sz w:val="24"/>
                <w:szCs w:val="24"/>
              </w:rPr>
              <w:t>Normality Test</w:t>
            </w:r>
          </w:p>
        </w:tc>
        <w:tc>
          <w:tcPr>
            <w:tcW w:w="1268" w:type="dxa"/>
          </w:tcPr>
          <w:p w:rsidR="00830799" w:rsidRPr="00931F3F" w:rsidRDefault="00830799" w:rsidP="00931F3F">
            <w:pPr>
              <w:jc w:val="center"/>
              <w:rPr>
                <w:rFonts w:ascii="Times New Roman" w:eastAsia="Calibri" w:hAnsi="Times New Roman" w:cs="Times New Roman"/>
                <w:sz w:val="24"/>
                <w:szCs w:val="24"/>
              </w:rPr>
            </w:pPr>
            <w:r w:rsidRPr="00931F3F">
              <w:rPr>
                <w:rFonts w:ascii="Times New Roman" w:eastAsia="Calibri" w:hAnsi="Times New Roman" w:cs="Times New Roman"/>
                <w:sz w:val="24"/>
                <w:szCs w:val="24"/>
              </w:rPr>
              <w:t>Decision</w:t>
            </w:r>
          </w:p>
        </w:tc>
        <w:tc>
          <w:tcPr>
            <w:tcW w:w="2367" w:type="dxa"/>
          </w:tcPr>
          <w:p w:rsidR="00830799" w:rsidRPr="00931F3F" w:rsidRDefault="00830799" w:rsidP="00931F3F">
            <w:pPr>
              <w:jc w:val="center"/>
              <w:rPr>
                <w:rFonts w:ascii="Times New Roman" w:eastAsia="Calibri" w:hAnsi="Times New Roman" w:cs="Times New Roman"/>
                <w:sz w:val="24"/>
                <w:szCs w:val="24"/>
              </w:rPr>
            </w:pPr>
            <w:r w:rsidRPr="00931F3F">
              <w:rPr>
                <w:rFonts w:ascii="Times New Roman" w:eastAsia="Calibri" w:hAnsi="Times New Roman" w:cs="Times New Roman"/>
                <w:sz w:val="24"/>
                <w:szCs w:val="24"/>
              </w:rPr>
              <w:t>Remarks</w:t>
            </w:r>
          </w:p>
        </w:tc>
      </w:tr>
      <w:tr w:rsidR="00830799" w:rsidRPr="00931F3F" w:rsidTr="007C684A">
        <w:trPr>
          <w:trHeight w:val="70"/>
        </w:trPr>
        <w:tc>
          <w:tcPr>
            <w:tcW w:w="1979"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Jarque-Bera Test</w:t>
            </w:r>
          </w:p>
        </w:tc>
        <w:tc>
          <w:tcPr>
            <w:tcW w:w="1393"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1.348</w:t>
            </w:r>
          </w:p>
        </w:tc>
        <w:tc>
          <w:tcPr>
            <w:tcW w:w="1389"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Prob</w:t>
            </w:r>
          </w:p>
        </w:tc>
        <w:tc>
          <w:tcPr>
            <w:tcW w:w="846"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0.510</w:t>
            </w:r>
          </w:p>
        </w:tc>
        <w:tc>
          <w:tcPr>
            <w:tcW w:w="1268"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Prob &gt; 0.05</w:t>
            </w:r>
          </w:p>
        </w:tc>
        <w:tc>
          <w:tcPr>
            <w:tcW w:w="2367"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Normally distributed</w:t>
            </w:r>
          </w:p>
        </w:tc>
      </w:tr>
      <w:tr w:rsidR="00830799" w:rsidRPr="00931F3F" w:rsidTr="007C684A">
        <w:tc>
          <w:tcPr>
            <w:tcW w:w="5607" w:type="dxa"/>
            <w:gridSpan w:val="4"/>
          </w:tcPr>
          <w:p w:rsidR="00830799" w:rsidRPr="00931F3F" w:rsidRDefault="00830799" w:rsidP="00931F3F">
            <w:pPr>
              <w:jc w:val="center"/>
              <w:rPr>
                <w:rFonts w:ascii="Times New Roman" w:eastAsia="Calibri" w:hAnsi="Times New Roman" w:cs="Times New Roman"/>
                <w:sz w:val="24"/>
                <w:szCs w:val="24"/>
              </w:rPr>
            </w:pPr>
            <w:r w:rsidRPr="00931F3F">
              <w:rPr>
                <w:rFonts w:ascii="Times New Roman" w:eastAsia="Calibri" w:hAnsi="Times New Roman" w:cs="Times New Roman"/>
                <w:sz w:val="24"/>
                <w:szCs w:val="24"/>
              </w:rPr>
              <w:t>Serial Correlation LM Test</w:t>
            </w:r>
          </w:p>
        </w:tc>
        <w:tc>
          <w:tcPr>
            <w:tcW w:w="1268" w:type="dxa"/>
          </w:tcPr>
          <w:p w:rsidR="00830799" w:rsidRPr="00931F3F" w:rsidRDefault="00830799" w:rsidP="00931F3F">
            <w:pPr>
              <w:jc w:val="center"/>
              <w:rPr>
                <w:rFonts w:ascii="Times New Roman" w:eastAsia="Calibri" w:hAnsi="Times New Roman" w:cs="Times New Roman"/>
                <w:sz w:val="24"/>
                <w:szCs w:val="24"/>
              </w:rPr>
            </w:pPr>
          </w:p>
        </w:tc>
        <w:tc>
          <w:tcPr>
            <w:tcW w:w="2367" w:type="dxa"/>
          </w:tcPr>
          <w:p w:rsidR="00830799" w:rsidRPr="00931F3F" w:rsidRDefault="00830799" w:rsidP="00931F3F">
            <w:pPr>
              <w:jc w:val="center"/>
              <w:rPr>
                <w:rFonts w:ascii="Times New Roman" w:eastAsia="Calibri" w:hAnsi="Times New Roman" w:cs="Times New Roman"/>
                <w:sz w:val="24"/>
                <w:szCs w:val="24"/>
              </w:rPr>
            </w:pPr>
          </w:p>
        </w:tc>
      </w:tr>
      <w:tr w:rsidR="00830799" w:rsidRPr="00931F3F" w:rsidTr="007C684A">
        <w:tc>
          <w:tcPr>
            <w:tcW w:w="1979"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F Statistics</w:t>
            </w:r>
          </w:p>
        </w:tc>
        <w:tc>
          <w:tcPr>
            <w:tcW w:w="1393"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1.075</w:t>
            </w:r>
          </w:p>
        </w:tc>
        <w:tc>
          <w:tcPr>
            <w:tcW w:w="1389"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Prob</w:t>
            </w:r>
          </w:p>
        </w:tc>
        <w:tc>
          <w:tcPr>
            <w:tcW w:w="846"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0.442</w:t>
            </w:r>
          </w:p>
        </w:tc>
        <w:tc>
          <w:tcPr>
            <w:tcW w:w="1268"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Prob &gt; 0.05</w:t>
            </w:r>
          </w:p>
        </w:tc>
        <w:tc>
          <w:tcPr>
            <w:tcW w:w="2367"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Abs of Serial Correlation</w:t>
            </w:r>
          </w:p>
        </w:tc>
      </w:tr>
      <w:tr w:rsidR="00830799" w:rsidRPr="00931F3F" w:rsidTr="007C684A">
        <w:tc>
          <w:tcPr>
            <w:tcW w:w="5607" w:type="dxa"/>
            <w:gridSpan w:val="4"/>
          </w:tcPr>
          <w:p w:rsidR="00830799" w:rsidRPr="00931F3F" w:rsidRDefault="00830799" w:rsidP="00931F3F">
            <w:pPr>
              <w:jc w:val="center"/>
              <w:rPr>
                <w:rFonts w:ascii="Times New Roman" w:eastAsia="Calibri" w:hAnsi="Times New Roman" w:cs="Times New Roman"/>
                <w:sz w:val="24"/>
                <w:szCs w:val="24"/>
              </w:rPr>
            </w:pPr>
            <w:r w:rsidRPr="00931F3F">
              <w:rPr>
                <w:rFonts w:ascii="Times New Roman" w:eastAsia="Calibri" w:hAnsi="Times New Roman" w:cs="Times New Roman"/>
                <w:sz w:val="24"/>
                <w:szCs w:val="24"/>
              </w:rPr>
              <w:t>Homoskedasticity Test</w:t>
            </w:r>
          </w:p>
        </w:tc>
        <w:tc>
          <w:tcPr>
            <w:tcW w:w="1268" w:type="dxa"/>
          </w:tcPr>
          <w:p w:rsidR="00830799" w:rsidRPr="00931F3F" w:rsidRDefault="00830799" w:rsidP="00931F3F">
            <w:pPr>
              <w:jc w:val="center"/>
              <w:rPr>
                <w:rFonts w:ascii="Times New Roman" w:eastAsia="Calibri" w:hAnsi="Times New Roman" w:cs="Times New Roman"/>
                <w:sz w:val="24"/>
                <w:szCs w:val="24"/>
              </w:rPr>
            </w:pPr>
          </w:p>
        </w:tc>
        <w:tc>
          <w:tcPr>
            <w:tcW w:w="2367" w:type="dxa"/>
          </w:tcPr>
          <w:p w:rsidR="00830799" w:rsidRPr="00931F3F" w:rsidRDefault="00830799" w:rsidP="00931F3F">
            <w:pPr>
              <w:jc w:val="center"/>
              <w:rPr>
                <w:rFonts w:ascii="Times New Roman" w:eastAsia="Calibri" w:hAnsi="Times New Roman" w:cs="Times New Roman"/>
                <w:sz w:val="24"/>
                <w:szCs w:val="24"/>
              </w:rPr>
            </w:pPr>
          </w:p>
        </w:tc>
      </w:tr>
      <w:tr w:rsidR="00830799" w:rsidRPr="00931F3F" w:rsidTr="007C684A">
        <w:tc>
          <w:tcPr>
            <w:tcW w:w="1979"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Breuch-Pagan-Godfrey Test</w:t>
            </w:r>
          </w:p>
        </w:tc>
        <w:tc>
          <w:tcPr>
            <w:tcW w:w="1393"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1.306</w:t>
            </w:r>
          </w:p>
        </w:tc>
        <w:tc>
          <w:tcPr>
            <w:tcW w:w="1389"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Prob</w:t>
            </w:r>
          </w:p>
        </w:tc>
        <w:tc>
          <w:tcPr>
            <w:tcW w:w="846"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0.300</w:t>
            </w:r>
          </w:p>
        </w:tc>
        <w:tc>
          <w:tcPr>
            <w:tcW w:w="1268"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Prob &gt; 0.05</w:t>
            </w:r>
          </w:p>
        </w:tc>
        <w:tc>
          <w:tcPr>
            <w:tcW w:w="2367" w:type="dxa"/>
          </w:tcPr>
          <w:p w:rsidR="00830799" w:rsidRPr="00931F3F" w:rsidRDefault="00830799" w:rsidP="00931F3F">
            <w:pPr>
              <w:rPr>
                <w:rFonts w:ascii="Times New Roman" w:eastAsia="Calibri" w:hAnsi="Times New Roman" w:cs="Times New Roman"/>
                <w:sz w:val="24"/>
                <w:szCs w:val="24"/>
              </w:rPr>
            </w:pPr>
            <w:r w:rsidRPr="00931F3F">
              <w:rPr>
                <w:rFonts w:ascii="Times New Roman" w:eastAsia="Calibri" w:hAnsi="Times New Roman" w:cs="Times New Roman"/>
                <w:sz w:val="24"/>
                <w:szCs w:val="24"/>
              </w:rPr>
              <w:t>Abs of Heteroskedasticity</w:t>
            </w:r>
          </w:p>
        </w:tc>
      </w:tr>
    </w:tbl>
    <w:p w:rsidR="007C684A" w:rsidRDefault="007C684A" w:rsidP="00931F3F">
      <w:pPr>
        <w:spacing w:line="240" w:lineRule="auto"/>
        <w:jc w:val="both"/>
        <w:rPr>
          <w:rFonts w:ascii="Times New Roman" w:eastAsia="Calibri" w:hAnsi="Times New Roman" w:cs="Times New Roman"/>
          <w:b/>
          <w:i/>
          <w:kern w:val="0"/>
          <w:lang w:eastAsia="zh-CN"/>
        </w:rPr>
      </w:pPr>
      <w:bookmarkStart w:id="9" w:name="_Hlk208564925"/>
      <w:r w:rsidRPr="00931F3F">
        <w:rPr>
          <w:rFonts w:ascii="Times New Roman" w:eastAsia="Calibri" w:hAnsi="Times New Roman" w:cs="Times New Roman"/>
          <w:b/>
          <w:bCs/>
          <w:color w:val="000000"/>
        </w:rPr>
        <w:t>Table 6: Result of the Diagnostic Test</w:t>
      </w:r>
    </w:p>
    <w:p w:rsidR="00830799" w:rsidRPr="00931F3F" w:rsidRDefault="00830799" w:rsidP="00931F3F">
      <w:pPr>
        <w:spacing w:line="240" w:lineRule="auto"/>
        <w:jc w:val="both"/>
        <w:rPr>
          <w:rFonts w:ascii="Times New Roman" w:eastAsia="Calibri" w:hAnsi="Times New Roman" w:cs="Times New Roman"/>
          <w:kern w:val="0"/>
        </w:rPr>
      </w:pPr>
      <w:r w:rsidRPr="00931F3F">
        <w:rPr>
          <w:rFonts w:ascii="Times New Roman" w:eastAsia="Calibri" w:hAnsi="Times New Roman" w:cs="Times New Roman"/>
          <w:b/>
          <w:i/>
          <w:kern w:val="0"/>
          <w:lang w:eastAsia="zh-CN"/>
        </w:rPr>
        <w:t xml:space="preserve">Source: </w:t>
      </w:r>
      <w:r w:rsidRPr="00931F3F">
        <w:rPr>
          <w:rFonts w:ascii="Times New Roman" w:eastAsia="Calibri" w:hAnsi="Times New Roman" w:cs="Times New Roman"/>
          <w:b/>
          <w:kern w:val="0"/>
        </w:rPr>
        <w:t>Researcher’s Computations Using EViews 10</w:t>
      </w:r>
    </w:p>
    <w:bookmarkEnd w:id="9"/>
    <w:p w:rsidR="0057134D" w:rsidRPr="00931F3F" w:rsidRDefault="0057134D" w:rsidP="00931F3F">
      <w:pPr>
        <w:shd w:val="clear" w:color="auto" w:fill="FFFFFF"/>
        <w:spacing w:after="0" w:line="240" w:lineRule="auto"/>
        <w:jc w:val="both"/>
        <w:rPr>
          <w:rFonts w:ascii="Times New Roman" w:eastAsia="Times New Roman" w:hAnsi="Times New Roman" w:cs="Times New Roman"/>
          <w:color w:val="0F1115"/>
          <w:kern w:val="0"/>
        </w:rPr>
      </w:pPr>
      <w:r w:rsidRPr="00931F3F">
        <w:rPr>
          <w:rFonts w:ascii="Times New Roman" w:eastAsia="Times New Roman" w:hAnsi="Times New Roman" w:cs="Times New Roman"/>
          <w:color w:val="0F1115"/>
          <w:kern w:val="0"/>
        </w:rPr>
        <w:t>The Panel ARDL model, employed to investigate the connection between external debt and domestic investment in Eastern African Sub-Region Countries, has been validated by the diagnostic tests presented in Table 6. These tests confirm the model's statistical soundness and its compliance with core regression assumptions, bolstering confidence in its findings.</w:t>
      </w:r>
    </w:p>
    <w:p w:rsidR="0057134D" w:rsidRPr="00931F3F" w:rsidRDefault="0057134D" w:rsidP="00931F3F">
      <w:pPr>
        <w:shd w:val="clear" w:color="auto" w:fill="FFFFFF"/>
        <w:spacing w:after="0" w:line="240" w:lineRule="auto"/>
        <w:jc w:val="both"/>
        <w:rPr>
          <w:rFonts w:ascii="Times New Roman" w:eastAsia="Times New Roman" w:hAnsi="Times New Roman" w:cs="Times New Roman"/>
          <w:color w:val="0F1115"/>
          <w:kern w:val="0"/>
        </w:rPr>
      </w:pPr>
    </w:p>
    <w:p w:rsidR="0057134D" w:rsidRPr="00931F3F" w:rsidRDefault="0057134D" w:rsidP="00931F3F">
      <w:pPr>
        <w:shd w:val="clear" w:color="auto" w:fill="FFFFFF"/>
        <w:spacing w:after="0" w:line="240" w:lineRule="auto"/>
        <w:jc w:val="both"/>
        <w:rPr>
          <w:rFonts w:ascii="Times New Roman" w:eastAsia="Times New Roman" w:hAnsi="Times New Roman" w:cs="Times New Roman"/>
          <w:color w:val="0F1115"/>
          <w:kern w:val="0"/>
        </w:rPr>
      </w:pPr>
      <w:r w:rsidRPr="00931F3F">
        <w:rPr>
          <w:rFonts w:ascii="Times New Roman" w:eastAsia="Times New Roman" w:hAnsi="Times New Roman" w:cs="Times New Roman"/>
          <w:color w:val="0F1115"/>
          <w:kern w:val="0"/>
        </w:rPr>
        <w:t>Crucially, the Jarque-Bera test (JB = 1.348, p = 0.510) indicated that the model's residuals are normally distributed, a prerequisite for reliable hypothesis testing. Furthermore, the Serial Correlation LM test (F = 1.075, p = 0.442) found no signs of autocorrelation, suggesting that the residuals are independent and that the standard errors are consistent and trustworthy. The Homoskedasticity test (F = 1.306, p = 0.300) also supported the assumption of constant variance, which is vital for generating precise coefficient estimates.</w:t>
      </w:r>
    </w:p>
    <w:p w:rsidR="0057134D" w:rsidRPr="00931F3F" w:rsidRDefault="0057134D" w:rsidP="00931F3F">
      <w:pPr>
        <w:shd w:val="clear" w:color="auto" w:fill="FFFFFF"/>
        <w:spacing w:after="0" w:line="240" w:lineRule="auto"/>
        <w:jc w:val="both"/>
        <w:rPr>
          <w:rFonts w:ascii="Times New Roman" w:eastAsia="Times New Roman" w:hAnsi="Times New Roman" w:cs="Times New Roman"/>
          <w:color w:val="0F1115"/>
          <w:kern w:val="0"/>
        </w:rPr>
      </w:pPr>
    </w:p>
    <w:p w:rsidR="0057134D" w:rsidRPr="00931F3F" w:rsidRDefault="0057134D" w:rsidP="00931F3F">
      <w:pPr>
        <w:shd w:val="clear" w:color="auto" w:fill="FFFFFF"/>
        <w:spacing w:after="0" w:line="240" w:lineRule="auto"/>
        <w:jc w:val="both"/>
        <w:rPr>
          <w:rFonts w:ascii="Times New Roman" w:eastAsia="Times New Roman" w:hAnsi="Times New Roman" w:cs="Times New Roman"/>
          <w:color w:val="0F1115"/>
          <w:kern w:val="0"/>
        </w:rPr>
      </w:pPr>
      <w:r w:rsidRPr="00931F3F">
        <w:rPr>
          <w:rFonts w:ascii="Times New Roman" w:eastAsia="Times New Roman" w:hAnsi="Times New Roman" w:cs="Times New Roman"/>
          <w:color w:val="0F1115"/>
          <w:kern w:val="0"/>
        </w:rPr>
        <w:t>Collectively, these results highlight the model's dependability. This strong validation underscores the accuracy of its coefficients and the credibility of its policy recommendations concerning debt and investment management in the region.</w:t>
      </w:r>
    </w:p>
    <w:p w:rsidR="00290B30" w:rsidRPr="00931F3F" w:rsidRDefault="00290B30" w:rsidP="00931F3F">
      <w:pPr>
        <w:shd w:val="clear" w:color="auto" w:fill="FFFFFF"/>
        <w:spacing w:after="0" w:line="240" w:lineRule="auto"/>
        <w:jc w:val="both"/>
        <w:rPr>
          <w:rFonts w:ascii="Times New Roman" w:eastAsia="Times New Roman" w:hAnsi="Times New Roman" w:cs="Times New Roman"/>
          <w:b/>
          <w:bCs/>
          <w:color w:val="0F1115"/>
          <w:kern w:val="0"/>
        </w:rPr>
      </w:pPr>
      <w:r w:rsidRPr="00931F3F">
        <w:rPr>
          <w:rFonts w:ascii="Times New Roman" w:eastAsia="Times New Roman" w:hAnsi="Times New Roman" w:cs="Times New Roman"/>
          <w:b/>
          <w:bCs/>
          <w:color w:val="0F1115"/>
          <w:kern w:val="0"/>
        </w:rPr>
        <w:t>Discussion of the findings</w:t>
      </w:r>
    </w:p>
    <w:p w:rsidR="0057134D" w:rsidRPr="00931F3F" w:rsidRDefault="0057134D"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The analysis of unit roots demonstrated that Domestic Investment, interest rates, and bank credit only achieve stationarity after the first difference, indicating persistent trends in debt and investment. This aligns with prior research (Aswata et al., 2018; Maugu, 2023; Ndoricimpa, 2020) that highlights the enduring influence of public debt and macroeconomic factors on investment. The stability of Foreign Direct Investment (FDI) supports existing literature suggesting foreign inflows are more resilient to economic shocks (Dacka, 2016; Ezeaku et al., 2023). Consequently, the Panel Autoregressive Distributed Lag (ARDL) model is deemed appropriate for examining variables with varying integration orders and capturing both long- and short-term dynamics in East Africa.</w:t>
      </w:r>
    </w:p>
    <w:p w:rsidR="0057134D" w:rsidRPr="00931F3F" w:rsidRDefault="0057134D"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Regarding Domestic Investment, findings are consistent with studies emphasizing the positive impact of external debt and bank credit on investment, provided resources are utilized effectively (Were, 2018; Mensah et al., 2019). Similarly, the inverse relationship between inflation, high interest rates, and investment mirrors research by Nyoni and Bonga (2017), who found macroeconomic instability impedes capital accumulation. However, the observed long-run positive effect of debt servicing contrasts with earlier work (e.g., Ogunmuyiwa, 2011) where debt obligations depleted domestic resources. This divergence underscores the critical role of fiscal discipline and credibility in investment outcomes. Overall, these findings show both agreement and disagreement with existing literature, highlighting debt's dual potential as a stimulus or burden, contingent on its management.</w:t>
      </w:r>
    </w:p>
    <w:p w:rsidR="0057134D" w:rsidRPr="00931F3F" w:rsidRDefault="0057134D"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Diagnostic checks for the PARDL model were consistent with established empirical studies (Pesaran et al., 2001; Samargandi et al., 2015), which underscored the necessity of meeting conditions like normality, no serial correlation, and homoskedasticity for reliable estimations. The absence of autocorrelation and heteroskedasticity, as found by Asteriou and Hall (2021), confirms the model's stability and efficiency. However, research like Chudik and Pesaran (2015) cautions that cross-sectional dependence can introduce bias if not addressed, posing a potential limitation. Thus, while the current model is statistically sound, its overall robustness depends on broader considerations of panel dynamics.</w:t>
      </w:r>
    </w:p>
    <w:p w:rsidR="0057134D" w:rsidRPr="00931F3F" w:rsidRDefault="0057134D" w:rsidP="00931F3F">
      <w:pPr>
        <w:spacing w:before="100" w:beforeAutospacing="1" w:after="100" w:afterAutospacing="1" w:line="240" w:lineRule="auto"/>
        <w:jc w:val="both"/>
        <w:rPr>
          <w:rFonts w:ascii="Times New Roman" w:eastAsia="Times New Roman" w:hAnsi="Times New Roman" w:cs="Times New Roman"/>
          <w:b/>
          <w:bCs/>
          <w:kern w:val="0"/>
        </w:rPr>
      </w:pPr>
      <w:r w:rsidRPr="00931F3F">
        <w:rPr>
          <w:rFonts w:ascii="Times New Roman" w:eastAsia="Times New Roman" w:hAnsi="Times New Roman" w:cs="Times New Roman"/>
          <w:b/>
          <w:bCs/>
          <w:kern w:val="0"/>
        </w:rPr>
        <w:t>Conclusion and Recommendations</w:t>
      </w:r>
    </w:p>
    <w:p w:rsidR="0057134D" w:rsidRPr="00931F3F" w:rsidRDefault="0057134D"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This study concludes that external debt significantly influences domestic investment in the East African Sub-Region. Effectively managed external borrowing, channeled into productive sectors, can promote capital formation and economic growth in the long term. While debt servicing can enhance credibility and fiscal discipline, it may also restrict short-term investment due to repayment pressures. Macroeconomic instability, particularly high inflation and interest rates, deters investment, whereas bank credit consistently supports it in both the short and long run. The Panel ARDL and causality analyses confirm a long-run equilibrium and a bidirectional relationship between external debt and domestic investment, suggesting a mutually reinforcing dynamic. Ultimately, external debt acts as both a facilitator and a constraint, contingent on management efficiency, macroeconomic stability, and financial sector development.</w:t>
      </w:r>
    </w:p>
    <w:p w:rsidR="00A47B6F" w:rsidRPr="00931F3F" w:rsidRDefault="0057134D"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Based on these findings, East African governments should prioritize strategic borrowing, focusing on infrastructure, manufacturing, and energy to maximize investment returns. Strengthening debt sustainability frameworks and opting for concessional loans can ease repayment burdens. Monetary authorities should implement inflation-targeting policies and maintain stable interest rates to boost investor confidence. Financial sector reforms are essential to improve credit access, particularly for SMEs and productive industries. Enhancing debt transparency and coordinating fiscal and monetary policies across the region are vital for unified stability. Finally, governments must improve public investment efficiency through better project selection, monitoring, and governance to ensure borrowed funds contribute to tangible economic growth.</w:t>
      </w:r>
    </w:p>
    <w:p w:rsidR="00AE126B" w:rsidRPr="00931F3F" w:rsidRDefault="00AE126B" w:rsidP="00931F3F">
      <w:pPr>
        <w:spacing w:before="100" w:beforeAutospacing="1" w:after="100" w:afterAutospacing="1" w:line="240" w:lineRule="auto"/>
        <w:outlineLvl w:val="2"/>
        <w:rPr>
          <w:rFonts w:ascii="Times New Roman" w:eastAsia="Times New Roman" w:hAnsi="Times New Roman" w:cs="Times New Roman"/>
          <w:b/>
          <w:bCs/>
          <w:kern w:val="0"/>
        </w:rPr>
      </w:pPr>
      <w:r w:rsidRPr="00931F3F">
        <w:rPr>
          <w:rFonts w:ascii="Times New Roman" w:eastAsia="Times New Roman" w:hAnsi="Times New Roman" w:cs="Times New Roman"/>
          <w:b/>
          <w:bCs/>
          <w:kern w:val="0"/>
        </w:rPr>
        <w:t>Declaration</w:t>
      </w:r>
    </w:p>
    <w:p w:rsidR="00AE126B" w:rsidRPr="00931F3F" w:rsidRDefault="00AE126B"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The authors declare that this manuscript is original, has not been published previously, and is not under consideration for publication elsewhere, either in whole or in part. The study is the result of the authors’ independent research work, and all sources of information used have been appropriately acknowledged and referenced.</w:t>
      </w:r>
    </w:p>
    <w:p w:rsidR="00AE126B" w:rsidRPr="00931F3F" w:rsidRDefault="00AE126B" w:rsidP="00931F3F">
      <w:pPr>
        <w:spacing w:before="100" w:beforeAutospacing="1" w:after="100" w:afterAutospacing="1" w:line="240" w:lineRule="auto"/>
        <w:jc w:val="both"/>
        <w:rPr>
          <w:rFonts w:ascii="Times New Roman" w:eastAsia="Times New Roman" w:hAnsi="Times New Roman" w:cs="Times New Roman"/>
          <w:kern w:val="0"/>
        </w:rPr>
      </w:pPr>
      <w:r w:rsidRPr="00931F3F">
        <w:rPr>
          <w:rFonts w:ascii="Times New Roman" w:eastAsia="Times New Roman" w:hAnsi="Times New Roman" w:cs="Times New Roman"/>
          <w:kern w:val="0"/>
        </w:rPr>
        <w:t>The authors further declare that there is no conflict of interest, financial or otherwise, that could have influenced the outcomes or interpretations of this study. Ethical principles relating to research integrity, originality, and responsible authorship have been fully observed in the preparation and submission of this manuscript.</w:t>
      </w:r>
    </w:p>
    <w:p w:rsidR="003E3DD5" w:rsidRPr="00931F3F" w:rsidRDefault="003E3DD5" w:rsidP="00931F3F">
      <w:pPr>
        <w:spacing w:line="240" w:lineRule="auto"/>
        <w:rPr>
          <w:rFonts w:ascii="Times New Roman" w:eastAsia="Times New Roman" w:hAnsi="Times New Roman" w:cs="Times New Roman"/>
          <w:kern w:val="0"/>
        </w:rPr>
      </w:pPr>
      <w:r w:rsidRPr="00931F3F">
        <w:rPr>
          <w:rFonts w:ascii="Times New Roman" w:hAnsi="Times New Roman" w:cs="Times New Roman"/>
          <w:b/>
          <w:bCs/>
        </w:rPr>
        <w:t xml:space="preserve">References </w:t>
      </w:r>
    </w:p>
    <w:p w:rsidR="003E3DD5" w:rsidRPr="00931F3F" w:rsidRDefault="003E3DD5" w:rsidP="00931F3F">
      <w:pPr>
        <w:pStyle w:val="NormalWeb"/>
        <w:spacing w:before="0" w:beforeAutospacing="0" w:after="0" w:afterAutospacing="0"/>
        <w:jc w:val="both"/>
      </w:pPr>
      <w:r w:rsidRPr="00931F3F">
        <w:t xml:space="preserve">Akinola, G. O., &amp; Egbetunde, T. (2021). </w:t>
      </w:r>
      <w:r w:rsidRPr="00931F3F">
        <w:rPr>
          <w:rStyle w:val="Emphasis"/>
          <w:rFonts w:eastAsiaTheme="majorEastAsia"/>
        </w:rPr>
        <w:t>External debt, domestic investment and economic growth in Sub-Saharan Africa: Evidence from dynamic panel data</w:t>
      </w:r>
      <w:r w:rsidRPr="00931F3F">
        <w:t>. African Journal of Economic Policy, 28(1), 45–67.</w:t>
      </w:r>
    </w:p>
    <w:p w:rsidR="003E3DD5" w:rsidRPr="00931F3F" w:rsidRDefault="003E3DD5" w:rsidP="00931F3F">
      <w:pPr>
        <w:pStyle w:val="NormalWeb"/>
        <w:spacing w:before="0" w:beforeAutospacing="0" w:after="0" w:afterAutospacing="0"/>
        <w:jc w:val="both"/>
      </w:pPr>
      <w:r w:rsidRPr="00931F3F">
        <w:t xml:space="preserve">Akomolafe, K. J. (2015). </w:t>
      </w:r>
      <w:r w:rsidRPr="00931F3F">
        <w:rPr>
          <w:rStyle w:val="Emphasis"/>
          <w:rFonts w:eastAsiaTheme="majorEastAsia"/>
        </w:rPr>
        <w:t>The impact of external debt on economic growth and investment in Nigeria</w:t>
      </w:r>
      <w:r w:rsidRPr="00931F3F">
        <w:t>. Journal of Economics and Sustainable Development, 6(14), 32–41.</w:t>
      </w:r>
    </w:p>
    <w:p w:rsidR="003E3DD5" w:rsidRPr="00931F3F" w:rsidRDefault="003E3DD5" w:rsidP="00931F3F">
      <w:pPr>
        <w:pStyle w:val="NormalWeb"/>
        <w:spacing w:before="0" w:beforeAutospacing="0" w:after="0" w:afterAutospacing="0"/>
        <w:jc w:val="both"/>
      </w:pPr>
      <w:r w:rsidRPr="00931F3F">
        <w:t xml:space="preserve">Aswata, R., Ndirangu, L., &amp; Ochieng, J. (2018). </w:t>
      </w:r>
      <w:r w:rsidRPr="00931F3F">
        <w:rPr>
          <w:rStyle w:val="Emphasis"/>
          <w:rFonts w:eastAsiaTheme="majorEastAsia"/>
        </w:rPr>
        <w:t>External debt and investment dynamics in developing countries: Evidence from Sub-Saharan Africa</w:t>
      </w:r>
      <w:r w:rsidRPr="00931F3F">
        <w:t>. African Development Review, 30(2), 167–181.</w:t>
      </w:r>
    </w:p>
    <w:p w:rsidR="003E3DD5" w:rsidRPr="00931F3F" w:rsidRDefault="003E3DD5" w:rsidP="00931F3F">
      <w:pPr>
        <w:pStyle w:val="NormalWeb"/>
        <w:spacing w:before="0" w:beforeAutospacing="0" w:after="0" w:afterAutospacing="0"/>
        <w:jc w:val="both"/>
      </w:pPr>
      <w:r w:rsidRPr="00931F3F">
        <w:t xml:space="preserve">Asteriou, D., Pilbeam, K., &amp; Pratiwi, C. E. (2020). </w:t>
      </w:r>
      <w:r w:rsidRPr="00931F3F">
        <w:rPr>
          <w:rStyle w:val="Emphasis"/>
          <w:rFonts w:eastAsiaTheme="majorEastAsia"/>
        </w:rPr>
        <w:t>Public debt and economic growth: Panel data evidence for Asian countries</w:t>
      </w:r>
      <w:r w:rsidRPr="00931F3F">
        <w:t>. Journal of Economics and Finance, 44(1), 1–18.</w:t>
      </w:r>
    </w:p>
    <w:p w:rsidR="003E3DD5" w:rsidRPr="00931F3F" w:rsidRDefault="003E3DD5" w:rsidP="00931F3F">
      <w:pPr>
        <w:pStyle w:val="NormalWeb"/>
        <w:spacing w:before="0" w:beforeAutospacing="0" w:after="0" w:afterAutospacing="0"/>
        <w:jc w:val="both"/>
      </w:pPr>
      <w:r w:rsidRPr="00931F3F">
        <w:t xml:space="preserve">Blackburne, E. F., &amp; Frank, M. W. (2007). Estimation of nonstationary heterogeneous panels. </w:t>
      </w:r>
      <w:r w:rsidRPr="00931F3F">
        <w:rPr>
          <w:rStyle w:val="Emphasis"/>
          <w:rFonts w:eastAsiaTheme="majorEastAsia"/>
        </w:rPr>
        <w:t>Journal of Applied Econometrics, 22</w:t>
      </w:r>
      <w:r w:rsidRPr="00931F3F">
        <w:t>(2), 249–280.</w:t>
      </w:r>
    </w:p>
    <w:p w:rsidR="003E3DD5" w:rsidRPr="00931F3F" w:rsidRDefault="003E3DD5" w:rsidP="00931F3F">
      <w:pPr>
        <w:pStyle w:val="NormalWeb"/>
        <w:spacing w:before="0" w:beforeAutospacing="0" w:after="0" w:afterAutospacing="0"/>
        <w:jc w:val="both"/>
      </w:pPr>
      <w:r w:rsidRPr="00931F3F">
        <w:t xml:space="preserve">Caruana, J., Lombardi, M., &amp; Nakaso, H. (2021). </w:t>
      </w:r>
      <w:r w:rsidRPr="00931F3F">
        <w:rPr>
          <w:rStyle w:val="Emphasis"/>
          <w:rFonts w:eastAsiaTheme="majorEastAsia"/>
        </w:rPr>
        <w:t>Debt sustainability and economic resilience in emerging markets</w:t>
      </w:r>
      <w:r w:rsidRPr="00931F3F">
        <w:t>. Bank for International Settlements Working Paper No. 996.</w:t>
      </w:r>
    </w:p>
    <w:p w:rsidR="003E3DD5" w:rsidRPr="00931F3F" w:rsidRDefault="003E3DD5" w:rsidP="00931F3F">
      <w:pPr>
        <w:pStyle w:val="NormalWeb"/>
        <w:spacing w:before="0" w:beforeAutospacing="0" w:after="0" w:afterAutospacing="0"/>
        <w:jc w:val="both"/>
      </w:pPr>
      <w:r w:rsidRPr="00931F3F">
        <w:t xml:space="preserve">Dacka, P. (2016). </w:t>
      </w:r>
      <w:r w:rsidRPr="00931F3F">
        <w:rPr>
          <w:rStyle w:val="Emphasis"/>
          <w:rFonts w:eastAsiaTheme="majorEastAsia"/>
        </w:rPr>
        <w:t>External debt and investment in Sub-Saharan Africa: Evidence from panel cointegration analysis</w:t>
      </w:r>
      <w:r w:rsidRPr="00931F3F">
        <w:t>. Economic Modelling, 54(3), 140–152.</w:t>
      </w:r>
    </w:p>
    <w:p w:rsidR="003E3DD5" w:rsidRPr="00931F3F" w:rsidRDefault="003E3DD5" w:rsidP="00931F3F">
      <w:pPr>
        <w:pStyle w:val="NormalWeb"/>
        <w:spacing w:before="0" w:beforeAutospacing="0" w:after="0" w:afterAutospacing="0"/>
        <w:jc w:val="both"/>
      </w:pPr>
      <w:r w:rsidRPr="00931F3F">
        <w:t xml:space="preserve">Elbadawi, I., &amp; Ndulu, B. (2016). </w:t>
      </w:r>
      <w:r w:rsidRPr="00931F3F">
        <w:rPr>
          <w:rStyle w:val="Emphasis"/>
          <w:rFonts w:eastAsiaTheme="majorEastAsia"/>
        </w:rPr>
        <w:t>Economic development in Africa: Debt dynamics and investment efficiency</w:t>
      </w:r>
      <w:r w:rsidRPr="00931F3F">
        <w:t>. African Economic Research Consortium, Nairobi.</w:t>
      </w:r>
    </w:p>
    <w:p w:rsidR="003E3DD5" w:rsidRPr="00931F3F" w:rsidRDefault="003E3DD5" w:rsidP="00931F3F">
      <w:pPr>
        <w:pStyle w:val="NormalWeb"/>
        <w:spacing w:before="0" w:beforeAutospacing="0" w:after="0" w:afterAutospacing="0"/>
        <w:jc w:val="both"/>
      </w:pPr>
      <w:r w:rsidRPr="00931F3F">
        <w:t xml:space="preserve">Fagbemi, T. O. (2020). </w:t>
      </w:r>
      <w:r w:rsidRPr="00931F3F">
        <w:rPr>
          <w:rStyle w:val="Emphasis"/>
          <w:rFonts w:eastAsiaTheme="majorEastAsia"/>
        </w:rPr>
        <w:t>External debt and private investment in Africa: Empirical evidence from panel data analysis</w:t>
      </w:r>
      <w:r w:rsidRPr="00931F3F">
        <w:t>. International Journal of Economics and Finance, 12(3), 45–56.</w:t>
      </w:r>
    </w:p>
    <w:p w:rsidR="003E3DD5" w:rsidRPr="00931F3F" w:rsidRDefault="003E3DD5" w:rsidP="00931F3F">
      <w:pPr>
        <w:pStyle w:val="NormalWeb"/>
        <w:spacing w:before="0" w:beforeAutospacing="0" w:after="0" w:afterAutospacing="0"/>
        <w:jc w:val="both"/>
      </w:pPr>
      <w:r w:rsidRPr="00931F3F">
        <w:t xml:space="preserve">Fosu, A. K. (2021). </w:t>
      </w:r>
      <w:r w:rsidRPr="00931F3F">
        <w:rPr>
          <w:rStyle w:val="Emphasis"/>
          <w:rFonts w:eastAsiaTheme="majorEastAsia"/>
        </w:rPr>
        <w:t>External debt management and sustainable investment in Africa: Challenges and prospects</w:t>
      </w:r>
      <w:r w:rsidRPr="00931F3F">
        <w:t>. African Review of Economics and Finance, 13(2), 23–44.</w:t>
      </w:r>
    </w:p>
    <w:p w:rsidR="003E3DD5" w:rsidRPr="00931F3F" w:rsidRDefault="003E3DD5" w:rsidP="00931F3F">
      <w:pPr>
        <w:pStyle w:val="NormalWeb"/>
        <w:spacing w:before="0" w:beforeAutospacing="0" w:after="0" w:afterAutospacing="0"/>
        <w:jc w:val="both"/>
      </w:pPr>
      <w:r w:rsidRPr="00931F3F">
        <w:t xml:space="preserve">Gichigo, P. (2023). </w:t>
      </w:r>
      <w:r w:rsidRPr="00931F3F">
        <w:rPr>
          <w:rStyle w:val="Emphasis"/>
          <w:rFonts w:eastAsiaTheme="majorEastAsia"/>
        </w:rPr>
        <w:t>Regional debt spillovers and investment responses in East Africa</w:t>
      </w:r>
      <w:r w:rsidRPr="00931F3F">
        <w:t>. East African Economic Journal, 14(2), 88–103.</w:t>
      </w:r>
    </w:p>
    <w:p w:rsidR="003E3DD5" w:rsidRPr="00931F3F" w:rsidRDefault="003E3DD5" w:rsidP="00931F3F">
      <w:pPr>
        <w:pStyle w:val="NormalWeb"/>
        <w:spacing w:before="0" w:beforeAutospacing="0" w:after="0" w:afterAutospacing="0"/>
        <w:jc w:val="both"/>
      </w:pPr>
      <w:r w:rsidRPr="00931F3F">
        <w:t xml:space="preserve">Gujarati, D. N., &amp; Porter, D. C. (2009). </w:t>
      </w:r>
      <w:r w:rsidRPr="00931F3F">
        <w:rPr>
          <w:rStyle w:val="Emphasis"/>
          <w:rFonts w:eastAsiaTheme="majorEastAsia"/>
        </w:rPr>
        <w:t>Basic econometrics</w:t>
      </w:r>
      <w:r w:rsidRPr="00931F3F">
        <w:t xml:space="preserve"> (5th ed.). McGraw-Hill/Irwin.</w:t>
      </w:r>
    </w:p>
    <w:p w:rsidR="003E3DD5" w:rsidRPr="00931F3F" w:rsidRDefault="003E3DD5" w:rsidP="00931F3F">
      <w:pPr>
        <w:pStyle w:val="NormalWeb"/>
        <w:spacing w:before="0" w:beforeAutospacing="0" w:after="0" w:afterAutospacing="0"/>
        <w:jc w:val="both"/>
      </w:pPr>
      <w:r w:rsidRPr="00931F3F">
        <w:t xml:space="preserve">Im, K. S., Pesaran, M. H., &amp; Shin, Y. (2003). Testing for unit roots in heterogeneous panels. </w:t>
      </w:r>
      <w:r w:rsidRPr="00931F3F">
        <w:rPr>
          <w:rStyle w:val="Emphasis"/>
          <w:rFonts w:eastAsiaTheme="majorEastAsia"/>
        </w:rPr>
        <w:t>Journal of Econometrics, 115</w:t>
      </w:r>
      <w:r w:rsidRPr="00931F3F">
        <w:t>(1), 53–74.</w:t>
      </w:r>
    </w:p>
    <w:p w:rsidR="003E3DD5" w:rsidRPr="00931F3F" w:rsidRDefault="003E3DD5" w:rsidP="00931F3F">
      <w:pPr>
        <w:pStyle w:val="NormalWeb"/>
        <w:spacing w:before="0" w:beforeAutospacing="0" w:after="0" w:afterAutospacing="0"/>
        <w:jc w:val="both"/>
      </w:pPr>
      <w:r w:rsidRPr="00931F3F">
        <w:t xml:space="preserve">International Monetary Fund (IMF). (2023). </w:t>
      </w:r>
      <w:r w:rsidRPr="00931F3F">
        <w:rPr>
          <w:rStyle w:val="Emphasis"/>
          <w:rFonts w:eastAsiaTheme="majorEastAsia"/>
        </w:rPr>
        <w:t>Regional economic outlook: Sub-Saharan Africa—The big funding squeeze</w:t>
      </w:r>
      <w:r w:rsidRPr="00931F3F">
        <w:t>. Washington, DC: IMF.</w:t>
      </w:r>
    </w:p>
    <w:p w:rsidR="003E3DD5" w:rsidRPr="00931F3F" w:rsidRDefault="003E3DD5" w:rsidP="00931F3F">
      <w:pPr>
        <w:pStyle w:val="NormalWeb"/>
        <w:spacing w:before="0" w:beforeAutospacing="0" w:after="0" w:afterAutospacing="0"/>
        <w:jc w:val="both"/>
      </w:pPr>
      <w:r w:rsidRPr="00931F3F">
        <w:t xml:space="preserve">Iyoha, M. A. (1999). External debt and economic growth in Sub-Saharan African countries: An econometric study. </w:t>
      </w:r>
      <w:r w:rsidRPr="00931F3F">
        <w:rPr>
          <w:rStyle w:val="Emphasis"/>
          <w:rFonts w:eastAsiaTheme="majorEastAsia"/>
        </w:rPr>
        <w:t>African Economic Research Consortium Research Paper No. 90.</w:t>
      </w:r>
    </w:p>
    <w:p w:rsidR="003E3DD5" w:rsidRPr="00931F3F" w:rsidRDefault="003E3DD5" w:rsidP="00931F3F">
      <w:pPr>
        <w:pStyle w:val="NormalWeb"/>
        <w:spacing w:before="0" w:beforeAutospacing="0" w:after="0" w:afterAutospacing="0"/>
        <w:jc w:val="both"/>
      </w:pPr>
      <w:r w:rsidRPr="00931F3F">
        <w:t xml:space="preserve">Joy, D., &amp; Panda, S. (2020). </w:t>
      </w:r>
      <w:r w:rsidRPr="00931F3F">
        <w:rPr>
          <w:rStyle w:val="Emphasis"/>
          <w:rFonts w:eastAsiaTheme="majorEastAsia"/>
        </w:rPr>
        <w:t>External debt, domestic investment, and economic growth in Ghana: Evidence from ARDL approach</w:t>
      </w:r>
      <w:r w:rsidRPr="00931F3F">
        <w:t>. International Journal of Economics and Management Studies, 7(2), 35–43.</w:t>
      </w:r>
    </w:p>
    <w:p w:rsidR="003E3DD5" w:rsidRPr="00931F3F" w:rsidRDefault="003E3DD5" w:rsidP="00931F3F">
      <w:pPr>
        <w:pStyle w:val="NormalWeb"/>
        <w:spacing w:before="0" w:beforeAutospacing="0" w:after="0" w:afterAutospacing="0"/>
        <w:jc w:val="both"/>
      </w:pPr>
      <w:r w:rsidRPr="00931F3F">
        <w:t xml:space="preserve">Krugman, P. (1988). Financing versus forgiving a debt overhang. </w:t>
      </w:r>
      <w:r w:rsidRPr="00931F3F">
        <w:rPr>
          <w:rStyle w:val="Emphasis"/>
          <w:rFonts w:eastAsiaTheme="majorEastAsia"/>
        </w:rPr>
        <w:t>Journal of Development Economics, 29</w:t>
      </w:r>
      <w:r w:rsidRPr="00931F3F">
        <w:t>(3), 253–268.</w:t>
      </w:r>
    </w:p>
    <w:p w:rsidR="003E3DD5" w:rsidRPr="00931F3F" w:rsidRDefault="003E3DD5" w:rsidP="00931F3F">
      <w:pPr>
        <w:pStyle w:val="NormalWeb"/>
        <w:spacing w:before="0" w:beforeAutospacing="0" w:after="0" w:afterAutospacing="0"/>
        <w:jc w:val="both"/>
      </w:pPr>
      <w:r w:rsidRPr="00931F3F">
        <w:t xml:space="preserve">Levin, A., Lin, C. F., &amp; Chu, C. S. J. (2002). Unit root tests in panel data: Asymptotic and finite-sample properties. </w:t>
      </w:r>
      <w:r w:rsidRPr="00931F3F">
        <w:rPr>
          <w:rStyle w:val="Emphasis"/>
          <w:rFonts w:eastAsiaTheme="majorEastAsia"/>
        </w:rPr>
        <w:t>Journal of Econometrics, 108</w:t>
      </w:r>
      <w:r w:rsidRPr="00931F3F">
        <w:t>(1), 1–24.</w:t>
      </w:r>
    </w:p>
    <w:p w:rsidR="003E3DD5" w:rsidRPr="00931F3F" w:rsidRDefault="003E3DD5" w:rsidP="00931F3F">
      <w:pPr>
        <w:pStyle w:val="NormalWeb"/>
        <w:spacing w:before="0" w:beforeAutospacing="0" w:after="0" w:afterAutospacing="0"/>
        <w:jc w:val="both"/>
      </w:pPr>
      <w:r w:rsidRPr="00931F3F">
        <w:t xml:space="preserve">Magumisi, R. (2021). </w:t>
      </w:r>
      <w:r w:rsidRPr="00931F3F">
        <w:rPr>
          <w:rStyle w:val="Emphasis"/>
          <w:rFonts w:eastAsiaTheme="majorEastAsia"/>
        </w:rPr>
        <w:t>Public debt and private sector investment in Zimbabwe: A VECM analysis</w:t>
      </w:r>
      <w:r w:rsidRPr="00931F3F">
        <w:t>. Journal of African Finance and Economic Development, 9(3), 54–68.</w:t>
      </w:r>
    </w:p>
    <w:p w:rsidR="003E3DD5" w:rsidRPr="00931F3F" w:rsidRDefault="003E3DD5" w:rsidP="00931F3F">
      <w:pPr>
        <w:pStyle w:val="NormalWeb"/>
        <w:spacing w:before="0" w:beforeAutospacing="0" w:after="0" w:afterAutospacing="0"/>
        <w:jc w:val="both"/>
      </w:pPr>
      <w:r w:rsidRPr="00931F3F">
        <w:t xml:space="preserve">Maugu, S. (2023). </w:t>
      </w:r>
      <w:r w:rsidRPr="00931F3F">
        <w:rPr>
          <w:rStyle w:val="Emphasis"/>
          <w:rFonts w:eastAsiaTheme="majorEastAsia"/>
        </w:rPr>
        <w:t>Public debt, fiscal spillovers, and investment convergence in the East African Community</w:t>
      </w:r>
      <w:r w:rsidRPr="00931F3F">
        <w:t>. Journal of Development Economics and Policy, 19(2), 101–119.</w:t>
      </w:r>
    </w:p>
    <w:p w:rsidR="003E3DD5" w:rsidRPr="00931F3F" w:rsidRDefault="003E3DD5" w:rsidP="00931F3F">
      <w:pPr>
        <w:pStyle w:val="NormalWeb"/>
        <w:spacing w:before="0" w:beforeAutospacing="0" w:after="0" w:afterAutospacing="0"/>
        <w:jc w:val="both"/>
      </w:pPr>
      <w:r w:rsidRPr="00931F3F">
        <w:t xml:space="preserve">Menard, S. (2020). </w:t>
      </w:r>
      <w:r w:rsidRPr="00931F3F">
        <w:rPr>
          <w:rStyle w:val="Emphasis"/>
          <w:rFonts w:eastAsiaTheme="majorEastAsia"/>
        </w:rPr>
        <w:t>Longitudinal research</w:t>
      </w:r>
      <w:r w:rsidRPr="00931F3F">
        <w:t xml:space="preserve"> (2nd ed.). Sage Publications.</w:t>
      </w:r>
    </w:p>
    <w:p w:rsidR="003E3DD5" w:rsidRPr="00931F3F" w:rsidRDefault="003E3DD5" w:rsidP="00931F3F">
      <w:pPr>
        <w:pStyle w:val="NormalWeb"/>
        <w:spacing w:before="0" w:beforeAutospacing="0" w:after="0" w:afterAutospacing="0"/>
        <w:jc w:val="both"/>
      </w:pPr>
      <w:r w:rsidRPr="00931F3F">
        <w:t xml:space="preserve">Ministry of Finance, Planning and Economic Development (MoFPED). (2023). </w:t>
      </w:r>
      <w:r w:rsidRPr="00931F3F">
        <w:rPr>
          <w:rStyle w:val="Emphasis"/>
          <w:rFonts w:eastAsiaTheme="majorEastAsia"/>
        </w:rPr>
        <w:t>Public debt statistical bulletin FY2022/23</w:t>
      </w:r>
      <w:r w:rsidRPr="00931F3F">
        <w:t>. Kampala: Government of Uganda.</w:t>
      </w:r>
    </w:p>
    <w:p w:rsidR="003E3DD5" w:rsidRPr="00931F3F" w:rsidRDefault="003E3DD5" w:rsidP="00931F3F">
      <w:pPr>
        <w:pStyle w:val="NormalWeb"/>
        <w:spacing w:before="0" w:beforeAutospacing="0" w:after="0" w:afterAutospacing="0"/>
        <w:jc w:val="both"/>
      </w:pPr>
      <w:r w:rsidRPr="00931F3F">
        <w:t xml:space="preserve">Ndoricimpa, A. (2020). </w:t>
      </w:r>
      <w:r w:rsidRPr="00931F3F">
        <w:rPr>
          <w:rStyle w:val="Emphasis"/>
          <w:rFonts w:eastAsiaTheme="majorEastAsia"/>
        </w:rPr>
        <w:t>Public debt, domestic investment and economic growth in the East African Community</w:t>
      </w:r>
      <w:r w:rsidRPr="00931F3F">
        <w:t>. African Development Review, 32(1), 38–50.</w:t>
      </w:r>
    </w:p>
    <w:p w:rsidR="003E3DD5" w:rsidRPr="00931F3F" w:rsidRDefault="003E3DD5" w:rsidP="00931F3F">
      <w:pPr>
        <w:pStyle w:val="NormalWeb"/>
        <w:spacing w:before="0" w:beforeAutospacing="0" w:after="0" w:afterAutospacing="0"/>
        <w:jc w:val="both"/>
      </w:pPr>
      <w:r w:rsidRPr="00931F3F">
        <w:t xml:space="preserve">Ogunjimi, O. (2019). </w:t>
      </w:r>
      <w:r w:rsidRPr="00931F3F">
        <w:rPr>
          <w:rStyle w:val="Emphasis"/>
          <w:rFonts w:eastAsiaTheme="majorEastAsia"/>
        </w:rPr>
        <w:t>External debt, domestic investment and economic performance in West Africa</w:t>
      </w:r>
      <w:r w:rsidRPr="00931F3F">
        <w:t>. West African Journal of Monetary and Economic Integration, 19(1), 45–67.</w:t>
      </w:r>
    </w:p>
    <w:p w:rsidR="003E3DD5" w:rsidRPr="00931F3F" w:rsidRDefault="003E3DD5" w:rsidP="00931F3F">
      <w:pPr>
        <w:pStyle w:val="NormalWeb"/>
        <w:spacing w:before="0" w:beforeAutospacing="0" w:after="0" w:afterAutospacing="0"/>
        <w:jc w:val="both"/>
      </w:pPr>
      <w:r w:rsidRPr="00931F3F">
        <w:t xml:space="preserve">Pattillo, C., Poirson, H., &amp; Ricci, L. A. (2002). External debt and growth. </w:t>
      </w:r>
      <w:r w:rsidRPr="00931F3F">
        <w:rPr>
          <w:rStyle w:val="Emphasis"/>
          <w:rFonts w:eastAsiaTheme="majorEastAsia"/>
        </w:rPr>
        <w:t>IMF Working Paper No. 02/69.</w:t>
      </w:r>
    </w:p>
    <w:p w:rsidR="003E3DD5" w:rsidRPr="00931F3F" w:rsidRDefault="003E3DD5" w:rsidP="00931F3F">
      <w:pPr>
        <w:pStyle w:val="NormalWeb"/>
        <w:spacing w:before="0" w:beforeAutospacing="0" w:after="0" w:afterAutospacing="0"/>
        <w:jc w:val="both"/>
      </w:pPr>
      <w:r w:rsidRPr="00931F3F">
        <w:t xml:space="preserve">Pesaran, M. H. (2004). General diagnostic tests for cross-sectional dependence in panels. </w:t>
      </w:r>
      <w:r w:rsidRPr="00931F3F">
        <w:rPr>
          <w:rStyle w:val="Emphasis"/>
          <w:rFonts w:eastAsiaTheme="majorEastAsia"/>
        </w:rPr>
        <w:t>Cambridge Working Papers in Economics No. 0435.</w:t>
      </w:r>
    </w:p>
    <w:p w:rsidR="003E3DD5" w:rsidRPr="00931F3F" w:rsidRDefault="003E3DD5" w:rsidP="00931F3F">
      <w:pPr>
        <w:pStyle w:val="NormalWeb"/>
        <w:spacing w:before="0" w:beforeAutospacing="0" w:after="0" w:afterAutospacing="0"/>
        <w:jc w:val="both"/>
      </w:pPr>
      <w:r w:rsidRPr="00931F3F">
        <w:t xml:space="preserve">United Nations Conference on Trade and Development (UNCTAD). (2024). </w:t>
      </w:r>
      <w:r w:rsidRPr="00931F3F">
        <w:rPr>
          <w:rStyle w:val="Emphasis"/>
          <w:rFonts w:eastAsiaTheme="majorEastAsia"/>
        </w:rPr>
        <w:t>Trade and development report 2024: Global debt, fiscal stress and investment recovery</w:t>
      </w:r>
      <w:r w:rsidRPr="00931F3F">
        <w:t>. Geneva: UNCTAD.</w:t>
      </w:r>
    </w:p>
    <w:p w:rsidR="003E3DD5" w:rsidRPr="00931F3F" w:rsidRDefault="003E3DD5" w:rsidP="00931F3F">
      <w:pPr>
        <w:pStyle w:val="NormalWeb"/>
        <w:spacing w:before="0" w:beforeAutospacing="0" w:after="0" w:afterAutospacing="0"/>
        <w:jc w:val="both"/>
      </w:pPr>
      <w:r w:rsidRPr="00931F3F">
        <w:t xml:space="preserve">Were, M. (2018). </w:t>
      </w:r>
      <w:r w:rsidRPr="00931F3F">
        <w:rPr>
          <w:rStyle w:val="Emphasis"/>
          <w:rFonts w:eastAsiaTheme="majorEastAsia"/>
        </w:rPr>
        <w:t>Debt accumulation and its impact on private investment: Evidence from Kenya and Sub-Saharan Africa</w:t>
      </w:r>
      <w:r w:rsidRPr="00931F3F">
        <w:t>. African Development Review, 30(S1), 1–14.</w:t>
      </w:r>
    </w:p>
    <w:p w:rsidR="003E3DD5" w:rsidRPr="00931F3F" w:rsidRDefault="003E3DD5" w:rsidP="00931F3F">
      <w:pPr>
        <w:pStyle w:val="NormalWeb"/>
        <w:spacing w:before="0" w:beforeAutospacing="0" w:after="0" w:afterAutospacing="0"/>
        <w:jc w:val="both"/>
      </w:pPr>
      <w:r w:rsidRPr="00931F3F">
        <w:t xml:space="preserve">World Bank. (2023). </w:t>
      </w:r>
      <w:r w:rsidRPr="00931F3F">
        <w:rPr>
          <w:rStyle w:val="Emphasis"/>
          <w:rFonts w:eastAsiaTheme="majorEastAsia"/>
        </w:rPr>
        <w:t xml:space="preserve">International </w:t>
      </w:r>
      <w:r w:rsidR="00A46636" w:rsidRPr="00931F3F">
        <w:rPr>
          <w:rStyle w:val="Emphasis"/>
          <w:rFonts w:eastAsiaTheme="majorEastAsia"/>
        </w:rPr>
        <w:t>Debt Statistics</w:t>
      </w:r>
      <w:r w:rsidRPr="00931F3F">
        <w:rPr>
          <w:rStyle w:val="Emphasis"/>
          <w:rFonts w:eastAsiaTheme="majorEastAsia"/>
        </w:rPr>
        <w:t xml:space="preserve"> 2023</w:t>
      </w:r>
      <w:r w:rsidRPr="00931F3F">
        <w:t>. Washington, DC: World Bank.</w:t>
      </w:r>
    </w:p>
    <w:p w:rsidR="00A47B6F" w:rsidRPr="00931F3F" w:rsidRDefault="003E3DD5" w:rsidP="00931F3F">
      <w:pPr>
        <w:pStyle w:val="NormalWeb"/>
        <w:spacing w:before="0" w:beforeAutospacing="0" w:after="0" w:afterAutospacing="0"/>
        <w:jc w:val="both"/>
      </w:pPr>
      <w:r w:rsidRPr="00931F3F">
        <w:t xml:space="preserve">World Bank. (2024). </w:t>
      </w:r>
      <w:r w:rsidRPr="00931F3F">
        <w:rPr>
          <w:rStyle w:val="Emphasis"/>
          <w:rFonts w:eastAsiaTheme="majorEastAsia"/>
        </w:rPr>
        <w:t>World development indicators database</w:t>
      </w:r>
      <w:r w:rsidRPr="00931F3F">
        <w:t>. Washington, DC: World Bank.</w:t>
      </w:r>
    </w:p>
    <w:sectPr w:rsidR="00A47B6F" w:rsidRPr="00931F3F" w:rsidSect="000D1860">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49F" w:rsidRDefault="007F449F" w:rsidP="00195E58">
      <w:pPr>
        <w:spacing w:after="0" w:line="240" w:lineRule="auto"/>
      </w:pPr>
      <w:r>
        <w:separator/>
      </w:r>
    </w:p>
  </w:endnote>
  <w:endnote w:type="continuationSeparator" w:id="0">
    <w:p w:rsidR="007F449F" w:rsidRDefault="007F449F" w:rsidP="00195E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245842"/>
      <w:docPartObj>
        <w:docPartGallery w:val="Page Numbers (Bottom of Page)"/>
        <w:docPartUnique/>
      </w:docPartObj>
    </w:sdtPr>
    <w:sdtEndPr>
      <w:rPr>
        <w:noProof/>
      </w:rPr>
    </w:sdtEndPr>
    <w:sdtContent>
      <w:p w:rsidR="00195E58" w:rsidRDefault="000D1860">
        <w:pPr>
          <w:pStyle w:val="Footer"/>
          <w:jc w:val="center"/>
        </w:pPr>
        <w:r>
          <w:fldChar w:fldCharType="begin"/>
        </w:r>
        <w:r w:rsidR="00195E58">
          <w:instrText xml:space="preserve"> PAGE   \* MERGEFORMAT </w:instrText>
        </w:r>
        <w:r>
          <w:fldChar w:fldCharType="separate"/>
        </w:r>
        <w:r w:rsidR="00CB13EF">
          <w:rPr>
            <w:noProof/>
          </w:rPr>
          <w:t>1</w:t>
        </w:r>
        <w:r>
          <w:rPr>
            <w:noProof/>
          </w:rPr>
          <w:fldChar w:fldCharType="end"/>
        </w:r>
      </w:p>
    </w:sdtContent>
  </w:sdt>
  <w:p w:rsidR="00195E58" w:rsidRDefault="00195E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49F" w:rsidRDefault="007F449F" w:rsidP="00195E58">
      <w:pPr>
        <w:spacing w:after="0" w:line="240" w:lineRule="auto"/>
      </w:pPr>
      <w:r>
        <w:separator/>
      </w:r>
    </w:p>
  </w:footnote>
  <w:footnote w:type="continuationSeparator" w:id="0">
    <w:p w:rsidR="007F449F" w:rsidRDefault="007F449F" w:rsidP="00195E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33501"/>
    <w:multiLevelType w:val="multilevel"/>
    <w:tmpl w:val="3EB2B53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520"/>
        </w:tabs>
        <w:ind w:left="2520" w:hanging="360"/>
      </w:pPr>
      <w:rPr>
        <w:rFonts w:ascii="Times New Roman" w:hAnsi="Times New Roman" w:cs="Times New Roman" w:hint="default"/>
      </w:rPr>
    </w:lvl>
    <w:lvl w:ilvl="4">
      <w:start w:val="1"/>
      <w:numFmt w:val="decimal"/>
      <w:lvlText w:val="%5."/>
      <w:lvlJc w:val="left"/>
      <w:pPr>
        <w:tabs>
          <w:tab w:val="num" w:pos="3240"/>
        </w:tabs>
        <w:ind w:left="3240" w:hanging="360"/>
      </w:pPr>
      <w:rPr>
        <w:rFonts w:ascii="Times New Roman" w:hAnsi="Times New Roman" w:cs="Times New Roman" w:hint="default"/>
      </w:rPr>
    </w:lvl>
    <w:lvl w:ilvl="5">
      <w:start w:val="1"/>
      <w:numFmt w:val="decimal"/>
      <w:lvlText w:val="%6."/>
      <w:lvlJc w:val="left"/>
      <w:pPr>
        <w:tabs>
          <w:tab w:val="num" w:pos="3960"/>
        </w:tabs>
        <w:ind w:left="3960" w:hanging="36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decimal"/>
      <w:lvlText w:val="%8."/>
      <w:lvlJc w:val="left"/>
      <w:pPr>
        <w:tabs>
          <w:tab w:val="num" w:pos="5400"/>
        </w:tabs>
        <w:ind w:left="5400" w:hanging="360"/>
      </w:pPr>
      <w:rPr>
        <w:rFonts w:ascii="Times New Roman" w:hAnsi="Times New Roman" w:cs="Times New Roman" w:hint="default"/>
      </w:rPr>
    </w:lvl>
    <w:lvl w:ilvl="8">
      <w:start w:val="1"/>
      <w:numFmt w:val="decimal"/>
      <w:lvlText w:val="%9."/>
      <w:lvlJc w:val="left"/>
      <w:pPr>
        <w:tabs>
          <w:tab w:val="num" w:pos="6120"/>
        </w:tabs>
        <w:ind w:left="6120" w:hanging="360"/>
      </w:pPr>
      <w:rPr>
        <w:rFonts w:ascii="Times New Roman" w:hAnsi="Times New Roman" w:cs="Times New Roman" w:hint="default"/>
      </w:rPr>
    </w:lvl>
  </w:abstractNum>
  <w:abstractNum w:abstractNumId="1">
    <w:nsid w:val="3D7B646F"/>
    <w:multiLevelType w:val="multilevel"/>
    <w:tmpl w:val="6F4E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6C1F1D"/>
    <w:multiLevelType w:val="multilevel"/>
    <w:tmpl w:val="81FA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A47B6F"/>
    <w:rsid w:val="00052A9C"/>
    <w:rsid w:val="000D1860"/>
    <w:rsid w:val="000E2512"/>
    <w:rsid w:val="00100D1D"/>
    <w:rsid w:val="00160B2E"/>
    <w:rsid w:val="00195E58"/>
    <w:rsid w:val="00196A62"/>
    <w:rsid w:val="001A39BF"/>
    <w:rsid w:val="001B1EB1"/>
    <w:rsid w:val="001C0086"/>
    <w:rsid w:val="00221625"/>
    <w:rsid w:val="00263174"/>
    <w:rsid w:val="00290B30"/>
    <w:rsid w:val="002C5A44"/>
    <w:rsid w:val="002D07BF"/>
    <w:rsid w:val="00316CCD"/>
    <w:rsid w:val="00353062"/>
    <w:rsid w:val="00374FA4"/>
    <w:rsid w:val="003B151C"/>
    <w:rsid w:val="003B6574"/>
    <w:rsid w:val="003E3DD5"/>
    <w:rsid w:val="00402594"/>
    <w:rsid w:val="00436413"/>
    <w:rsid w:val="004366F0"/>
    <w:rsid w:val="00436967"/>
    <w:rsid w:val="0044599C"/>
    <w:rsid w:val="00467CC3"/>
    <w:rsid w:val="00474852"/>
    <w:rsid w:val="00485866"/>
    <w:rsid w:val="0052667B"/>
    <w:rsid w:val="0057134D"/>
    <w:rsid w:val="005926B1"/>
    <w:rsid w:val="005B27E6"/>
    <w:rsid w:val="005F44F1"/>
    <w:rsid w:val="00612A0B"/>
    <w:rsid w:val="00645042"/>
    <w:rsid w:val="00655EE2"/>
    <w:rsid w:val="006A18CF"/>
    <w:rsid w:val="007410C8"/>
    <w:rsid w:val="0077165F"/>
    <w:rsid w:val="007910F5"/>
    <w:rsid w:val="00792FFD"/>
    <w:rsid w:val="007C684A"/>
    <w:rsid w:val="007E6C8A"/>
    <w:rsid w:val="007F449F"/>
    <w:rsid w:val="00830799"/>
    <w:rsid w:val="0083325A"/>
    <w:rsid w:val="0083775D"/>
    <w:rsid w:val="008474B2"/>
    <w:rsid w:val="008721BF"/>
    <w:rsid w:val="008B6739"/>
    <w:rsid w:val="008D7FE7"/>
    <w:rsid w:val="00900879"/>
    <w:rsid w:val="00931F3F"/>
    <w:rsid w:val="009A043D"/>
    <w:rsid w:val="009D7BCD"/>
    <w:rsid w:val="009F6EAB"/>
    <w:rsid w:val="00A16A47"/>
    <w:rsid w:val="00A46636"/>
    <w:rsid w:val="00A47B6F"/>
    <w:rsid w:val="00AD4398"/>
    <w:rsid w:val="00AE126B"/>
    <w:rsid w:val="00B153E0"/>
    <w:rsid w:val="00B356CA"/>
    <w:rsid w:val="00B44599"/>
    <w:rsid w:val="00BA6EEA"/>
    <w:rsid w:val="00BF0250"/>
    <w:rsid w:val="00C234C5"/>
    <w:rsid w:val="00C4128E"/>
    <w:rsid w:val="00C57D68"/>
    <w:rsid w:val="00CB13EF"/>
    <w:rsid w:val="00E5692F"/>
    <w:rsid w:val="00E60955"/>
    <w:rsid w:val="00E60D75"/>
    <w:rsid w:val="00E87479"/>
    <w:rsid w:val="00F00860"/>
    <w:rsid w:val="00F03A3C"/>
    <w:rsid w:val="00F52E69"/>
    <w:rsid w:val="00FA2B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860"/>
  </w:style>
  <w:style w:type="paragraph" w:styleId="Heading1">
    <w:name w:val="heading 1"/>
    <w:basedOn w:val="Normal"/>
    <w:next w:val="Normal"/>
    <w:link w:val="Heading1Char"/>
    <w:uiPriority w:val="9"/>
    <w:qFormat/>
    <w:rsid w:val="00830799"/>
    <w:pPr>
      <w:keepNext/>
      <w:keepLines/>
      <w:spacing w:before="360" w:after="80"/>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semiHidden/>
    <w:unhideWhenUsed/>
    <w:qFormat/>
    <w:rsid w:val="00A47B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7B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7B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7B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7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799"/>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semiHidden/>
    <w:rsid w:val="00A47B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7B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7B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7B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7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B6F"/>
    <w:rPr>
      <w:rFonts w:eastAsiaTheme="majorEastAsia" w:cstheme="majorBidi"/>
      <w:color w:val="272727" w:themeColor="text1" w:themeTint="D8"/>
    </w:rPr>
  </w:style>
  <w:style w:type="paragraph" w:styleId="Title">
    <w:name w:val="Title"/>
    <w:basedOn w:val="Normal"/>
    <w:next w:val="Normal"/>
    <w:link w:val="TitleChar"/>
    <w:uiPriority w:val="10"/>
    <w:qFormat/>
    <w:rsid w:val="00A47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B6F"/>
    <w:pPr>
      <w:spacing w:before="160"/>
      <w:jc w:val="center"/>
    </w:pPr>
    <w:rPr>
      <w:i/>
      <w:iCs/>
      <w:color w:val="404040" w:themeColor="text1" w:themeTint="BF"/>
    </w:rPr>
  </w:style>
  <w:style w:type="character" w:customStyle="1" w:styleId="QuoteChar">
    <w:name w:val="Quote Char"/>
    <w:basedOn w:val="DefaultParagraphFont"/>
    <w:link w:val="Quote"/>
    <w:uiPriority w:val="29"/>
    <w:rsid w:val="00A47B6F"/>
    <w:rPr>
      <w:i/>
      <w:iCs/>
      <w:color w:val="404040" w:themeColor="text1" w:themeTint="BF"/>
    </w:rPr>
  </w:style>
  <w:style w:type="paragraph" w:styleId="ListParagraph">
    <w:name w:val="List Paragraph"/>
    <w:basedOn w:val="Normal"/>
    <w:uiPriority w:val="34"/>
    <w:qFormat/>
    <w:rsid w:val="00A47B6F"/>
    <w:pPr>
      <w:ind w:left="720"/>
      <w:contextualSpacing/>
    </w:pPr>
  </w:style>
  <w:style w:type="character" w:styleId="IntenseEmphasis">
    <w:name w:val="Intense Emphasis"/>
    <w:basedOn w:val="DefaultParagraphFont"/>
    <w:uiPriority w:val="21"/>
    <w:qFormat/>
    <w:rsid w:val="00A47B6F"/>
    <w:rPr>
      <w:i/>
      <w:iCs/>
      <w:color w:val="2F5496" w:themeColor="accent1" w:themeShade="BF"/>
    </w:rPr>
  </w:style>
  <w:style w:type="paragraph" w:styleId="IntenseQuote">
    <w:name w:val="Intense Quote"/>
    <w:basedOn w:val="Normal"/>
    <w:next w:val="Normal"/>
    <w:link w:val="IntenseQuoteChar"/>
    <w:uiPriority w:val="30"/>
    <w:qFormat/>
    <w:rsid w:val="00A47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7B6F"/>
    <w:rPr>
      <w:i/>
      <w:iCs/>
      <w:color w:val="2F5496" w:themeColor="accent1" w:themeShade="BF"/>
    </w:rPr>
  </w:style>
  <w:style w:type="character" w:styleId="IntenseReference">
    <w:name w:val="Intense Reference"/>
    <w:basedOn w:val="DefaultParagraphFont"/>
    <w:uiPriority w:val="32"/>
    <w:qFormat/>
    <w:rsid w:val="00A47B6F"/>
    <w:rPr>
      <w:b/>
      <w:bCs/>
      <w:smallCaps/>
      <w:color w:val="2F5496" w:themeColor="accent1" w:themeShade="BF"/>
      <w:spacing w:val="5"/>
    </w:rPr>
  </w:style>
  <w:style w:type="table" w:customStyle="1" w:styleId="TableGrid1">
    <w:name w:val="Table Grid1"/>
    <w:basedOn w:val="TableNormal"/>
    <w:next w:val="TableGrid"/>
    <w:uiPriority w:val="39"/>
    <w:rsid w:val="00830799"/>
    <w:pPr>
      <w:spacing w:after="0" w:line="240" w:lineRule="auto"/>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30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A18CF"/>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6A18CF"/>
    <w:rPr>
      <w:b/>
      <w:bCs/>
    </w:rPr>
  </w:style>
  <w:style w:type="table" w:customStyle="1" w:styleId="TableGrid2">
    <w:name w:val="Table Grid2"/>
    <w:basedOn w:val="TableNormal"/>
    <w:next w:val="TableGrid"/>
    <w:uiPriority w:val="39"/>
    <w:rsid w:val="00290B30"/>
    <w:pPr>
      <w:spacing w:after="0" w:line="240" w:lineRule="auto"/>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E3DD5"/>
    <w:rPr>
      <w:i/>
      <w:iCs/>
    </w:rPr>
  </w:style>
  <w:style w:type="character" w:styleId="Hyperlink">
    <w:name w:val="Hyperlink"/>
    <w:basedOn w:val="DefaultParagraphFont"/>
    <w:uiPriority w:val="99"/>
    <w:unhideWhenUsed/>
    <w:rsid w:val="00B356CA"/>
    <w:rPr>
      <w:color w:val="0563C1" w:themeColor="hyperlink"/>
      <w:u w:val="single"/>
    </w:rPr>
  </w:style>
  <w:style w:type="paragraph" w:styleId="Header">
    <w:name w:val="header"/>
    <w:basedOn w:val="Normal"/>
    <w:link w:val="HeaderChar"/>
    <w:uiPriority w:val="99"/>
    <w:unhideWhenUsed/>
    <w:rsid w:val="00195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E58"/>
  </w:style>
  <w:style w:type="paragraph" w:styleId="Footer">
    <w:name w:val="footer"/>
    <w:basedOn w:val="Normal"/>
    <w:link w:val="FooterChar"/>
    <w:uiPriority w:val="99"/>
    <w:unhideWhenUsed/>
    <w:rsid w:val="00195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E58"/>
  </w:style>
  <w:style w:type="character" w:customStyle="1" w:styleId="UnresolvedMention">
    <w:name w:val="Unresolved Mention"/>
    <w:basedOn w:val="DefaultParagraphFont"/>
    <w:uiPriority w:val="99"/>
    <w:semiHidden/>
    <w:unhideWhenUsed/>
    <w:rsid w:val="004366F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1-1470-7563"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kadili.wabomba@kiu.ac.ug" TargetMode="External"/><Relationship Id="rId12" Type="http://schemas.openxmlformats.org/officeDocument/2006/relationships/hyperlink" Target="mailto:isaac.abuga@kiu.ac.u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kmutenyo@yahoo.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rcid.org/0000-0002-4429-9599" TargetMode="External"/><Relationship Id="rId4" Type="http://schemas.openxmlformats.org/officeDocument/2006/relationships/webSettings" Target="webSettings.xml"/><Relationship Id="rId9" Type="http://schemas.openxmlformats.org/officeDocument/2006/relationships/hyperlink" Target="mailto:benard.ojonugwa@kiu.ac.u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5546</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PUNDIT SENIOR ECONOMIST</dc:creator>
  <cp:lastModifiedBy>admin</cp:lastModifiedBy>
  <cp:revision>2</cp:revision>
  <cp:lastPrinted>2025-10-13T17:54:00Z</cp:lastPrinted>
  <dcterms:created xsi:type="dcterms:W3CDTF">2026-04-02T04:52:00Z</dcterms:created>
  <dcterms:modified xsi:type="dcterms:W3CDTF">2026-04-02T04:52:00Z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64f89229-1b52-47cc-9585-25c882144ddd</vt:lpwstr>
  </property>
</Properties>
</file>