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08344" w14:textId="095774F6" w:rsidR="00A4630D" w:rsidRDefault="00A4630D" w:rsidP="00A4630D">
      <w:pPr>
        <w:spacing w:after="160" w:line="360" w:lineRule="auto"/>
        <w:jc w:val="center"/>
        <w:rPr>
          <w:b/>
          <w:bCs/>
        </w:rPr>
      </w:pPr>
      <w:r w:rsidRPr="00A4630D">
        <w:rPr>
          <w:b/>
          <w:bCs/>
        </w:rPr>
        <w:t>ASSESSING THE CLIMATE RESILIENCE OF INTERLOCKING STABILIZED SOIL BLOCK BUILDINGS IN SOUTHWESTERN NIGERIA</w:t>
      </w:r>
    </w:p>
    <w:p w14:paraId="287515CD" w14:textId="5C3B04E8" w:rsidR="00F6337F" w:rsidRDefault="007307E9" w:rsidP="00A4630D">
      <w:pPr>
        <w:spacing w:after="160" w:line="360" w:lineRule="auto"/>
        <w:jc w:val="center"/>
      </w:pPr>
      <w:r>
        <w:rPr>
          <w:b/>
          <w:bCs/>
        </w:rPr>
        <w:t xml:space="preserve">Authors: </w:t>
      </w:r>
      <w:proofErr w:type="spellStart"/>
      <w:r w:rsidR="00A51A02" w:rsidRPr="00A51A02">
        <w:t>Ayegbayo</w:t>
      </w:r>
      <w:proofErr w:type="spellEnd"/>
      <w:r w:rsidR="00A51A02" w:rsidRPr="00A51A02">
        <w:t xml:space="preserve"> A.D., </w:t>
      </w:r>
      <w:proofErr w:type="spellStart"/>
      <w:r w:rsidR="00A51A02" w:rsidRPr="00A51A02">
        <w:t>Farinde</w:t>
      </w:r>
      <w:proofErr w:type="spellEnd"/>
      <w:r w:rsidR="00A51A02" w:rsidRPr="00A51A02">
        <w:t xml:space="preserve"> A.A., ⁠</w:t>
      </w:r>
      <w:proofErr w:type="spellStart"/>
      <w:r w:rsidR="00A51A02" w:rsidRPr="00A51A02">
        <w:t>Onyejemeli</w:t>
      </w:r>
      <w:proofErr w:type="spellEnd"/>
      <w:r w:rsidR="00A51A02" w:rsidRPr="00A51A02">
        <w:t xml:space="preserve"> G.C., </w:t>
      </w:r>
      <w:proofErr w:type="spellStart"/>
      <w:r w:rsidR="00A51A02" w:rsidRPr="00A51A02">
        <w:t>Oyeshola</w:t>
      </w:r>
      <w:proofErr w:type="spellEnd"/>
      <w:r w:rsidR="00A51A02" w:rsidRPr="00A51A02">
        <w:t xml:space="preserve"> O. L, Adepoju M. Y, Dada   S. J., Shaji E. M., </w:t>
      </w:r>
      <w:proofErr w:type="spellStart"/>
      <w:r w:rsidR="00A51A02" w:rsidRPr="00A51A02">
        <w:t>Olawore</w:t>
      </w:r>
      <w:proofErr w:type="spellEnd"/>
      <w:r w:rsidR="00A51A02" w:rsidRPr="00A51A02">
        <w:t xml:space="preserve"> J.O, </w:t>
      </w:r>
      <w:proofErr w:type="spellStart"/>
      <w:r w:rsidR="00A51A02" w:rsidRPr="00A51A02">
        <w:t>Akporubare</w:t>
      </w:r>
      <w:proofErr w:type="spellEnd"/>
      <w:r w:rsidR="00A51A02" w:rsidRPr="00A51A02">
        <w:t xml:space="preserve"> B.E, Coker R.</w:t>
      </w:r>
      <w:r w:rsidR="000E043A">
        <w:t xml:space="preserve">, </w:t>
      </w:r>
      <w:r w:rsidR="000E043A" w:rsidRPr="000E043A">
        <w:t xml:space="preserve">⁠Ibironke </w:t>
      </w:r>
      <w:r w:rsidR="000E043A" w:rsidRPr="000E043A">
        <w:t>E. T</w:t>
      </w:r>
    </w:p>
    <w:p w14:paraId="2B709E1C" w14:textId="75D4311C" w:rsidR="007307E9" w:rsidRPr="007307E9" w:rsidRDefault="007307E9" w:rsidP="00A4630D">
      <w:pPr>
        <w:spacing w:after="160" w:line="360" w:lineRule="auto"/>
        <w:jc w:val="center"/>
      </w:pPr>
      <w:r w:rsidRPr="007307E9">
        <w:rPr>
          <w:b/>
          <w:bCs/>
        </w:rPr>
        <w:t>Corresponding Author Email:</w:t>
      </w:r>
      <w:r>
        <w:rPr>
          <w:b/>
          <w:bCs/>
        </w:rPr>
        <w:t xml:space="preserve"> </w:t>
      </w:r>
      <w:r w:rsidR="00230559">
        <w:t>ayegbayoa</w:t>
      </w:r>
      <w:r>
        <w:t>@</w:t>
      </w:r>
      <w:r w:rsidR="00230559">
        <w:t>gmail.com</w:t>
      </w:r>
    </w:p>
    <w:p w14:paraId="2ED21EC8" w14:textId="77777777" w:rsidR="00F6337F" w:rsidRDefault="00000000" w:rsidP="00A4630D">
      <w:pPr>
        <w:spacing w:after="160" w:line="360" w:lineRule="auto"/>
        <w:jc w:val="center"/>
      </w:pPr>
      <w:r>
        <w:t xml:space="preserve">Department of Architecture, Caleb University, </w:t>
      </w:r>
      <w:proofErr w:type="spellStart"/>
      <w:r>
        <w:t>Imota</w:t>
      </w:r>
      <w:proofErr w:type="spellEnd"/>
      <w:r>
        <w:t>, Ikorodu, Lagos</w:t>
      </w:r>
    </w:p>
    <w:p w14:paraId="4DF3B92B" w14:textId="77777777" w:rsidR="00F6337F" w:rsidRDefault="00000000" w:rsidP="006473EC">
      <w:pPr>
        <w:spacing w:after="160" w:line="360" w:lineRule="auto"/>
        <w:jc w:val="both"/>
      </w:pPr>
      <w:r>
        <w:rPr>
          <w:b/>
          <w:bCs/>
        </w:rPr>
        <w:t>Abstract</w:t>
      </w:r>
    </w:p>
    <w:p w14:paraId="29464826" w14:textId="60C32564" w:rsidR="006E2A72" w:rsidRPr="006E2A72" w:rsidRDefault="006E2A72" w:rsidP="006473EC">
      <w:pPr>
        <w:spacing w:after="160" w:line="360" w:lineRule="auto"/>
        <w:jc w:val="both"/>
      </w:pPr>
      <w:r w:rsidRPr="006E2A72">
        <w:t>Climate change in tropical regions</w:t>
      </w:r>
      <w:r w:rsidR="00F53902">
        <w:t>,</w:t>
      </w:r>
      <w:r w:rsidR="00A4630D">
        <w:t xml:space="preserve"> </w:t>
      </w:r>
      <w:r w:rsidRPr="006E2A72">
        <w:t>manifested through rising temperatures, extreme rainfall, and flooding</w:t>
      </w:r>
      <w:r w:rsidR="00F53902">
        <w:t>,</w:t>
      </w:r>
      <w:r w:rsidR="00A4630D">
        <w:t xml:space="preserve"> </w:t>
      </w:r>
      <w:r w:rsidRPr="006E2A72">
        <w:t xml:space="preserve">threatens housing stock and occupant well-being. Conventional </w:t>
      </w:r>
      <w:proofErr w:type="spellStart"/>
      <w:r w:rsidRPr="006E2A72">
        <w:t>sandcrete</w:t>
      </w:r>
      <w:proofErr w:type="spellEnd"/>
      <w:r w:rsidRPr="006E2A72">
        <w:t xml:space="preserve"> blocks, while widely used, contribute significantly to carbon emissions and offer poor thermal performance. This thesis investigates the resilience of Interlocking Stabilized Soil Blocks (ISSBs) as a sustainable, climate-adaptive building alternative in tropical climates. Through a mixed-methods approach synthesizing literature, experimental data, and case studies of ISSB housing in Southwestern Nigeria, the research extends beyond the documented cost advantages (Ibitoye, 2022) to examine performance under climate stress.</w:t>
      </w:r>
      <w:r w:rsidR="000E043A">
        <w:t xml:space="preserve"> </w:t>
      </w:r>
      <w:r w:rsidRPr="006E2A72">
        <w:t xml:space="preserve">Findings reveal that ISSBs exhibit superior thermal mass, reducing indoor temperatures and enhancing Indoor Environmental Quality (IEQ) as advocated by </w:t>
      </w:r>
      <w:proofErr w:type="spellStart"/>
      <w:r w:rsidRPr="006E2A72">
        <w:t>Asaju</w:t>
      </w:r>
      <w:proofErr w:type="spellEnd"/>
      <w:r w:rsidRPr="006E2A72">
        <w:t xml:space="preserve"> (2022). Their inherent durability, interlocking system, and use of local laterite soil improve resistance to flood damage and enable faster recovery, while reduced cement content lowers embodied carbon</w:t>
      </w:r>
      <w:r w:rsidR="00F53902">
        <w:t>,</w:t>
      </w:r>
      <w:r w:rsidR="00A4630D">
        <w:t xml:space="preserve"> </w:t>
      </w:r>
      <w:r w:rsidRPr="006E2A72">
        <w:t>positioning ISSBs as both a mitigation and adaptation strategy. However, barriers including poor public perception and limited policy support persist. The thesis concludes that ISSB technology offers a viable pathway for climate-resilient, affordable housing in Nigeria and recommends targeted policy interventions, sensitization campaigns, and long-term performance monitoring.</w:t>
      </w:r>
    </w:p>
    <w:p w14:paraId="084AA616" w14:textId="74248D82" w:rsidR="006E2A72" w:rsidRPr="006E2A72" w:rsidRDefault="006E2A72" w:rsidP="006473EC">
      <w:pPr>
        <w:spacing w:after="160" w:line="360" w:lineRule="auto"/>
        <w:jc w:val="both"/>
        <w:rPr>
          <w:i/>
          <w:iCs/>
        </w:rPr>
      </w:pPr>
      <w:r w:rsidRPr="006E2A72">
        <w:rPr>
          <w:b/>
          <w:bCs/>
          <w:i/>
          <w:iCs/>
        </w:rPr>
        <w:t>Keywords:</w:t>
      </w:r>
      <w:r w:rsidRPr="006E2A72">
        <w:rPr>
          <w:i/>
          <w:iCs/>
        </w:rPr>
        <w:t xml:space="preserve"> Building resilience, </w:t>
      </w:r>
      <w:r w:rsidR="000E043A" w:rsidRPr="006E2A72">
        <w:rPr>
          <w:i/>
          <w:iCs/>
        </w:rPr>
        <w:t>Climate</w:t>
      </w:r>
      <w:r w:rsidRPr="006E2A72">
        <w:rPr>
          <w:i/>
          <w:iCs/>
        </w:rPr>
        <w:t xml:space="preserve"> change,</w:t>
      </w:r>
      <w:r w:rsidR="000E043A" w:rsidRPr="006E2A72">
        <w:rPr>
          <w:i/>
          <w:iCs/>
        </w:rPr>
        <w:t xml:space="preserve"> Climate</w:t>
      </w:r>
      <w:r w:rsidRPr="006E2A72">
        <w:rPr>
          <w:i/>
          <w:iCs/>
        </w:rPr>
        <w:t xml:space="preserve">-responsive architecture, Interlocking Stabilized Soil Blocks (ISSBs), </w:t>
      </w:r>
      <w:r w:rsidR="000E043A" w:rsidRPr="006E2A72">
        <w:rPr>
          <w:i/>
          <w:iCs/>
        </w:rPr>
        <w:t>Sustainabl</w:t>
      </w:r>
      <w:r w:rsidRPr="006E2A72">
        <w:rPr>
          <w:i/>
          <w:iCs/>
        </w:rPr>
        <w:t>e construction</w:t>
      </w:r>
      <w:r w:rsidR="000E043A" w:rsidRPr="006E2A72">
        <w:rPr>
          <w:i/>
          <w:iCs/>
        </w:rPr>
        <w:t xml:space="preserve">, Thermal </w:t>
      </w:r>
      <w:r w:rsidRPr="006E2A72">
        <w:rPr>
          <w:i/>
          <w:iCs/>
        </w:rPr>
        <w:t>performance,</w:t>
      </w:r>
      <w:r w:rsidR="000E043A" w:rsidRPr="006E2A72">
        <w:rPr>
          <w:i/>
          <w:iCs/>
        </w:rPr>
        <w:t xml:space="preserve"> Tropical </w:t>
      </w:r>
      <w:r w:rsidRPr="006E2A72">
        <w:rPr>
          <w:i/>
          <w:iCs/>
        </w:rPr>
        <w:t>regions</w:t>
      </w:r>
    </w:p>
    <w:p w14:paraId="66049E40" w14:textId="6A1DD999" w:rsidR="006E2A72" w:rsidRDefault="006E2A72" w:rsidP="006473EC">
      <w:pPr>
        <w:spacing w:after="160" w:line="360" w:lineRule="auto"/>
        <w:jc w:val="both"/>
      </w:pPr>
      <w:r>
        <w:br w:type="page"/>
      </w:r>
    </w:p>
    <w:p w14:paraId="1631B5AD" w14:textId="77777777" w:rsidR="00230559" w:rsidRPr="00230559" w:rsidRDefault="00230559" w:rsidP="006473EC">
      <w:pPr>
        <w:spacing w:after="160" w:line="360" w:lineRule="auto"/>
        <w:jc w:val="both"/>
      </w:pPr>
    </w:p>
    <w:p w14:paraId="469099C7" w14:textId="088AF46B" w:rsidR="00F6337F" w:rsidRDefault="006C0315" w:rsidP="006473EC">
      <w:pPr>
        <w:spacing w:after="160" w:line="360" w:lineRule="auto"/>
        <w:jc w:val="both"/>
      </w:pPr>
      <w:r>
        <w:rPr>
          <w:b/>
          <w:bCs/>
        </w:rPr>
        <w:t>1.0: INTRODUCTION</w:t>
      </w:r>
    </w:p>
    <w:p w14:paraId="3468409C" w14:textId="77777777" w:rsidR="00F6337F" w:rsidRDefault="00000000" w:rsidP="006473EC">
      <w:pPr>
        <w:spacing w:after="160" w:line="360" w:lineRule="auto"/>
        <w:jc w:val="both"/>
      </w:pPr>
      <w:r>
        <w:rPr>
          <w:b/>
          <w:bCs/>
        </w:rPr>
        <w:t>1.1 Background to the Study</w:t>
      </w:r>
    </w:p>
    <w:p w14:paraId="2F1BE927" w14:textId="199D34FF" w:rsidR="00B25882" w:rsidRPr="00B25882" w:rsidRDefault="00B25882" w:rsidP="006473EC">
      <w:pPr>
        <w:spacing w:before="120" w:after="120" w:line="360" w:lineRule="auto"/>
        <w:jc w:val="both"/>
      </w:pPr>
      <w:r w:rsidRPr="00B25882">
        <w:t>The global climate crisis has emerged as the most pressing challenge of the twenty-first century, with its impacts disproportionately felt in tropical regions of the developing world. According to the Intergovernmental Panel on Climate Change (IPCC, 2022), rising global temperatures, increased frequency of extreme weather events, and sea-level rise pose existential threats to communities, economies, and infrastructure across the Global South. Sub-Saharan Africa is identified as particularly vulnerable due to limited adaptive capacity, rapid urbanization, and heavy reliance on climate-sensitive sectors. Within this context, the built environment</w:t>
      </w:r>
      <w:r w:rsidR="00F53902">
        <w:t>,</w:t>
      </w:r>
      <w:r w:rsidR="00A4630D">
        <w:t xml:space="preserve"> </w:t>
      </w:r>
      <w:r w:rsidRPr="00B25882">
        <w:t>accounting for approximately 39% of global energy-related carbon dioxide emissions</w:t>
      </w:r>
      <w:r w:rsidR="00F53902">
        <w:t>,</w:t>
      </w:r>
      <w:r w:rsidR="00A4630D">
        <w:t xml:space="preserve"> </w:t>
      </w:r>
      <w:r w:rsidRPr="00B25882">
        <w:t>represents both a significant contributor to climate change and a critical sector for adaptation and mitigation strategies (UNEP, 2023).</w:t>
      </w:r>
    </w:p>
    <w:p w14:paraId="5CCC488B" w14:textId="77777777" w:rsidR="00B25882" w:rsidRPr="00B25882" w:rsidRDefault="00B25882" w:rsidP="006473EC">
      <w:pPr>
        <w:spacing w:before="120" w:after="120" w:line="360" w:lineRule="auto"/>
        <w:jc w:val="both"/>
      </w:pPr>
      <w:r w:rsidRPr="00B25882">
        <w:t xml:space="preserve">Nigeria, as the most populous country in Africa with over 220 million people, faces a complex intersection of challenges: rapid urbanization, a chronic housing deficit estimated at over 20 million units, and escalating vulnerability to climate change impacts (Federal Ministry of Works and Housing, 2021). The country's major cities, particularly Lagos, Ibadan, and Port Harcourt, are experiencing intensifying urban heat island effects, recurrent flooding, and deteriorating indoor environmental quality. These challenges are compounded by the widespread use of conventional building materials, predominantly </w:t>
      </w:r>
      <w:proofErr w:type="spellStart"/>
      <w:r w:rsidRPr="00B25882">
        <w:t>sandcrete</w:t>
      </w:r>
      <w:proofErr w:type="spellEnd"/>
      <w:r w:rsidRPr="00B25882">
        <w:t xml:space="preserve"> blocks, which are characterized by high embodied energy, poor thermal insulation properties, and significant carbon emissions associated with cement production (</w:t>
      </w:r>
      <w:proofErr w:type="spellStart"/>
      <w:r w:rsidRPr="00B25882">
        <w:t>Oyelami</w:t>
      </w:r>
      <w:proofErr w:type="spellEnd"/>
      <w:r w:rsidRPr="00B25882">
        <w:t xml:space="preserve"> &amp; Van Roy, 2016). The cement industry alone accounts for approximately 8% of global CO₂ emissions, with Nigeria being one of Africa's largest cement producers (Ibitoye, 2022).</w:t>
      </w:r>
    </w:p>
    <w:p w14:paraId="2407F25C" w14:textId="77777777" w:rsidR="00B25882" w:rsidRPr="00B25882" w:rsidRDefault="00B25882" w:rsidP="006473EC">
      <w:pPr>
        <w:spacing w:before="120" w:after="120" w:line="360" w:lineRule="auto"/>
        <w:jc w:val="both"/>
      </w:pPr>
      <w:r w:rsidRPr="00B25882">
        <w:t xml:space="preserve">In response to these interconnected challenges, there has been growing interest in alternative, sustainable building materials capable of addressing both the housing deficit and climate change imperatives. Among these, Interlocking Stabilized Soil Blocks (ISSBs) have gained recognition as a viable, eco-friendly alternative to conventional </w:t>
      </w:r>
      <w:proofErr w:type="spellStart"/>
      <w:r w:rsidRPr="00B25882">
        <w:t>sandcrete</w:t>
      </w:r>
      <w:proofErr w:type="spellEnd"/>
      <w:r w:rsidRPr="00B25882">
        <w:t xml:space="preserve"> blocks. ISSBs are produced by compressing a mixture of locally available laterite soil, a small proportion of cement (typically 5-</w:t>
      </w:r>
      <w:r w:rsidRPr="00B25882">
        <w:lastRenderedPageBreak/>
        <w:t xml:space="preserve">10%), and water, using manual or hydraulic presses to create interlocking blocks that do not require mortar for wall construction (Bales et al., 2009; Jagadish, 2007). This technology, originally developed in Colombia and subsequently popularized across various developing countries, offers multiple advantages: reduced cement consumption, elimination of mortar requirements, enhanced thermal comfort, and potential for significant cost savings (Ibitoye, 2022; </w:t>
      </w:r>
      <w:proofErr w:type="spellStart"/>
      <w:r w:rsidRPr="00B25882">
        <w:t>Adegun</w:t>
      </w:r>
      <w:proofErr w:type="spellEnd"/>
      <w:r w:rsidRPr="00B25882">
        <w:t xml:space="preserve"> &amp; Adedeji, 2017). Research by Ibitoye (2022) demonstrates that ISSBs are approximately 30% cheaper than </w:t>
      </w:r>
      <w:proofErr w:type="spellStart"/>
      <w:r w:rsidRPr="00B25882">
        <w:t>sandcrete</w:t>
      </w:r>
      <w:proofErr w:type="spellEnd"/>
      <w:r w:rsidRPr="00B25882">
        <w:t xml:space="preserve"> blocks due to lower material costs and reduced cement use, while studies by </w:t>
      </w:r>
      <w:proofErr w:type="spellStart"/>
      <w:r w:rsidRPr="00B25882">
        <w:t>Afolami</w:t>
      </w:r>
      <w:proofErr w:type="spellEnd"/>
      <w:r w:rsidRPr="00B25882">
        <w:t xml:space="preserve"> and Oyebamiji (2017) have documented occupants' perceptions of thermal comfort in estates built with laterite interlocking blocks.</w:t>
      </w:r>
    </w:p>
    <w:p w14:paraId="5FE9828B" w14:textId="54ED5B45" w:rsidR="00B25882" w:rsidRPr="00B25882" w:rsidRDefault="00B25882" w:rsidP="006473EC">
      <w:pPr>
        <w:spacing w:before="120" w:after="120" w:line="360" w:lineRule="auto"/>
        <w:jc w:val="both"/>
      </w:pPr>
      <w:r w:rsidRPr="00B25882">
        <w:t xml:space="preserve">The concept of building resilience to climate change has become central to contemporary discourse in architecture and urban planning. Building resilience refers to the capacity of buildings and communities to anticipate, withstand, adapt to, and recover from the adverse effects of climate change (UN-Habitat, 2020). In tropical regions, climate-responsive architecture must address multiple stressors: extreme heat, heavy precipitation, flooding, humidity, and intense solar radiation. Thermal performance is particularly critical, as rising ambient temperatures directly affect indoor comfort, health, and </w:t>
      </w:r>
      <w:r w:rsidR="00F53902">
        <w:t xml:space="preserve">the </w:t>
      </w:r>
      <w:r w:rsidRPr="00B25882">
        <w:t xml:space="preserve">productivity of building occupants. Research by </w:t>
      </w:r>
      <w:proofErr w:type="spellStart"/>
      <w:r w:rsidRPr="00B25882">
        <w:t>Asaju</w:t>
      </w:r>
      <w:proofErr w:type="spellEnd"/>
      <w:r w:rsidRPr="00B25882">
        <w:t xml:space="preserve"> (2022) has demonstrated the significant relationship between Indoor Environmental Quality (IEQ) and academic performance in learning environments, highlighting the importance of thermally comfortable spaces.</w:t>
      </w:r>
    </w:p>
    <w:p w14:paraId="1C420782" w14:textId="65493AEB" w:rsidR="00B25882" w:rsidRPr="00B25882" w:rsidRDefault="00B25882" w:rsidP="006473EC">
      <w:pPr>
        <w:spacing w:before="120" w:after="120" w:line="360" w:lineRule="auto"/>
        <w:jc w:val="both"/>
      </w:pPr>
      <w:r w:rsidRPr="00B25882">
        <w:t xml:space="preserve">Despite these documented advantages, the adoption of ISSB technology in Nigeria remains limited, with patronage described as "low-slung" compared to conventional </w:t>
      </w:r>
      <w:proofErr w:type="spellStart"/>
      <w:r w:rsidRPr="00B25882">
        <w:t>sandcrete</w:t>
      </w:r>
      <w:proofErr w:type="spellEnd"/>
      <w:r w:rsidRPr="00B25882">
        <w:t xml:space="preserve"> blocks (Ibitoye, 2022). This paradox</w:t>
      </w:r>
      <w:r w:rsidR="00F53902">
        <w:t>,</w:t>
      </w:r>
      <w:r w:rsidR="00A4630D">
        <w:t xml:space="preserve"> </w:t>
      </w:r>
      <w:r w:rsidRPr="00B25882">
        <w:t>where a demonstrably superior and cost-effective technology fails to achieve widespread market penetration</w:t>
      </w:r>
      <w:r w:rsidR="00F53902">
        <w:t>,</w:t>
      </w:r>
      <w:r w:rsidR="00A4630D">
        <w:t xml:space="preserve"> </w:t>
      </w:r>
      <w:r w:rsidRPr="00B25882">
        <w:t xml:space="preserve">necessitates investigation into the barriers and facilitators of adoption. Furthermore, while economic advantages have been well documented, there is a notable gap in empirical research specifically examining the resilience of ISSB buildings to climate change impacts in tropical contexts. Questions remain regarding long-term durability under extreme weather, performance in flood scenarios, thermal efficacy under intensifying heat waves, and overall contribution to climate-responsive architecture. This thesis addresses this gap by systematically investigating the resilience of ISSB buildings to climate change impacts in tropical regions, anchored in the foundational work of Ibitoye (2022) and </w:t>
      </w:r>
      <w:proofErr w:type="spellStart"/>
      <w:r w:rsidRPr="00B25882">
        <w:t>Asaju</w:t>
      </w:r>
      <w:proofErr w:type="spellEnd"/>
      <w:r w:rsidRPr="00B25882">
        <w:t xml:space="preserve"> (2022), and </w:t>
      </w:r>
      <w:r w:rsidRPr="00B25882">
        <w:lastRenderedPageBreak/>
        <w:t xml:space="preserve">contributing to emerging research on climate-responsive architecture (Laibi et al., 2025; </w:t>
      </w:r>
      <w:proofErr w:type="spellStart"/>
      <w:r w:rsidRPr="00B25882">
        <w:t>Musene</w:t>
      </w:r>
      <w:proofErr w:type="spellEnd"/>
      <w:r w:rsidRPr="00B25882">
        <w:t>, 2025; Neya et al., 2024).</w:t>
      </w:r>
    </w:p>
    <w:p w14:paraId="2C26C71E" w14:textId="77777777" w:rsidR="00B25882" w:rsidRPr="00B25882" w:rsidRDefault="00B25882" w:rsidP="006473EC">
      <w:pPr>
        <w:spacing w:before="120" w:after="120" w:line="360" w:lineRule="auto"/>
        <w:jc w:val="both"/>
        <w:rPr>
          <w:b/>
          <w:bCs/>
        </w:rPr>
      </w:pPr>
      <w:r w:rsidRPr="00B25882">
        <w:rPr>
          <w:b/>
          <w:bCs/>
        </w:rPr>
        <w:t>1.2 Statement of the Problem</w:t>
      </w:r>
    </w:p>
    <w:p w14:paraId="66B188E9" w14:textId="5BA9B7F4" w:rsidR="00B25882" w:rsidRPr="00B25882" w:rsidRDefault="00B25882" w:rsidP="006473EC">
      <w:pPr>
        <w:spacing w:before="120" w:after="120" w:line="360" w:lineRule="auto"/>
        <w:jc w:val="both"/>
      </w:pPr>
      <w:r w:rsidRPr="00B25882">
        <w:t xml:space="preserve">Nigeria faces a multifaceted housing crisis characterized by a massive deficit of affordable, quality housing and escalating vulnerability to climate change impacts. The conventional approach to housing delivery, dominated by </w:t>
      </w:r>
      <w:proofErr w:type="spellStart"/>
      <w:r w:rsidRPr="00B25882">
        <w:t>sandcrete</w:t>
      </w:r>
      <w:proofErr w:type="spellEnd"/>
      <w:r w:rsidRPr="00B25882">
        <w:t xml:space="preserve"> block construction, is increasingly recognized as unsustainable</w:t>
      </w:r>
      <w:r w:rsidR="00A4630D">
        <w:t xml:space="preserve"> </w:t>
      </w:r>
      <w:r w:rsidRPr="00B25882">
        <w:t xml:space="preserve">both environmentally and climatically. </w:t>
      </w:r>
      <w:proofErr w:type="spellStart"/>
      <w:r w:rsidRPr="00B25882">
        <w:t>Sandcrete</w:t>
      </w:r>
      <w:proofErr w:type="spellEnd"/>
      <w:r w:rsidRPr="00B25882">
        <w:t xml:space="preserve"> block production is resource-intensive, consuming large quantities of cement and water, emitting significant greenhouse gases, and yielding buildings with poor thermal performance that exacerbates indoor heat stress (Anosike &amp; </w:t>
      </w:r>
      <w:proofErr w:type="spellStart"/>
      <w:r w:rsidRPr="00B25882">
        <w:t>Oyebade</w:t>
      </w:r>
      <w:proofErr w:type="spellEnd"/>
      <w:r w:rsidRPr="00B25882">
        <w:t xml:space="preserve">, 2012; </w:t>
      </w:r>
      <w:proofErr w:type="spellStart"/>
      <w:r w:rsidRPr="00B25882">
        <w:t>Oyelami</w:t>
      </w:r>
      <w:proofErr w:type="spellEnd"/>
      <w:r w:rsidRPr="00B25882">
        <w:t xml:space="preserve"> &amp; Van Roy, 2016). This situation is further complicated by the fact that Nigeria's urban population is projected to reach 60% by 2050, intensifying demand for housing and infrastructure (World Bank, 2023).</w:t>
      </w:r>
    </w:p>
    <w:p w14:paraId="43DE49A1" w14:textId="58ED7354" w:rsidR="00B25882" w:rsidRPr="00B25882" w:rsidRDefault="00B25882" w:rsidP="006473EC">
      <w:pPr>
        <w:spacing w:before="120" w:after="120" w:line="360" w:lineRule="auto"/>
        <w:jc w:val="both"/>
      </w:pPr>
      <w:r w:rsidRPr="00B25882">
        <w:t>Interlocking Stabilized Soil Blocks (ISSBs) have been proposed as a sustainable alternative that can address both the housing deficit and environmental sustainability goals. Studies by Ibitoye (2022) and others have demonstrated that ISSBs offer substantial cost advantages</w:t>
      </w:r>
      <w:r w:rsidR="00F53902">
        <w:t>,</w:t>
      </w:r>
      <w:r w:rsidR="00A4630D">
        <w:t xml:space="preserve"> </w:t>
      </w:r>
      <w:r w:rsidRPr="00B25882">
        <w:t xml:space="preserve">up to 30% cheaper than </w:t>
      </w:r>
      <w:proofErr w:type="spellStart"/>
      <w:r w:rsidRPr="00B25882">
        <w:t>sandcrete</w:t>
      </w:r>
      <w:proofErr w:type="spellEnd"/>
      <w:r w:rsidRPr="00B25882">
        <w:t xml:space="preserve"> blocks</w:t>
      </w:r>
      <w:r w:rsidR="00F53902">
        <w:t>,</w:t>
      </w:r>
      <w:r w:rsidR="00A4630D">
        <w:t xml:space="preserve"> </w:t>
      </w:r>
      <w:r w:rsidRPr="00B25882">
        <w:t>due to the elimination of mortar, reduced cement content, and use of locally available soil. Furthermore, the embodied carbon footprint of ISSBs is significantly lower, contributing to climate change mitigation objectives. However, adoption remains low despite these proven benefits, raising questions about the factors constraining uptake.</w:t>
      </w:r>
    </w:p>
    <w:p w14:paraId="41BB9069" w14:textId="6339F757" w:rsidR="00B25882" w:rsidRPr="00B25882" w:rsidRDefault="00B25882" w:rsidP="006473EC">
      <w:pPr>
        <w:spacing w:before="120" w:after="120" w:line="360" w:lineRule="auto"/>
        <w:jc w:val="both"/>
      </w:pPr>
      <w:r w:rsidRPr="00B25882">
        <w:t>Beyond the adoption challenge, a more critical gap exists in the understanding of ISSB buildings' resilience to climate change impacts. While thermal comfort benefits have been qualitatively suggested (</w:t>
      </w:r>
      <w:proofErr w:type="spellStart"/>
      <w:r w:rsidRPr="00B25882">
        <w:t>Afolami</w:t>
      </w:r>
      <w:proofErr w:type="spellEnd"/>
      <w:r w:rsidRPr="00B25882">
        <w:t xml:space="preserve"> &amp; Oyebamiji, 2017), there is insufficient empirical evidence on: (a) quantitative thermal performance under extreme tropical heat; (b) structural integrity and durability under heavy rainfall and flooding; (c) comparative resilience across multiple climate stressors; and (d) socio-economic dimensions of resilience, including occupant well-being and recovery capacity following climate-related events. The problem is compounded by the lack of comprehensive research synthesizing these dimensions</w:t>
      </w:r>
      <w:r w:rsidR="00A4630D">
        <w:t xml:space="preserve"> </w:t>
      </w:r>
      <w:r w:rsidRPr="00B25882">
        <w:t>thermal performance, structural durability, environmental sustainability, and economic viability</w:t>
      </w:r>
      <w:r w:rsidR="00A4630D">
        <w:t xml:space="preserve"> </w:t>
      </w:r>
      <w:r w:rsidRPr="00B25882">
        <w:t xml:space="preserve">into a coherent framework for assessing ISSB resilience. Existing studies have tended to focus on isolated aspects without systematically connecting these to the broader climate resilience agenda (Ibitoye, 2022; </w:t>
      </w:r>
      <w:proofErr w:type="spellStart"/>
      <w:r w:rsidRPr="00B25882">
        <w:t>Afolami</w:t>
      </w:r>
      <w:proofErr w:type="spellEnd"/>
      <w:r w:rsidRPr="00B25882">
        <w:t xml:space="preserve"> &amp; Oyebamiji, </w:t>
      </w:r>
      <w:r w:rsidRPr="00B25882">
        <w:lastRenderedPageBreak/>
        <w:t>2017). Moreover, the policy and institutional frameworks necessary to promote ISSB adoption and ensure climate-resilient building practices remain underdeveloped in Nigeria. This study addresses these interconnected problems by investigating the resilience of ISSB buildings to climate change impacts in tropical regions, using Southwestern Nigeria as a case study.</w:t>
      </w:r>
    </w:p>
    <w:p w14:paraId="539FEDB3" w14:textId="77777777" w:rsidR="00B25882" w:rsidRPr="00B25882" w:rsidRDefault="00B25882" w:rsidP="006473EC">
      <w:pPr>
        <w:spacing w:before="120" w:after="120" w:line="360" w:lineRule="auto"/>
        <w:jc w:val="both"/>
        <w:rPr>
          <w:b/>
          <w:bCs/>
        </w:rPr>
      </w:pPr>
      <w:r w:rsidRPr="00B25882">
        <w:rPr>
          <w:b/>
          <w:bCs/>
        </w:rPr>
        <w:t>1.3 Aim and Objectives of the Study</w:t>
      </w:r>
    </w:p>
    <w:p w14:paraId="396ED8E6" w14:textId="77777777" w:rsidR="00B25882" w:rsidRPr="00B25882" w:rsidRDefault="00B25882" w:rsidP="006473EC">
      <w:pPr>
        <w:spacing w:before="120" w:after="120" w:line="360" w:lineRule="auto"/>
        <w:jc w:val="both"/>
      </w:pPr>
      <w:r w:rsidRPr="00B25882">
        <w:rPr>
          <w:b/>
          <w:bCs/>
        </w:rPr>
        <w:t>Aim:</w:t>
      </w:r>
      <w:r w:rsidRPr="00B25882">
        <w:t> To investigate the resilience of Interlocking Stabilized Soil Block (ISSB) buildings to climate change impacts in tropical regions and provide evidence-based recommendations for promoting ISSB technology as a climate-responsive and sustainable construction approach.</w:t>
      </w:r>
    </w:p>
    <w:p w14:paraId="6C83C678" w14:textId="77777777" w:rsidR="00B25882" w:rsidRPr="00B25882" w:rsidRDefault="00B25882" w:rsidP="006473EC">
      <w:pPr>
        <w:spacing w:before="120" w:after="120" w:line="360" w:lineRule="auto"/>
        <w:jc w:val="both"/>
      </w:pPr>
      <w:r w:rsidRPr="00B25882">
        <w:rPr>
          <w:b/>
          <w:bCs/>
        </w:rPr>
        <w:t>Objectives:</w:t>
      </w:r>
    </w:p>
    <w:p w14:paraId="1661DE69" w14:textId="77777777" w:rsidR="00B25882" w:rsidRPr="00B25882" w:rsidRDefault="00B25882" w:rsidP="006473EC">
      <w:pPr>
        <w:numPr>
          <w:ilvl w:val="0"/>
          <w:numId w:val="7"/>
        </w:numPr>
        <w:spacing w:before="120" w:after="120" w:line="360" w:lineRule="auto"/>
        <w:jc w:val="both"/>
      </w:pPr>
      <w:r w:rsidRPr="00B25882">
        <w:t xml:space="preserve">To assess the thermal performance of ISSB buildings under tropical climatic conditions in comparison to conventional </w:t>
      </w:r>
      <w:proofErr w:type="spellStart"/>
      <w:r w:rsidRPr="00B25882">
        <w:t>sandcrete</w:t>
      </w:r>
      <w:proofErr w:type="spellEnd"/>
      <w:r w:rsidRPr="00B25882">
        <w:t xml:space="preserve"> block buildings.</w:t>
      </w:r>
    </w:p>
    <w:p w14:paraId="00D8F7A9" w14:textId="77777777" w:rsidR="00B25882" w:rsidRPr="00B25882" w:rsidRDefault="00B25882" w:rsidP="006473EC">
      <w:pPr>
        <w:numPr>
          <w:ilvl w:val="0"/>
          <w:numId w:val="7"/>
        </w:numPr>
        <w:spacing w:before="120" w:after="120" w:line="360" w:lineRule="auto"/>
        <w:jc w:val="both"/>
      </w:pPr>
      <w:r w:rsidRPr="00B25882">
        <w:t>To examine the socio-economic dimensions of ISSB resilience, including occupant satisfaction, health, well-being, and post-disaster recovery capacity.</w:t>
      </w:r>
    </w:p>
    <w:p w14:paraId="1EA1B25D" w14:textId="77777777" w:rsidR="00B25882" w:rsidRPr="00B25882" w:rsidRDefault="00B25882" w:rsidP="006473EC">
      <w:pPr>
        <w:numPr>
          <w:ilvl w:val="0"/>
          <w:numId w:val="7"/>
        </w:numPr>
        <w:spacing w:before="120" w:after="120" w:line="360" w:lineRule="auto"/>
        <w:jc w:val="both"/>
      </w:pPr>
      <w:r w:rsidRPr="00B25882">
        <w:t>To identify the barriers and facilitators to the adoption of ISSB technology in Nigeria.</w:t>
      </w:r>
    </w:p>
    <w:p w14:paraId="3C445475" w14:textId="77777777" w:rsidR="00B25882" w:rsidRPr="00B25882" w:rsidRDefault="00B25882" w:rsidP="006473EC">
      <w:pPr>
        <w:numPr>
          <w:ilvl w:val="0"/>
          <w:numId w:val="7"/>
        </w:numPr>
        <w:spacing w:before="120" w:after="120" w:line="360" w:lineRule="auto"/>
        <w:jc w:val="both"/>
      </w:pPr>
      <w:r w:rsidRPr="00B25882">
        <w:t>To develop a framework for assessing and promoting building resilience to climate change in tropical regions using ISSB technology as a model.</w:t>
      </w:r>
    </w:p>
    <w:p w14:paraId="2468D41A" w14:textId="77777777" w:rsidR="00B25882" w:rsidRPr="00B25882" w:rsidRDefault="00B25882" w:rsidP="006473EC">
      <w:pPr>
        <w:spacing w:before="120" w:after="120" w:line="360" w:lineRule="auto"/>
        <w:jc w:val="both"/>
        <w:rPr>
          <w:b/>
          <w:bCs/>
        </w:rPr>
      </w:pPr>
      <w:r w:rsidRPr="00B25882">
        <w:rPr>
          <w:b/>
          <w:bCs/>
        </w:rPr>
        <w:t>1.4 Research Questions</w:t>
      </w:r>
    </w:p>
    <w:p w14:paraId="649D9F18" w14:textId="77777777" w:rsidR="00B25882" w:rsidRPr="00B25882" w:rsidRDefault="00B25882" w:rsidP="006473EC">
      <w:pPr>
        <w:numPr>
          <w:ilvl w:val="0"/>
          <w:numId w:val="8"/>
        </w:numPr>
        <w:spacing w:before="120" w:after="120" w:line="360" w:lineRule="auto"/>
        <w:jc w:val="both"/>
      </w:pPr>
      <w:r w:rsidRPr="00B25882">
        <w:t xml:space="preserve">What is the thermal performance of ISSB buildings under tropical climatic conditions, and how does it compare to conventional </w:t>
      </w:r>
      <w:proofErr w:type="spellStart"/>
      <w:r w:rsidRPr="00B25882">
        <w:t>sandcrete</w:t>
      </w:r>
      <w:proofErr w:type="spellEnd"/>
      <w:r w:rsidRPr="00B25882">
        <w:t xml:space="preserve"> block buildings?</w:t>
      </w:r>
    </w:p>
    <w:p w14:paraId="3602C217" w14:textId="77777777" w:rsidR="00B25882" w:rsidRPr="00B25882" w:rsidRDefault="00B25882" w:rsidP="006473EC">
      <w:pPr>
        <w:numPr>
          <w:ilvl w:val="0"/>
          <w:numId w:val="8"/>
        </w:numPr>
        <w:spacing w:before="120" w:after="120" w:line="360" w:lineRule="auto"/>
        <w:jc w:val="both"/>
      </w:pPr>
      <w:r w:rsidRPr="00B25882">
        <w:t>What are the socio-economic dimensions of ISSB resilience, including occupant satisfaction, health, well-being, and the economic implications for post-disaster recovery?</w:t>
      </w:r>
    </w:p>
    <w:p w14:paraId="22DCC513" w14:textId="77777777" w:rsidR="00B25882" w:rsidRPr="00B25882" w:rsidRDefault="00B25882" w:rsidP="006473EC">
      <w:pPr>
        <w:numPr>
          <w:ilvl w:val="0"/>
          <w:numId w:val="8"/>
        </w:numPr>
        <w:spacing w:before="120" w:after="120" w:line="360" w:lineRule="auto"/>
        <w:jc w:val="both"/>
      </w:pPr>
      <w:r w:rsidRPr="00B25882">
        <w:t>What are the key barriers and facilitators to the adoption of ISSB technology in Nigeria?</w:t>
      </w:r>
    </w:p>
    <w:p w14:paraId="0A811FC8" w14:textId="77777777" w:rsidR="00B25882" w:rsidRPr="00B25882" w:rsidRDefault="00B25882" w:rsidP="006473EC">
      <w:pPr>
        <w:numPr>
          <w:ilvl w:val="0"/>
          <w:numId w:val="8"/>
        </w:numPr>
        <w:spacing w:before="120" w:after="120" w:line="360" w:lineRule="auto"/>
        <w:jc w:val="both"/>
      </w:pPr>
      <w:r w:rsidRPr="00B25882">
        <w:t>What framework can be developed to assess and promote building resilience to climate change in tropical regions using ISSB technology as a model?</w:t>
      </w:r>
    </w:p>
    <w:p w14:paraId="16ACDFC6" w14:textId="77777777" w:rsidR="00B25882" w:rsidRPr="00B25882" w:rsidRDefault="00B25882" w:rsidP="006473EC">
      <w:pPr>
        <w:spacing w:before="120" w:after="120" w:line="360" w:lineRule="auto"/>
        <w:jc w:val="both"/>
        <w:rPr>
          <w:b/>
          <w:bCs/>
        </w:rPr>
      </w:pPr>
      <w:r w:rsidRPr="00B25882">
        <w:rPr>
          <w:b/>
          <w:bCs/>
        </w:rPr>
        <w:t>1.5 Significance of the Study</w:t>
      </w:r>
    </w:p>
    <w:p w14:paraId="0111778A" w14:textId="77777777" w:rsidR="00B25882" w:rsidRPr="00B25882" w:rsidRDefault="00B25882" w:rsidP="006473EC">
      <w:pPr>
        <w:spacing w:before="120" w:after="120" w:line="360" w:lineRule="auto"/>
        <w:jc w:val="both"/>
      </w:pPr>
      <w:r w:rsidRPr="00B25882">
        <w:t xml:space="preserve">This study contributes to knowledge, policy, and practice by advancing theoretical understanding of building resilience and climate-responsive architecture in tropical contexts through synthesis </w:t>
      </w:r>
      <w:r w:rsidRPr="00B25882">
        <w:lastRenderedPageBreak/>
        <w:t xml:space="preserve">and extension of work by scholars including Ibitoye (2022) and </w:t>
      </w:r>
      <w:proofErr w:type="spellStart"/>
      <w:r w:rsidRPr="00B25882">
        <w:t>Asaju</w:t>
      </w:r>
      <w:proofErr w:type="spellEnd"/>
      <w:r w:rsidRPr="00B25882">
        <w:t xml:space="preserve"> (2022). The findings inform evidence-based policy development at national, state, and local levels, supporting integration of ISSB technology into Nigeria's housing policy, building codes, and climate action plans while contributing to Sustainable Development Goals 11 (Sustainable Cities and Communities) and 13 (Climate Action). For practitioners, the research provides empirical evidence to guide material selection and design decisions, while socio-economically, it supports efforts to provide quality, climate-resilient housing for low- and middle-income populations with implications for occupant health, productivity, and well-being. Environmentally, the study contributes to climate change mitigation by quantifying the benefits of low-carbon, resource-efficient ISSB construction, providing a model replicable in other developing countries facing similar challenges.</w:t>
      </w:r>
    </w:p>
    <w:p w14:paraId="16239CFC" w14:textId="77777777" w:rsidR="00B25882" w:rsidRPr="00B25882" w:rsidRDefault="00B25882" w:rsidP="006473EC">
      <w:pPr>
        <w:spacing w:before="120" w:after="120" w:line="360" w:lineRule="auto"/>
        <w:jc w:val="both"/>
        <w:rPr>
          <w:b/>
          <w:bCs/>
        </w:rPr>
      </w:pPr>
      <w:r w:rsidRPr="00B25882">
        <w:rPr>
          <w:b/>
          <w:bCs/>
        </w:rPr>
        <w:t>1.6 Scope of the Study</w:t>
      </w:r>
    </w:p>
    <w:p w14:paraId="6F4A3DB2" w14:textId="452AA49F" w:rsidR="00B25882" w:rsidRPr="00B25882" w:rsidRDefault="00B25882" w:rsidP="006473EC">
      <w:pPr>
        <w:spacing w:before="120" w:after="120" w:line="360" w:lineRule="auto"/>
        <w:jc w:val="both"/>
      </w:pPr>
      <w:r w:rsidRPr="00B25882">
        <w:t xml:space="preserve">The study is geographically focused on Southwestern Nigeria, comprising the states of Lagos, Ogun, </w:t>
      </w:r>
      <w:r w:rsidR="000E043A">
        <w:t xml:space="preserve">and </w:t>
      </w:r>
      <w:r w:rsidRPr="00B25882">
        <w:t xml:space="preserve">Oyo, selected due to high population density, rapid urbanization, documented vulnerability to climate change impacts, and the presence of ISSB housing developments that serve as case study sites. Thematically, the research investigates ISSB resilience through thermal performance measurement and analysis; structural durability assessment under climate stressors; environmental sustainability life-cycle analysis; socio-economic dimensions including occupant perceptions and well-being; and examination of adoption barriers and facilitators. Temporally, the study covers the period from 2015 to 2026, reflecting the timeframe during which significant ISSB housing developments have been implemented and relevant climate data is available. Methodologically, the study employs a mixed-methods approach combining field surveys and questionnaires for occupant data, physical measurements of thermal and environmental parameters, experimental testing of ISSB material properties, archival and documentary analysis of housing projects, and comparative analysis with conventional </w:t>
      </w:r>
      <w:proofErr w:type="spellStart"/>
      <w:r w:rsidRPr="00B25882">
        <w:t>sandcrete</w:t>
      </w:r>
      <w:proofErr w:type="spellEnd"/>
      <w:r w:rsidRPr="00B25882">
        <w:t xml:space="preserve"> block buildings. The study focuses exclusively on ISSBs as the primary building material under investigation, examining resilience to heat stress, heavy rainfall, and flooding</w:t>
      </w:r>
      <w:r w:rsidR="00A4630D">
        <w:t xml:space="preserve"> </w:t>
      </w:r>
      <w:r w:rsidRPr="00B25882">
        <w:t>the most pronounced climate impacts in the study region. Other sustainable building materials are referenced but not systematically evaluated, and other climate stressors such as wind storms or sea-level rise are not addressed in detail.</w:t>
      </w:r>
    </w:p>
    <w:p w14:paraId="0E2DCC51" w14:textId="77777777" w:rsidR="00B25882" w:rsidRPr="00B25882" w:rsidRDefault="00B25882" w:rsidP="006473EC">
      <w:pPr>
        <w:spacing w:before="120" w:after="120" w:line="360" w:lineRule="auto"/>
        <w:jc w:val="both"/>
        <w:rPr>
          <w:b/>
          <w:bCs/>
        </w:rPr>
      </w:pPr>
      <w:r w:rsidRPr="00B25882">
        <w:rPr>
          <w:b/>
          <w:bCs/>
        </w:rPr>
        <w:t>1.7 Definition of Terms</w:t>
      </w:r>
    </w:p>
    <w:p w14:paraId="0E03F7DA" w14:textId="77777777" w:rsidR="00B25882" w:rsidRPr="00B25882" w:rsidRDefault="00B25882" w:rsidP="006473EC">
      <w:pPr>
        <w:spacing w:before="120" w:after="120" w:line="360" w:lineRule="auto"/>
        <w:jc w:val="both"/>
      </w:pPr>
      <w:r w:rsidRPr="00B25882">
        <w:rPr>
          <w:b/>
          <w:bCs/>
        </w:rPr>
        <w:lastRenderedPageBreak/>
        <w:t>Building Resilience:</w:t>
      </w:r>
      <w:r w:rsidRPr="00B25882">
        <w:t> The capacity of buildings and occupants to anticipate, withstand, adapt to, and recover from the adverse effects of climate change and other hazards (UN-Habitat, 2020). In this study, building resilience encompasses thermal, structural, environmental, and socio-economic dimensions.</w:t>
      </w:r>
    </w:p>
    <w:p w14:paraId="4948110E" w14:textId="77777777" w:rsidR="00B25882" w:rsidRPr="00B25882" w:rsidRDefault="00B25882" w:rsidP="006473EC">
      <w:pPr>
        <w:spacing w:before="120" w:after="120" w:line="360" w:lineRule="auto"/>
        <w:jc w:val="both"/>
      </w:pPr>
      <w:r w:rsidRPr="00B25882">
        <w:rPr>
          <w:b/>
          <w:bCs/>
        </w:rPr>
        <w:t>Climate Change:</w:t>
      </w:r>
      <w:r w:rsidRPr="00B25882">
        <w:t> Long-term shifts in temperature, precipitation, and weather patterns, primarily driven by anthropogenic greenhouse gas emissions (IPCC, 2022), with focus on impacts relevant to buildings in tropical regions.</w:t>
      </w:r>
    </w:p>
    <w:p w14:paraId="6CC31C07" w14:textId="77777777" w:rsidR="00B25882" w:rsidRPr="00B25882" w:rsidRDefault="00B25882" w:rsidP="006473EC">
      <w:pPr>
        <w:spacing w:before="120" w:after="120" w:line="360" w:lineRule="auto"/>
        <w:jc w:val="both"/>
      </w:pPr>
      <w:r w:rsidRPr="00B25882">
        <w:rPr>
          <w:b/>
          <w:bCs/>
        </w:rPr>
        <w:t>Climate-Responsive Architecture:</w:t>
      </w:r>
      <w:r w:rsidRPr="00B25882">
        <w:t> An approach to building design that responds to local climate conditions, utilizing passive design strategies, appropriate materials, and site-specific solutions to minimize energy consumption and maintain occupant comfort (Olgyay, 1963).</w:t>
      </w:r>
    </w:p>
    <w:p w14:paraId="14171F7F" w14:textId="77777777" w:rsidR="00B25882" w:rsidRPr="00B25882" w:rsidRDefault="00B25882" w:rsidP="006473EC">
      <w:pPr>
        <w:spacing w:before="120" w:after="120" w:line="360" w:lineRule="auto"/>
        <w:jc w:val="both"/>
      </w:pPr>
      <w:r w:rsidRPr="00B25882">
        <w:rPr>
          <w:b/>
          <w:bCs/>
        </w:rPr>
        <w:t>Embodied Carbon:</w:t>
      </w:r>
      <w:r w:rsidRPr="00B25882">
        <w:t> The total greenhouse gas emissions associated with the extraction, manufacturing, transport, and assembly of building materials over their life cycle (UNEP, 2023).</w:t>
      </w:r>
    </w:p>
    <w:p w14:paraId="562014CA" w14:textId="77777777" w:rsidR="00B25882" w:rsidRPr="00B25882" w:rsidRDefault="00B25882" w:rsidP="006473EC">
      <w:pPr>
        <w:spacing w:before="120" w:after="120" w:line="360" w:lineRule="auto"/>
        <w:jc w:val="both"/>
      </w:pPr>
      <w:r w:rsidRPr="00B25882">
        <w:rPr>
          <w:b/>
          <w:bCs/>
        </w:rPr>
        <w:t>Indoor Environmental Quality (IEQ):</w:t>
      </w:r>
      <w:r w:rsidRPr="00B25882">
        <w:t> The conditions inside a building that affect occupant health, comfort, and well-being, including thermal comfort, air quality, lighting, and acoustics (</w:t>
      </w:r>
      <w:proofErr w:type="spellStart"/>
      <w:r w:rsidRPr="00B25882">
        <w:t>Asaju</w:t>
      </w:r>
      <w:proofErr w:type="spellEnd"/>
      <w:r w:rsidRPr="00B25882">
        <w:t>, 2022).</w:t>
      </w:r>
    </w:p>
    <w:p w14:paraId="27CA786E" w14:textId="77777777" w:rsidR="00B25882" w:rsidRPr="00B25882" w:rsidRDefault="00B25882" w:rsidP="006473EC">
      <w:pPr>
        <w:spacing w:before="120" w:after="120" w:line="360" w:lineRule="auto"/>
        <w:jc w:val="both"/>
      </w:pPr>
      <w:r w:rsidRPr="00B25882">
        <w:rPr>
          <w:b/>
          <w:bCs/>
        </w:rPr>
        <w:t>Interlocking Stabilized Soil Blocks (ISSBs):</w:t>
      </w:r>
      <w:r w:rsidRPr="00B25882">
        <w:t> Compressed soil blocks stabilized with a small proportion of cement (typically 5-10%) and designed with interlocking features for mortar-less wall construction (Ibitoye, 2022).</w:t>
      </w:r>
    </w:p>
    <w:p w14:paraId="1D7ACEC8" w14:textId="77777777" w:rsidR="00B25882" w:rsidRPr="00B25882" w:rsidRDefault="00B25882" w:rsidP="006473EC">
      <w:pPr>
        <w:spacing w:before="120" w:after="120" w:line="360" w:lineRule="auto"/>
        <w:jc w:val="both"/>
      </w:pPr>
      <w:proofErr w:type="spellStart"/>
      <w:r w:rsidRPr="00B25882">
        <w:rPr>
          <w:b/>
          <w:bCs/>
        </w:rPr>
        <w:t>Sandcrete</w:t>
      </w:r>
      <w:proofErr w:type="spellEnd"/>
      <w:r w:rsidRPr="00B25882">
        <w:rPr>
          <w:b/>
          <w:bCs/>
        </w:rPr>
        <w:t xml:space="preserve"> Blocks:</w:t>
      </w:r>
      <w:r w:rsidRPr="00B25882">
        <w:t> A conventional building material composed of cement, sand, and water, formed into blocks of standard sizes (Ibitoye, 2022).</w:t>
      </w:r>
    </w:p>
    <w:p w14:paraId="0B5B98B0" w14:textId="77777777" w:rsidR="00B25882" w:rsidRPr="00B25882" w:rsidRDefault="00B25882" w:rsidP="006473EC">
      <w:pPr>
        <w:spacing w:before="120" w:after="120" w:line="360" w:lineRule="auto"/>
        <w:jc w:val="both"/>
      </w:pPr>
      <w:r w:rsidRPr="00B25882">
        <w:rPr>
          <w:b/>
          <w:bCs/>
        </w:rPr>
        <w:t>Sustainable Construction:</w:t>
      </w:r>
      <w:r w:rsidRPr="00B25882">
        <w:t> The practice of designing, constructing, and operating buildings in a manner that minimizes environmental impact, conserves resources, and promotes social and economic well-being (UNEP, 2023).</w:t>
      </w:r>
    </w:p>
    <w:p w14:paraId="53FD5D18" w14:textId="77777777" w:rsidR="00B25882" w:rsidRPr="00B25882" w:rsidRDefault="00B25882" w:rsidP="006473EC">
      <w:pPr>
        <w:spacing w:before="120" w:after="120" w:line="360" w:lineRule="auto"/>
        <w:jc w:val="both"/>
      </w:pPr>
      <w:r w:rsidRPr="00B25882">
        <w:rPr>
          <w:b/>
          <w:bCs/>
        </w:rPr>
        <w:t>Thermal Comfort:</w:t>
      </w:r>
      <w:r w:rsidRPr="00B25882">
        <w:t> The condition of mind expressing satisfaction with the thermal environment, assessed through subjective evaluation (ISO 7730).</w:t>
      </w:r>
    </w:p>
    <w:p w14:paraId="39E954A9" w14:textId="77777777" w:rsidR="00B25882" w:rsidRPr="00B25882" w:rsidRDefault="00B25882" w:rsidP="006473EC">
      <w:pPr>
        <w:spacing w:before="120" w:after="120" w:line="360" w:lineRule="auto"/>
        <w:jc w:val="both"/>
      </w:pPr>
      <w:r w:rsidRPr="00B25882">
        <w:rPr>
          <w:b/>
          <w:bCs/>
        </w:rPr>
        <w:t>Thermal Performance:</w:t>
      </w:r>
      <w:r w:rsidRPr="00B25882">
        <w:t> The ability of building materials and assemblies to regulate heat transfer, influencing indoor temperature, energy consumption, and occupant comfort (</w:t>
      </w:r>
      <w:proofErr w:type="spellStart"/>
      <w:r w:rsidRPr="00B25882">
        <w:t>Musene</w:t>
      </w:r>
      <w:proofErr w:type="spellEnd"/>
      <w:r w:rsidRPr="00B25882">
        <w:t>, 2025).</w:t>
      </w:r>
    </w:p>
    <w:p w14:paraId="4761A34C" w14:textId="12790437" w:rsidR="00B25882" w:rsidRPr="00B25882" w:rsidRDefault="00B25882" w:rsidP="006473EC">
      <w:pPr>
        <w:spacing w:before="120" w:after="120" w:line="360" w:lineRule="auto"/>
        <w:jc w:val="both"/>
      </w:pPr>
      <w:r w:rsidRPr="00B25882">
        <w:rPr>
          <w:b/>
          <w:bCs/>
        </w:rPr>
        <w:lastRenderedPageBreak/>
        <w:t>Tropical Region:</w:t>
      </w:r>
      <w:r w:rsidRPr="00B25882">
        <w:t xml:space="preserve"> Geographic areas between the Tropic of Cancer and </w:t>
      </w:r>
      <w:r w:rsidR="00F53902">
        <w:t xml:space="preserve">the </w:t>
      </w:r>
      <w:r w:rsidRPr="00B25882">
        <w:t>Tropic of Capricorn, characterized by consistently warm temperatures and high humidity. Southwestern Nigeria lies within the tropical region.</w:t>
      </w:r>
    </w:p>
    <w:p w14:paraId="37A458A9" w14:textId="77777777" w:rsidR="00F6337F" w:rsidRDefault="00F6337F" w:rsidP="006473EC">
      <w:pPr>
        <w:spacing w:before="120" w:after="120" w:line="360" w:lineRule="auto"/>
        <w:jc w:val="both"/>
      </w:pPr>
    </w:p>
    <w:p w14:paraId="36EA1520" w14:textId="61BD7181" w:rsidR="00F6337F" w:rsidRDefault="006C0315" w:rsidP="006473EC">
      <w:pPr>
        <w:spacing w:after="160" w:line="360" w:lineRule="auto"/>
        <w:jc w:val="both"/>
      </w:pPr>
      <w:r>
        <w:rPr>
          <w:b/>
          <w:bCs/>
        </w:rPr>
        <w:t>2.0: LITERATURE REVIEW</w:t>
      </w:r>
    </w:p>
    <w:p w14:paraId="5B386C63" w14:textId="77777777" w:rsidR="00FC7E0B" w:rsidRPr="00FC7E0B" w:rsidRDefault="00FC7E0B" w:rsidP="006473EC">
      <w:pPr>
        <w:spacing w:before="120" w:after="120" w:line="360" w:lineRule="auto"/>
        <w:jc w:val="both"/>
        <w:rPr>
          <w:b/>
          <w:bCs/>
        </w:rPr>
      </w:pPr>
      <w:r w:rsidRPr="00FC7E0B">
        <w:rPr>
          <w:b/>
          <w:bCs/>
        </w:rPr>
        <w:t>2.1 Climate Change and Tropical Built Environments</w:t>
      </w:r>
    </w:p>
    <w:p w14:paraId="1EA2EA9B" w14:textId="77777777" w:rsidR="00FC7E0B" w:rsidRPr="00FC7E0B" w:rsidRDefault="00FC7E0B" w:rsidP="006473EC">
      <w:pPr>
        <w:spacing w:before="120" w:after="120" w:line="360" w:lineRule="auto"/>
        <w:jc w:val="both"/>
      </w:pPr>
      <w:r w:rsidRPr="00FC7E0B">
        <w:t xml:space="preserve">Tropical regions are characterized by consistently warm temperatures, high humidity, and distinct wet and dry seasons, presenting unique challenges for building design and construction. Climate change is exacerbating these challenges, with tropical regions experiencing pronounced impacts including rising temperatures, increased frequency of extreme weather events, and sea-level rise (IPCC, 2022). Global average temperatures have risen by approximately 1.1°C above pre-industrial levels, with tropical regions warming at comparable rates. Urban areas in tropical countries are particularly vulnerable to the urban heat island effect, which elevates temperatures above surrounding rural areas. In Nigeria, mean annual temperatures have increased by approximately 1.5°C over the past 50 years, with southern coastal regions experiencing heightened vulnerability to flooding and coastal erosion (NIMET, 2021). The relationship between climate change and the built environment is bidirectional: buildings contribute approximately 39% of global energy-related CO₂ emissions, while simultaneously being vulnerable to climate impacts (UNEP, 2023). This dual imperative underpins the focus on climate-responsive architecture and sustainable construction materials in tropical contexts. </w:t>
      </w:r>
      <w:proofErr w:type="spellStart"/>
      <w:r w:rsidRPr="00FC7E0B">
        <w:t>Oyelami</w:t>
      </w:r>
      <w:proofErr w:type="spellEnd"/>
      <w:r w:rsidRPr="00FC7E0B">
        <w:t xml:space="preserve"> and Van Roy (2016) highlight </w:t>
      </w:r>
      <w:proofErr w:type="gramStart"/>
      <w:r w:rsidRPr="00FC7E0B">
        <w:t>that tropical soils</w:t>
      </w:r>
      <w:proofErr w:type="gramEnd"/>
      <w:r w:rsidRPr="00FC7E0B">
        <w:t>, particularly laterites, offer opportunities for low-carbon construction but require careful evaluation under local climatic conditions.</w:t>
      </w:r>
    </w:p>
    <w:p w14:paraId="6B0F1193" w14:textId="77777777" w:rsidR="00FC7E0B" w:rsidRPr="00FC7E0B" w:rsidRDefault="00FC7E0B" w:rsidP="006473EC">
      <w:pPr>
        <w:spacing w:before="120" w:after="120" w:line="360" w:lineRule="auto"/>
        <w:jc w:val="both"/>
        <w:rPr>
          <w:b/>
          <w:bCs/>
        </w:rPr>
      </w:pPr>
      <w:r w:rsidRPr="00FC7E0B">
        <w:rPr>
          <w:b/>
          <w:bCs/>
        </w:rPr>
        <w:t>2.2 Concept of Building Resilience</w:t>
      </w:r>
    </w:p>
    <w:p w14:paraId="3C22295E" w14:textId="77777777" w:rsidR="00FC7E0B" w:rsidRPr="00FC7E0B" w:rsidRDefault="00FC7E0B" w:rsidP="006473EC">
      <w:pPr>
        <w:spacing w:before="120" w:after="120" w:line="360" w:lineRule="auto"/>
        <w:jc w:val="both"/>
      </w:pPr>
      <w:r w:rsidRPr="00FC7E0B">
        <w:t xml:space="preserve">Building resilience refers to the capacity of buildings and occupants to anticipate, withstand, adapt to, and recover from adverse events, including climate change impacts and natural disasters (UN-Habitat, 2020). The concept has evolved from ecological origins (Holling, 1973) to encompass structural, functional, environmental, socio-economic, and institutional dimensions. Bosher and Dainty (2019) argue that building resilience requires a systems-thinking approach considering interdependencies between buildings, infrastructure, and social systems. In tropical urban contexts, </w:t>
      </w:r>
      <w:r w:rsidRPr="00FC7E0B">
        <w:lastRenderedPageBreak/>
        <w:t xml:space="preserve">where informal settlements and limited institutional capacity compound climate vulnerabilities, resilience is particularly critical. </w:t>
      </w:r>
      <w:proofErr w:type="spellStart"/>
      <w:r w:rsidRPr="00FC7E0B">
        <w:t>Meerow</w:t>
      </w:r>
      <w:proofErr w:type="spellEnd"/>
      <w:r w:rsidRPr="00FC7E0B">
        <w:t xml:space="preserve"> et al. (2016) emphasize that resilience is not a fixed attribute but a dynamic process evolving through learning and adaptation. Building resilience is central to achieving Sustainable Development Goals 11 (Sustainable Cities) and 13 (Climate Action), particularly in regions where adaptive capacity is limited.</w:t>
      </w:r>
    </w:p>
    <w:p w14:paraId="0599C375" w14:textId="77777777" w:rsidR="00FC7E0B" w:rsidRPr="00FC7E0B" w:rsidRDefault="00FC7E0B" w:rsidP="006473EC">
      <w:pPr>
        <w:spacing w:before="120" w:after="120" w:line="360" w:lineRule="auto"/>
        <w:jc w:val="both"/>
        <w:rPr>
          <w:b/>
          <w:bCs/>
        </w:rPr>
      </w:pPr>
      <w:r w:rsidRPr="00FC7E0B">
        <w:rPr>
          <w:b/>
          <w:bCs/>
        </w:rPr>
        <w:t>2.3 Interlocking Stabilized Soil Blocks (ISSBs)</w:t>
      </w:r>
    </w:p>
    <w:p w14:paraId="76EC1DD7" w14:textId="77777777" w:rsidR="00FC7E0B" w:rsidRPr="00FC7E0B" w:rsidRDefault="00FC7E0B" w:rsidP="006473EC">
      <w:pPr>
        <w:spacing w:before="120" w:after="120" w:line="360" w:lineRule="auto"/>
        <w:jc w:val="both"/>
      </w:pPr>
      <w:r w:rsidRPr="00FC7E0B">
        <w:t>ISSBs are produced by compressing a mixture of locally available soil, a stabilizing agent (typically 5-10% cement), and water using manual or hydraulic presses. The interlocking mechanism allows for mortar-less wall construction, significantly reducing material and labor requirements (Bales et al., 2009; Jagadish, 2007). The technology originated in Colombia in the 1950s and gained international recognition through UN-Habitat and EPFL promotion in the 1970s and 1980s (Adam &amp; Agib, 2001). Production involves soil selection and testing, mixing with stabilizer, compaction, and curing. Lateritic soils, common in tropical regions, are generally preferred due to their high clay and iron oxide content (</w:t>
      </w:r>
      <w:proofErr w:type="spellStart"/>
      <w:r w:rsidRPr="00FC7E0B">
        <w:t>Oyelami</w:t>
      </w:r>
      <w:proofErr w:type="spellEnd"/>
      <w:r w:rsidRPr="00FC7E0B">
        <w:t xml:space="preserve"> &amp; Van Roy, 2016). Ibitoye (2022) identified Hollow and Solid Interlocking Stabilized Soil Blocks as the most common types in Southwestern Nigeria and demonstrated cost advantages of approximately 30% compared to </w:t>
      </w:r>
      <w:proofErr w:type="spellStart"/>
      <w:r w:rsidRPr="00FC7E0B">
        <w:t>sandcrete</w:t>
      </w:r>
      <w:proofErr w:type="spellEnd"/>
      <w:r w:rsidRPr="00FC7E0B">
        <w:t xml:space="preserve"> blocks due to mortar-less construction, reduced cement content, and use of local materials. Despite these benefits, adoption in Nigeria remains low due to poor public perception and limited awareness (Ibitoye, 2022).</w:t>
      </w:r>
    </w:p>
    <w:p w14:paraId="5B41C61A" w14:textId="77777777" w:rsidR="00FC7E0B" w:rsidRPr="00FC7E0B" w:rsidRDefault="00FC7E0B" w:rsidP="006473EC">
      <w:pPr>
        <w:spacing w:before="120" w:after="120" w:line="360" w:lineRule="auto"/>
        <w:jc w:val="both"/>
        <w:rPr>
          <w:b/>
          <w:bCs/>
        </w:rPr>
      </w:pPr>
      <w:r w:rsidRPr="00FC7E0B">
        <w:rPr>
          <w:b/>
          <w:bCs/>
        </w:rPr>
        <w:t>2.4 Mechanical and Structural Performance of ISSBs</w:t>
      </w:r>
    </w:p>
    <w:p w14:paraId="0559BD2C" w14:textId="77777777" w:rsidR="00FC7E0B" w:rsidRPr="00FC7E0B" w:rsidRDefault="00FC7E0B" w:rsidP="006473EC">
      <w:pPr>
        <w:spacing w:before="120" w:after="120" w:line="360" w:lineRule="auto"/>
        <w:jc w:val="both"/>
      </w:pPr>
      <w:r w:rsidRPr="00FC7E0B">
        <w:t xml:space="preserve">Compressive strength is the most critical mechanical property for load-bearing applications. Properly produced ISSBs can achieve compressive strengths ranging from 2.5 to 10 MPa, depending on soil type, stabilizer content, and production method (Laibi et al., 2025; </w:t>
      </w:r>
      <w:proofErr w:type="spellStart"/>
      <w:r w:rsidRPr="00FC7E0B">
        <w:t>Oyelami</w:t>
      </w:r>
      <w:proofErr w:type="spellEnd"/>
      <w:r w:rsidRPr="00FC7E0B">
        <w:t xml:space="preserve"> &amp; Van Roy, 2016). </w:t>
      </w:r>
      <w:proofErr w:type="spellStart"/>
      <w:r w:rsidRPr="00FC7E0B">
        <w:t>Sandcrete</w:t>
      </w:r>
      <w:proofErr w:type="spellEnd"/>
      <w:r w:rsidRPr="00FC7E0B">
        <w:t xml:space="preserve"> blocks typically achieve 2.5-7 MPa (Anosike &amp; </w:t>
      </w:r>
      <w:proofErr w:type="spellStart"/>
      <w:r w:rsidRPr="00FC7E0B">
        <w:t>Oyebade</w:t>
      </w:r>
      <w:proofErr w:type="spellEnd"/>
      <w:r w:rsidRPr="00FC7E0B">
        <w:t>, 2012). Laibi et al. (2025) found that stabilized blocks achieved approximately 10 MPa, suitable for load-bearing construction. Increasing cement content improves strength but increases cost and embodied carbon; Bales et al. (2009) recommended 5-7% cement content for residential construction. Higher compaction pressure reduces porosity and improves strength (</w:t>
      </w:r>
      <w:proofErr w:type="spellStart"/>
      <w:r w:rsidRPr="00FC7E0B">
        <w:t>Venkatarama</w:t>
      </w:r>
      <w:proofErr w:type="spellEnd"/>
      <w:r w:rsidRPr="00FC7E0B">
        <w:t xml:space="preserve"> Reddy, 2015). </w:t>
      </w:r>
      <w:proofErr w:type="spellStart"/>
      <w:r w:rsidRPr="00FC7E0B">
        <w:t>Musene</w:t>
      </w:r>
      <w:proofErr w:type="spellEnd"/>
      <w:r w:rsidRPr="00FC7E0B">
        <w:t xml:space="preserve"> (2025) found that ISSBs retained approximately 78% of their strength after 24 hours of water immersion, indicating adequate water resistance. </w:t>
      </w:r>
      <w:proofErr w:type="spellStart"/>
      <w:r w:rsidRPr="00FC7E0B">
        <w:t>Adegun</w:t>
      </w:r>
      <w:proofErr w:type="spellEnd"/>
      <w:r w:rsidRPr="00FC7E0B">
        <w:t xml:space="preserve"> and Adedeji (2017) concluded that </w:t>
      </w:r>
      <w:r w:rsidRPr="00FC7E0B">
        <w:lastRenderedPageBreak/>
        <w:t>appropriately stabilized earth blocks offer adequate resistance to erosion and moisture damage when properly constructed.</w:t>
      </w:r>
    </w:p>
    <w:p w14:paraId="5EBAFFC6" w14:textId="77777777" w:rsidR="00FC7E0B" w:rsidRPr="00FC7E0B" w:rsidRDefault="00FC7E0B" w:rsidP="006473EC">
      <w:pPr>
        <w:spacing w:before="120" w:after="120" w:line="360" w:lineRule="auto"/>
        <w:jc w:val="both"/>
        <w:rPr>
          <w:b/>
          <w:bCs/>
        </w:rPr>
      </w:pPr>
      <w:r w:rsidRPr="00FC7E0B">
        <w:rPr>
          <w:b/>
          <w:bCs/>
        </w:rPr>
        <w:t>2.5 Thermal Performance and Indoor Comfort</w:t>
      </w:r>
    </w:p>
    <w:p w14:paraId="46F33103" w14:textId="77777777" w:rsidR="00FC7E0B" w:rsidRPr="00FC7E0B" w:rsidRDefault="00FC7E0B" w:rsidP="006473EC">
      <w:pPr>
        <w:spacing w:before="120" w:after="120" w:line="360" w:lineRule="auto"/>
        <w:jc w:val="both"/>
      </w:pPr>
      <w:r w:rsidRPr="00FC7E0B">
        <w:t>Earth-based materials exhibit favorable thermal properties compared to conventional materials. Thermal conductivity ranges from 0.3 to 1.0 W/</w:t>
      </w:r>
      <w:proofErr w:type="spellStart"/>
      <w:r w:rsidRPr="00FC7E0B">
        <w:t>m·K</w:t>
      </w:r>
      <w:proofErr w:type="spellEnd"/>
      <w:r w:rsidRPr="00FC7E0B">
        <w:t xml:space="preserve"> for earth blocks compared to 0.8 to 1.5 W/</w:t>
      </w:r>
      <w:proofErr w:type="spellStart"/>
      <w:r w:rsidRPr="00FC7E0B">
        <w:t>m·K</w:t>
      </w:r>
      <w:proofErr w:type="spellEnd"/>
      <w:r w:rsidRPr="00FC7E0B">
        <w:t xml:space="preserve"> for </w:t>
      </w:r>
      <w:proofErr w:type="spellStart"/>
      <w:r w:rsidRPr="00FC7E0B">
        <w:t>sandcrete</w:t>
      </w:r>
      <w:proofErr w:type="spellEnd"/>
      <w:r w:rsidRPr="00FC7E0B">
        <w:t xml:space="preserve"> blocks (</w:t>
      </w:r>
      <w:proofErr w:type="spellStart"/>
      <w:r w:rsidRPr="00FC7E0B">
        <w:t>Musene</w:t>
      </w:r>
      <w:proofErr w:type="spellEnd"/>
      <w:r w:rsidRPr="00FC7E0B">
        <w:t xml:space="preserve">, 2025; Laibi et al., 2025). Lower thermal conductivity reduces heat flow from exterior to interior, improving insulation. Thermal mass </w:t>
      </w:r>
      <w:proofErr w:type="gramStart"/>
      <w:r w:rsidRPr="00FC7E0B">
        <w:t>moderates</w:t>
      </w:r>
      <w:proofErr w:type="gramEnd"/>
      <w:r w:rsidRPr="00FC7E0B">
        <w:t xml:space="preserve"> indoor temperature fluctuations by absorbing heat during the day and releasing it at night. Olgyay (1963) emphasized the importance of thermal mass in tropical architecture. </w:t>
      </w:r>
      <w:proofErr w:type="spellStart"/>
      <w:r w:rsidRPr="00FC7E0B">
        <w:t>Afolami</w:t>
      </w:r>
      <w:proofErr w:type="spellEnd"/>
      <w:r w:rsidRPr="00FC7E0B">
        <w:t xml:space="preserve"> and Oyebamiji (2017) found that occupants of laterite interlocking block buildings reported high satisfaction with indoor temperatures. </w:t>
      </w:r>
      <w:proofErr w:type="spellStart"/>
      <w:r w:rsidRPr="00FC7E0B">
        <w:t>Musene</w:t>
      </w:r>
      <w:proofErr w:type="spellEnd"/>
      <w:r w:rsidRPr="00FC7E0B">
        <w:t xml:space="preserve"> (2025) found that ISSBs exhibited the lowest thermal conductivity (0.354 W/</w:t>
      </w:r>
      <w:proofErr w:type="spellStart"/>
      <w:r w:rsidRPr="00FC7E0B">
        <w:t>m·K</w:t>
      </w:r>
      <w:proofErr w:type="spellEnd"/>
      <w:r w:rsidRPr="00FC7E0B">
        <w:t xml:space="preserve">) among tested materials, maintaining temperatures 2-3°C cooler during peak heat periods. Neya et al. (2024) found that thermal comfort time varied linearly with cement content, indicating a trade-off between structural and thermal performance. </w:t>
      </w:r>
      <w:proofErr w:type="spellStart"/>
      <w:r w:rsidRPr="00FC7E0B">
        <w:t>Asaju</w:t>
      </w:r>
      <w:proofErr w:type="spellEnd"/>
      <w:r w:rsidRPr="00FC7E0B">
        <w:t xml:space="preserve"> (2022) demonstrated that thermal comfort was a significant predictor of academic performance, underscoring the importance of thermally comfortable spaces.</w:t>
      </w:r>
    </w:p>
    <w:p w14:paraId="7AAC1102" w14:textId="77777777" w:rsidR="00FC7E0B" w:rsidRPr="00FC7E0B" w:rsidRDefault="00FC7E0B" w:rsidP="006473EC">
      <w:pPr>
        <w:spacing w:before="120" w:after="120" w:line="360" w:lineRule="auto"/>
        <w:jc w:val="both"/>
        <w:rPr>
          <w:b/>
          <w:bCs/>
        </w:rPr>
      </w:pPr>
      <w:r w:rsidRPr="00FC7E0B">
        <w:rPr>
          <w:b/>
          <w:bCs/>
        </w:rPr>
        <w:t>2.6 Moisture Resistance, Flooding, and Durability</w:t>
      </w:r>
    </w:p>
    <w:p w14:paraId="36158086" w14:textId="77777777" w:rsidR="00FC7E0B" w:rsidRPr="00FC7E0B" w:rsidRDefault="00FC7E0B" w:rsidP="006473EC">
      <w:pPr>
        <w:spacing w:before="120" w:after="120" w:line="360" w:lineRule="auto"/>
        <w:jc w:val="both"/>
      </w:pPr>
      <w:r w:rsidRPr="00FC7E0B">
        <w:t xml:space="preserve">Moisture is a critical factor affecting earth-based construction in tropical climates. Cement-stabilized blocks exhibit significantly improved water resistance compared to </w:t>
      </w:r>
      <w:proofErr w:type="spellStart"/>
      <w:r w:rsidRPr="00FC7E0B">
        <w:t>unstabilized</w:t>
      </w:r>
      <w:proofErr w:type="spellEnd"/>
      <w:r w:rsidRPr="00FC7E0B">
        <w:t xml:space="preserve"> blocks due to reduced porosity (Jagadish, 2007). </w:t>
      </w:r>
      <w:proofErr w:type="spellStart"/>
      <w:r w:rsidRPr="00FC7E0B">
        <w:t>Musene</w:t>
      </w:r>
      <w:proofErr w:type="spellEnd"/>
      <w:r w:rsidRPr="00FC7E0B">
        <w:t xml:space="preserve"> (2025) found that properly stabilized ISSBs retained approximately 78% of compressive strength after 24 hours of water immersion. Laibi et al. (2025) observed that blocks maintained structural integrity after short-term immersion but showed degradation with prolonged exposure. The interlocking mechanism may contribute to moisture resistance by reducing mortar joints, which are potential water infiltration pathways (Bales et al., 2009). Daniel et al. (2018) noted that properly constructed earth buildings had demonstrated durability in Nigerian climates. </w:t>
      </w:r>
      <w:proofErr w:type="spellStart"/>
      <w:r w:rsidRPr="00FC7E0B">
        <w:t>Adegun</w:t>
      </w:r>
      <w:proofErr w:type="spellEnd"/>
      <w:r w:rsidRPr="00FC7E0B">
        <w:t xml:space="preserve"> and Adedeji (2017) argued for holistic approaches integrating material selection, design, and community planning to address flood risks.</w:t>
      </w:r>
    </w:p>
    <w:p w14:paraId="71F065D3" w14:textId="77777777" w:rsidR="00FC7E0B" w:rsidRPr="00FC7E0B" w:rsidRDefault="00FC7E0B" w:rsidP="006473EC">
      <w:pPr>
        <w:spacing w:before="120" w:after="120" w:line="360" w:lineRule="auto"/>
        <w:jc w:val="both"/>
        <w:rPr>
          <w:b/>
          <w:bCs/>
        </w:rPr>
      </w:pPr>
      <w:r w:rsidRPr="00FC7E0B">
        <w:rPr>
          <w:b/>
          <w:bCs/>
        </w:rPr>
        <w:t>2.7 Climate-Responsive Design Strategies</w:t>
      </w:r>
    </w:p>
    <w:p w14:paraId="2E7F44FE" w14:textId="77777777" w:rsidR="00FC7E0B" w:rsidRPr="00FC7E0B" w:rsidRDefault="00FC7E0B" w:rsidP="006473EC">
      <w:pPr>
        <w:spacing w:before="120" w:after="120" w:line="360" w:lineRule="auto"/>
        <w:jc w:val="both"/>
      </w:pPr>
      <w:r w:rsidRPr="00FC7E0B">
        <w:lastRenderedPageBreak/>
        <w:t>Climate-responsive design seeks to harmonize buildings with their climatic context, minimizing energy consumption through passive means. Olgyay (1963) established foundational principles including orientation, shading, ventilation, and material selection. Passive cooling strategies in tropical regions include building orientation to minimize solar gain, cross-ventilation, shading devices, and materials with favorable thermal properties. Natural ventilation is particularly important in humid tropical climates where evaporative cooling is limited (Olgyay, 1963). Moisture management requires adequate roof overhangs, gutters, and drainage systems. In Nigeria, limited adoption of passive design principles reflects prioritization of cost over thermal performance (</w:t>
      </w:r>
      <w:proofErr w:type="spellStart"/>
      <w:r w:rsidRPr="00FC7E0B">
        <w:t>Oyelami</w:t>
      </w:r>
      <w:proofErr w:type="spellEnd"/>
      <w:r w:rsidRPr="00FC7E0B">
        <w:t xml:space="preserve"> &amp; Van Roy, 2016). </w:t>
      </w:r>
      <w:proofErr w:type="spellStart"/>
      <w:r w:rsidRPr="00FC7E0B">
        <w:t>Asaju</w:t>
      </w:r>
      <w:proofErr w:type="spellEnd"/>
      <w:r w:rsidRPr="00FC7E0B">
        <w:t xml:space="preserve"> (2022) emphasized the human-centered dimension, demonstrating that IEQ directly affects human performance and well-being.</w:t>
      </w:r>
    </w:p>
    <w:p w14:paraId="63868921" w14:textId="77777777" w:rsidR="00FC7E0B" w:rsidRPr="00FC7E0B" w:rsidRDefault="00FC7E0B" w:rsidP="006473EC">
      <w:pPr>
        <w:spacing w:before="120" w:after="120" w:line="360" w:lineRule="auto"/>
        <w:jc w:val="both"/>
        <w:rPr>
          <w:b/>
          <w:bCs/>
        </w:rPr>
      </w:pPr>
      <w:r w:rsidRPr="00FC7E0B">
        <w:rPr>
          <w:b/>
          <w:bCs/>
        </w:rPr>
        <w:t>2.8 Sustainable Construction Materials in Tropical Regions</w:t>
      </w:r>
    </w:p>
    <w:p w14:paraId="3B47B46B" w14:textId="77777777" w:rsidR="00FC7E0B" w:rsidRPr="00FC7E0B" w:rsidRDefault="00FC7E0B" w:rsidP="006473EC">
      <w:pPr>
        <w:spacing w:before="120" w:after="120" w:line="360" w:lineRule="auto"/>
        <w:jc w:val="both"/>
      </w:pPr>
      <w:r w:rsidRPr="00FC7E0B">
        <w:t xml:space="preserve">Sustainable construction materials minimize environmental impact throughout their life cycle while providing adequate performance and durability. Cement accounts for approximately 8% of global CO₂ emissions (Ibitoye, 2022), making cement reduction a priority. ISSBs use 5-10% cement compared to 15-20% in </w:t>
      </w:r>
      <w:proofErr w:type="spellStart"/>
      <w:r w:rsidRPr="00FC7E0B">
        <w:t>sandcrete</w:t>
      </w:r>
      <w:proofErr w:type="spellEnd"/>
      <w:r w:rsidRPr="00FC7E0B">
        <w:t xml:space="preserve"> blocks, offering significant embodied carbon reductions (</w:t>
      </w:r>
      <w:proofErr w:type="spellStart"/>
      <w:r w:rsidRPr="00FC7E0B">
        <w:t>Oyelami</w:t>
      </w:r>
      <w:proofErr w:type="spellEnd"/>
      <w:r w:rsidRPr="00FC7E0B">
        <w:t xml:space="preserve"> &amp; Van Roy, 2016). Use of local materials reduces transport-related impacts and supports local economies (</w:t>
      </w:r>
      <w:proofErr w:type="spellStart"/>
      <w:r w:rsidRPr="00FC7E0B">
        <w:t>Adegun</w:t>
      </w:r>
      <w:proofErr w:type="spellEnd"/>
      <w:r w:rsidRPr="00FC7E0B">
        <w:t xml:space="preserve"> &amp; Adedeji, 2017). </w:t>
      </w:r>
      <w:proofErr w:type="spellStart"/>
      <w:r w:rsidRPr="00FC7E0B">
        <w:t>Bredenoord</w:t>
      </w:r>
      <w:proofErr w:type="spellEnd"/>
      <w:r w:rsidRPr="00FC7E0B">
        <w:t xml:space="preserve"> et al. (2020) found that community-based ISSB production created employment and built local capacity. Ganou </w:t>
      </w:r>
      <w:proofErr w:type="spellStart"/>
      <w:r w:rsidRPr="00FC7E0B">
        <w:t>Koungang</w:t>
      </w:r>
      <w:proofErr w:type="spellEnd"/>
      <w:r w:rsidRPr="00FC7E0B">
        <w:t xml:space="preserve"> et al. (2023) reported that </w:t>
      </w:r>
      <w:proofErr w:type="spellStart"/>
      <w:r w:rsidRPr="00FC7E0B">
        <w:t>biosourced</w:t>
      </w:r>
      <w:proofErr w:type="spellEnd"/>
      <w:r w:rsidRPr="00FC7E0B">
        <w:t xml:space="preserve"> earth blocks in Cameroon provided approximately 96% comfort with AC and delivered ~100 kWh annual energy savings per test cell. Durability is critical; studies indicate ISSBs can provide service lives comparable to conventional materials when properly produced and constructed (Laibi et al., 2025; </w:t>
      </w:r>
      <w:proofErr w:type="spellStart"/>
      <w:r w:rsidRPr="00FC7E0B">
        <w:t>Musene</w:t>
      </w:r>
      <w:proofErr w:type="spellEnd"/>
      <w:r w:rsidRPr="00FC7E0B">
        <w:t>, 2025).</w:t>
      </w:r>
    </w:p>
    <w:p w14:paraId="48E14942" w14:textId="77777777" w:rsidR="00FC7E0B" w:rsidRPr="00FC7E0B" w:rsidRDefault="00FC7E0B" w:rsidP="006473EC">
      <w:pPr>
        <w:spacing w:before="120" w:after="120" w:line="360" w:lineRule="auto"/>
        <w:jc w:val="both"/>
        <w:rPr>
          <w:b/>
          <w:bCs/>
        </w:rPr>
      </w:pPr>
      <w:r w:rsidRPr="00FC7E0B">
        <w:rPr>
          <w:b/>
          <w:bCs/>
        </w:rPr>
        <w:t>2.9 Empirical Review</w:t>
      </w:r>
    </w:p>
    <w:p w14:paraId="05C44165" w14:textId="77777777" w:rsidR="00FC7E0B" w:rsidRPr="00FC7E0B" w:rsidRDefault="00FC7E0B" w:rsidP="006473EC">
      <w:pPr>
        <w:spacing w:before="120" w:after="120" w:line="360" w:lineRule="auto"/>
        <w:jc w:val="both"/>
        <w:rPr>
          <w:b/>
          <w:bCs/>
        </w:rPr>
      </w:pPr>
      <w:r w:rsidRPr="00FC7E0B">
        <w:rPr>
          <w:b/>
          <w:bCs/>
        </w:rPr>
        <w:t>2.9.1 Studies by Ibitoye</w:t>
      </w:r>
    </w:p>
    <w:p w14:paraId="550D800E" w14:textId="77777777" w:rsidR="00FC7E0B" w:rsidRPr="00FC7E0B" w:rsidRDefault="00FC7E0B" w:rsidP="006473EC">
      <w:pPr>
        <w:spacing w:before="120" w:after="120" w:line="360" w:lineRule="auto"/>
        <w:jc w:val="both"/>
      </w:pPr>
      <w:r w:rsidRPr="00FC7E0B">
        <w:t xml:space="preserve">Ibitoye (2022) conducted a comparative analysis of ISSBs and </w:t>
      </w:r>
      <w:proofErr w:type="spellStart"/>
      <w:r w:rsidRPr="00FC7E0B">
        <w:t>sandcrete</w:t>
      </w:r>
      <w:proofErr w:type="spellEnd"/>
      <w:r w:rsidRPr="00FC7E0B">
        <w:t xml:space="preserve"> blocks in Southwestern Nigeria, finding ISSBs approximately 30% cheaper due to mortar-less construction, elimination of rendering, and reduced cement use. The study identified HISSBs and SISSBs as the most common types and recommended increased agencies and public sensitization to promote adoption. Ibitoye (2023) examined demographic characteristics of ISSB housing estates, finding they predominantly served lower- to middle-income households, demonstrating relevance to affordable </w:t>
      </w:r>
      <w:r w:rsidRPr="00FC7E0B">
        <w:lastRenderedPageBreak/>
        <w:t>housing. Ibitoye's work on Yoruba architectural vocabularies (2022) documented traditional building techniques, arguing for integration of indigenous knowledge with modern sustainable technologies.</w:t>
      </w:r>
    </w:p>
    <w:p w14:paraId="01F6740E" w14:textId="77777777" w:rsidR="00FC7E0B" w:rsidRPr="00FC7E0B" w:rsidRDefault="00FC7E0B" w:rsidP="006473EC">
      <w:pPr>
        <w:spacing w:before="120" w:after="120" w:line="360" w:lineRule="auto"/>
        <w:jc w:val="both"/>
        <w:rPr>
          <w:b/>
          <w:bCs/>
        </w:rPr>
      </w:pPr>
      <w:r w:rsidRPr="00FC7E0B">
        <w:rPr>
          <w:b/>
          <w:bCs/>
        </w:rPr>
        <w:t xml:space="preserve">2.9.2 Studies by </w:t>
      </w:r>
      <w:proofErr w:type="spellStart"/>
      <w:r w:rsidRPr="00FC7E0B">
        <w:rPr>
          <w:b/>
          <w:bCs/>
        </w:rPr>
        <w:t>Asaju</w:t>
      </w:r>
      <w:proofErr w:type="spellEnd"/>
    </w:p>
    <w:p w14:paraId="66CEDDD4" w14:textId="77777777" w:rsidR="00FC7E0B" w:rsidRPr="00FC7E0B" w:rsidRDefault="00FC7E0B" w:rsidP="006473EC">
      <w:pPr>
        <w:spacing w:before="120" w:after="120" w:line="360" w:lineRule="auto"/>
        <w:jc w:val="both"/>
      </w:pPr>
      <w:proofErr w:type="spellStart"/>
      <w:r w:rsidRPr="00FC7E0B">
        <w:t>Asaju</w:t>
      </w:r>
      <w:proofErr w:type="spellEnd"/>
      <w:r w:rsidRPr="00FC7E0B">
        <w:t xml:space="preserve"> (2022) investigated IEQ and academic performance at Caleb University, Lagos, finding thermal comfort the most significant predictor of performance, with gender influencing perceptions. </w:t>
      </w:r>
      <w:proofErr w:type="spellStart"/>
      <w:r w:rsidRPr="00FC7E0B">
        <w:t>Asaju</w:t>
      </w:r>
      <w:proofErr w:type="spellEnd"/>
      <w:r w:rsidRPr="00FC7E0B">
        <w:t xml:space="preserve"> (2025) extended this to examine gender and academic performance specifically. Forthcoming work on net-zero buildings (2026) and construction waste management further contributes to sustainable construction discourse, aligning with the broader objectives of climate-resilient building practices.</w:t>
      </w:r>
    </w:p>
    <w:p w14:paraId="2920F652" w14:textId="77777777" w:rsidR="00FC7E0B" w:rsidRPr="00FC7E0B" w:rsidRDefault="00FC7E0B" w:rsidP="006473EC">
      <w:pPr>
        <w:spacing w:before="120" w:after="120" w:line="360" w:lineRule="auto"/>
        <w:jc w:val="both"/>
        <w:rPr>
          <w:b/>
          <w:bCs/>
        </w:rPr>
      </w:pPr>
      <w:r w:rsidRPr="00FC7E0B">
        <w:rPr>
          <w:b/>
          <w:bCs/>
        </w:rPr>
        <w:t>2.9.3 Studies by Other Scholars</w:t>
      </w:r>
    </w:p>
    <w:p w14:paraId="70966C45" w14:textId="5E143E70" w:rsidR="00FC7E0B" w:rsidRPr="00FC7E0B" w:rsidRDefault="00FC7E0B" w:rsidP="006473EC">
      <w:pPr>
        <w:spacing w:before="120" w:after="120" w:line="360" w:lineRule="auto"/>
        <w:jc w:val="both"/>
      </w:pPr>
      <w:r w:rsidRPr="00FC7E0B">
        <w:t xml:space="preserve">Olatunji, </w:t>
      </w:r>
      <w:proofErr w:type="spellStart"/>
      <w:r w:rsidRPr="00FC7E0B">
        <w:t>Maduagwu</w:t>
      </w:r>
      <w:proofErr w:type="spellEnd"/>
      <w:r w:rsidRPr="00FC7E0B">
        <w:t xml:space="preserve">, and Balogun (2024) confirmed ISSBs improve housing quality in flood-prone areas with lower heat transfer rates. Laibi et al. (2025) found stabilized blocks achieved </w:t>
      </w:r>
      <w:r w:rsidR="00F53902">
        <w:t xml:space="preserve">a </w:t>
      </w:r>
      <w:r w:rsidRPr="00FC7E0B">
        <w:t xml:space="preserve">thermal attenuation factor of 2.24 and compressive strength of ~10 MPa in humid tropical climates. </w:t>
      </w:r>
      <w:proofErr w:type="spellStart"/>
      <w:r w:rsidRPr="00FC7E0B">
        <w:t>Musene</w:t>
      </w:r>
      <w:proofErr w:type="spellEnd"/>
      <w:r w:rsidRPr="00FC7E0B">
        <w:t xml:space="preserve"> (2025) found ISSBs had the lowest thermal conductivity (0.354 W/</w:t>
      </w:r>
      <w:proofErr w:type="spellStart"/>
      <w:r w:rsidRPr="00FC7E0B">
        <w:t>m·K</w:t>
      </w:r>
      <w:proofErr w:type="spellEnd"/>
      <w:r w:rsidRPr="00FC7E0B">
        <w:t xml:space="preserve">) among tested materials and retained ~78% strength after water immersion. Neya et al. (2024) examined thermal comfort in hot arid climates, finding comfort time varied linearly with cement content. Ganou </w:t>
      </w:r>
      <w:proofErr w:type="spellStart"/>
      <w:r w:rsidRPr="00FC7E0B">
        <w:t>Koungang</w:t>
      </w:r>
      <w:proofErr w:type="spellEnd"/>
      <w:r w:rsidRPr="00FC7E0B">
        <w:t xml:space="preserve"> et al. (2023) reported </w:t>
      </w:r>
      <w:proofErr w:type="spellStart"/>
      <w:r w:rsidRPr="00FC7E0B">
        <w:t>biosourced</w:t>
      </w:r>
      <w:proofErr w:type="spellEnd"/>
      <w:r w:rsidRPr="00FC7E0B">
        <w:t xml:space="preserve"> earth blocks achieved ~96% comfort with AC and ~100 kWh annual energy savings. </w:t>
      </w:r>
      <w:proofErr w:type="spellStart"/>
      <w:r w:rsidRPr="00FC7E0B">
        <w:t>Adegun</w:t>
      </w:r>
      <w:proofErr w:type="spellEnd"/>
      <w:r w:rsidRPr="00FC7E0B">
        <w:t xml:space="preserve"> and Adedeji (2017) synthesized evidence on earthen materials in Africa, concluding significant advantages in cost, thermal comfort, and environmental impact. </w:t>
      </w:r>
      <w:proofErr w:type="spellStart"/>
      <w:r w:rsidRPr="00FC7E0B">
        <w:t>Afolami</w:t>
      </w:r>
      <w:proofErr w:type="spellEnd"/>
      <w:r w:rsidRPr="00FC7E0B">
        <w:t xml:space="preserve"> and Oyebamiji (2017) found high occupant satisfaction with laterite interlocking block buildings. Daniel et al. (2018) documented stabilized earth adoption in Jos, Nigeria, noting demonstrated durability. </w:t>
      </w:r>
      <w:proofErr w:type="spellStart"/>
      <w:r w:rsidRPr="00FC7E0B">
        <w:t>Bredenoord</w:t>
      </w:r>
      <w:proofErr w:type="spellEnd"/>
      <w:r w:rsidRPr="00FC7E0B">
        <w:t xml:space="preserve"> et al. (2020) provided international perspective on ISSB practices in Thailand, Cambodia, and Nepal.</w:t>
      </w:r>
    </w:p>
    <w:p w14:paraId="55C49404" w14:textId="77777777" w:rsidR="00FC7E0B" w:rsidRPr="00FC7E0B" w:rsidRDefault="00FC7E0B" w:rsidP="006473EC">
      <w:pPr>
        <w:spacing w:before="120" w:after="120" w:line="360" w:lineRule="auto"/>
        <w:jc w:val="both"/>
        <w:rPr>
          <w:b/>
          <w:bCs/>
        </w:rPr>
      </w:pPr>
      <w:r w:rsidRPr="00FC7E0B">
        <w:rPr>
          <w:b/>
          <w:bCs/>
        </w:rPr>
        <w:t>2.10 Research Gap</w:t>
      </w:r>
    </w:p>
    <w:p w14:paraId="1C6AF6F1" w14:textId="2984994A" w:rsidR="00F6337F" w:rsidRDefault="00FC7E0B" w:rsidP="006473EC">
      <w:pPr>
        <w:spacing w:before="120" w:after="120" w:line="360" w:lineRule="auto"/>
        <w:jc w:val="both"/>
      </w:pPr>
      <w:r w:rsidRPr="00FC7E0B">
        <w:t xml:space="preserve">Several significant research gaps persist. First, while economic advantages of ISSBs are well documented (Ibitoye, 2022), limited empirical research specifically examines resilience to climate change impacts in tropical contexts. Existing studies focus on isolated performance aspects without systematically evaluating building resilience across multiple climate stressors. Second, thermal </w:t>
      </w:r>
      <w:r w:rsidRPr="00FC7E0B">
        <w:lastRenderedPageBreak/>
        <w:t>performance has been studied primarily through occupant perceptions or laboratory testing; field-based comparative studies measuring actual conditions in ISSB versus conventional buildings are needed. Third, durability under extreme weather events, particularly flooding, requires field-based research assessing performance after actual flood events. Fourth, socio-economic dimensions of ISSB resilience</w:t>
      </w:r>
      <w:r w:rsidR="00A4630D">
        <w:t xml:space="preserve"> </w:t>
      </w:r>
      <w:r w:rsidRPr="00FC7E0B">
        <w:t>occupant well-being, health outcomes, post-disaster recovery</w:t>
      </w:r>
      <w:r w:rsidR="00A4630D">
        <w:t xml:space="preserve"> </w:t>
      </w:r>
      <w:r w:rsidRPr="00FC7E0B">
        <w:t xml:space="preserve">are under-researched despite </w:t>
      </w:r>
      <w:proofErr w:type="spellStart"/>
      <w:r w:rsidRPr="00FC7E0B">
        <w:t>Asaju's</w:t>
      </w:r>
      <w:proofErr w:type="spellEnd"/>
      <w:r w:rsidRPr="00FC7E0B">
        <w:t xml:space="preserve"> (2022) foundational work on IEQ. Fifth, barriers and facilitators to ISSB adoption lack systematic analysis of technical, economic, institutional, and socio-cultural factors. Finally, a comprehensive framework for assessing building resilience to climate change in tropical regions, integrating thermal, structural, environmental, socio-economic, and institutional dimensions, is needed. This thesis aims to address these gaps by investigating ISSB resilience across multiple dimensions and developing a resilience assessment framework.</w:t>
      </w:r>
    </w:p>
    <w:p w14:paraId="4E903F96" w14:textId="0016F9A5" w:rsidR="00F6337F" w:rsidRDefault="006C0315" w:rsidP="006473EC">
      <w:pPr>
        <w:spacing w:after="160" w:line="360" w:lineRule="auto"/>
        <w:jc w:val="both"/>
      </w:pPr>
      <w:r>
        <w:rPr>
          <w:b/>
          <w:bCs/>
        </w:rPr>
        <w:t>3.0: METHODOLOGY</w:t>
      </w:r>
    </w:p>
    <w:p w14:paraId="022444B0" w14:textId="77777777" w:rsidR="00E86456" w:rsidRPr="00E86456" w:rsidRDefault="00E86456" w:rsidP="006473EC">
      <w:pPr>
        <w:spacing w:after="160" w:line="360" w:lineRule="auto"/>
        <w:jc w:val="both"/>
        <w:rPr>
          <w:b/>
          <w:bCs/>
        </w:rPr>
      </w:pPr>
      <w:r w:rsidRPr="00E86456">
        <w:rPr>
          <w:b/>
          <w:bCs/>
        </w:rPr>
        <w:t>3.1 Introduction</w:t>
      </w:r>
    </w:p>
    <w:p w14:paraId="446BC491" w14:textId="77777777" w:rsidR="00E86456" w:rsidRPr="00E86456" w:rsidRDefault="00E86456" w:rsidP="006473EC">
      <w:pPr>
        <w:spacing w:after="160" w:line="360" w:lineRule="auto"/>
        <w:jc w:val="both"/>
      </w:pPr>
      <w:r w:rsidRPr="00E86456">
        <w:t>This chapter presents the methodology adopted for investigating the resilience of Interlocking Stabilized Soil Block (ISSB) buildings to climate change impacts in tropical regions, using Southwestern Nigeria as a case study. The chapter outlines the research design, study area, population and sampling, sample size determination, data collection methods (questionnaires and interviews), data analysis techniques, validity and reliability measures, and ethical considerations.</w:t>
      </w:r>
    </w:p>
    <w:p w14:paraId="7560C418" w14:textId="77777777" w:rsidR="00E86456" w:rsidRPr="00E86456" w:rsidRDefault="00E86456" w:rsidP="006473EC">
      <w:pPr>
        <w:spacing w:after="160" w:line="360" w:lineRule="auto"/>
        <w:jc w:val="both"/>
        <w:rPr>
          <w:b/>
          <w:bCs/>
        </w:rPr>
      </w:pPr>
      <w:r w:rsidRPr="00E86456">
        <w:rPr>
          <w:b/>
          <w:bCs/>
        </w:rPr>
        <w:t>3.2 Research Design</w:t>
      </w:r>
    </w:p>
    <w:p w14:paraId="1C4FC043" w14:textId="77777777" w:rsidR="00E86456" w:rsidRPr="00E86456" w:rsidRDefault="00E86456" w:rsidP="006473EC">
      <w:pPr>
        <w:spacing w:after="160" w:line="360" w:lineRule="auto"/>
        <w:jc w:val="both"/>
      </w:pPr>
      <w:r w:rsidRPr="00E86456">
        <w:t>The study employs a mixed-methods research design, specifically a convergent parallel design, in which quantitative and qualitative data are collected concurrently, analyzed separately, and then integrated during interpretation (Creswell &amp; Plano Clark, 2018). This design is appropriate because the research requires both breadth (through quantitative survey data) and depth (through qualitative exploration of occupant experiences and stakeholder perspectives).</w:t>
      </w:r>
    </w:p>
    <w:p w14:paraId="3A8F816A" w14:textId="77777777" w:rsidR="00E86456" w:rsidRPr="00E86456" w:rsidRDefault="00E86456" w:rsidP="006473EC">
      <w:pPr>
        <w:spacing w:after="160" w:line="360" w:lineRule="auto"/>
        <w:jc w:val="both"/>
      </w:pPr>
      <w:r w:rsidRPr="00E86456">
        <w:t>The mixed-methods design comprises two primary components:</w:t>
      </w:r>
    </w:p>
    <w:p w14:paraId="2E648664" w14:textId="77777777" w:rsidR="00E86456" w:rsidRPr="00E86456" w:rsidRDefault="00E86456" w:rsidP="006473EC">
      <w:pPr>
        <w:numPr>
          <w:ilvl w:val="0"/>
          <w:numId w:val="10"/>
        </w:numPr>
        <w:spacing w:after="160" w:line="360" w:lineRule="auto"/>
        <w:jc w:val="both"/>
      </w:pPr>
      <w:r w:rsidRPr="00E86456">
        <w:rPr>
          <w:b/>
          <w:bCs/>
        </w:rPr>
        <w:t>Survey Component:</w:t>
      </w:r>
      <w:r w:rsidRPr="00E86456">
        <w:t> Quantitative data collection through structured questionnaires administered to occupants of ISSB housing estates.</w:t>
      </w:r>
    </w:p>
    <w:p w14:paraId="61847DB9" w14:textId="77777777" w:rsidR="00E86456" w:rsidRPr="00E86456" w:rsidRDefault="00E86456" w:rsidP="006473EC">
      <w:pPr>
        <w:numPr>
          <w:ilvl w:val="0"/>
          <w:numId w:val="10"/>
        </w:numPr>
        <w:spacing w:after="160" w:line="360" w:lineRule="auto"/>
        <w:jc w:val="both"/>
      </w:pPr>
      <w:r w:rsidRPr="00E86456">
        <w:rPr>
          <w:b/>
          <w:bCs/>
        </w:rPr>
        <w:lastRenderedPageBreak/>
        <w:t>Qualitative Component:</w:t>
      </w:r>
      <w:r w:rsidRPr="00E86456">
        <w:t> Semi-structured interviews with key informants, including architects, builders, developers, government officials, and long-term occupants.</w:t>
      </w:r>
    </w:p>
    <w:p w14:paraId="32D8026B" w14:textId="77777777" w:rsidR="00E86456" w:rsidRPr="00E86456" w:rsidRDefault="00E86456" w:rsidP="006473EC">
      <w:pPr>
        <w:spacing w:after="160" w:line="360" w:lineRule="auto"/>
        <w:jc w:val="both"/>
        <w:rPr>
          <w:b/>
          <w:bCs/>
        </w:rPr>
      </w:pPr>
      <w:r w:rsidRPr="00E86456">
        <w:rPr>
          <w:b/>
          <w:bCs/>
        </w:rPr>
        <w:t>3.3 Study Area</w:t>
      </w:r>
    </w:p>
    <w:p w14:paraId="23E17F0A" w14:textId="164AD86C" w:rsidR="00E86456" w:rsidRPr="00E86456" w:rsidRDefault="00E86456" w:rsidP="006473EC">
      <w:pPr>
        <w:spacing w:after="160" w:line="360" w:lineRule="auto"/>
        <w:jc w:val="both"/>
      </w:pPr>
      <w:r w:rsidRPr="00E86456">
        <w:t>The research is conducted in Southwestern Nigeria, comprising the states of Lagos, Ogun,</w:t>
      </w:r>
      <w:r w:rsidR="000E043A">
        <w:t xml:space="preserve"> and</w:t>
      </w:r>
      <w:r w:rsidRPr="00E86456">
        <w:t xml:space="preserve"> Oyo. This region was selected due to: (a) its tropical climate representative of many tropical regions, with mean annual temperatures of 25-32°C and annual rainfall of 1,500-2,500mm (NIMET, 2021); (b) rapid urbanization and significant housing demand; (c) presence of ISSB housing developments documented by Ibitoye (2022); and (d) existing research base by Ibitoye (2022), </w:t>
      </w:r>
      <w:proofErr w:type="spellStart"/>
      <w:r w:rsidRPr="00E86456">
        <w:t>Asaju</w:t>
      </w:r>
      <w:proofErr w:type="spellEnd"/>
      <w:r w:rsidRPr="00E86456">
        <w:t xml:space="preserve"> (2022), and others.</w:t>
      </w:r>
    </w:p>
    <w:p w14:paraId="1CD37701" w14:textId="77777777" w:rsidR="00E86456" w:rsidRPr="00E86456" w:rsidRDefault="00E86456" w:rsidP="006473EC">
      <w:pPr>
        <w:spacing w:after="160" w:line="360" w:lineRule="auto"/>
        <w:jc w:val="both"/>
        <w:rPr>
          <w:b/>
          <w:bCs/>
        </w:rPr>
      </w:pPr>
      <w:r w:rsidRPr="00E86456">
        <w:rPr>
          <w:b/>
          <w:bCs/>
        </w:rPr>
        <w:t>3.4 Population and Sampling</w:t>
      </w:r>
    </w:p>
    <w:p w14:paraId="77892911" w14:textId="77777777" w:rsidR="00E86456" w:rsidRPr="00E86456" w:rsidRDefault="00E86456" w:rsidP="006473EC">
      <w:pPr>
        <w:spacing w:after="160" w:line="360" w:lineRule="auto"/>
        <w:jc w:val="both"/>
      </w:pPr>
      <w:r w:rsidRPr="00E86456">
        <w:t>The population comprises two categories: (a) households residing in ISSB housing estates in Southwestern Nigeria (approximately 2,500 households); and (b) key informants including architects, engineers, developers, and government officials.</w:t>
      </w:r>
    </w:p>
    <w:p w14:paraId="63F96ADC" w14:textId="77777777" w:rsidR="00E86456" w:rsidRPr="00E86456" w:rsidRDefault="00E86456" w:rsidP="006473EC">
      <w:pPr>
        <w:spacing w:after="160" w:line="360" w:lineRule="auto"/>
        <w:jc w:val="both"/>
      </w:pPr>
      <w:r w:rsidRPr="00E86456">
        <w:t>A multi-stage sampling strategy was employed:</w:t>
      </w:r>
    </w:p>
    <w:p w14:paraId="72855329" w14:textId="77777777" w:rsidR="00E86456" w:rsidRPr="00E86456" w:rsidRDefault="00E86456" w:rsidP="006473EC">
      <w:pPr>
        <w:spacing w:after="160" w:line="360" w:lineRule="auto"/>
        <w:jc w:val="both"/>
      </w:pPr>
      <w:r w:rsidRPr="00E86456">
        <w:rPr>
          <w:b/>
          <w:bCs/>
        </w:rPr>
        <w:t>Stage 1: Case Study Site Selection.</w:t>
      </w:r>
      <w:r w:rsidRPr="00E86456">
        <w:t xml:space="preserve"> Purposive sampling was used to select three ISSB housing estates based on: (a) construction with ISSBs, (b) occupancy for at least two years, (c) presence of comparable </w:t>
      </w:r>
      <w:proofErr w:type="spellStart"/>
      <w:r w:rsidRPr="00E86456">
        <w:t>sandcrete</w:t>
      </w:r>
      <w:proofErr w:type="spellEnd"/>
      <w:r w:rsidRPr="00E86456">
        <w:t xml:space="preserve"> buildings, and (d) accessibility. Selected estates were in Lagos (coastal, high flood risk), Ogun (transitional), and Oyo (inland, higher temperatures).</w:t>
      </w:r>
    </w:p>
    <w:p w14:paraId="7FD4328B" w14:textId="77777777" w:rsidR="00E86456" w:rsidRPr="00E86456" w:rsidRDefault="00E86456" w:rsidP="006473EC">
      <w:pPr>
        <w:spacing w:after="160" w:line="360" w:lineRule="auto"/>
        <w:jc w:val="both"/>
      </w:pPr>
      <w:r w:rsidRPr="00E86456">
        <w:rPr>
          <w:b/>
          <w:bCs/>
        </w:rPr>
        <w:t>Stage 2: Household Selection.</w:t>
      </w:r>
      <w:r w:rsidRPr="00E86456">
        <w:t> Systematic random sampling was used to select households from a list of occupied units in each estate.</w:t>
      </w:r>
    </w:p>
    <w:p w14:paraId="0AA3F902" w14:textId="77777777" w:rsidR="00E86456" w:rsidRPr="00E86456" w:rsidRDefault="00E86456" w:rsidP="006473EC">
      <w:pPr>
        <w:spacing w:after="160" w:line="360" w:lineRule="auto"/>
        <w:jc w:val="both"/>
      </w:pPr>
      <w:r w:rsidRPr="00E86456">
        <w:rPr>
          <w:b/>
          <w:bCs/>
        </w:rPr>
        <w:t>Stage 3: Key Informant Selection.</w:t>
      </w:r>
      <w:r w:rsidRPr="00E86456">
        <w:t> Purposive sampling was used to select 20 key informants including architects (5), engineers (4), developers (4), government officials (3), and long-term occupants (4).</w:t>
      </w:r>
    </w:p>
    <w:p w14:paraId="4F94749A" w14:textId="77777777" w:rsidR="00E86456" w:rsidRPr="00E86456" w:rsidRDefault="00E86456" w:rsidP="006473EC">
      <w:pPr>
        <w:spacing w:after="160" w:line="360" w:lineRule="auto"/>
        <w:jc w:val="both"/>
        <w:rPr>
          <w:b/>
          <w:bCs/>
        </w:rPr>
      </w:pPr>
      <w:r w:rsidRPr="00E86456">
        <w:rPr>
          <w:b/>
          <w:bCs/>
        </w:rPr>
        <w:t>3.5 Sample Size Determination</w:t>
      </w:r>
    </w:p>
    <w:p w14:paraId="0D4A1E9A" w14:textId="77777777" w:rsidR="00E86456" w:rsidRPr="00E86456" w:rsidRDefault="00E86456" w:rsidP="006473EC">
      <w:pPr>
        <w:spacing w:after="160" w:line="360" w:lineRule="auto"/>
        <w:jc w:val="both"/>
      </w:pPr>
      <w:r w:rsidRPr="00E86456">
        <w:t>The sample size for the household survey was determined using Yamane's formula (Yamane, 1967), which is widely used for determining sample sizes from finite populations:</w:t>
      </w:r>
    </w:p>
    <w:p w14:paraId="6F84A793" w14:textId="77777777" w:rsidR="00E86456" w:rsidRPr="00E86456" w:rsidRDefault="00E86456" w:rsidP="006473EC">
      <w:pPr>
        <w:spacing w:after="160" w:line="360" w:lineRule="auto"/>
        <w:jc w:val="both"/>
      </w:pPr>
      <w:r w:rsidRPr="00E86456">
        <w:rPr>
          <w:b/>
          <w:bCs/>
        </w:rPr>
        <w:t>n = N / (1 + Ne²)</w:t>
      </w:r>
    </w:p>
    <w:p w14:paraId="4F1DA3FE" w14:textId="77777777" w:rsidR="00E86456" w:rsidRPr="00E86456" w:rsidRDefault="00E86456" w:rsidP="006473EC">
      <w:pPr>
        <w:spacing w:after="160" w:line="360" w:lineRule="auto"/>
        <w:jc w:val="both"/>
      </w:pPr>
      <w:r w:rsidRPr="00E86456">
        <w:lastRenderedPageBreak/>
        <w:t>Where:</w:t>
      </w:r>
    </w:p>
    <w:p w14:paraId="3F292F33" w14:textId="77777777" w:rsidR="00E86456" w:rsidRPr="00E86456" w:rsidRDefault="00E86456" w:rsidP="006473EC">
      <w:pPr>
        <w:numPr>
          <w:ilvl w:val="0"/>
          <w:numId w:val="11"/>
        </w:numPr>
        <w:spacing w:after="160" w:line="360" w:lineRule="auto"/>
        <w:jc w:val="both"/>
      </w:pPr>
      <w:r w:rsidRPr="00E86456">
        <w:t>n = sample size</w:t>
      </w:r>
    </w:p>
    <w:p w14:paraId="2A048EE5" w14:textId="77777777" w:rsidR="00E86456" w:rsidRPr="00E86456" w:rsidRDefault="00E86456" w:rsidP="006473EC">
      <w:pPr>
        <w:numPr>
          <w:ilvl w:val="0"/>
          <w:numId w:val="11"/>
        </w:numPr>
        <w:spacing w:after="160" w:line="360" w:lineRule="auto"/>
        <w:jc w:val="both"/>
      </w:pPr>
      <w:r w:rsidRPr="00E86456">
        <w:t>N = population size</w:t>
      </w:r>
    </w:p>
    <w:p w14:paraId="0BEAB917" w14:textId="77777777" w:rsidR="00E86456" w:rsidRPr="00E86456" w:rsidRDefault="00E86456" w:rsidP="006473EC">
      <w:pPr>
        <w:numPr>
          <w:ilvl w:val="0"/>
          <w:numId w:val="11"/>
        </w:numPr>
        <w:spacing w:after="160" w:line="360" w:lineRule="auto"/>
        <w:jc w:val="both"/>
      </w:pPr>
      <w:r w:rsidRPr="00E86456">
        <w:t>e = margin of error (expressed as a decimal)</w:t>
      </w:r>
    </w:p>
    <w:p w14:paraId="46CB6F49" w14:textId="77777777" w:rsidR="00E86456" w:rsidRPr="00E86456" w:rsidRDefault="00E86456" w:rsidP="006473EC">
      <w:pPr>
        <w:spacing w:after="160" w:line="360" w:lineRule="auto"/>
        <w:jc w:val="both"/>
      </w:pPr>
      <w:r w:rsidRPr="00E86456">
        <w:t>For this study:</w:t>
      </w:r>
    </w:p>
    <w:p w14:paraId="05792BC0" w14:textId="77777777" w:rsidR="00E86456" w:rsidRPr="00E86456" w:rsidRDefault="00E86456" w:rsidP="006473EC">
      <w:pPr>
        <w:numPr>
          <w:ilvl w:val="0"/>
          <w:numId w:val="12"/>
        </w:numPr>
        <w:spacing w:after="160" w:line="360" w:lineRule="auto"/>
        <w:jc w:val="both"/>
      </w:pPr>
      <w:r w:rsidRPr="00E86456">
        <w:t>N = 2,500 households (estimated total population of households in ISSB housing estates in Southwestern Nigeria)</w:t>
      </w:r>
    </w:p>
    <w:p w14:paraId="14900B44" w14:textId="77777777" w:rsidR="00E86456" w:rsidRPr="00E86456" w:rsidRDefault="00E86456" w:rsidP="006473EC">
      <w:pPr>
        <w:numPr>
          <w:ilvl w:val="0"/>
          <w:numId w:val="12"/>
        </w:numPr>
        <w:spacing w:after="160" w:line="360" w:lineRule="auto"/>
        <w:jc w:val="both"/>
      </w:pPr>
      <w:r w:rsidRPr="00E86456">
        <w:t>e = 0.05 (5% margin of error, providing 95% confidence level)</w:t>
      </w:r>
    </w:p>
    <w:p w14:paraId="750CF11D" w14:textId="77777777" w:rsidR="00E86456" w:rsidRPr="00E86456" w:rsidRDefault="00E86456" w:rsidP="006473EC">
      <w:pPr>
        <w:spacing w:after="160" w:line="360" w:lineRule="auto"/>
        <w:jc w:val="both"/>
      </w:pPr>
      <w:r w:rsidRPr="00E86456">
        <w:rPr>
          <w:b/>
          <w:bCs/>
        </w:rPr>
        <w:t>Calculation:</w:t>
      </w:r>
      <w:r w:rsidRPr="00E86456">
        <w:br/>
        <w:t>n = 2500 / (1 + 2500 × 0.05²)</w:t>
      </w:r>
      <w:r w:rsidRPr="00E86456">
        <w:br/>
        <w:t>n = 2500 / (1 + 2500 × 0.0025)</w:t>
      </w:r>
      <w:r w:rsidRPr="00E86456">
        <w:br/>
        <w:t>n = 2500 / (1 + 6.25)</w:t>
      </w:r>
      <w:r w:rsidRPr="00E86456">
        <w:br/>
        <w:t>n = 2500 / 7.25</w:t>
      </w:r>
      <w:r w:rsidRPr="00E86456">
        <w:br/>
        <w:t>n = 344.83</w:t>
      </w:r>
    </w:p>
    <w:p w14:paraId="0C8AD555" w14:textId="77777777" w:rsidR="00E86456" w:rsidRPr="00E86456" w:rsidRDefault="00E86456" w:rsidP="006473EC">
      <w:pPr>
        <w:spacing w:after="160" w:line="360" w:lineRule="auto"/>
        <w:jc w:val="both"/>
      </w:pPr>
      <w:r w:rsidRPr="00E86456">
        <w:rPr>
          <w:b/>
          <w:bCs/>
        </w:rPr>
        <w:t>n ≈ 345 households</w:t>
      </w:r>
    </w:p>
    <w:p w14:paraId="4526D1A8" w14:textId="77777777" w:rsidR="00E86456" w:rsidRPr="00E86456" w:rsidRDefault="00E86456" w:rsidP="006473EC">
      <w:pPr>
        <w:spacing w:after="160" w:line="360" w:lineRule="auto"/>
        <w:jc w:val="both"/>
      </w:pPr>
      <w:r w:rsidRPr="00E86456">
        <w:t>To account for potential non-response and incomplete questionnaires, the sample was increased by 10%, resulting in a target sample of </w:t>
      </w:r>
      <w:r w:rsidRPr="00E86456">
        <w:rPr>
          <w:b/>
          <w:bCs/>
        </w:rPr>
        <w:t>380 households</w:t>
      </w:r>
      <w:r w:rsidRPr="00E86456">
        <w:t>. The distribution across estates was proportional to the number of occupied units in each estate, as shown in Table 3.1:</w:t>
      </w:r>
    </w:p>
    <w:p w14:paraId="7D45E136" w14:textId="77777777" w:rsidR="00E86456" w:rsidRPr="00E86456" w:rsidRDefault="00E86456" w:rsidP="006473EC">
      <w:pPr>
        <w:spacing w:after="160" w:line="360" w:lineRule="auto"/>
        <w:jc w:val="both"/>
      </w:pPr>
      <w:r w:rsidRPr="00E86456">
        <w:rPr>
          <w:b/>
          <w:bCs/>
        </w:rPr>
        <w:t>Table 3.1: Sample Distribution Across Estates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0"/>
        <w:gridCol w:w="1607"/>
        <w:gridCol w:w="1980"/>
        <w:gridCol w:w="1927"/>
        <w:gridCol w:w="1674"/>
      </w:tblGrid>
      <w:tr w:rsidR="00E86456" w:rsidRPr="00E86456" w14:paraId="77664A22" w14:textId="77777777" w:rsidTr="00E86456">
        <w:trPr>
          <w:tblHeader/>
        </w:trPr>
        <w:tc>
          <w:tcPr>
            <w:tcW w:w="0" w:type="auto"/>
            <w:tcMar>
              <w:top w:w="150" w:type="dxa"/>
              <w:left w:w="0" w:type="dxa"/>
              <w:bottom w:w="150" w:type="dxa"/>
              <w:right w:w="240" w:type="dxa"/>
            </w:tcMar>
            <w:vAlign w:val="center"/>
            <w:hideMark/>
          </w:tcPr>
          <w:p w14:paraId="7CDDC3E2" w14:textId="77777777" w:rsidR="00E86456" w:rsidRPr="00E86456" w:rsidRDefault="00E86456" w:rsidP="006473EC">
            <w:pPr>
              <w:spacing w:after="160" w:line="360" w:lineRule="auto"/>
              <w:jc w:val="both"/>
            </w:pPr>
            <w:r w:rsidRPr="00E86456">
              <w:t>Estate</w:t>
            </w:r>
          </w:p>
        </w:tc>
        <w:tc>
          <w:tcPr>
            <w:tcW w:w="0" w:type="auto"/>
            <w:tcMar>
              <w:top w:w="150" w:type="dxa"/>
              <w:left w:w="240" w:type="dxa"/>
              <w:bottom w:w="150" w:type="dxa"/>
              <w:right w:w="240" w:type="dxa"/>
            </w:tcMar>
            <w:vAlign w:val="center"/>
            <w:hideMark/>
          </w:tcPr>
          <w:p w14:paraId="62B0AB43" w14:textId="77777777" w:rsidR="00E86456" w:rsidRPr="00E86456" w:rsidRDefault="00E86456" w:rsidP="006473EC">
            <w:pPr>
              <w:spacing w:after="160" w:line="360" w:lineRule="auto"/>
              <w:jc w:val="both"/>
            </w:pPr>
            <w:r w:rsidRPr="00E86456">
              <w:t>Location</w:t>
            </w:r>
          </w:p>
        </w:tc>
        <w:tc>
          <w:tcPr>
            <w:tcW w:w="0" w:type="auto"/>
            <w:tcMar>
              <w:top w:w="150" w:type="dxa"/>
              <w:left w:w="240" w:type="dxa"/>
              <w:bottom w:w="150" w:type="dxa"/>
              <w:right w:w="240" w:type="dxa"/>
            </w:tcMar>
            <w:vAlign w:val="center"/>
            <w:hideMark/>
          </w:tcPr>
          <w:p w14:paraId="2EA7146A" w14:textId="77777777" w:rsidR="00E86456" w:rsidRPr="00E86456" w:rsidRDefault="00E86456" w:rsidP="006473EC">
            <w:pPr>
              <w:spacing w:after="160" w:line="360" w:lineRule="auto"/>
              <w:jc w:val="both"/>
            </w:pPr>
            <w:r w:rsidRPr="00E86456">
              <w:t>Occupied Units</w:t>
            </w:r>
          </w:p>
        </w:tc>
        <w:tc>
          <w:tcPr>
            <w:tcW w:w="0" w:type="auto"/>
            <w:tcMar>
              <w:top w:w="150" w:type="dxa"/>
              <w:left w:w="240" w:type="dxa"/>
              <w:bottom w:w="150" w:type="dxa"/>
              <w:right w:w="240" w:type="dxa"/>
            </w:tcMar>
            <w:vAlign w:val="center"/>
            <w:hideMark/>
          </w:tcPr>
          <w:p w14:paraId="5AC6EFA3" w14:textId="77777777" w:rsidR="00E86456" w:rsidRPr="00E86456" w:rsidRDefault="00E86456" w:rsidP="006473EC">
            <w:pPr>
              <w:spacing w:after="160" w:line="360" w:lineRule="auto"/>
              <w:jc w:val="both"/>
            </w:pPr>
            <w:r w:rsidRPr="00E86456">
              <w:t>Proportion (%)</w:t>
            </w:r>
          </w:p>
        </w:tc>
        <w:tc>
          <w:tcPr>
            <w:tcW w:w="0" w:type="auto"/>
            <w:tcMar>
              <w:top w:w="150" w:type="dxa"/>
              <w:left w:w="240" w:type="dxa"/>
              <w:bottom w:w="150" w:type="dxa"/>
              <w:right w:w="240" w:type="dxa"/>
            </w:tcMar>
            <w:vAlign w:val="center"/>
            <w:hideMark/>
          </w:tcPr>
          <w:p w14:paraId="1CE424D9" w14:textId="77777777" w:rsidR="00E86456" w:rsidRPr="00E86456" w:rsidRDefault="00E86456" w:rsidP="006473EC">
            <w:pPr>
              <w:spacing w:after="160" w:line="360" w:lineRule="auto"/>
              <w:jc w:val="both"/>
            </w:pPr>
            <w:r w:rsidRPr="00E86456">
              <w:t>Sample Size</w:t>
            </w:r>
          </w:p>
        </w:tc>
      </w:tr>
      <w:tr w:rsidR="00E86456" w:rsidRPr="00E86456" w14:paraId="2122BEDA" w14:textId="77777777" w:rsidTr="00E86456">
        <w:tc>
          <w:tcPr>
            <w:tcW w:w="0" w:type="auto"/>
            <w:tcMar>
              <w:top w:w="150" w:type="dxa"/>
              <w:left w:w="0" w:type="dxa"/>
              <w:bottom w:w="150" w:type="dxa"/>
              <w:right w:w="240" w:type="dxa"/>
            </w:tcMar>
            <w:vAlign w:val="center"/>
            <w:hideMark/>
          </w:tcPr>
          <w:p w14:paraId="2A36E820" w14:textId="77777777" w:rsidR="00E86456" w:rsidRPr="00E86456" w:rsidRDefault="00E86456" w:rsidP="006473EC">
            <w:pPr>
              <w:spacing w:after="160" w:line="360" w:lineRule="auto"/>
              <w:jc w:val="both"/>
            </w:pPr>
            <w:r w:rsidRPr="00E86456">
              <w:t>Estate A</w:t>
            </w:r>
          </w:p>
        </w:tc>
        <w:tc>
          <w:tcPr>
            <w:tcW w:w="0" w:type="auto"/>
            <w:tcMar>
              <w:top w:w="150" w:type="dxa"/>
              <w:left w:w="240" w:type="dxa"/>
              <w:bottom w:w="150" w:type="dxa"/>
              <w:right w:w="240" w:type="dxa"/>
            </w:tcMar>
            <w:vAlign w:val="center"/>
            <w:hideMark/>
          </w:tcPr>
          <w:p w14:paraId="1773CB26" w14:textId="77777777" w:rsidR="00E86456" w:rsidRPr="00E86456" w:rsidRDefault="00E86456" w:rsidP="006473EC">
            <w:pPr>
              <w:spacing w:after="160" w:line="360" w:lineRule="auto"/>
              <w:jc w:val="both"/>
            </w:pPr>
            <w:r w:rsidRPr="00E86456">
              <w:t>Lagos State</w:t>
            </w:r>
          </w:p>
        </w:tc>
        <w:tc>
          <w:tcPr>
            <w:tcW w:w="0" w:type="auto"/>
            <w:tcMar>
              <w:top w:w="150" w:type="dxa"/>
              <w:left w:w="240" w:type="dxa"/>
              <w:bottom w:w="150" w:type="dxa"/>
              <w:right w:w="240" w:type="dxa"/>
            </w:tcMar>
            <w:vAlign w:val="center"/>
            <w:hideMark/>
          </w:tcPr>
          <w:p w14:paraId="50453B22" w14:textId="77777777" w:rsidR="00E86456" w:rsidRPr="00E86456" w:rsidRDefault="00E86456" w:rsidP="006473EC">
            <w:pPr>
              <w:spacing w:after="160" w:line="360" w:lineRule="auto"/>
              <w:jc w:val="both"/>
            </w:pPr>
            <w:r w:rsidRPr="00E86456">
              <w:t>1,200</w:t>
            </w:r>
          </w:p>
        </w:tc>
        <w:tc>
          <w:tcPr>
            <w:tcW w:w="0" w:type="auto"/>
            <w:tcMar>
              <w:top w:w="150" w:type="dxa"/>
              <w:left w:w="240" w:type="dxa"/>
              <w:bottom w:w="150" w:type="dxa"/>
              <w:right w:w="240" w:type="dxa"/>
            </w:tcMar>
            <w:vAlign w:val="center"/>
            <w:hideMark/>
          </w:tcPr>
          <w:p w14:paraId="0AFA6863" w14:textId="77777777" w:rsidR="00E86456" w:rsidRPr="00E86456" w:rsidRDefault="00E86456" w:rsidP="006473EC">
            <w:pPr>
              <w:spacing w:after="160" w:line="360" w:lineRule="auto"/>
              <w:jc w:val="both"/>
            </w:pPr>
            <w:r w:rsidRPr="00E86456">
              <w:t>48</w:t>
            </w:r>
          </w:p>
        </w:tc>
        <w:tc>
          <w:tcPr>
            <w:tcW w:w="0" w:type="auto"/>
            <w:tcMar>
              <w:top w:w="150" w:type="dxa"/>
              <w:left w:w="240" w:type="dxa"/>
              <w:bottom w:w="150" w:type="dxa"/>
              <w:right w:w="0" w:type="dxa"/>
            </w:tcMar>
            <w:vAlign w:val="center"/>
            <w:hideMark/>
          </w:tcPr>
          <w:p w14:paraId="43835A0F" w14:textId="77777777" w:rsidR="00E86456" w:rsidRPr="00E86456" w:rsidRDefault="00E86456" w:rsidP="006473EC">
            <w:pPr>
              <w:spacing w:after="160" w:line="360" w:lineRule="auto"/>
              <w:jc w:val="both"/>
            </w:pPr>
            <w:r w:rsidRPr="00E86456">
              <w:t>182</w:t>
            </w:r>
          </w:p>
        </w:tc>
      </w:tr>
      <w:tr w:rsidR="00E86456" w:rsidRPr="00E86456" w14:paraId="736268D4" w14:textId="77777777" w:rsidTr="00E86456">
        <w:tc>
          <w:tcPr>
            <w:tcW w:w="0" w:type="auto"/>
            <w:tcMar>
              <w:top w:w="150" w:type="dxa"/>
              <w:left w:w="0" w:type="dxa"/>
              <w:bottom w:w="150" w:type="dxa"/>
              <w:right w:w="240" w:type="dxa"/>
            </w:tcMar>
            <w:vAlign w:val="center"/>
            <w:hideMark/>
          </w:tcPr>
          <w:p w14:paraId="4D007D06" w14:textId="77777777" w:rsidR="00E86456" w:rsidRPr="00E86456" w:rsidRDefault="00E86456" w:rsidP="006473EC">
            <w:pPr>
              <w:spacing w:after="160" w:line="360" w:lineRule="auto"/>
              <w:jc w:val="both"/>
            </w:pPr>
            <w:r w:rsidRPr="00E86456">
              <w:t>Estate B</w:t>
            </w:r>
          </w:p>
        </w:tc>
        <w:tc>
          <w:tcPr>
            <w:tcW w:w="0" w:type="auto"/>
            <w:tcMar>
              <w:top w:w="150" w:type="dxa"/>
              <w:left w:w="240" w:type="dxa"/>
              <w:bottom w:w="150" w:type="dxa"/>
              <w:right w:w="240" w:type="dxa"/>
            </w:tcMar>
            <w:vAlign w:val="center"/>
            <w:hideMark/>
          </w:tcPr>
          <w:p w14:paraId="26C92221" w14:textId="77777777" w:rsidR="00E86456" w:rsidRPr="00E86456" w:rsidRDefault="00E86456" w:rsidP="006473EC">
            <w:pPr>
              <w:spacing w:after="160" w:line="360" w:lineRule="auto"/>
              <w:jc w:val="both"/>
            </w:pPr>
            <w:r w:rsidRPr="00E86456">
              <w:t>Ogun State</w:t>
            </w:r>
          </w:p>
        </w:tc>
        <w:tc>
          <w:tcPr>
            <w:tcW w:w="0" w:type="auto"/>
            <w:tcMar>
              <w:top w:w="150" w:type="dxa"/>
              <w:left w:w="240" w:type="dxa"/>
              <w:bottom w:w="150" w:type="dxa"/>
              <w:right w:w="240" w:type="dxa"/>
            </w:tcMar>
            <w:vAlign w:val="center"/>
            <w:hideMark/>
          </w:tcPr>
          <w:p w14:paraId="0D2F0264" w14:textId="77777777" w:rsidR="00E86456" w:rsidRPr="00E86456" w:rsidRDefault="00E86456" w:rsidP="006473EC">
            <w:pPr>
              <w:spacing w:after="160" w:line="360" w:lineRule="auto"/>
              <w:jc w:val="both"/>
            </w:pPr>
            <w:r w:rsidRPr="00E86456">
              <w:t>800</w:t>
            </w:r>
          </w:p>
        </w:tc>
        <w:tc>
          <w:tcPr>
            <w:tcW w:w="0" w:type="auto"/>
            <w:tcMar>
              <w:top w:w="150" w:type="dxa"/>
              <w:left w:w="240" w:type="dxa"/>
              <w:bottom w:w="150" w:type="dxa"/>
              <w:right w:w="240" w:type="dxa"/>
            </w:tcMar>
            <w:vAlign w:val="center"/>
            <w:hideMark/>
          </w:tcPr>
          <w:p w14:paraId="5F7B64DB" w14:textId="77777777" w:rsidR="00E86456" w:rsidRPr="00E86456" w:rsidRDefault="00E86456" w:rsidP="006473EC">
            <w:pPr>
              <w:spacing w:after="160" w:line="360" w:lineRule="auto"/>
              <w:jc w:val="both"/>
            </w:pPr>
            <w:r w:rsidRPr="00E86456">
              <w:t>32</w:t>
            </w:r>
          </w:p>
        </w:tc>
        <w:tc>
          <w:tcPr>
            <w:tcW w:w="0" w:type="auto"/>
            <w:tcMar>
              <w:top w:w="150" w:type="dxa"/>
              <w:left w:w="240" w:type="dxa"/>
              <w:bottom w:w="150" w:type="dxa"/>
              <w:right w:w="0" w:type="dxa"/>
            </w:tcMar>
            <w:vAlign w:val="center"/>
            <w:hideMark/>
          </w:tcPr>
          <w:p w14:paraId="1BD91E0C" w14:textId="77777777" w:rsidR="00E86456" w:rsidRPr="00E86456" w:rsidRDefault="00E86456" w:rsidP="006473EC">
            <w:pPr>
              <w:spacing w:after="160" w:line="360" w:lineRule="auto"/>
              <w:jc w:val="both"/>
            </w:pPr>
            <w:r w:rsidRPr="00E86456">
              <w:t>122</w:t>
            </w:r>
          </w:p>
        </w:tc>
      </w:tr>
      <w:tr w:rsidR="00E86456" w:rsidRPr="00E86456" w14:paraId="786A42B6" w14:textId="77777777" w:rsidTr="00E86456">
        <w:tc>
          <w:tcPr>
            <w:tcW w:w="0" w:type="auto"/>
            <w:tcMar>
              <w:top w:w="150" w:type="dxa"/>
              <w:left w:w="0" w:type="dxa"/>
              <w:bottom w:w="150" w:type="dxa"/>
              <w:right w:w="240" w:type="dxa"/>
            </w:tcMar>
            <w:vAlign w:val="center"/>
            <w:hideMark/>
          </w:tcPr>
          <w:p w14:paraId="215C8F3E" w14:textId="77777777" w:rsidR="00E86456" w:rsidRPr="00E86456" w:rsidRDefault="00E86456" w:rsidP="006473EC">
            <w:pPr>
              <w:spacing w:after="160" w:line="360" w:lineRule="auto"/>
              <w:jc w:val="both"/>
            </w:pPr>
            <w:r w:rsidRPr="00E86456">
              <w:lastRenderedPageBreak/>
              <w:t>Estate C</w:t>
            </w:r>
          </w:p>
        </w:tc>
        <w:tc>
          <w:tcPr>
            <w:tcW w:w="0" w:type="auto"/>
            <w:tcMar>
              <w:top w:w="150" w:type="dxa"/>
              <w:left w:w="240" w:type="dxa"/>
              <w:bottom w:w="150" w:type="dxa"/>
              <w:right w:w="240" w:type="dxa"/>
            </w:tcMar>
            <w:vAlign w:val="center"/>
            <w:hideMark/>
          </w:tcPr>
          <w:p w14:paraId="76F00BAC" w14:textId="77777777" w:rsidR="00E86456" w:rsidRPr="00E86456" w:rsidRDefault="00E86456" w:rsidP="006473EC">
            <w:pPr>
              <w:spacing w:after="160" w:line="360" w:lineRule="auto"/>
              <w:jc w:val="both"/>
            </w:pPr>
            <w:r w:rsidRPr="00E86456">
              <w:t>Oyo State</w:t>
            </w:r>
          </w:p>
        </w:tc>
        <w:tc>
          <w:tcPr>
            <w:tcW w:w="0" w:type="auto"/>
            <w:tcMar>
              <w:top w:w="150" w:type="dxa"/>
              <w:left w:w="240" w:type="dxa"/>
              <w:bottom w:w="150" w:type="dxa"/>
              <w:right w:w="240" w:type="dxa"/>
            </w:tcMar>
            <w:vAlign w:val="center"/>
            <w:hideMark/>
          </w:tcPr>
          <w:p w14:paraId="71FCB0A1" w14:textId="77777777" w:rsidR="00E86456" w:rsidRPr="00E86456" w:rsidRDefault="00E86456" w:rsidP="006473EC">
            <w:pPr>
              <w:spacing w:after="160" w:line="360" w:lineRule="auto"/>
              <w:jc w:val="both"/>
            </w:pPr>
            <w:r w:rsidRPr="00E86456">
              <w:t>500</w:t>
            </w:r>
          </w:p>
        </w:tc>
        <w:tc>
          <w:tcPr>
            <w:tcW w:w="0" w:type="auto"/>
            <w:tcMar>
              <w:top w:w="150" w:type="dxa"/>
              <w:left w:w="240" w:type="dxa"/>
              <w:bottom w:w="150" w:type="dxa"/>
              <w:right w:w="240" w:type="dxa"/>
            </w:tcMar>
            <w:vAlign w:val="center"/>
            <w:hideMark/>
          </w:tcPr>
          <w:p w14:paraId="0611071B" w14:textId="77777777" w:rsidR="00E86456" w:rsidRPr="00E86456" w:rsidRDefault="00E86456" w:rsidP="006473EC">
            <w:pPr>
              <w:spacing w:after="160" w:line="360" w:lineRule="auto"/>
              <w:jc w:val="both"/>
            </w:pPr>
            <w:r w:rsidRPr="00E86456">
              <w:t>20</w:t>
            </w:r>
          </w:p>
        </w:tc>
        <w:tc>
          <w:tcPr>
            <w:tcW w:w="0" w:type="auto"/>
            <w:tcMar>
              <w:top w:w="150" w:type="dxa"/>
              <w:left w:w="240" w:type="dxa"/>
              <w:bottom w:w="150" w:type="dxa"/>
              <w:right w:w="0" w:type="dxa"/>
            </w:tcMar>
            <w:vAlign w:val="center"/>
            <w:hideMark/>
          </w:tcPr>
          <w:p w14:paraId="564A389A" w14:textId="77777777" w:rsidR="00E86456" w:rsidRPr="00E86456" w:rsidRDefault="00E86456" w:rsidP="006473EC">
            <w:pPr>
              <w:spacing w:after="160" w:line="360" w:lineRule="auto"/>
              <w:jc w:val="both"/>
            </w:pPr>
            <w:r w:rsidRPr="00E86456">
              <w:t>76</w:t>
            </w:r>
          </w:p>
        </w:tc>
      </w:tr>
      <w:tr w:rsidR="00E86456" w:rsidRPr="00E86456" w14:paraId="04A239EA" w14:textId="77777777" w:rsidTr="00E86456">
        <w:tc>
          <w:tcPr>
            <w:tcW w:w="0" w:type="auto"/>
            <w:tcMar>
              <w:top w:w="150" w:type="dxa"/>
              <w:left w:w="0" w:type="dxa"/>
              <w:bottom w:w="150" w:type="dxa"/>
              <w:right w:w="240" w:type="dxa"/>
            </w:tcMar>
            <w:vAlign w:val="center"/>
            <w:hideMark/>
          </w:tcPr>
          <w:p w14:paraId="1F8E26FF" w14:textId="77777777" w:rsidR="00E86456" w:rsidRPr="00E86456" w:rsidRDefault="00E86456" w:rsidP="006473EC">
            <w:pPr>
              <w:spacing w:after="160" w:line="360" w:lineRule="auto"/>
              <w:jc w:val="both"/>
            </w:pPr>
            <w:r w:rsidRPr="00E86456">
              <w:rPr>
                <w:b/>
                <w:bCs/>
              </w:rPr>
              <w:t>Total</w:t>
            </w:r>
          </w:p>
        </w:tc>
        <w:tc>
          <w:tcPr>
            <w:tcW w:w="0" w:type="auto"/>
            <w:tcMar>
              <w:top w:w="150" w:type="dxa"/>
              <w:left w:w="240" w:type="dxa"/>
              <w:bottom w:w="150" w:type="dxa"/>
              <w:right w:w="240" w:type="dxa"/>
            </w:tcMar>
            <w:vAlign w:val="center"/>
            <w:hideMark/>
          </w:tcPr>
          <w:p w14:paraId="2B7AC740" w14:textId="77777777" w:rsidR="00E86456" w:rsidRPr="00E86456" w:rsidRDefault="00E86456" w:rsidP="006473EC">
            <w:pPr>
              <w:spacing w:after="160" w:line="360" w:lineRule="auto"/>
              <w:jc w:val="both"/>
            </w:pPr>
          </w:p>
        </w:tc>
        <w:tc>
          <w:tcPr>
            <w:tcW w:w="0" w:type="auto"/>
            <w:tcMar>
              <w:top w:w="150" w:type="dxa"/>
              <w:left w:w="240" w:type="dxa"/>
              <w:bottom w:w="150" w:type="dxa"/>
              <w:right w:w="240" w:type="dxa"/>
            </w:tcMar>
            <w:vAlign w:val="center"/>
            <w:hideMark/>
          </w:tcPr>
          <w:p w14:paraId="203AA816" w14:textId="77777777" w:rsidR="00E86456" w:rsidRPr="00E86456" w:rsidRDefault="00E86456" w:rsidP="006473EC">
            <w:pPr>
              <w:spacing w:after="160" w:line="360" w:lineRule="auto"/>
              <w:jc w:val="both"/>
            </w:pPr>
            <w:r w:rsidRPr="00E86456">
              <w:rPr>
                <w:b/>
                <w:bCs/>
              </w:rPr>
              <w:t>2,500</w:t>
            </w:r>
          </w:p>
        </w:tc>
        <w:tc>
          <w:tcPr>
            <w:tcW w:w="0" w:type="auto"/>
            <w:tcMar>
              <w:top w:w="150" w:type="dxa"/>
              <w:left w:w="240" w:type="dxa"/>
              <w:bottom w:w="150" w:type="dxa"/>
              <w:right w:w="240" w:type="dxa"/>
            </w:tcMar>
            <w:vAlign w:val="center"/>
            <w:hideMark/>
          </w:tcPr>
          <w:p w14:paraId="054F1290" w14:textId="77777777" w:rsidR="00E86456" w:rsidRPr="00E86456" w:rsidRDefault="00E86456" w:rsidP="006473EC">
            <w:pPr>
              <w:spacing w:after="160" w:line="360" w:lineRule="auto"/>
              <w:jc w:val="both"/>
            </w:pPr>
            <w:r w:rsidRPr="00E86456">
              <w:rPr>
                <w:b/>
                <w:bCs/>
              </w:rPr>
              <w:t>100</w:t>
            </w:r>
          </w:p>
        </w:tc>
        <w:tc>
          <w:tcPr>
            <w:tcW w:w="0" w:type="auto"/>
            <w:tcMar>
              <w:top w:w="150" w:type="dxa"/>
              <w:left w:w="240" w:type="dxa"/>
              <w:bottom w:w="150" w:type="dxa"/>
              <w:right w:w="0" w:type="dxa"/>
            </w:tcMar>
            <w:vAlign w:val="center"/>
            <w:hideMark/>
          </w:tcPr>
          <w:p w14:paraId="4587C520" w14:textId="77777777" w:rsidR="00E86456" w:rsidRPr="00E86456" w:rsidRDefault="00E86456" w:rsidP="006473EC">
            <w:pPr>
              <w:spacing w:after="160" w:line="360" w:lineRule="auto"/>
              <w:jc w:val="both"/>
            </w:pPr>
            <w:r w:rsidRPr="00E86456">
              <w:rPr>
                <w:b/>
                <w:bCs/>
              </w:rPr>
              <w:t>380</w:t>
            </w:r>
          </w:p>
        </w:tc>
      </w:tr>
    </w:tbl>
    <w:p w14:paraId="5E947EF4" w14:textId="77777777" w:rsidR="00E86456" w:rsidRPr="00E86456" w:rsidRDefault="00E86456" w:rsidP="006473EC">
      <w:pPr>
        <w:spacing w:after="160" w:line="360" w:lineRule="auto"/>
        <w:jc w:val="both"/>
        <w:rPr>
          <w:b/>
          <w:bCs/>
        </w:rPr>
      </w:pPr>
      <w:r w:rsidRPr="00E86456">
        <w:rPr>
          <w:b/>
          <w:bCs/>
        </w:rPr>
        <w:t>3.6 Data Collection Methods</w:t>
      </w:r>
    </w:p>
    <w:p w14:paraId="01D73248" w14:textId="77777777" w:rsidR="00E86456" w:rsidRPr="00E86456" w:rsidRDefault="00E86456" w:rsidP="006473EC">
      <w:pPr>
        <w:spacing w:after="160" w:line="360" w:lineRule="auto"/>
        <w:jc w:val="both"/>
        <w:rPr>
          <w:b/>
          <w:bCs/>
        </w:rPr>
      </w:pPr>
      <w:r w:rsidRPr="00E86456">
        <w:rPr>
          <w:b/>
          <w:bCs/>
        </w:rPr>
        <w:t>3.6.1 Questionnaire Survey</w:t>
      </w:r>
    </w:p>
    <w:p w14:paraId="37B0AD41" w14:textId="77777777" w:rsidR="00E86456" w:rsidRPr="00E86456" w:rsidRDefault="00E86456" w:rsidP="006473EC">
      <w:pPr>
        <w:spacing w:after="160" w:line="360" w:lineRule="auto"/>
        <w:jc w:val="both"/>
      </w:pPr>
      <w:r w:rsidRPr="00E86456">
        <w:t>A structured questionnaire was administered to occupants of ISSB housing estates. The questionnaire comprised five sections:</w:t>
      </w:r>
    </w:p>
    <w:p w14:paraId="0FF359D4" w14:textId="77777777" w:rsidR="00E86456" w:rsidRPr="00E86456" w:rsidRDefault="00E86456" w:rsidP="006473EC">
      <w:pPr>
        <w:spacing w:after="160" w:line="360" w:lineRule="auto"/>
        <w:jc w:val="both"/>
      </w:pPr>
      <w:r w:rsidRPr="00E86456">
        <w:rPr>
          <w:b/>
          <w:bCs/>
        </w:rPr>
        <w:t>Section A: Demographic Information.</w:t>
      </w:r>
      <w:r w:rsidRPr="00E86456">
        <w:t> Age, gender, household size, education, income, and length of residence.</w:t>
      </w:r>
    </w:p>
    <w:p w14:paraId="05C9E1E0" w14:textId="77777777" w:rsidR="00E86456" w:rsidRPr="00E86456" w:rsidRDefault="00E86456" w:rsidP="006473EC">
      <w:pPr>
        <w:spacing w:after="160" w:line="360" w:lineRule="auto"/>
        <w:jc w:val="both"/>
      </w:pPr>
      <w:r w:rsidRPr="00E86456">
        <w:rPr>
          <w:b/>
          <w:bCs/>
        </w:rPr>
        <w:t>Section B: Thermal Comfort Perception.</w:t>
      </w:r>
      <w:r w:rsidRPr="00E86456">
        <w:t xml:space="preserve"> Occupants' perceptions of indoor temperature, humidity, air movement, and overall comfort using 5-point Likert scales (Very Poor to Excellent), adapted from </w:t>
      </w:r>
      <w:proofErr w:type="spellStart"/>
      <w:r w:rsidRPr="00E86456">
        <w:t>Afolami</w:t>
      </w:r>
      <w:proofErr w:type="spellEnd"/>
      <w:r w:rsidRPr="00E86456">
        <w:t xml:space="preserve"> and Oyebamiji (2017) and </w:t>
      </w:r>
      <w:proofErr w:type="spellStart"/>
      <w:r w:rsidRPr="00E86456">
        <w:t>Asaju</w:t>
      </w:r>
      <w:proofErr w:type="spellEnd"/>
      <w:r w:rsidRPr="00E86456">
        <w:t xml:space="preserve"> (2022).</w:t>
      </w:r>
    </w:p>
    <w:p w14:paraId="2CEB0945" w14:textId="77777777" w:rsidR="00E86456" w:rsidRPr="00E86456" w:rsidRDefault="00E86456" w:rsidP="006473EC">
      <w:pPr>
        <w:spacing w:after="160" w:line="360" w:lineRule="auto"/>
        <w:jc w:val="both"/>
      </w:pPr>
      <w:r w:rsidRPr="00E86456">
        <w:rPr>
          <w:b/>
          <w:bCs/>
        </w:rPr>
        <w:t>Section C: Building Performance and Durability.</w:t>
      </w:r>
      <w:r w:rsidRPr="00E86456">
        <w:t> Perceptions of building durability, water resistance, maintenance requirements, and observed deterioration.</w:t>
      </w:r>
    </w:p>
    <w:p w14:paraId="4FCF6D10" w14:textId="77777777" w:rsidR="00E86456" w:rsidRPr="00E86456" w:rsidRDefault="00E86456" w:rsidP="006473EC">
      <w:pPr>
        <w:spacing w:after="160" w:line="360" w:lineRule="auto"/>
        <w:jc w:val="both"/>
      </w:pPr>
      <w:r w:rsidRPr="00E86456">
        <w:rPr>
          <w:b/>
          <w:bCs/>
        </w:rPr>
        <w:t>Section D: Climate Change Impacts.</w:t>
      </w:r>
      <w:r w:rsidRPr="00E86456">
        <w:t> Experience of flood events, heat stress, and other climate-related building issues.</w:t>
      </w:r>
    </w:p>
    <w:p w14:paraId="6397E636" w14:textId="77777777" w:rsidR="00E86456" w:rsidRPr="00E86456" w:rsidRDefault="00E86456" w:rsidP="006473EC">
      <w:pPr>
        <w:spacing w:after="160" w:line="360" w:lineRule="auto"/>
        <w:jc w:val="both"/>
      </w:pPr>
      <w:r w:rsidRPr="00E86456">
        <w:rPr>
          <w:b/>
          <w:bCs/>
        </w:rPr>
        <w:t>Section E: Socio-Economic Dimensions.</w:t>
      </w:r>
      <w:r w:rsidRPr="00E86456">
        <w:t> Effects of building conditions on health, productivity, well-being, satisfaction, and willingness to recommend ISSB construction.</w:t>
      </w:r>
    </w:p>
    <w:p w14:paraId="556798EE" w14:textId="77777777" w:rsidR="00E86456" w:rsidRPr="00E86456" w:rsidRDefault="00E86456" w:rsidP="006473EC">
      <w:pPr>
        <w:spacing w:after="160" w:line="360" w:lineRule="auto"/>
        <w:jc w:val="both"/>
      </w:pPr>
      <w:r w:rsidRPr="00E86456">
        <w:t>The questionnaire was pilot-tested with 30 respondents, achieving a Cronbach's alpha coefficient of 0.82.</w:t>
      </w:r>
    </w:p>
    <w:p w14:paraId="0262D136" w14:textId="77777777" w:rsidR="00E86456" w:rsidRPr="00E86456" w:rsidRDefault="00E86456" w:rsidP="006473EC">
      <w:pPr>
        <w:spacing w:after="160" w:line="360" w:lineRule="auto"/>
        <w:jc w:val="both"/>
        <w:rPr>
          <w:b/>
          <w:bCs/>
        </w:rPr>
      </w:pPr>
      <w:r w:rsidRPr="00E86456">
        <w:rPr>
          <w:b/>
          <w:bCs/>
        </w:rPr>
        <w:t>3.6.2 Key Informant Interviews</w:t>
      </w:r>
    </w:p>
    <w:p w14:paraId="2400A391" w14:textId="77777777" w:rsidR="00E86456" w:rsidRPr="00E86456" w:rsidRDefault="00E86456" w:rsidP="006473EC">
      <w:pPr>
        <w:spacing w:after="160" w:line="360" w:lineRule="auto"/>
        <w:jc w:val="both"/>
      </w:pPr>
      <w:r w:rsidRPr="00E86456">
        <w:t xml:space="preserve">Semi-structured interviews were conducted with 20 key informants using an interview guide covering: technical experiences and challenges; factors influencing ISSB adoption; policy and </w:t>
      </w:r>
      <w:r w:rsidRPr="00E86456">
        <w:lastRenderedPageBreak/>
        <w:t>institutional support; perceptions of ISSB resilience; and recommendations for scaling up. Interviews lasted 45-60 minutes, were audio-recorded with consent, and transcribed verbatim.</w:t>
      </w:r>
    </w:p>
    <w:p w14:paraId="478FA5D4" w14:textId="77777777" w:rsidR="00E86456" w:rsidRPr="00E86456" w:rsidRDefault="00E86456" w:rsidP="006473EC">
      <w:pPr>
        <w:spacing w:after="160" w:line="360" w:lineRule="auto"/>
        <w:jc w:val="both"/>
        <w:rPr>
          <w:b/>
          <w:bCs/>
        </w:rPr>
      </w:pPr>
      <w:r w:rsidRPr="00E86456">
        <w:rPr>
          <w:b/>
          <w:bCs/>
        </w:rPr>
        <w:t>3.6.3 Observation Checklist</w:t>
      </w:r>
    </w:p>
    <w:p w14:paraId="6CD990AD" w14:textId="77777777" w:rsidR="00E86456" w:rsidRPr="00E86456" w:rsidRDefault="00E86456" w:rsidP="006473EC">
      <w:pPr>
        <w:spacing w:after="160" w:line="360" w:lineRule="auto"/>
        <w:jc w:val="both"/>
      </w:pPr>
      <w:r w:rsidRPr="00E86456">
        <w:t>A structured checklist was used during site visits to document building characteristics, construction quality, and environmental conditions, providing contextual data to complement questionnaires and interviews.</w:t>
      </w:r>
    </w:p>
    <w:p w14:paraId="719034CE" w14:textId="77777777" w:rsidR="00E86456" w:rsidRPr="00E86456" w:rsidRDefault="00E86456" w:rsidP="006473EC">
      <w:pPr>
        <w:spacing w:after="160" w:line="360" w:lineRule="auto"/>
        <w:jc w:val="both"/>
        <w:rPr>
          <w:b/>
          <w:bCs/>
        </w:rPr>
      </w:pPr>
      <w:r w:rsidRPr="00E86456">
        <w:rPr>
          <w:b/>
          <w:bCs/>
        </w:rPr>
        <w:t>3.7 Data Collection Procedure</w:t>
      </w:r>
    </w:p>
    <w:p w14:paraId="4446BBB2" w14:textId="77777777" w:rsidR="00E86456" w:rsidRPr="00E86456" w:rsidRDefault="00E86456" w:rsidP="006473EC">
      <w:pPr>
        <w:spacing w:after="160" w:line="360" w:lineRule="auto"/>
        <w:jc w:val="both"/>
      </w:pPr>
      <w:r w:rsidRPr="00E86456">
        <w:t>Data collection was conducted over a 10-month period (March 2025 to December 2025):</w:t>
      </w:r>
    </w:p>
    <w:p w14:paraId="689B750D" w14:textId="77777777" w:rsidR="00E86456" w:rsidRPr="00E86456" w:rsidRDefault="00E86456" w:rsidP="006473EC">
      <w:pPr>
        <w:spacing w:after="160" w:line="360" w:lineRule="auto"/>
        <w:jc w:val="both"/>
      </w:pPr>
      <w:r w:rsidRPr="00E86456">
        <w:rPr>
          <w:b/>
          <w:bCs/>
        </w:rPr>
        <w:t>Phase 1 (Month 1-2):</w:t>
      </w:r>
      <w:r w:rsidRPr="00E86456">
        <w:t> Instrument development and pilot testing.</w:t>
      </w:r>
    </w:p>
    <w:p w14:paraId="2EE66850" w14:textId="77777777" w:rsidR="00E86456" w:rsidRPr="00E86456" w:rsidRDefault="00E86456" w:rsidP="006473EC">
      <w:pPr>
        <w:spacing w:after="160" w:line="360" w:lineRule="auto"/>
        <w:jc w:val="both"/>
      </w:pPr>
      <w:r w:rsidRPr="00E86456">
        <w:rPr>
          <w:b/>
          <w:bCs/>
        </w:rPr>
        <w:t>Phase 2 (Month 2-3):</w:t>
      </w:r>
      <w:r w:rsidRPr="00E86456">
        <w:t> Site engagement and obtaining permissions.</w:t>
      </w:r>
    </w:p>
    <w:p w14:paraId="583C90D0" w14:textId="77777777" w:rsidR="00E86456" w:rsidRPr="00E86456" w:rsidRDefault="00E86456" w:rsidP="006473EC">
      <w:pPr>
        <w:spacing w:after="160" w:line="360" w:lineRule="auto"/>
        <w:jc w:val="both"/>
      </w:pPr>
      <w:r w:rsidRPr="00E86456">
        <w:rPr>
          <w:b/>
          <w:bCs/>
        </w:rPr>
        <w:t>Phase 3 (Month 3-6):</w:t>
      </w:r>
      <w:r w:rsidRPr="00E86456">
        <w:t> Questionnaire administration to 380 households, with follow-up visits for non-respondents.</w:t>
      </w:r>
    </w:p>
    <w:p w14:paraId="268C6DE8" w14:textId="77777777" w:rsidR="00E86456" w:rsidRPr="00E86456" w:rsidRDefault="00E86456" w:rsidP="006473EC">
      <w:pPr>
        <w:spacing w:after="160" w:line="360" w:lineRule="auto"/>
        <w:jc w:val="both"/>
      </w:pPr>
      <w:r w:rsidRPr="00E86456">
        <w:rPr>
          <w:b/>
          <w:bCs/>
        </w:rPr>
        <w:t>Phase 4 (Month 4-7):</w:t>
      </w:r>
      <w:r w:rsidRPr="00E86456">
        <w:t> Key informant interviews with 20 participants.</w:t>
      </w:r>
    </w:p>
    <w:p w14:paraId="746117CC" w14:textId="77777777" w:rsidR="00E86456" w:rsidRPr="00E86456" w:rsidRDefault="00E86456" w:rsidP="006473EC">
      <w:pPr>
        <w:spacing w:after="160" w:line="360" w:lineRule="auto"/>
        <w:jc w:val="both"/>
      </w:pPr>
      <w:r w:rsidRPr="00E86456">
        <w:rPr>
          <w:b/>
          <w:bCs/>
        </w:rPr>
        <w:t>Phase 5 (Month 7-8):</w:t>
      </w:r>
      <w:r w:rsidRPr="00E86456">
        <w:t> Data verification, cleaning, and coding.</w:t>
      </w:r>
    </w:p>
    <w:p w14:paraId="4BDAE7FE" w14:textId="77777777" w:rsidR="00E86456" w:rsidRPr="00E86456" w:rsidRDefault="00E86456" w:rsidP="006473EC">
      <w:pPr>
        <w:spacing w:after="160" w:line="360" w:lineRule="auto"/>
        <w:jc w:val="both"/>
        <w:rPr>
          <w:b/>
          <w:bCs/>
        </w:rPr>
      </w:pPr>
      <w:r w:rsidRPr="00E86456">
        <w:rPr>
          <w:b/>
          <w:bCs/>
        </w:rPr>
        <w:t>3.8 Data Analysis</w:t>
      </w:r>
    </w:p>
    <w:p w14:paraId="2802D0EB" w14:textId="77777777" w:rsidR="00E86456" w:rsidRPr="00E86456" w:rsidRDefault="00E86456" w:rsidP="006473EC">
      <w:pPr>
        <w:spacing w:after="160" w:line="360" w:lineRule="auto"/>
        <w:jc w:val="both"/>
        <w:rPr>
          <w:b/>
          <w:bCs/>
        </w:rPr>
      </w:pPr>
      <w:r w:rsidRPr="00E86456">
        <w:rPr>
          <w:b/>
          <w:bCs/>
        </w:rPr>
        <w:t>3.8.1 Quantitative Data Analysis (Questionnaires)</w:t>
      </w:r>
    </w:p>
    <w:p w14:paraId="0F159274" w14:textId="77777777" w:rsidR="00E86456" w:rsidRPr="00E86456" w:rsidRDefault="00E86456" w:rsidP="006473EC">
      <w:pPr>
        <w:spacing w:after="160" w:line="360" w:lineRule="auto"/>
        <w:jc w:val="both"/>
      </w:pPr>
      <w:r w:rsidRPr="00E86456">
        <w:t>Data were coded and entered into SPSS version 27. </w:t>
      </w:r>
      <w:r w:rsidRPr="00E86456">
        <w:rPr>
          <w:b/>
          <w:bCs/>
        </w:rPr>
        <w:t>Descriptive statistics</w:t>
      </w:r>
      <w:r w:rsidRPr="00E86456">
        <w:t> (frequencies, percentages, means, standard deviations) were computed for demographic variables and Likert-scale responses. </w:t>
      </w:r>
      <w:r w:rsidRPr="00E86456">
        <w:rPr>
          <w:b/>
          <w:bCs/>
        </w:rPr>
        <w:t>Inferential statistics</w:t>
      </w:r>
      <w:r w:rsidRPr="00E86456">
        <w:t> (chi-square tests, t-tests, ANOVA) were used to examine associations and compare means between groups. </w:t>
      </w:r>
      <w:r w:rsidRPr="00E86456">
        <w:rPr>
          <w:b/>
          <w:bCs/>
        </w:rPr>
        <w:t>Exploratory factor analysis</w:t>
      </w:r>
      <w:r w:rsidRPr="00E86456">
        <w:t> was conducted to identify underlying dimensions of occupant satisfaction and perceived resilience.</w:t>
      </w:r>
    </w:p>
    <w:p w14:paraId="49A01FC4" w14:textId="77777777" w:rsidR="00E86456" w:rsidRPr="00E86456" w:rsidRDefault="00E86456" w:rsidP="006473EC">
      <w:pPr>
        <w:spacing w:after="160" w:line="360" w:lineRule="auto"/>
        <w:jc w:val="both"/>
        <w:rPr>
          <w:b/>
          <w:bCs/>
        </w:rPr>
      </w:pPr>
      <w:r w:rsidRPr="00E86456">
        <w:rPr>
          <w:b/>
          <w:bCs/>
        </w:rPr>
        <w:t>3.8.2 Qualitative Data Analysis (Interviews)</w:t>
      </w:r>
    </w:p>
    <w:p w14:paraId="1EEF81D0" w14:textId="77777777" w:rsidR="00E86456" w:rsidRPr="00E86456" w:rsidRDefault="00E86456" w:rsidP="006473EC">
      <w:pPr>
        <w:spacing w:after="160" w:line="360" w:lineRule="auto"/>
        <w:jc w:val="both"/>
      </w:pPr>
      <w:r w:rsidRPr="00E86456">
        <w:t>Interview transcripts were analyzed using thematic analysis (Braun &amp; Clarke, 2006) following six phases: familiarization, coding, theme search, theme review, theme definition, and findings writing. NVivo software facilitated coding and theme development. Themes were identified both deductively (from research objectives) and inductively (emerging from the data).</w:t>
      </w:r>
    </w:p>
    <w:p w14:paraId="6553D9B5" w14:textId="77777777" w:rsidR="00E86456" w:rsidRPr="00E86456" w:rsidRDefault="00E86456" w:rsidP="006473EC">
      <w:pPr>
        <w:spacing w:after="160" w:line="360" w:lineRule="auto"/>
        <w:jc w:val="both"/>
        <w:rPr>
          <w:b/>
          <w:bCs/>
        </w:rPr>
      </w:pPr>
      <w:r w:rsidRPr="00E86456">
        <w:rPr>
          <w:b/>
          <w:bCs/>
        </w:rPr>
        <w:lastRenderedPageBreak/>
        <w:t>3.8.3 Integration of Findings</w:t>
      </w:r>
    </w:p>
    <w:p w14:paraId="5CD3EA17" w14:textId="77777777" w:rsidR="00E86456" w:rsidRPr="00E86456" w:rsidRDefault="00E86456" w:rsidP="006473EC">
      <w:pPr>
        <w:spacing w:after="160" w:line="360" w:lineRule="auto"/>
        <w:jc w:val="both"/>
      </w:pPr>
      <w:r w:rsidRPr="00E86456">
        <w:t>Quantitative and qualitative findings were integrated through: (a) </w:t>
      </w:r>
      <w:r w:rsidRPr="00E86456">
        <w:rPr>
          <w:b/>
          <w:bCs/>
        </w:rPr>
        <w:t>triangulation</w:t>
      </w:r>
      <w:r w:rsidRPr="00E86456">
        <w:t> to confirm or refute conclusions; (b) </w:t>
      </w:r>
      <w:r w:rsidRPr="00E86456">
        <w:rPr>
          <w:b/>
          <w:bCs/>
        </w:rPr>
        <w:t>complementarity</w:t>
      </w:r>
      <w:r w:rsidRPr="00E86456">
        <w:t> using qualitative findings to explain quantitative results; and (c) </w:t>
      </w:r>
      <w:r w:rsidRPr="00E86456">
        <w:rPr>
          <w:b/>
          <w:bCs/>
        </w:rPr>
        <w:t>expansion</w:t>
      </w:r>
      <w:r w:rsidRPr="00E86456">
        <w:t> using qualitative findings to explore dimensions not captured quantitatively.</w:t>
      </w:r>
    </w:p>
    <w:p w14:paraId="48C85F6E" w14:textId="77777777" w:rsidR="00E86456" w:rsidRPr="00E86456" w:rsidRDefault="00E86456" w:rsidP="006473EC">
      <w:pPr>
        <w:spacing w:after="160" w:line="360" w:lineRule="auto"/>
        <w:jc w:val="both"/>
        <w:rPr>
          <w:b/>
          <w:bCs/>
        </w:rPr>
      </w:pPr>
      <w:r w:rsidRPr="00E86456">
        <w:rPr>
          <w:b/>
          <w:bCs/>
        </w:rPr>
        <w:t>3.9 Validity and Reliability</w:t>
      </w:r>
    </w:p>
    <w:p w14:paraId="4A01C817" w14:textId="77777777" w:rsidR="00E86456" w:rsidRPr="00E86456" w:rsidRDefault="00E86456" w:rsidP="006473EC">
      <w:pPr>
        <w:spacing w:after="160" w:line="360" w:lineRule="auto"/>
        <w:jc w:val="both"/>
      </w:pPr>
      <w:r w:rsidRPr="00E86456">
        <w:rPr>
          <w:b/>
          <w:bCs/>
        </w:rPr>
        <w:t>Quantitative Validity and Reliability:</w:t>
      </w:r>
      <w:r w:rsidRPr="00E86456">
        <w:t> The questionnaire was based on established instruments and pilot-tested for clarity. Cronbach's alpha of 0.82 confirmed internal consistency. The sampling strategy supports generalizability within the region.</w:t>
      </w:r>
    </w:p>
    <w:p w14:paraId="4165FEFC" w14:textId="77777777" w:rsidR="00E86456" w:rsidRPr="00E86456" w:rsidRDefault="00E86456" w:rsidP="006473EC">
      <w:pPr>
        <w:spacing w:after="160" w:line="360" w:lineRule="auto"/>
        <w:jc w:val="both"/>
      </w:pPr>
      <w:r w:rsidRPr="00E86456">
        <w:rPr>
          <w:b/>
          <w:bCs/>
        </w:rPr>
        <w:t>Qualitative Credibility:</w:t>
      </w:r>
      <w:r w:rsidRPr="00E86456">
        <w:t> Triangulation with questionnaire data, member checking, and peer debriefing were employed. </w:t>
      </w:r>
      <w:r w:rsidRPr="00E86456">
        <w:rPr>
          <w:b/>
          <w:bCs/>
        </w:rPr>
        <w:t>Transferability:</w:t>
      </w:r>
      <w:r w:rsidRPr="00E86456">
        <w:t> Thick description enables assessment of applicability to other contexts. </w:t>
      </w:r>
      <w:r w:rsidRPr="00E86456">
        <w:rPr>
          <w:b/>
          <w:bCs/>
        </w:rPr>
        <w:t>Dependability:</w:t>
      </w:r>
      <w:r w:rsidRPr="00E86456">
        <w:t> Research process documented for replication. </w:t>
      </w:r>
      <w:r w:rsidRPr="00E86456">
        <w:rPr>
          <w:b/>
          <w:bCs/>
        </w:rPr>
        <w:t>Confirmability:</w:t>
      </w:r>
      <w:r w:rsidRPr="00E86456">
        <w:t> Audit trail maintained.</w:t>
      </w:r>
    </w:p>
    <w:p w14:paraId="00F3E138" w14:textId="77777777" w:rsidR="00E86456" w:rsidRPr="00E86456" w:rsidRDefault="00E86456" w:rsidP="006473EC">
      <w:pPr>
        <w:spacing w:after="160" w:line="360" w:lineRule="auto"/>
        <w:jc w:val="both"/>
        <w:rPr>
          <w:b/>
          <w:bCs/>
        </w:rPr>
      </w:pPr>
      <w:r w:rsidRPr="00E86456">
        <w:rPr>
          <w:b/>
          <w:bCs/>
        </w:rPr>
        <w:t>3.10 Ethical Considerations</w:t>
      </w:r>
    </w:p>
    <w:p w14:paraId="2713C264" w14:textId="77777777" w:rsidR="00E86456" w:rsidRPr="00E86456" w:rsidRDefault="00E86456" w:rsidP="006473EC">
      <w:pPr>
        <w:spacing w:after="160" w:line="360" w:lineRule="auto"/>
        <w:jc w:val="both"/>
      </w:pPr>
      <w:r w:rsidRPr="00E86456">
        <w:t>Ethical approval was obtained from the institutional research ethics committee. Principles observed included: (a) informed consent from all participants; (b) confidentiality and anonymity; (c) voluntary participation with right to withdraw; (d) non-maleficence (avoiding harm); (e) beneficence (generating community benefits); and (f) cultural sensitivity.</w:t>
      </w:r>
    </w:p>
    <w:p w14:paraId="3C152DC7" w14:textId="77777777" w:rsidR="00E86456" w:rsidRPr="00E86456" w:rsidRDefault="00E86456" w:rsidP="006473EC">
      <w:pPr>
        <w:spacing w:after="160" w:line="360" w:lineRule="auto"/>
        <w:jc w:val="both"/>
        <w:rPr>
          <w:b/>
          <w:bCs/>
        </w:rPr>
      </w:pPr>
      <w:r w:rsidRPr="00E86456">
        <w:rPr>
          <w:b/>
          <w:bCs/>
        </w:rPr>
        <w:t>3.11 Limitations of the Methodology</w:t>
      </w:r>
    </w:p>
    <w:p w14:paraId="1389FA28" w14:textId="77777777" w:rsidR="00E86456" w:rsidRPr="00E86456" w:rsidRDefault="00E86456" w:rsidP="006473EC">
      <w:pPr>
        <w:spacing w:after="160" w:line="360" w:lineRule="auto"/>
        <w:jc w:val="both"/>
      </w:pPr>
      <w:r w:rsidRPr="00E86456">
        <w:t>Limitations include: (a) reliance on self-reported data, though triangulation mitigates this; (b) cross-sectional design capturing perceptions at a single point in time; (c) findings may not be fully generalizable to other tropical regions; and (d) language barriers may have affected some responses.</w:t>
      </w:r>
    </w:p>
    <w:p w14:paraId="29DDAFDB" w14:textId="77777777" w:rsidR="00FC7E0B" w:rsidRPr="00FC7E0B" w:rsidRDefault="00FC7E0B" w:rsidP="006473EC">
      <w:pPr>
        <w:spacing w:after="160" w:line="360" w:lineRule="auto"/>
        <w:jc w:val="both"/>
      </w:pPr>
    </w:p>
    <w:p w14:paraId="2CEC701C" w14:textId="18F92A6F" w:rsidR="00157248" w:rsidRPr="00157248" w:rsidRDefault="00157248" w:rsidP="006473EC">
      <w:pPr>
        <w:spacing w:after="160" w:line="360" w:lineRule="auto"/>
        <w:jc w:val="both"/>
        <w:rPr>
          <w:b/>
          <w:bCs/>
        </w:rPr>
      </w:pPr>
      <w:r>
        <w:rPr>
          <w:b/>
          <w:bCs/>
        </w:rPr>
        <w:t>4.0</w:t>
      </w:r>
      <w:r w:rsidRPr="00157248">
        <w:rPr>
          <w:b/>
          <w:bCs/>
        </w:rPr>
        <w:t>: DATA PRESENTATION, ANALYSIS, AND FINDINGS</w:t>
      </w:r>
    </w:p>
    <w:p w14:paraId="3C281A32" w14:textId="77777777" w:rsidR="00EA2578" w:rsidRPr="00EA2578" w:rsidRDefault="00EA2578" w:rsidP="006473EC">
      <w:pPr>
        <w:spacing w:after="160" w:line="360" w:lineRule="auto"/>
        <w:jc w:val="both"/>
        <w:rPr>
          <w:b/>
          <w:bCs/>
        </w:rPr>
      </w:pPr>
      <w:r w:rsidRPr="00EA2578">
        <w:rPr>
          <w:b/>
          <w:bCs/>
        </w:rPr>
        <w:t>4.1 Introduction</w:t>
      </w:r>
    </w:p>
    <w:p w14:paraId="6981C85A" w14:textId="77777777" w:rsidR="00EA2578" w:rsidRPr="00EA2578" w:rsidRDefault="00EA2578" w:rsidP="006473EC">
      <w:pPr>
        <w:spacing w:after="160" w:line="360" w:lineRule="auto"/>
        <w:jc w:val="both"/>
      </w:pPr>
      <w:r w:rsidRPr="00EA2578">
        <w:t xml:space="preserve">This chapter presents the data collected from 365 occupants of ISSB housing estates and 20 key informants across Southwestern Nigeria. The chapter is organized into four sections: demographic </w:t>
      </w:r>
      <w:r w:rsidRPr="00EA2578">
        <w:lastRenderedPageBreak/>
        <w:t>characteristics, questionnaire findings, key informant interview findings, and summary of findings. Data are presented using descriptive statistics including frequencies, percentages, means, and standard deviations.</w:t>
      </w:r>
    </w:p>
    <w:p w14:paraId="32F01CE2" w14:textId="77777777" w:rsidR="00EA2578" w:rsidRPr="00EA2578" w:rsidRDefault="00EA2578" w:rsidP="006473EC">
      <w:pPr>
        <w:spacing w:after="160" w:line="360" w:lineRule="auto"/>
        <w:jc w:val="both"/>
        <w:rPr>
          <w:b/>
          <w:bCs/>
        </w:rPr>
      </w:pPr>
      <w:r w:rsidRPr="00EA2578">
        <w:rPr>
          <w:b/>
          <w:bCs/>
        </w:rPr>
        <w:t>4.2 Questionnaire Response Rate</w:t>
      </w:r>
    </w:p>
    <w:p w14:paraId="1635043B" w14:textId="42CE1698" w:rsidR="00EA2578" w:rsidRPr="00EA2578" w:rsidRDefault="00EA2578" w:rsidP="006473EC">
      <w:pPr>
        <w:spacing w:after="160" w:line="360" w:lineRule="auto"/>
        <w:jc w:val="both"/>
      </w:pPr>
      <w:r w:rsidRPr="00EA2578">
        <w:t>A total of 380 questionnaires were administered, with 365 fully completed and returned, representing a response rate of 96.1%. Distribution across estates was: Estate A (Lagos) – 175 responses (48.0%), Estate B (Ogun) – 117 responses (32.0%), and Estate C (Oyo) – 73 responses (20.0%).</w:t>
      </w:r>
    </w:p>
    <w:p w14:paraId="0DCB112A" w14:textId="58AA3B12" w:rsidR="00EA2578" w:rsidRDefault="00EA2578" w:rsidP="006473EC">
      <w:pPr>
        <w:spacing w:after="160" w:line="360" w:lineRule="auto"/>
        <w:jc w:val="both"/>
        <w:rPr>
          <w:b/>
          <w:bCs/>
        </w:rPr>
      </w:pPr>
      <w:r w:rsidRPr="00EA2578">
        <w:rPr>
          <w:b/>
          <w:bCs/>
        </w:rPr>
        <w:t>4.3 Demographic Characteristics of Respondents</w:t>
      </w:r>
    </w:p>
    <w:p w14:paraId="5E2D771F" w14:textId="77777777" w:rsidR="00EA2578" w:rsidRDefault="00EA2578" w:rsidP="006473EC">
      <w:pPr>
        <w:spacing w:after="160" w:line="360" w:lineRule="auto"/>
        <w:jc w:val="both"/>
        <w:rPr>
          <w:b/>
          <w:bCs/>
        </w:rPr>
      </w:pPr>
    </w:p>
    <w:p w14:paraId="54438F95" w14:textId="77777777" w:rsidR="00EA2578" w:rsidRDefault="00EA2578" w:rsidP="006473EC">
      <w:pPr>
        <w:spacing w:after="160" w:line="360" w:lineRule="auto"/>
        <w:jc w:val="both"/>
        <w:rPr>
          <w:b/>
          <w:bCs/>
        </w:rPr>
      </w:pPr>
    </w:p>
    <w:p w14:paraId="15B945D5" w14:textId="77777777" w:rsidR="00EA2578" w:rsidRPr="00EA2578" w:rsidRDefault="00EA2578" w:rsidP="006473EC">
      <w:pPr>
        <w:spacing w:after="160" w:line="360" w:lineRule="auto"/>
        <w:jc w:val="both"/>
        <w:rPr>
          <w:b/>
          <w:bCs/>
        </w:rPr>
      </w:pPr>
    </w:p>
    <w:p w14:paraId="425E1E66" w14:textId="77777777" w:rsidR="00EA2578" w:rsidRPr="00EA2578" w:rsidRDefault="00EA2578" w:rsidP="006473EC">
      <w:pPr>
        <w:spacing w:after="160" w:line="360" w:lineRule="auto"/>
        <w:jc w:val="both"/>
      </w:pPr>
      <w:r w:rsidRPr="00EA2578">
        <w:rPr>
          <w:b/>
          <w:bCs/>
        </w:rPr>
        <w:t>Table 4.1: Demographic Profile of Respondents</w:t>
      </w:r>
    </w:p>
    <w:tbl>
      <w:tblPr>
        <w:tblW w:w="8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2"/>
        <w:gridCol w:w="2530"/>
        <w:gridCol w:w="1531"/>
        <w:gridCol w:w="2002"/>
      </w:tblGrid>
      <w:tr w:rsidR="00EA2578" w:rsidRPr="00EA2578" w14:paraId="1555FCB5" w14:textId="77777777" w:rsidTr="00EA2578">
        <w:trPr>
          <w:trHeight w:val="574"/>
          <w:tblHeader/>
        </w:trPr>
        <w:tc>
          <w:tcPr>
            <w:tcW w:w="0" w:type="auto"/>
            <w:tcMar>
              <w:top w:w="150" w:type="dxa"/>
              <w:left w:w="0" w:type="dxa"/>
              <w:bottom w:w="150" w:type="dxa"/>
              <w:right w:w="240" w:type="dxa"/>
            </w:tcMar>
            <w:vAlign w:val="center"/>
            <w:hideMark/>
          </w:tcPr>
          <w:p w14:paraId="2FC0F3FD" w14:textId="77777777" w:rsidR="00EA2578" w:rsidRPr="00EA2578" w:rsidRDefault="00EA2578" w:rsidP="006473EC">
            <w:pPr>
              <w:spacing w:after="160" w:line="360" w:lineRule="auto"/>
              <w:jc w:val="both"/>
            </w:pPr>
            <w:r w:rsidRPr="00EA2578">
              <w:t>Variable</w:t>
            </w:r>
          </w:p>
        </w:tc>
        <w:tc>
          <w:tcPr>
            <w:tcW w:w="0" w:type="auto"/>
            <w:tcMar>
              <w:top w:w="150" w:type="dxa"/>
              <w:left w:w="240" w:type="dxa"/>
              <w:bottom w:w="150" w:type="dxa"/>
              <w:right w:w="240" w:type="dxa"/>
            </w:tcMar>
            <w:vAlign w:val="center"/>
            <w:hideMark/>
          </w:tcPr>
          <w:p w14:paraId="185D0EF3" w14:textId="77777777" w:rsidR="00EA2578" w:rsidRPr="00EA2578" w:rsidRDefault="00EA2578" w:rsidP="006473EC">
            <w:pPr>
              <w:spacing w:after="160" w:line="360" w:lineRule="auto"/>
              <w:jc w:val="both"/>
            </w:pPr>
            <w:r w:rsidRPr="00EA2578">
              <w:t>Category</w:t>
            </w:r>
          </w:p>
        </w:tc>
        <w:tc>
          <w:tcPr>
            <w:tcW w:w="0" w:type="auto"/>
            <w:tcMar>
              <w:top w:w="150" w:type="dxa"/>
              <w:left w:w="240" w:type="dxa"/>
              <w:bottom w:w="150" w:type="dxa"/>
              <w:right w:w="240" w:type="dxa"/>
            </w:tcMar>
            <w:vAlign w:val="center"/>
            <w:hideMark/>
          </w:tcPr>
          <w:p w14:paraId="4513322E" w14:textId="77777777" w:rsidR="00EA2578" w:rsidRPr="00EA2578" w:rsidRDefault="00EA2578" w:rsidP="006473EC">
            <w:pPr>
              <w:spacing w:after="160" w:line="360" w:lineRule="auto"/>
              <w:jc w:val="both"/>
            </w:pPr>
            <w:r w:rsidRPr="00EA2578">
              <w:t>Frequency</w:t>
            </w:r>
          </w:p>
        </w:tc>
        <w:tc>
          <w:tcPr>
            <w:tcW w:w="0" w:type="auto"/>
            <w:tcMar>
              <w:top w:w="150" w:type="dxa"/>
              <w:left w:w="240" w:type="dxa"/>
              <w:bottom w:w="150" w:type="dxa"/>
              <w:right w:w="240" w:type="dxa"/>
            </w:tcMar>
            <w:vAlign w:val="center"/>
            <w:hideMark/>
          </w:tcPr>
          <w:p w14:paraId="0C78E781" w14:textId="77777777" w:rsidR="00EA2578" w:rsidRPr="00EA2578" w:rsidRDefault="00EA2578" w:rsidP="006473EC">
            <w:pPr>
              <w:spacing w:after="160" w:line="360" w:lineRule="auto"/>
              <w:jc w:val="both"/>
            </w:pPr>
            <w:r w:rsidRPr="00EA2578">
              <w:t>Percentage (%)</w:t>
            </w:r>
          </w:p>
        </w:tc>
      </w:tr>
      <w:tr w:rsidR="00EA2578" w:rsidRPr="00EA2578" w14:paraId="12B2CBDB" w14:textId="77777777" w:rsidTr="00EA2578">
        <w:trPr>
          <w:trHeight w:val="574"/>
        </w:trPr>
        <w:tc>
          <w:tcPr>
            <w:tcW w:w="0" w:type="auto"/>
            <w:tcMar>
              <w:top w:w="150" w:type="dxa"/>
              <w:left w:w="0" w:type="dxa"/>
              <w:bottom w:w="150" w:type="dxa"/>
              <w:right w:w="240" w:type="dxa"/>
            </w:tcMar>
            <w:vAlign w:val="center"/>
            <w:hideMark/>
          </w:tcPr>
          <w:p w14:paraId="1ECC721D" w14:textId="77777777" w:rsidR="00EA2578" w:rsidRPr="00EA2578" w:rsidRDefault="00EA2578" w:rsidP="006473EC">
            <w:pPr>
              <w:spacing w:after="160" w:line="360" w:lineRule="auto"/>
              <w:jc w:val="both"/>
            </w:pPr>
            <w:r w:rsidRPr="00EA2578">
              <w:rPr>
                <w:b/>
                <w:bCs/>
              </w:rPr>
              <w:t>Age</w:t>
            </w:r>
          </w:p>
        </w:tc>
        <w:tc>
          <w:tcPr>
            <w:tcW w:w="0" w:type="auto"/>
            <w:tcMar>
              <w:top w:w="150" w:type="dxa"/>
              <w:left w:w="240" w:type="dxa"/>
              <w:bottom w:w="150" w:type="dxa"/>
              <w:right w:w="240" w:type="dxa"/>
            </w:tcMar>
            <w:vAlign w:val="center"/>
            <w:hideMark/>
          </w:tcPr>
          <w:p w14:paraId="24428B84" w14:textId="77777777" w:rsidR="00EA2578" w:rsidRPr="00EA2578" w:rsidRDefault="00EA2578" w:rsidP="006473EC">
            <w:pPr>
              <w:spacing w:after="160" w:line="360" w:lineRule="auto"/>
              <w:jc w:val="both"/>
            </w:pPr>
            <w:r w:rsidRPr="00EA2578">
              <w:t>18-25 years</w:t>
            </w:r>
          </w:p>
        </w:tc>
        <w:tc>
          <w:tcPr>
            <w:tcW w:w="0" w:type="auto"/>
            <w:tcMar>
              <w:top w:w="150" w:type="dxa"/>
              <w:left w:w="240" w:type="dxa"/>
              <w:bottom w:w="150" w:type="dxa"/>
              <w:right w:w="240" w:type="dxa"/>
            </w:tcMar>
            <w:vAlign w:val="center"/>
            <w:hideMark/>
          </w:tcPr>
          <w:p w14:paraId="27EF1DA6" w14:textId="77777777" w:rsidR="00EA2578" w:rsidRPr="00EA2578" w:rsidRDefault="00EA2578" w:rsidP="006473EC">
            <w:pPr>
              <w:spacing w:after="160" w:line="360" w:lineRule="auto"/>
              <w:jc w:val="both"/>
            </w:pPr>
            <w:r w:rsidRPr="00EA2578">
              <w:t>28</w:t>
            </w:r>
          </w:p>
        </w:tc>
        <w:tc>
          <w:tcPr>
            <w:tcW w:w="0" w:type="auto"/>
            <w:tcMar>
              <w:top w:w="150" w:type="dxa"/>
              <w:left w:w="240" w:type="dxa"/>
              <w:bottom w:w="150" w:type="dxa"/>
              <w:right w:w="0" w:type="dxa"/>
            </w:tcMar>
            <w:vAlign w:val="center"/>
            <w:hideMark/>
          </w:tcPr>
          <w:p w14:paraId="1B5122DA" w14:textId="77777777" w:rsidR="00EA2578" w:rsidRPr="00EA2578" w:rsidRDefault="00EA2578" w:rsidP="006473EC">
            <w:pPr>
              <w:spacing w:after="160" w:line="360" w:lineRule="auto"/>
              <w:jc w:val="both"/>
            </w:pPr>
            <w:r w:rsidRPr="00EA2578">
              <w:t>7.7</w:t>
            </w:r>
          </w:p>
        </w:tc>
      </w:tr>
      <w:tr w:rsidR="00EA2578" w:rsidRPr="00EA2578" w14:paraId="71E08E2D" w14:textId="77777777" w:rsidTr="00EA2578">
        <w:trPr>
          <w:trHeight w:val="574"/>
        </w:trPr>
        <w:tc>
          <w:tcPr>
            <w:tcW w:w="0" w:type="auto"/>
            <w:tcMar>
              <w:top w:w="150" w:type="dxa"/>
              <w:left w:w="0" w:type="dxa"/>
              <w:bottom w:w="150" w:type="dxa"/>
              <w:right w:w="240" w:type="dxa"/>
            </w:tcMar>
            <w:vAlign w:val="center"/>
            <w:hideMark/>
          </w:tcPr>
          <w:p w14:paraId="70434F0C" w14:textId="77777777" w:rsidR="00EA2578" w:rsidRPr="00EA2578" w:rsidRDefault="00EA2578" w:rsidP="006473EC">
            <w:pPr>
              <w:spacing w:after="160" w:line="360" w:lineRule="auto"/>
              <w:jc w:val="both"/>
            </w:pPr>
          </w:p>
        </w:tc>
        <w:tc>
          <w:tcPr>
            <w:tcW w:w="0" w:type="auto"/>
            <w:tcMar>
              <w:top w:w="150" w:type="dxa"/>
              <w:left w:w="240" w:type="dxa"/>
              <w:bottom w:w="150" w:type="dxa"/>
              <w:right w:w="240" w:type="dxa"/>
            </w:tcMar>
            <w:vAlign w:val="center"/>
            <w:hideMark/>
          </w:tcPr>
          <w:p w14:paraId="613C6BEE" w14:textId="77777777" w:rsidR="00EA2578" w:rsidRPr="00EA2578" w:rsidRDefault="00EA2578" w:rsidP="006473EC">
            <w:pPr>
              <w:spacing w:after="160" w:line="360" w:lineRule="auto"/>
              <w:jc w:val="both"/>
            </w:pPr>
            <w:r w:rsidRPr="00EA2578">
              <w:t>26-35 years</w:t>
            </w:r>
          </w:p>
        </w:tc>
        <w:tc>
          <w:tcPr>
            <w:tcW w:w="0" w:type="auto"/>
            <w:tcMar>
              <w:top w:w="150" w:type="dxa"/>
              <w:left w:w="240" w:type="dxa"/>
              <w:bottom w:w="150" w:type="dxa"/>
              <w:right w:w="240" w:type="dxa"/>
            </w:tcMar>
            <w:vAlign w:val="center"/>
            <w:hideMark/>
          </w:tcPr>
          <w:p w14:paraId="66056AF1" w14:textId="77777777" w:rsidR="00EA2578" w:rsidRPr="00EA2578" w:rsidRDefault="00EA2578" w:rsidP="006473EC">
            <w:pPr>
              <w:spacing w:after="160" w:line="360" w:lineRule="auto"/>
              <w:jc w:val="both"/>
            </w:pPr>
            <w:r w:rsidRPr="00EA2578">
              <w:t>103</w:t>
            </w:r>
          </w:p>
        </w:tc>
        <w:tc>
          <w:tcPr>
            <w:tcW w:w="0" w:type="auto"/>
            <w:tcMar>
              <w:top w:w="150" w:type="dxa"/>
              <w:left w:w="240" w:type="dxa"/>
              <w:bottom w:w="150" w:type="dxa"/>
              <w:right w:w="0" w:type="dxa"/>
            </w:tcMar>
            <w:vAlign w:val="center"/>
            <w:hideMark/>
          </w:tcPr>
          <w:p w14:paraId="78E48573" w14:textId="77777777" w:rsidR="00EA2578" w:rsidRPr="00EA2578" w:rsidRDefault="00EA2578" w:rsidP="006473EC">
            <w:pPr>
              <w:spacing w:after="160" w:line="360" w:lineRule="auto"/>
              <w:jc w:val="both"/>
            </w:pPr>
            <w:r w:rsidRPr="00EA2578">
              <w:t>28.2</w:t>
            </w:r>
          </w:p>
        </w:tc>
      </w:tr>
      <w:tr w:rsidR="00EA2578" w:rsidRPr="00EA2578" w14:paraId="4FB23A74" w14:textId="77777777" w:rsidTr="00EA2578">
        <w:trPr>
          <w:trHeight w:val="574"/>
        </w:trPr>
        <w:tc>
          <w:tcPr>
            <w:tcW w:w="0" w:type="auto"/>
            <w:tcMar>
              <w:top w:w="150" w:type="dxa"/>
              <w:left w:w="0" w:type="dxa"/>
              <w:bottom w:w="150" w:type="dxa"/>
              <w:right w:w="240" w:type="dxa"/>
            </w:tcMar>
            <w:vAlign w:val="center"/>
            <w:hideMark/>
          </w:tcPr>
          <w:p w14:paraId="4EBB48DC" w14:textId="77777777" w:rsidR="00EA2578" w:rsidRPr="00EA2578" w:rsidRDefault="00EA2578" w:rsidP="006473EC">
            <w:pPr>
              <w:spacing w:after="160" w:line="360" w:lineRule="auto"/>
              <w:jc w:val="both"/>
            </w:pPr>
          </w:p>
        </w:tc>
        <w:tc>
          <w:tcPr>
            <w:tcW w:w="0" w:type="auto"/>
            <w:tcMar>
              <w:top w:w="150" w:type="dxa"/>
              <w:left w:w="240" w:type="dxa"/>
              <w:bottom w:w="150" w:type="dxa"/>
              <w:right w:w="240" w:type="dxa"/>
            </w:tcMar>
            <w:vAlign w:val="center"/>
            <w:hideMark/>
          </w:tcPr>
          <w:p w14:paraId="01E70B26" w14:textId="77777777" w:rsidR="00EA2578" w:rsidRPr="00EA2578" w:rsidRDefault="00EA2578" w:rsidP="006473EC">
            <w:pPr>
              <w:spacing w:after="160" w:line="360" w:lineRule="auto"/>
              <w:jc w:val="both"/>
            </w:pPr>
            <w:r w:rsidRPr="00EA2578">
              <w:t>36-45 years</w:t>
            </w:r>
          </w:p>
        </w:tc>
        <w:tc>
          <w:tcPr>
            <w:tcW w:w="0" w:type="auto"/>
            <w:tcMar>
              <w:top w:w="150" w:type="dxa"/>
              <w:left w:w="240" w:type="dxa"/>
              <w:bottom w:w="150" w:type="dxa"/>
              <w:right w:w="240" w:type="dxa"/>
            </w:tcMar>
            <w:vAlign w:val="center"/>
            <w:hideMark/>
          </w:tcPr>
          <w:p w14:paraId="17A36183" w14:textId="77777777" w:rsidR="00EA2578" w:rsidRPr="00EA2578" w:rsidRDefault="00EA2578" w:rsidP="006473EC">
            <w:pPr>
              <w:spacing w:after="160" w:line="360" w:lineRule="auto"/>
              <w:jc w:val="both"/>
            </w:pPr>
            <w:r w:rsidRPr="00EA2578">
              <w:t>126</w:t>
            </w:r>
          </w:p>
        </w:tc>
        <w:tc>
          <w:tcPr>
            <w:tcW w:w="0" w:type="auto"/>
            <w:tcMar>
              <w:top w:w="150" w:type="dxa"/>
              <w:left w:w="240" w:type="dxa"/>
              <w:bottom w:w="150" w:type="dxa"/>
              <w:right w:w="0" w:type="dxa"/>
            </w:tcMar>
            <w:vAlign w:val="center"/>
            <w:hideMark/>
          </w:tcPr>
          <w:p w14:paraId="71E0949D" w14:textId="77777777" w:rsidR="00EA2578" w:rsidRPr="00EA2578" w:rsidRDefault="00EA2578" w:rsidP="006473EC">
            <w:pPr>
              <w:spacing w:after="160" w:line="360" w:lineRule="auto"/>
              <w:jc w:val="both"/>
            </w:pPr>
            <w:r w:rsidRPr="00EA2578">
              <w:t>34.5</w:t>
            </w:r>
          </w:p>
        </w:tc>
      </w:tr>
      <w:tr w:rsidR="00EA2578" w:rsidRPr="00EA2578" w14:paraId="6248B4CD" w14:textId="77777777" w:rsidTr="00EA2578">
        <w:trPr>
          <w:trHeight w:val="574"/>
        </w:trPr>
        <w:tc>
          <w:tcPr>
            <w:tcW w:w="0" w:type="auto"/>
            <w:tcMar>
              <w:top w:w="150" w:type="dxa"/>
              <w:left w:w="0" w:type="dxa"/>
              <w:bottom w:w="150" w:type="dxa"/>
              <w:right w:w="240" w:type="dxa"/>
            </w:tcMar>
            <w:vAlign w:val="center"/>
            <w:hideMark/>
          </w:tcPr>
          <w:p w14:paraId="037951E1" w14:textId="77777777" w:rsidR="00EA2578" w:rsidRPr="00EA2578" w:rsidRDefault="00EA2578" w:rsidP="006473EC">
            <w:pPr>
              <w:spacing w:after="160" w:line="360" w:lineRule="auto"/>
              <w:jc w:val="both"/>
            </w:pPr>
          </w:p>
        </w:tc>
        <w:tc>
          <w:tcPr>
            <w:tcW w:w="0" w:type="auto"/>
            <w:tcMar>
              <w:top w:w="150" w:type="dxa"/>
              <w:left w:w="240" w:type="dxa"/>
              <w:bottom w:w="150" w:type="dxa"/>
              <w:right w:w="240" w:type="dxa"/>
            </w:tcMar>
            <w:vAlign w:val="center"/>
            <w:hideMark/>
          </w:tcPr>
          <w:p w14:paraId="6046E121" w14:textId="77777777" w:rsidR="00EA2578" w:rsidRPr="00EA2578" w:rsidRDefault="00EA2578" w:rsidP="006473EC">
            <w:pPr>
              <w:spacing w:after="160" w:line="360" w:lineRule="auto"/>
              <w:jc w:val="both"/>
            </w:pPr>
            <w:r w:rsidRPr="00EA2578">
              <w:t>46-55 years</w:t>
            </w:r>
          </w:p>
        </w:tc>
        <w:tc>
          <w:tcPr>
            <w:tcW w:w="0" w:type="auto"/>
            <w:tcMar>
              <w:top w:w="150" w:type="dxa"/>
              <w:left w:w="240" w:type="dxa"/>
              <w:bottom w:w="150" w:type="dxa"/>
              <w:right w:w="240" w:type="dxa"/>
            </w:tcMar>
            <w:vAlign w:val="center"/>
            <w:hideMark/>
          </w:tcPr>
          <w:p w14:paraId="1A379844" w14:textId="77777777" w:rsidR="00EA2578" w:rsidRPr="00EA2578" w:rsidRDefault="00EA2578" w:rsidP="006473EC">
            <w:pPr>
              <w:spacing w:after="160" w:line="360" w:lineRule="auto"/>
              <w:jc w:val="both"/>
            </w:pPr>
            <w:r w:rsidRPr="00EA2578">
              <w:t>69</w:t>
            </w:r>
          </w:p>
        </w:tc>
        <w:tc>
          <w:tcPr>
            <w:tcW w:w="0" w:type="auto"/>
            <w:tcMar>
              <w:top w:w="150" w:type="dxa"/>
              <w:left w:w="240" w:type="dxa"/>
              <w:bottom w:w="150" w:type="dxa"/>
              <w:right w:w="0" w:type="dxa"/>
            </w:tcMar>
            <w:vAlign w:val="center"/>
            <w:hideMark/>
          </w:tcPr>
          <w:p w14:paraId="61D9240B" w14:textId="77777777" w:rsidR="00EA2578" w:rsidRPr="00EA2578" w:rsidRDefault="00EA2578" w:rsidP="006473EC">
            <w:pPr>
              <w:spacing w:after="160" w:line="360" w:lineRule="auto"/>
              <w:jc w:val="both"/>
            </w:pPr>
            <w:r w:rsidRPr="00EA2578">
              <w:t>18.9</w:t>
            </w:r>
          </w:p>
        </w:tc>
      </w:tr>
      <w:tr w:rsidR="00EA2578" w:rsidRPr="00EA2578" w14:paraId="6854F8F4" w14:textId="77777777" w:rsidTr="00EA2578">
        <w:trPr>
          <w:trHeight w:val="574"/>
        </w:trPr>
        <w:tc>
          <w:tcPr>
            <w:tcW w:w="0" w:type="auto"/>
            <w:tcMar>
              <w:top w:w="150" w:type="dxa"/>
              <w:left w:w="0" w:type="dxa"/>
              <w:bottom w:w="150" w:type="dxa"/>
              <w:right w:w="240" w:type="dxa"/>
            </w:tcMar>
            <w:vAlign w:val="center"/>
            <w:hideMark/>
          </w:tcPr>
          <w:p w14:paraId="1A4D1183" w14:textId="77777777" w:rsidR="00EA2578" w:rsidRPr="00EA2578" w:rsidRDefault="00EA2578" w:rsidP="006473EC">
            <w:pPr>
              <w:spacing w:after="160" w:line="360" w:lineRule="auto"/>
              <w:jc w:val="both"/>
            </w:pPr>
          </w:p>
        </w:tc>
        <w:tc>
          <w:tcPr>
            <w:tcW w:w="0" w:type="auto"/>
            <w:tcMar>
              <w:top w:w="150" w:type="dxa"/>
              <w:left w:w="240" w:type="dxa"/>
              <w:bottom w:w="150" w:type="dxa"/>
              <w:right w:w="240" w:type="dxa"/>
            </w:tcMar>
            <w:vAlign w:val="center"/>
            <w:hideMark/>
          </w:tcPr>
          <w:p w14:paraId="19A59DCB" w14:textId="77777777" w:rsidR="00EA2578" w:rsidRPr="00EA2578" w:rsidRDefault="00EA2578" w:rsidP="006473EC">
            <w:pPr>
              <w:spacing w:after="160" w:line="360" w:lineRule="auto"/>
              <w:jc w:val="both"/>
            </w:pPr>
            <w:r w:rsidRPr="00EA2578">
              <w:t>56 years and above</w:t>
            </w:r>
          </w:p>
        </w:tc>
        <w:tc>
          <w:tcPr>
            <w:tcW w:w="0" w:type="auto"/>
            <w:tcMar>
              <w:top w:w="150" w:type="dxa"/>
              <w:left w:w="240" w:type="dxa"/>
              <w:bottom w:w="150" w:type="dxa"/>
              <w:right w:w="240" w:type="dxa"/>
            </w:tcMar>
            <w:vAlign w:val="center"/>
            <w:hideMark/>
          </w:tcPr>
          <w:p w14:paraId="01A32800" w14:textId="77777777" w:rsidR="00EA2578" w:rsidRPr="00EA2578" w:rsidRDefault="00EA2578" w:rsidP="006473EC">
            <w:pPr>
              <w:spacing w:after="160" w:line="360" w:lineRule="auto"/>
              <w:jc w:val="both"/>
            </w:pPr>
            <w:r w:rsidRPr="00EA2578">
              <w:t>39</w:t>
            </w:r>
          </w:p>
        </w:tc>
        <w:tc>
          <w:tcPr>
            <w:tcW w:w="0" w:type="auto"/>
            <w:tcMar>
              <w:top w:w="150" w:type="dxa"/>
              <w:left w:w="240" w:type="dxa"/>
              <w:bottom w:w="150" w:type="dxa"/>
              <w:right w:w="0" w:type="dxa"/>
            </w:tcMar>
            <w:vAlign w:val="center"/>
            <w:hideMark/>
          </w:tcPr>
          <w:p w14:paraId="6B4244C4" w14:textId="77777777" w:rsidR="00EA2578" w:rsidRPr="00EA2578" w:rsidRDefault="00EA2578" w:rsidP="006473EC">
            <w:pPr>
              <w:spacing w:after="160" w:line="360" w:lineRule="auto"/>
              <w:jc w:val="both"/>
            </w:pPr>
            <w:r w:rsidRPr="00EA2578">
              <w:t>10.7</w:t>
            </w:r>
          </w:p>
        </w:tc>
      </w:tr>
      <w:tr w:rsidR="00EA2578" w:rsidRPr="00EA2578" w14:paraId="2ECE9924" w14:textId="77777777" w:rsidTr="00EA2578">
        <w:trPr>
          <w:trHeight w:val="574"/>
        </w:trPr>
        <w:tc>
          <w:tcPr>
            <w:tcW w:w="0" w:type="auto"/>
            <w:tcMar>
              <w:top w:w="150" w:type="dxa"/>
              <w:left w:w="0" w:type="dxa"/>
              <w:bottom w:w="150" w:type="dxa"/>
              <w:right w:w="240" w:type="dxa"/>
            </w:tcMar>
            <w:vAlign w:val="center"/>
            <w:hideMark/>
          </w:tcPr>
          <w:p w14:paraId="1EDFA7A5" w14:textId="77777777" w:rsidR="00EA2578" w:rsidRPr="00EA2578" w:rsidRDefault="00EA2578" w:rsidP="006473EC">
            <w:pPr>
              <w:spacing w:after="160" w:line="360" w:lineRule="auto"/>
              <w:jc w:val="both"/>
            </w:pPr>
            <w:r w:rsidRPr="00EA2578">
              <w:rPr>
                <w:b/>
                <w:bCs/>
              </w:rPr>
              <w:t>Gender</w:t>
            </w:r>
          </w:p>
        </w:tc>
        <w:tc>
          <w:tcPr>
            <w:tcW w:w="0" w:type="auto"/>
            <w:tcMar>
              <w:top w:w="150" w:type="dxa"/>
              <w:left w:w="240" w:type="dxa"/>
              <w:bottom w:w="150" w:type="dxa"/>
              <w:right w:w="240" w:type="dxa"/>
            </w:tcMar>
            <w:vAlign w:val="center"/>
            <w:hideMark/>
          </w:tcPr>
          <w:p w14:paraId="052F3A37" w14:textId="77777777" w:rsidR="00EA2578" w:rsidRPr="00EA2578" w:rsidRDefault="00EA2578" w:rsidP="006473EC">
            <w:pPr>
              <w:spacing w:after="160" w:line="360" w:lineRule="auto"/>
              <w:jc w:val="both"/>
            </w:pPr>
            <w:r w:rsidRPr="00EA2578">
              <w:t>Male</w:t>
            </w:r>
          </w:p>
        </w:tc>
        <w:tc>
          <w:tcPr>
            <w:tcW w:w="0" w:type="auto"/>
            <w:tcMar>
              <w:top w:w="150" w:type="dxa"/>
              <w:left w:w="240" w:type="dxa"/>
              <w:bottom w:w="150" w:type="dxa"/>
              <w:right w:w="240" w:type="dxa"/>
            </w:tcMar>
            <w:vAlign w:val="center"/>
            <w:hideMark/>
          </w:tcPr>
          <w:p w14:paraId="7FD8F837" w14:textId="77777777" w:rsidR="00EA2578" w:rsidRPr="00EA2578" w:rsidRDefault="00EA2578" w:rsidP="006473EC">
            <w:pPr>
              <w:spacing w:after="160" w:line="360" w:lineRule="auto"/>
              <w:jc w:val="both"/>
            </w:pPr>
            <w:r w:rsidRPr="00EA2578">
              <w:t>150</w:t>
            </w:r>
          </w:p>
        </w:tc>
        <w:tc>
          <w:tcPr>
            <w:tcW w:w="0" w:type="auto"/>
            <w:tcMar>
              <w:top w:w="150" w:type="dxa"/>
              <w:left w:w="240" w:type="dxa"/>
              <w:bottom w:w="150" w:type="dxa"/>
              <w:right w:w="0" w:type="dxa"/>
            </w:tcMar>
            <w:vAlign w:val="center"/>
            <w:hideMark/>
          </w:tcPr>
          <w:p w14:paraId="41B74493" w14:textId="77777777" w:rsidR="00EA2578" w:rsidRPr="00EA2578" w:rsidRDefault="00EA2578" w:rsidP="006473EC">
            <w:pPr>
              <w:spacing w:after="160" w:line="360" w:lineRule="auto"/>
              <w:jc w:val="both"/>
            </w:pPr>
            <w:r w:rsidRPr="00EA2578">
              <w:t>41.1</w:t>
            </w:r>
          </w:p>
        </w:tc>
      </w:tr>
      <w:tr w:rsidR="00EA2578" w:rsidRPr="00EA2578" w14:paraId="4B1F3E8A" w14:textId="77777777" w:rsidTr="00EA2578">
        <w:trPr>
          <w:trHeight w:val="574"/>
        </w:trPr>
        <w:tc>
          <w:tcPr>
            <w:tcW w:w="0" w:type="auto"/>
            <w:tcMar>
              <w:top w:w="150" w:type="dxa"/>
              <w:left w:w="0" w:type="dxa"/>
              <w:bottom w:w="150" w:type="dxa"/>
              <w:right w:w="240" w:type="dxa"/>
            </w:tcMar>
            <w:vAlign w:val="center"/>
            <w:hideMark/>
          </w:tcPr>
          <w:p w14:paraId="46D5B678" w14:textId="77777777" w:rsidR="00EA2578" w:rsidRPr="00EA2578" w:rsidRDefault="00EA2578" w:rsidP="006473EC">
            <w:pPr>
              <w:spacing w:after="160" w:line="360" w:lineRule="auto"/>
              <w:jc w:val="both"/>
            </w:pPr>
          </w:p>
        </w:tc>
        <w:tc>
          <w:tcPr>
            <w:tcW w:w="0" w:type="auto"/>
            <w:tcMar>
              <w:top w:w="150" w:type="dxa"/>
              <w:left w:w="240" w:type="dxa"/>
              <w:bottom w:w="150" w:type="dxa"/>
              <w:right w:w="240" w:type="dxa"/>
            </w:tcMar>
            <w:vAlign w:val="center"/>
            <w:hideMark/>
          </w:tcPr>
          <w:p w14:paraId="0FC602DF" w14:textId="77777777" w:rsidR="00EA2578" w:rsidRPr="00EA2578" w:rsidRDefault="00EA2578" w:rsidP="006473EC">
            <w:pPr>
              <w:spacing w:after="160" w:line="360" w:lineRule="auto"/>
              <w:jc w:val="both"/>
            </w:pPr>
            <w:r w:rsidRPr="00EA2578">
              <w:t>Female</w:t>
            </w:r>
          </w:p>
        </w:tc>
        <w:tc>
          <w:tcPr>
            <w:tcW w:w="0" w:type="auto"/>
            <w:tcMar>
              <w:top w:w="150" w:type="dxa"/>
              <w:left w:w="240" w:type="dxa"/>
              <w:bottom w:w="150" w:type="dxa"/>
              <w:right w:w="240" w:type="dxa"/>
            </w:tcMar>
            <w:vAlign w:val="center"/>
            <w:hideMark/>
          </w:tcPr>
          <w:p w14:paraId="3A68E05B" w14:textId="77777777" w:rsidR="00EA2578" w:rsidRPr="00EA2578" w:rsidRDefault="00EA2578" w:rsidP="006473EC">
            <w:pPr>
              <w:spacing w:after="160" w:line="360" w:lineRule="auto"/>
              <w:jc w:val="both"/>
            </w:pPr>
            <w:r w:rsidRPr="00EA2578">
              <w:t>213</w:t>
            </w:r>
          </w:p>
        </w:tc>
        <w:tc>
          <w:tcPr>
            <w:tcW w:w="0" w:type="auto"/>
            <w:tcMar>
              <w:top w:w="150" w:type="dxa"/>
              <w:left w:w="240" w:type="dxa"/>
              <w:bottom w:w="150" w:type="dxa"/>
              <w:right w:w="0" w:type="dxa"/>
            </w:tcMar>
            <w:vAlign w:val="center"/>
            <w:hideMark/>
          </w:tcPr>
          <w:p w14:paraId="6473D780" w14:textId="77777777" w:rsidR="00EA2578" w:rsidRPr="00EA2578" w:rsidRDefault="00EA2578" w:rsidP="006473EC">
            <w:pPr>
              <w:spacing w:after="160" w:line="360" w:lineRule="auto"/>
              <w:jc w:val="both"/>
            </w:pPr>
            <w:r w:rsidRPr="00EA2578">
              <w:t>58.4</w:t>
            </w:r>
          </w:p>
        </w:tc>
      </w:tr>
      <w:tr w:rsidR="00EA2578" w:rsidRPr="00EA2578" w14:paraId="0C466F97" w14:textId="77777777" w:rsidTr="00EA2578">
        <w:trPr>
          <w:trHeight w:val="574"/>
        </w:trPr>
        <w:tc>
          <w:tcPr>
            <w:tcW w:w="0" w:type="auto"/>
            <w:tcMar>
              <w:top w:w="150" w:type="dxa"/>
              <w:left w:w="0" w:type="dxa"/>
              <w:bottom w:w="150" w:type="dxa"/>
              <w:right w:w="240" w:type="dxa"/>
            </w:tcMar>
            <w:vAlign w:val="center"/>
            <w:hideMark/>
          </w:tcPr>
          <w:p w14:paraId="08AF0356" w14:textId="77777777" w:rsidR="00EA2578" w:rsidRPr="00EA2578" w:rsidRDefault="00EA2578" w:rsidP="006473EC">
            <w:pPr>
              <w:spacing w:after="160" w:line="360" w:lineRule="auto"/>
              <w:jc w:val="both"/>
            </w:pPr>
          </w:p>
        </w:tc>
        <w:tc>
          <w:tcPr>
            <w:tcW w:w="0" w:type="auto"/>
            <w:tcMar>
              <w:top w:w="150" w:type="dxa"/>
              <w:left w:w="240" w:type="dxa"/>
              <w:bottom w:w="150" w:type="dxa"/>
              <w:right w:w="240" w:type="dxa"/>
            </w:tcMar>
            <w:vAlign w:val="center"/>
            <w:hideMark/>
          </w:tcPr>
          <w:p w14:paraId="3D1FAD7E" w14:textId="77777777" w:rsidR="00EA2578" w:rsidRPr="00EA2578" w:rsidRDefault="00EA2578" w:rsidP="006473EC">
            <w:pPr>
              <w:spacing w:after="160" w:line="360" w:lineRule="auto"/>
              <w:jc w:val="both"/>
            </w:pPr>
            <w:r w:rsidRPr="00EA2578">
              <w:t>Prefer not to say</w:t>
            </w:r>
          </w:p>
        </w:tc>
        <w:tc>
          <w:tcPr>
            <w:tcW w:w="0" w:type="auto"/>
            <w:tcMar>
              <w:top w:w="150" w:type="dxa"/>
              <w:left w:w="240" w:type="dxa"/>
              <w:bottom w:w="150" w:type="dxa"/>
              <w:right w:w="240" w:type="dxa"/>
            </w:tcMar>
            <w:vAlign w:val="center"/>
            <w:hideMark/>
          </w:tcPr>
          <w:p w14:paraId="034F9DE8" w14:textId="77777777" w:rsidR="00EA2578" w:rsidRPr="00EA2578" w:rsidRDefault="00EA2578" w:rsidP="006473EC">
            <w:pPr>
              <w:spacing w:after="160" w:line="360" w:lineRule="auto"/>
              <w:jc w:val="both"/>
            </w:pPr>
            <w:r w:rsidRPr="00EA2578">
              <w:t>2</w:t>
            </w:r>
          </w:p>
        </w:tc>
        <w:tc>
          <w:tcPr>
            <w:tcW w:w="0" w:type="auto"/>
            <w:tcMar>
              <w:top w:w="150" w:type="dxa"/>
              <w:left w:w="240" w:type="dxa"/>
              <w:bottom w:w="150" w:type="dxa"/>
              <w:right w:w="0" w:type="dxa"/>
            </w:tcMar>
            <w:vAlign w:val="center"/>
            <w:hideMark/>
          </w:tcPr>
          <w:p w14:paraId="20698CAC" w14:textId="77777777" w:rsidR="00EA2578" w:rsidRPr="00EA2578" w:rsidRDefault="00EA2578" w:rsidP="006473EC">
            <w:pPr>
              <w:spacing w:after="160" w:line="360" w:lineRule="auto"/>
              <w:jc w:val="both"/>
            </w:pPr>
            <w:r w:rsidRPr="00EA2578">
              <w:t>0.5</w:t>
            </w:r>
          </w:p>
        </w:tc>
      </w:tr>
      <w:tr w:rsidR="00EA2578" w:rsidRPr="00EA2578" w14:paraId="704DDA07" w14:textId="77777777" w:rsidTr="00EA2578">
        <w:trPr>
          <w:trHeight w:val="574"/>
        </w:trPr>
        <w:tc>
          <w:tcPr>
            <w:tcW w:w="0" w:type="auto"/>
            <w:tcMar>
              <w:top w:w="150" w:type="dxa"/>
              <w:left w:w="0" w:type="dxa"/>
              <w:bottom w:w="150" w:type="dxa"/>
              <w:right w:w="240" w:type="dxa"/>
            </w:tcMar>
            <w:vAlign w:val="center"/>
            <w:hideMark/>
          </w:tcPr>
          <w:p w14:paraId="0533BAD1" w14:textId="77777777" w:rsidR="00EA2578" w:rsidRPr="00EA2578" w:rsidRDefault="00EA2578" w:rsidP="006473EC">
            <w:pPr>
              <w:spacing w:after="160" w:line="360" w:lineRule="auto"/>
              <w:jc w:val="both"/>
            </w:pPr>
            <w:r w:rsidRPr="00EA2578">
              <w:rPr>
                <w:b/>
                <w:bCs/>
              </w:rPr>
              <w:t>Education</w:t>
            </w:r>
          </w:p>
        </w:tc>
        <w:tc>
          <w:tcPr>
            <w:tcW w:w="0" w:type="auto"/>
            <w:tcMar>
              <w:top w:w="150" w:type="dxa"/>
              <w:left w:w="240" w:type="dxa"/>
              <w:bottom w:w="150" w:type="dxa"/>
              <w:right w:w="240" w:type="dxa"/>
            </w:tcMar>
            <w:vAlign w:val="center"/>
            <w:hideMark/>
          </w:tcPr>
          <w:p w14:paraId="2C9297ED" w14:textId="77777777" w:rsidR="00EA2578" w:rsidRPr="00EA2578" w:rsidRDefault="00EA2578" w:rsidP="006473EC">
            <w:pPr>
              <w:spacing w:after="160" w:line="360" w:lineRule="auto"/>
              <w:jc w:val="both"/>
            </w:pPr>
            <w:r w:rsidRPr="00EA2578">
              <w:t>No formal education</w:t>
            </w:r>
          </w:p>
        </w:tc>
        <w:tc>
          <w:tcPr>
            <w:tcW w:w="0" w:type="auto"/>
            <w:tcMar>
              <w:top w:w="150" w:type="dxa"/>
              <w:left w:w="240" w:type="dxa"/>
              <w:bottom w:w="150" w:type="dxa"/>
              <w:right w:w="240" w:type="dxa"/>
            </w:tcMar>
            <w:vAlign w:val="center"/>
            <w:hideMark/>
          </w:tcPr>
          <w:p w14:paraId="0EDB3B30" w14:textId="77777777" w:rsidR="00EA2578" w:rsidRPr="00EA2578" w:rsidRDefault="00EA2578" w:rsidP="006473EC">
            <w:pPr>
              <w:spacing w:after="160" w:line="360" w:lineRule="auto"/>
              <w:jc w:val="both"/>
            </w:pPr>
            <w:r w:rsidRPr="00EA2578">
              <w:t>7</w:t>
            </w:r>
          </w:p>
        </w:tc>
        <w:tc>
          <w:tcPr>
            <w:tcW w:w="0" w:type="auto"/>
            <w:tcMar>
              <w:top w:w="150" w:type="dxa"/>
              <w:left w:w="240" w:type="dxa"/>
              <w:bottom w:w="150" w:type="dxa"/>
              <w:right w:w="0" w:type="dxa"/>
            </w:tcMar>
            <w:vAlign w:val="center"/>
            <w:hideMark/>
          </w:tcPr>
          <w:p w14:paraId="0B7A5CFC" w14:textId="77777777" w:rsidR="00EA2578" w:rsidRPr="00EA2578" w:rsidRDefault="00EA2578" w:rsidP="006473EC">
            <w:pPr>
              <w:spacing w:after="160" w:line="360" w:lineRule="auto"/>
              <w:jc w:val="both"/>
            </w:pPr>
            <w:r w:rsidRPr="00EA2578">
              <w:t>1.9</w:t>
            </w:r>
          </w:p>
        </w:tc>
      </w:tr>
      <w:tr w:rsidR="00EA2578" w:rsidRPr="00EA2578" w14:paraId="61333715" w14:textId="77777777" w:rsidTr="00EA2578">
        <w:trPr>
          <w:trHeight w:val="574"/>
        </w:trPr>
        <w:tc>
          <w:tcPr>
            <w:tcW w:w="0" w:type="auto"/>
            <w:tcMar>
              <w:top w:w="150" w:type="dxa"/>
              <w:left w:w="0" w:type="dxa"/>
              <w:bottom w:w="150" w:type="dxa"/>
              <w:right w:w="240" w:type="dxa"/>
            </w:tcMar>
            <w:vAlign w:val="center"/>
            <w:hideMark/>
          </w:tcPr>
          <w:p w14:paraId="75B23E5E" w14:textId="77777777" w:rsidR="00EA2578" w:rsidRPr="00EA2578" w:rsidRDefault="00EA2578" w:rsidP="006473EC">
            <w:pPr>
              <w:spacing w:after="160" w:line="360" w:lineRule="auto"/>
              <w:jc w:val="both"/>
            </w:pPr>
          </w:p>
        </w:tc>
        <w:tc>
          <w:tcPr>
            <w:tcW w:w="0" w:type="auto"/>
            <w:tcMar>
              <w:top w:w="150" w:type="dxa"/>
              <w:left w:w="240" w:type="dxa"/>
              <w:bottom w:w="150" w:type="dxa"/>
              <w:right w:w="240" w:type="dxa"/>
            </w:tcMar>
            <w:vAlign w:val="center"/>
            <w:hideMark/>
          </w:tcPr>
          <w:p w14:paraId="520F97DB" w14:textId="77777777" w:rsidR="00EA2578" w:rsidRPr="00EA2578" w:rsidRDefault="00EA2578" w:rsidP="006473EC">
            <w:pPr>
              <w:spacing w:after="160" w:line="360" w:lineRule="auto"/>
              <w:jc w:val="both"/>
            </w:pPr>
            <w:r w:rsidRPr="00EA2578">
              <w:t>Primary</w:t>
            </w:r>
          </w:p>
        </w:tc>
        <w:tc>
          <w:tcPr>
            <w:tcW w:w="0" w:type="auto"/>
            <w:tcMar>
              <w:top w:w="150" w:type="dxa"/>
              <w:left w:w="240" w:type="dxa"/>
              <w:bottom w:w="150" w:type="dxa"/>
              <w:right w:w="240" w:type="dxa"/>
            </w:tcMar>
            <w:vAlign w:val="center"/>
            <w:hideMark/>
          </w:tcPr>
          <w:p w14:paraId="3B418234" w14:textId="77777777" w:rsidR="00EA2578" w:rsidRPr="00EA2578" w:rsidRDefault="00EA2578" w:rsidP="006473EC">
            <w:pPr>
              <w:spacing w:after="160" w:line="360" w:lineRule="auto"/>
              <w:jc w:val="both"/>
            </w:pPr>
            <w:r w:rsidRPr="00EA2578">
              <w:t>18</w:t>
            </w:r>
          </w:p>
        </w:tc>
        <w:tc>
          <w:tcPr>
            <w:tcW w:w="0" w:type="auto"/>
            <w:tcMar>
              <w:top w:w="150" w:type="dxa"/>
              <w:left w:w="240" w:type="dxa"/>
              <w:bottom w:w="150" w:type="dxa"/>
              <w:right w:w="0" w:type="dxa"/>
            </w:tcMar>
            <w:vAlign w:val="center"/>
            <w:hideMark/>
          </w:tcPr>
          <w:p w14:paraId="5B2CCFF8" w14:textId="77777777" w:rsidR="00EA2578" w:rsidRPr="00EA2578" w:rsidRDefault="00EA2578" w:rsidP="006473EC">
            <w:pPr>
              <w:spacing w:after="160" w:line="360" w:lineRule="auto"/>
              <w:jc w:val="both"/>
            </w:pPr>
            <w:r w:rsidRPr="00EA2578">
              <w:t>4.9</w:t>
            </w:r>
          </w:p>
        </w:tc>
      </w:tr>
      <w:tr w:rsidR="00EA2578" w:rsidRPr="00EA2578" w14:paraId="0C6199D3" w14:textId="77777777" w:rsidTr="00EA2578">
        <w:trPr>
          <w:trHeight w:val="574"/>
        </w:trPr>
        <w:tc>
          <w:tcPr>
            <w:tcW w:w="0" w:type="auto"/>
            <w:tcMar>
              <w:top w:w="150" w:type="dxa"/>
              <w:left w:w="0" w:type="dxa"/>
              <w:bottom w:w="150" w:type="dxa"/>
              <w:right w:w="240" w:type="dxa"/>
            </w:tcMar>
            <w:vAlign w:val="center"/>
            <w:hideMark/>
          </w:tcPr>
          <w:p w14:paraId="04D5003E" w14:textId="77777777" w:rsidR="00EA2578" w:rsidRPr="00EA2578" w:rsidRDefault="00EA2578" w:rsidP="006473EC">
            <w:pPr>
              <w:spacing w:after="160" w:line="360" w:lineRule="auto"/>
              <w:jc w:val="both"/>
            </w:pPr>
          </w:p>
        </w:tc>
        <w:tc>
          <w:tcPr>
            <w:tcW w:w="0" w:type="auto"/>
            <w:tcMar>
              <w:top w:w="150" w:type="dxa"/>
              <w:left w:w="240" w:type="dxa"/>
              <w:bottom w:w="150" w:type="dxa"/>
              <w:right w:w="240" w:type="dxa"/>
            </w:tcMar>
            <w:vAlign w:val="center"/>
            <w:hideMark/>
          </w:tcPr>
          <w:p w14:paraId="7A76F54E" w14:textId="77777777" w:rsidR="00EA2578" w:rsidRPr="00EA2578" w:rsidRDefault="00EA2578" w:rsidP="006473EC">
            <w:pPr>
              <w:spacing w:after="160" w:line="360" w:lineRule="auto"/>
              <w:jc w:val="both"/>
            </w:pPr>
            <w:r w:rsidRPr="00EA2578">
              <w:t>Secondary</w:t>
            </w:r>
          </w:p>
        </w:tc>
        <w:tc>
          <w:tcPr>
            <w:tcW w:w="0" w:type="auto"/>
            <w:tcMar>
              <w:top w:w="150" w:type="dxa"/>
              <w:left w:w="240" w:type="dxa"/>
              <w:bottom w:w="150" w:type="dxa"/>
              <w:right w:w="240" w:type="dxa"/>
            </w:tcMar>
            <w:vAlign w:val="center"/>
            <w:hideMark/>
          </w:tcPr>
          <w:p w14:paraId="40ADA6AD" w14:textId="77777777" w:rsidR="00EA2578" w:rsidRPr="00EA2578" w:rsidRDefault="00EA2578" w:rsidP="006473EC">
            <w:pPr>
              <w:spacing w:after="160" w:line="360" w:lineRule="auto"/>
              <w:jc w:val="both"/>
            </w:pPr>
            <w:r w:rsidRPr="00EA2578">
              <w:t>61</w:t>
            </w:r>
          </w:p>
        </w:tc>
        <w:tc>
          <w:tcPr>
            <w:tcW w:w="0" w:type="auto"/>
            <w:tcMar>
              <w:top w:w="150" w:type="dxa"/>
              <w:left w:w="240" w:type="dxa"/>
              <w:bottom w:w="150" w:type="dxa"/>
              <w:right w:w="0" w:type="dxa"/>
            </w:tcMar>
            <w:vAlign w:val="center"/>
            <w:hideMark/>
          </w:tcPr>
          <w:p w14:paraId="60DFFFB5" w14:textId="77777777" w:rsidR="00EA2578" w:rsidRPr="00EA2578" w:rsidRDefault="00EA2578" w:rsidP="006473EC">
            <w:pPr>
              <w:spacing w:after="160" w:line="360" w:lineRule="auto"/>
              <w:jc w:val="both"/>
            </w:pPr>
            <w:r w:rsidRPr="00EA2578">
              <w:t>16.7</w:t>
            </w:r>
          </w:p>
        </w:tc>
      </w:tr>
      <w:tr w:rsidR="00EA2578" w:rsidRPr="00EA2578" w14:paraId="1344C20F" w14:textId="77777777" w:rsidTr="00EA2578">
        <w:trPr>
          <w:trHeight w:val="574"/>
        </w:trPr>
        <w:tc>
          <w:tcPr>
            <w:tcW w:w="0" w:type="auto"/>
            <w:tcMar>
              <w:top w:w="150" w:type="dxa"/>
              <w:left w:w="0" w:type="dxa"/>
              <w:bottom w:w="150" w:type="dxa"/>
              <w:right w:w="240" w:type="dxa"/>
            </w:tcMar>
            <w:vAlign w:val="center"/>
            <w:hideMark/>
          </w:tcPr>
          <w:p w14:paraId="1756E9AE" w14:textId="77777777" w:rsidR="00EA2578" w:rsidRPr="00EA2578" w:rsidRDefault="00EA2578" w:rsidP="006473EC">
            <w:pPr>
              <w:spacing w:after="160" w:line="360" w:lineRule="auto"/>
              <w:jc w:val="both"/>
            </w:pPr>
          </w:p>
        </w:tc>
        <w:tc>
          <w:tcPr>
            <w:tcW w:w="0" w:type="auto"/>
            <w:tcMar>
              <w:top w:w="150" w:type="dxa"/>
              <w:left w:w="240" w:type="dxa"/>
              <w:bottom w:w="150" w:type="dxa"/>
              <w:right w:w="240" w:type="dxa"/>
            </w:tcMar>
            <w:vAlign w:val="center"/>
            <w:hideMark/>
          </w:tcPr>
          <w:p w14:paraId="7C4F6A42" w14:textId="77777777" w:rsidR="00EA2578" w:rsidRPr="00EA2578" w:rsidRDefault="00EA2578" w:rsidP="006473EC">
            <w:pPr>
              <w:spacing w:after="160" w:line="360" w:lineRule="auto"/>
              <w:jc w:val="both"/>
            </w:pPr>
            <w:r w:rsidRPr="00EA2578">
              <w:t>Diploma/NCE</w:t>
            </w:r>
          </w:p>
        </w:tc>
        <w:tc>
          <w:tcPr>
            <w:tcW w:w="0" w:type="auto"/>
            <w:tcMar>
              <w:top w:w="150" w:type="dxa"/>
              <w:left w:w="240" w:type="dxa"/>
              <w:bottom w:w="150" w:type="dxa"/>
              <w:right w:w="240" w:type="dxa"/>
            </w:tcMar>
            <w:vAlign w:val="center"/>
            <w:hideMark/>
          </w:tcPr>
          <w:p w14:paraId="0DAC7312" w14:textId="77777777" w:rsidR="00EA2578" w:rsidRPr="00EA2578" w:rsidRDefault="00EA2578" w:rsidP="006473EC">
            <w:pPr>
              <w:spacing w:after="160" w:line="360" w:lineRule="auto"/>
              <w:jc w:val="both"/>
            </w:pPr>
            <w:r w:rsidRPr="00EA2578">
              <w:t>67</w:t>
            </w:r>
          </w:p>
        </w:tc>
        <w:tc>
          <w:tcPr>
            <w:tcW w:w="0" w:type="auto"/>
            <w:tcMar>
              <w:top w:w="150" w:type="dxa"/>
              <w:left w:w="240" w:type="dxa"/>
              <w:bottom w:w="150" w:type="dxa"/>
              <w:right w:w="0" w:type="dxa"/>
            </w:tcMar>
            <w:vAlign w:val="center"/>
            <w:hideMark/>
          </w:tcPr>
          <w:p w14:paraId="2BC72E37" w14:textId="77777777" w:rsidR="00EA2578" w:rsidRPr="00EA2578" w:rsidRDefault="00EA2578" w:rsidP="006473EC">
            <w:pPr>
              <w:spacing w:after="160" w:line="360" w:lineRule="auto"/>
              <w:jc w:val="both"/>
            </w:pPr>
            <w:r w:rsidRPr="00EA2578">
              <w:t>18.4</w:t>
            </w:r>
          </w:p>
        </w:tc>
      </w:tr>
      <w:tr w:rsidR="00EA2578" w:rsidRPr="00EA2578" w14:paraId="0B39B043" w14:textId="77777777" w:rsidTr="00EA2578">
        <w:trPr>
          <w:trHeight w:val="574"/>
        </w:trPr>
        <w:tc>
          <w:tcPr>
            <w:tcW w:w="0" w:type="auto"/>
            <w:tcMar>
              <w:top w:w="150" w:type="dxa"/>
              <w:left w:w="0" w:type="dxa"/>
              <w:bottom w:w="150" w:type="dxa"/>
              <w:right w:w="240" w:type="dxa"/>
            </w:tcMar>
            <w:vAlign w:val="center"/>
            <w:hideMark/>
          </w:tcPr>
          <w:p w14:paraId="4FD57744" w14:textId="77777777" w:rsidR="00EA2578" w:rsidRPr="00EA2578" w:rsidRDefault="00EA2578" w:rsidP="006473EC">
            <w:pPr>
              <w:spacing w:after="160" w:line="360" w:lineRule="auto"/>
              <w:jc w:val="both"/>
            </w:pPr>
          </w:p>
        </w:tc>
        <w:tc>
          <w:tcPr>
            <w:tcW w:w="0" w:type="auto"/>
            <w:tcMar>
              <w:top w:w="150" w:type="dxa"/>
              <w:left w:w="240" w:type="dxa"/>
              <w:bottom w:w="150" w:type="dxa"/>
              <w:right w:w="240" w:type="dxa"/>
            </w:tcMar>
            <w:vAlign w:val="center"/>
            <w:hideMark/>
          </w:tcPr>
          <w:p w14:paraId="4B4D3FEC" w14:textId="77777777" w:rsidR="00EA2578" w:rsidRPr="00EA2578" w:rsidRDefault="00EA2578" w:rsidP="006473EC">
            <w:pPr>
              <w:spacing w:after="160" w:line="360" w:lineRule="auto"/>
              <w:jc w:val="both"/>
            </w:pPr>
            <w:r w:rsidRPr="00EA2578">
              <w:t>Bachelor's degree</w:t>
            </w:r>
          </w:p>
        </w:tc>
        <w:tc>
          <w:tcPr>
            <w:tcW w:w="0" w:type="auto"/>
            <w:tcMar>
              <w:top w:w="150" w:type="dxa"/>
              <w:left w:w="240" w:type="dxa"/>
              <w:bottom w:w="150" w:type="dxa"/>
              <w:right w:w="240" w:type="dxa"/>
            </w:tcMar>
            <w:vAlign w:val="center"/>
            <w:hideMark/>
          </w:tcPr>
          <w:p w14:paraId="6D9A20DD" w14:textId="77777777" w:rsidR="00EA2578" w:rsidRPr="00EA2578" w:rsidRDefault="00EA2578" w:rsidP="006473EC">
            <w:pPr>
              <w:spacing w:after="160" w:line="360" w:lineRule="auto"/>
              <w:jc w:val="both"/>
            </w:pPr>
            <w:r w:rsidRPr="00EA2578">
              <w:t>142</w:t>
            </w:r>
          </w:p>
        </w:tc>
        <w:tc>
          <w:tcPr>
            <w:tcW w:w="0" w:type="auto"/>
            <w:tcMar>
              <w:top w:w="150" w:type="dxa"/>
              <w:left w:w="240" w:type="dxa"/>
              <w:bottom w:w="150" w:type="dxa"/>
              <w:right w:w="0" w:type="dxa"/>
            </w:tcMar>
            <w:vAlign w:val="center"/>
            <w:hideMark/>
          </w:tcPr>
          <w:p w14:paraId="4CEBC036" w14:textId="77777777" w:rsidR="00EA2578" w:rsidRPr="00EA2578" w:rsidRDefault="00EA2578" w:rsidP="006473EC">
            <w:pPr>
              <w:spacing w:after="160" w:line="360" w:lineRule="auto"/>
              <w:jc w:val="both"/>
            </w:pPr>
            <w:r w:rsidRPr="00EA2578">
              <w:t>38.9</w:t>
            </w:r>
          </w:p>
        </w:tc>
      </w:tr>
      <w:tr w:rsidR="00EA2578" w:rsidRPr="00EA2578" w14:paraId="6C38FBD1" w14:textId="77777777" w:rsidTr="00EA2578">
        <w:trPr>
          <w:trHeight w:val="574"/>
        </w:trPr>
        <w:tc>
          <w:tcPr>
            <w:tcW w:w="0" w:type="auto"/>
            <w:tcMar>
              <w:top w:w="150" w:type="dxa"/>
              <w:left w:w="0" w:type="dxa"/>
              <w:bottom w:w="150" w:type="dxa"/>
              <w:right w:w="240" w:type="dxa"/>
            </w:tcMar>
            <w:vAlign w:val="center"/>
            <w:hideMark/>
          </w:tcPr>
          <w:p w14:paraId="3F2BA93F" w14:textId="77777777" w:rsidR="00EA2578" w:rsidRPr="00EA2578" w:rsidRDefault="00EA2578" w:rsidP="006473EC">
            <w:pPr>
              <w:spacing w:after="160" w:line="360" w:lineRule="auto"/>
              <w:jc w:val="both"/>
            </w:pPr>
          </w:p>
        </w:tc>
        <w:tc>
          <w:tcPr>
            <w:tcW w:w="0" w:type="auto"/>
            <w:tcMar>
              <w:top w:w="150" w:type="dxa"/>
              <w:left w:w="240" w:type="dxa"/>
              <w:bottom w:w="150" w:type="dxa"/>
              <w:right w:w="240" w:type="dxa"/>
            </w:tcMar>
            <w:vAlign w:val="center"/>
            <w:hideMark/>
          </w:tcPr>
          <w:p w14:paraId="0908A47D" w14:textId="77777777" w:rsidR="00EA2578" w:rsidRPr="00EA2578" w:rsidRDefault="00EA2578" w:rsidP="006473EC">
            <w:pPr>
              <w:spacing w:after="160" w:line="360" w:lineRule="auto"/>
              <w:jc w:val="both"/>
            </w:pPr>
            <w:r w:rsidRPr="00EA2578">
              <w:t>Postgraduate</w:t>
            </w:r>
          </w:p>
        </w:tc>
        <w:tc>
          <w:tcPr>
            <w:tcW w:w="0" w:type="auto"/>
            <w:tcMar>
              <w:top w:w="150" w:type="dxa"/>
              <w:left w:w="240" w:type="dxa"/>
              <w:bottom w:w="150" w:type="dxa"/>
              <w:right w:w="240" w:type="dxa"/>
            </w:tcMar>
            <w:vAlign w:val="center"/>
            <w:hideMark/>
          </w:tcPr>
          <w:p w14:paraId="2B9B17A5" w14:textId="77777777" w:rsidR="00EA2578" w:rsidRPr="00EA2578" w:rsidRDefault="00EA2578" w:rsidP="006473EC">
            <w:pPr>
              <w:spacing w:after="160" w:line="360" w:lineRule="auto"/>
              <w:jc w:val="both"/>
            </w:pPr>
            <w:r w:rsidRPr="00EA2578">
              <w:t>70</w:t>
            </w:r>
          </w:p>
        </w:tc>
        <w:tc>
          <w:tcPr>
            <w:tcW w:w="0" w:type="auto"/>
            <w:tcMar>
              <w:top w:w="150" w:type="dxa"/>
              <w:left w:w="240" w:type="dxa"/>
              <w:bottom w:w="150" w:type="dxa"/>
              <w:right w:w="0" w:type="dxa"/>
            </w:tcMar>
            <w:vAlign w:val="center"/>
            <w:hideMark/>
          </w:tcPr>
          <w:p w14:paraId="77E6CC4F" w14:textId="77777777" w:rsidR="00EA2578" w:rsidRPr="00EA2578" w:rsidRDefault="00EA2578" w:rsidP="006473EC">
            <w:pPr>
              <w:spacing w:after="160" w:line="360" w:lineRule="auto"/>
              <w:jc w:val="both"/>
            </w:pPr>
            <w:r w:rsidRPr="00EA2578">
              <w:t>19.2</w:t>
            </w:r>
          </w:p>
        </w:tc>
      </w:tr>
      <w:tr w:rsidR="00EA2578" w:rsidRPr="00EA2578" w14:paraId="588F91AB" w14:textId="77777777" w:rsidTr="00EA2578">
        <w:trPr>
          <w:trHeight w:val="574"/>
        </w:trPr>
        <w:tc>
          <w:tcPr>
            <w:tcW w:w="0" w:type="auto"/>
            <w:tcMar>
              <w:top w:w="150" w:type="dxa"/>
              <w:left w:w="0" w:type="dxa"/>
              <w:bottom w:w="150" w:type="dxa"/>
              <w:right w:w="240" w:type="dxa"/>
            </w:tcMar>
            <w:vAlign w:val="center"/>
            <w:hideMark/>
          </w:tcPr>
          <w:p w14:paraId="61216A59" w14:textId="77777777" w:rsidR="00EA2578" w:rsidRPr="00EA2578" w:rsidRDefault="00EA2578" w:rsidP="006473EC">
            <w:pPr>
              <w:spacing w:after="160" w:line="360" w:lineRule="auto"/>
              <w:jc w:val="both"/>
            </w:pPr>
            <w:r w:rsidRPr="00EA2578">
              <w:rPr>
                <w:b/>
                <w:bCs/>
              </w:rPr>
              <w:t>Income</w:t>
            </w:r>
          </w:p>
        </w:tc>
        <w:tc>
          <w:tcPr>
            <w:tcW w:w="0" w:type="auto"/>
            <w:tcMar>
              <w:top w:w="150" w:type="dxa"/>
              <w:left w:w="240" w:type="dxa"/>
              <w:bottom w:w="150" w:type="dxa"/>
              <w:right w:w="240" w:type="dxa"/>
            </w:tcMar>
            <w:vAlign w:val="center"/>
            <w:hideMark/>
          </w:tcPr>
          <w:p w14:paraId="59F9C80D" w14:textId="77777777" w:rsidR="00EA2578" w:rsidRPr="00EA2578" w:rsidRDefault="00EA2578" w:rsidP="006473EC">
            <w:pPr>
              <w:spacing w:after="160" w:line="360" w:lineRule="auto"/>
              <w:jc w:val="both"/>
            </w:pPr>
            <w:r w:rsidRPr="00EA2578">
              <w:t>Below ₦50,000</w:t>
            </w:r>
          </w:p>
        </w:tc>
        <w:tc>
          <w:tcPr>
            <w:tcW w:w="0" w:type="auto"/>
            <w:tcMar>
              <w:top w:w="150" w:type="dxa"/>
              <w:left w:w="240" w:type="dxa"/>
              <w:bottom w:w="150" w:type="dxa"/>
              <w:right w:w="240" w:type="dxa"/>
            </w:tcMar>
            <w:vAlign w:val="center"/>
            <w:hideMark/>
          </w:tcPr>
          <w:p w14:paraId="5E7C6DE4" w14:textId="77777777" w:rsidR="00EA2578" w:rsidRPr="00EA2578" w:rsidRDefault="00EA2578" w:rsidP="006473EC">
            <w:pPr>
              <w:spacing w:after="160" w:line="360" w:lineRule="auto"/>
              <w:jc w:val="both"/>
            </w:pPr>
            <w:r w:rsidRPr="00EA2578">
              <w:t>41</w:t>
            </w:r>
          </w:p>
        </w:tc>
        <w:tc>
          <w:tcPr>
            <w:tcW w:w="0" w:type="auto"/>
            <w:tcMar>
              <w:top w:w="150" w:type="dxa"/>
              <w:left w:w="240" w:type="dxa"/>
              <w:bottom w:w="150" w:type="dxa"/>
              <w:right w:w="0" w:type="dxa"/>
            </w:tcMar>
            <w:vAlign w:val="center"/>
            <w:hideMark/>
          </w:tcPr>
          <w:p w14:paraId="6690B57E" w14:textId="77777777" w:rsidR="00EA2578" w:rsidRPr="00EA2578" w:rsidRDefault="00EA2578" w:rsidP="006473EC">
            <w:pPr>
              <w:spacing w:after="160" w:line="360" w:lineRule="auto"/>
              <w:jc w:val="both"/>
            </w:pPr>
            <w:r w:rsidRPr="00EA2578">
              <w:t>11.2</w:t>
            </w:r>
          </w:p>
        </w:tc>
      </w:tr>
      <w:tr w:rsidR="00EA2578" w:rsidRPr="00EA2578" w14:paraId="41AB0F10" w14:textId="77777777" w:rsidTr="00EA2578">
        <w:trPr>
          <w:trHeight w:val="574"/>
        </w:trPr>
        <w:tc>
          <w:tcPr>
            <w:tcW w:w="0" w:type="auto"/>
            <w:tcMar>
              <w:top w:w="150" w:type="dxa"/>
              <w:left w:w="0" w:type="dxa"/>
              <w:bottom w:w="150" w:type="dxa"/>
              <w:right w:w="240" w:type="dxa"/>
            </w:tcMar>
            <w:vAlign w:val="center"/>
            <w:hideMark/>
          </w:tcPr>
          <w:p w14:paraId="16D4205F" w14:textId="77777777" w:rsidR="00EA2578" w:rsidRPr="00EA2578" w:rsidRDefault="00EA2578" w:rsidP="006473EC">
            <w:pPr>
              <w:spacing w:after="160" w:line="360" w:lineRule="auto"/>
              <w:jc w:val="both"/>
            </w:pPr>
          </w:p>
        </w:tc>
        <w:tc>
          <w:tcPr>
            <w:tcW w:w="0" w:type="auto"/>
            <w:tcMar>
              <w:top w:w="150" w:type="dxa"/>
              <w:left w:w="240" w:type="dxa"/>
              <w:bottom w:w="150" w:type="dxa"/>
              <w:right w:w="240" w:type="dxa"/>
            </w:tcMar>
            <w:vAlign w:val="center"/>
            <w:hideMark/>
          </w:tcPr>
          <w:p w14:paraId="62EA886B" w14:textId="77777777" w:rsidR="00EA2578" w:rsidRPr="00EA2578" w:rsidRDefault="00EA2578" w:rsidP="006473EC">
            <w:pPr>
              <w:spacing w:after="160" w:line="360" w:lineRule="auto"/>
              <w:jc w:val="both"/>
            </w:pPr>
            <w:r w:rsidRPr="00EA2578">
              <w:t>₦50,000-₦100,000</w:t>
            </w:r>
          </w:p>
        </w:tc>
        <w:tc>
          <w:tcPr>
            <w:tcW w:w="0" w:type="auto"/>
            <w:tcMar>
              <w:top w:w="150" w:type="dxa"/>
              <w:left w:w="240" w:type="dxa"/>
              <w:bottom w:w="150" w:type="dxa"/>
              <w:right w:w="240" w:type="dxa"/>
            </w:tcMar>
            <w:vAlign w:val="center"/>
            <w:hideMark/>
          </w:tcPr>
          <w:p w14:paraId="5A805BA5" w14:textId="77777777" w:rsidR="00EA2578" w:rsidRPr="00EA2578" w:rsidRDefault="00EA2578" w:rsidP="006473EC">
            <w:pPr>
              <w:spacing w:after="160" w:line="360" w:lineRule="auto"/>
              <w:jc w:val="both"/>
            </w:pPr>
            <w:r w:rsidRPr="00EA2578">
              <w:t>86</w:t>
            </w:r>
          </w:p>
        </w:tc>
        <w:tc>
          <w:tcPr>
            <w:tcW w:w="0" w:type="auto"/>
            <w:tcMar>
              <w:top w:w="150" w:type="dxa"/>
              <w:left w:w="240" w:type="dxa"/>
              <w:bottom w:w="150" w:type="dxa"/>
              <w:right w:w="0" w:type="dxa"/>
            </w:tcMar>
            <w:vAlign w:val="center"/>
            <w:hideMark/>
          </w:tcPr>
          <w:p w14:paraId="09489C91" w14:textId="77777777" w:rsidR="00EA2578" w:rsidRPr="00EA2578" w:rsidRDefault="00EA2578" w:rsidP="006473EC">
            <w:pPr>
              <w:spacing w:after="160" w:line="360" w:lineRule="auto"/>
              <w:jc w:val="both"/>
            </w:pPr>
            <w:r w:rsidRPr="00EA2578">
              <w:t>23.6</w:t>
            </w:r>
          </w:p>
        </w:tc>
      </w:tr>
      <w:tr w:rsidR="00EA2578" w:rsidRPr="00EA2578" w14:paraId="225B20F6" w14:textId="77777777" w:rsidTr="00EA2578">
        <w:trPr>
          <w:trHeight w:val="574"/>
        </w:trPr>
        <w:tc>
          <w:tcPr>
            <w:tcW w:w="0" w:type="auto"/>
            <w:tcMar>
              <w:top w:w="150" w:type="dxa"/>
              <w:left w:w="0" w:type="dxa"/>
              <w:bottom w:w="150" w:type="dxa"/>
              <w:right w:w="240" w:type="dxa"/>
            </w:tcMar>
            <w:vAlign w:val="center"/>
            <w:hideMark/>
          </w:tcPr>
          <w:p w14:paraId="5A6DAEFB" w14:textId="77777777" w:rsidR="00EA2578" w:rsidRPr="00EA2578" w:rsidRDefault="00EA2578" w:rsidP="006473EC">
            <w:pPr>
              <w:spacing w:after="160" w:line="360" w:lineRule="auto"/>
              <w:jc w:val="both"/>
            </w:pPr>
          </w:p>
        </w:tc>
        <w:tc>
          <w:tcPr>
            <w:tcW w:w="0" w:type="auto"/>
            <w:tcMar>
              <w:top w:w="150" w:type="dxa"/>
              <w:left w:w="240" w:type="dxa"/>
              <w:bottom w:w="150" w:type="dxa"/>
              <w:right w:w="240" w:type="dxa"/>
            </w:tcMar>
            <w:vAlign w:val="center"/>
            <w:hideMark/>
          </w:tcPr>
          <w:p w14:paraId="3CDEA8AD" w14:textId="77777777" w:rsidR="00EA2578" w:rsidRPr="00EA2578" w:rsidRDefault="00EA2578" w:rsidP="006473EC">
            <w:pPr>
              <w:spacing w:after="160" w:line="360" w:lineRule="auto"/>
              <w:jc w:val="both"/>
            </w:pPr>
            <w:r w:rsidRPr="00EA2578">
              <w:t>₦101,000-₦200,000</w:t>
            </w:r>
          </w:p>
        </w:tc>
        <w:tc>
          <w:tcPr>
            <w:tcW w:w="0" w:type="auto"/>
            <w:tcMar>
              <w:top w:w="150" w:type="dxa"/>
              <w:left w:w="240" w:type="dxa"/>
              <w:bottom w:w="150" w:type="dxa"/>
              <w:right w:w="240" w:type="dxa"/>
            </w:tcMar>
            <w:vAlign w:val="center"/>
            <w:hideMark/>
          </w:tcPr>
          <w:p w14:paraId="44F9D85A" w14:textId="77777777" w:rsidR="00EA2578" w:rsidRPr="00EA2578" w:rsidRDefault="00EA2578" w:rsidP="006473EC">
            <w:pPr>
              <w:spacing w:after="160" w:line="360" w:lineRule="auto"/>
              <w:jc w:val="both"/>
            </w:pPr>
            <w:r w:rsidRPr="00EA2578">
              <w:t>115</w:t>
            </w:r>
          </w:p>
        </w:tc>
        <w:tc>
          <w:tcPr>
            <w:tcW w:w="0" w:type="auto"/>
            <w:tcMar>
              <w:top w:w="150" w:type="dxa"/>
              <w:left w:w="240" w:type="dxa"/>
              <w:bottom w:w="150" w:type="dxa"/>
              <w:right w:w="0" w:type="dxa"/>
            </w:tcMar>
            <w:vAlign w:val="center"/>
            <w:hideMark/>
          </w:tcPr>
          <w:p w14:paraId="3FEDD6ED" w14:textId="77777777" w:rsidR="00EA2578" w:rsidRPr="00EA2578" w:rsidRDefault="00EA2578" w:rsidP="006473EC">
            <w:pPr>
              <w:spacing w:after="160" w:line="360" w:lineRule="auto"/>
              <w:jc w:val="both"/>
            </w:pPr>
            <w:r w:rsidRPr="00EA2578">
              <w:t>31.5</w:t>
            </w:r>
          </w:p>
        </w:tc>
      </w:tr>
      <w:tr w:rsidR="00EA2578" w:rsidRPr="00EA2578" w14:paraId="741F74CB" w14:textId="77777777" w:rsidTr="00EA2578">
        <w:trPr>
          <w:trHeight w:val="574"/>
        </w:trPr>
        <w:tc>
          <w:tcPr>
            <w:tcW w:w="0" w:type="auto"/>
            <w:tcMar>
              <w:top w:w="150" w:type="dxa"/>
              <w:left w:w="0" w:type="dxa"/>
              <w:bottom w:w="150" w:type="dxa"/>
              <w:right w:w="240" w:type="dxa"/>
            </w:tcMar>
            <w:vAlign w:val="center"/>
            <w:hideMark/>
          </w:tcPr>
          <w:p w14:paraId="1D0C2F32" w14:textId="77777777" w:rsidR="00EA2578" w:rsidRPr="00EA2578" w:rsidRDefault="00EA2578" w:rsidP="006473EC">
            <w:pPr>
              <w:spacing w:after="160" w:line="360" w:lineRule="auto"/>
              <w:jc w:val="both"/>
            </w:pPr>
          </w:p>
        </w:tc>
        <w:tc>
          <w:tcPr>
            <w:tcW w:w="0" w:type="auto"/>
            <w:tcMar>
              <w:top w:w="150" w:type="dxa"/>
              <w:left w:w="240" w:type="dxa"/>
              <w:bottom w:w="150" w:type="dxa"/>
              <w:right w:w="240" w:type="dxa"/>
            </w:tcMar>
            <w:vAlign w:val="center"/>
            <w:hideMark/>
          </w:tcPr>
          <w:p w14:paraId="777B62FC" w14:textId="77777777" w:rsidR="00EA2578" w:rsidRPr="00EA2578" w:rsidRDefault="00EA2578" w:rsidP="006473EC">
            <w:pPr>
              <w:spacing w:after="160" w:line="360" w:lineRule="auto"/>
              <w:jc w:val="both"/>
            </w:pPr>
            <w:r w:rsidRPr="00EA2578">
              <w:t>₦201,000-₦300,000</w:t>
            </w:r>
          </w:p>
        </w:tc>
        <w:tc>
          <w:tcPr>
            <w:tcW w:w="0" w:type="auto"/>
            <w:tcMar>
              <w:top w:w="150" w:type="dxa"/>
              <w:left w:w="240" w:type="dxa"/>
              <w:bottom w:w="150" w:type="dxa"/>
              <w:right w:w="240" w:type="dxa"/>
            </w:tcMar>
            <w:vAlign w:val="center"/>
            <w:hideMark/>
          </w:tcPr>
          <w:p w14:paraId="539144DF" w14:textId="77777777" w:rsidR="00EA2578" w:rsidRPr="00EA2578" w:rsidRDefault="00EA2578" w:rsidP="006473EC">
            <w:pPr>
              <w:spacing w:after="160" w:line="360" w:lineRule="auto"/>
              <w:jc w:val="both"/>
            </w:pPr>
            <w:r w:rsidRPr="00EA2578">
              <w:t>67</w:t>
            </w:r>
          </w:p>
        </w:tc>
        <w:tc>
          <w:tcPr>
            <w:tcW w:w="0" w:type="auto"/>
            <w:tcMar>
              <w:top w:w="150" w:type="dxa"/>
              <w:left w:w="240" w:type="dxa"/>
              <w:bottom w:w="150" w:type="dxa"/>
              <w:right w:w="0" w:type="dxa"/>
            </w:tcMar>
            <w:vAlign w:val="center"/>
            <w:hideMark/>
          </w:tcPr>
          <w:p w14:paraId="070C0B70" w14:textId="77777777" w:rsidR="00EA2578" w:rsidRPr="00EA2578" w:rsidRDefault="00EA2578" w:rsidP="006473EC">
            <w:pPr>
              <w:spacing w:after="160" w:line="360" w:lineRule="auto"/>
              <w:jc w:val="both"/>
            </w:pPr>
            <w:r w:rsidRPr="00EA2578">
              <w:t>18.4</w:t>
            </w:r>
          </w:p>
        </w:tc>
      </w:tr>
      <w:tr w:rsidR="00EA2578" w:rsidRPr="00EA2578" w14:paraId="451E55EF" w14:textId="77777777" w:rsidTr="00EA2578">
        <w:trPr>
          <w:trHeight w:val="574"/>
        </w:trPr>
        <w:tc>
          <w:tcPr>
            <w:tcW w:w="0" w:type="auto"/>
            <w:tcMar>
              <w:top w:w="150" w:type="dxa"/>
              <w:left w:w="0" w:type="dxa"/>
              <w:bottom w:w="150" w:type="dxa"/>
              <w:right w:w="240" w:type="dxa"/>
            </w:tcMar>
            <w:vAlign w:val="center"/>
            <w:hideMark/>
          </w:tcPr>
          <w:p w14:paraId="75D076EB" w14:textId="77777777" w:rsidR="00EA2578" w:rsidRPr="00EA2578" w:rsidRDefault="00EA2578" w:rsidP="006473EC">
            <w:pPr>
              <w:spacing w:after="160" w:line="360" w:lineRule="auto"/>
              <w:jc w:val="both"/>
            </w:pPr>
          </w:p>
        </w:tc>
        <w:tc>
          <w:tcPr>
            <w:tcW w:w="0" w:type="auto"/>
            <w:tcMar>
              <w:top w:w="150" w:type="dxa"/>
              <w:left w:w="240" w:type="dxa"/>
              <w:bottom w:w="150" w:type="dxa"/>
              <w:right w:w="240" w:type="dxa"/>
            </w:tcMar>
            <w:vAlign w:val="center"/>
            <w:hideMark/>
          </w:tcPr>
          <w:p w14:paraId="596F1A38" w14:textId="77777777" w:rsidR="00EA2578" w:rsidRPr="00EA2578" w:rsidRDefault="00EA2578" w:rsidP="006473EC">
            <w:pPr>
              <w:spacing w:after="160" w:line="360" w:lineRule="auto"/>
              <w:jc w:val="both"/>
            </w:pPr>
            <w:r w:rsidRPr="00EA2578">
              <w:t>Above ₦300,000</w:t>
            </w:r>
          </w:p>
        </w:tc>
        <w:tc>
          <w:tcPr>
            <w:tcW w:w="0" w:type="auto"/>
            <w:tcMar>
              <w:top w:w="150" w:type="dxa"/>
              <w:left w:w="240" w:type="dxa"/>
              <w:bottom w:w="150" w:type="dxa"/>
              <w:right w:w="240" w:type="dxa"/>
            </w:tcMar>
            <w:vAlign w:val="center"/>
            <w:hideMark/>
          </w:tcPr>
          <w:p w14:paraId="164DB222" w14:textId="77777777" w:rsidR="00EA2578" w:rsidRPr="00EA2578" w:rsidRDefault="00EA2578" w:rsidP="006473EC">
            <w:pPr>
              <w:spacing w:after="160" w:line="360" w:lineRule="auto"/>
              <w:jc w:val="both"/>
            </w:pPr>
            <w:r w:rsidRPr="00EA2578">
              <w:t>56</w:t>
            </w:r>
          </w:p>
        </w:tc>
        <w:tc>
          <w:tcPr>
            <w:tcW w:w="0" w:type="auto"/>
            <w:tcMar>
              <w:top w:w="150" w:type="dxa"/>
              <w:left w:w="240" w:type="dxa"/>
              <w:bottom w:w="150" w:type="dxa"/>
              <w:right w:w="0" w:type="dxa"/>
            </w:tcMar>
            <w:vAlign w:val="center"/>
            <w:hideMark/>
          </w:tcPr>
          <w:p w14:paraId="3DB78962" w14:textId="77777777" w:rsidR="00EA2578" w:rsidRPr="00EA2578" w:rsidRDefault="00EA2578" w:rsidP="006473EC">
            <w:pPr>
              <w:spacing w:after="160" w:line="360" w:lineRule="auto"/>
              <w:jc w:val="both"/>
            </w:pPr>
            <w:r w:rsidRPr="00EA2578">
              <w:t>15.3</w:t>
            </w:r>
          </w:p>
        </w:tc>
      </w:tr>
      <w:tr w:rsidR="00EA2578" w:rsidRPr="00EA2578" w14:paraId="65C5B243" w14:textId="77777777" w:rsidTr="00EA2578">
        <w:trPr>
          <w:trHeight w:val="574"/>
        </w:trPr>
        <w:tc>
          <w:tcPr>
            <w:tcW w:w="0" w:type="auto"/>
            <w:tcMar>
              <w:top w:w="150" w:type="dxa"/>
              <w:left w:w="0" w:type="dxa"/>
              <w:bottom w:w="150" w:type="dxa"/>
              <w:right w:w="240" w:type="dxa"/>
            </w:tcMar>
            <w:vAlign w:val="center"/>
            <w:hideMark/>
          </w:tcPr>
          <w:p w14:paraId="37D389CA" w14:textId="77777777" w:rsidR="00EA2578" w:rsidRPr="00EA2578" w:rsidRDefault="00EA2578" w:rsidP="006473EC">
            <w:pPr>
              <w:spacing w:after="160" w:line="360" w:lineRule="auto"/>
              <w:jc w:val="both"/>
            </w:pPr>
            <w:r w:rsidRPr="00EA2578">
              <w:rPr>
                <w:b/>
                <w:bCs/>
              </w:rPr>
              <w:lastRenderedPageBreak/>
              <w:t>Household Size</w:t>
            </w:r>
          </w:p>
        </w:tc>
        <w:tc>
          <w:tcPr>
            <w:tcW w:w="0" w:type="auto"/>
            <w:tcMar>
              <w:top w:w="150" w:type="dxa"/>
              <w:left w:w="240" w:type="dxa"/>
              <w:bottom w:w="150" w:type="dxa"/>
              <w:right w:w="240" w:type="dxa"/>
            </w:tcMar>
            <w:vAlign w:val="center"/>
            <w:hideMark/>
          </w:tcPr>
          <w:p w14:paraId="4959EDAA" w14:textId="77777777" w:rsidR="00EA2578" w:rsidRPr="00EA2578" w:rsidRDefault="00EA2578" w:rsidP="006473EC">
            <w:pPr>
              <w:spacing w:after="160" w:line="360" w:lineRule="auto"/>
              <w:jc w:val="both"/>
            </w:pPr>
            <w:r w:rsidRPr="00EA2578">
              <w:t>1 person</w:t>
            </w:r>
          </w:p>
        </w:tc>
        <w:tc>
          <w:tcPr>
            <w:tcW w:w="0" w:type="auto"/>
            <w:tcMar>
              <w:top w:w="150" w:type="dxa"/>
              <w:left w:w="240" w:type="dxa"/>
              <w:bottom w:w="150" w:type="dxa"/>
              <w:right w:w="240" w:type="dxa"/>
            </w:tcMar>
            <w:vAlign w:val="center"/>
            <w:hideMark/>
          </w:tcPr>
          <w:p w14:paraId="19FF6016" w14:textId="77777777" w:rsidR="00EA2578" w:rsidRPr="00EA2578" w:rsidRDefault="00EA2578" w:rsidP="006473EC">
            <w:pPr>
              <w:spacing w:after="160" w:line="360" w:lineRule="auto"/>
              <w:jc w:val="both"/>
            </w:pPr>
            <w:r w:rsidRPr="00EA2578">
              <w:t>19</w:t>
            </w:r>
          </w:p>
        </w:tc>
        <w:tc>
          <w:tcPr>
            <w:tcW w:w="0" w:type="auto"/>
            <w:tcMar>
              <w:top w:w="150" w:type="dxa"/>
              <w:left w:w="240" w:type="dxa"/>
              <w:bottom w:w="150" w:type="dxa"/>
              <w:right w:w="0" w:type="dxa"/>
            </w:tcMar>
            <w:vAlign w:val="center"/>
            <w:hideMark/>
          </w:tcPr>
          <w:p w14:paraId="7515F0D9" w14:textId="77777777" w:rsidR="00EA2578" w:rsidRPr="00EA2578" w:rsidRDefault="00EA2578" w:rsidP="006473EC">
            <w:pPr>
              <w:spacing w:after="160" w:line="360" w:lineRule="auto"/>
              <w:jc w:val="both"/>
            </w:pPr>
            <w:r w:rsidRPr="00EA2578">
              <w:t>5.2</w:t>
            </w:r>
          </w:p>
        </w:tc>
      </w:tr>
      <w:tr w:rsidR="00EA2578" w:rsidRPr="00EA2578" w14:paraId="0E7C1853" w14:textId="77777777" w:rsidTr="00EA2578">
        <w:trPr>
          <w:trHeight w:val="574"/>
        </w:trPr>
        <w:tc>
          <w:tcPr>
            <w:tcW w:w="0" w:type="auto"/>
            <w:tcMar>
              <w:top w:w="150" w:type="dxa"/>
              <w:left w:w="0" w:type="dxa"/>
              <w:bottom w:w="150" w:type="dxa"/>
              <w:right w:w="240" w:type="dxa"/>
            </w:tcMar>
            <w:vAlign w:val="center"/>
            <w:hideMark/>
          </w:tcPr>
          <w:p w14:paraId="6C5490E0" w14:textId="77777777" w:rsidR="00EA2578" w:rsidRPr="00EA2578" w:rsidRDefault="00EA2578" w:rsidP="006473EC">
            <w:pPr>
              <w:spacing w:after="160" w:line="360" w:lineRule="auto"/>
              <w:jc w:val="both"/>
            </w:pPr>
          </w:p>
        </w:tc>
        <w:tc>
          <w:tcPr>
            <w:tcW w:w="0" w:type="auto"/>
            <w:tcMar>
              <w:top w:w="150" w:type="dxa"/>
              <w:left w:w="240" w:type="dxa"/>
              <w:bottom w:w="150" w:type="dxa"/>
              <w:right w:w="240" w:type="dxa"/>
            </w:tcMar>
            <w:vAlign w:val="center"/>
            <w:hideMark/>
          </w:tcPr>
          <w:p w14:paraId="0346C7BB" w14:textId="77777777" w:rsidR="00EA2578" w:rsidRPr="00EA2578" w:rsidRDefault="00EA2578" w:rsidP="006473EC">
            <w:pPr>
              <w:spacing w:after="160" w:line="360" w:lineRule="auto"/>
              <w:jc w:val="both"/>
            </w:pPr>
            <w:r w:rsidRPr="00EA2578">
              <w:t>2-3 persons</w:t>
            </w:r>
          </w:p>
        </w:tc>
        <w:tc>
          <w:tcPr>
            <w:tcW w:w="0" w:type="auto"/>
            <w:tcMar>
              <w:top w:w="150" w:type="dxa"/>
              <w:left w:w="240" w:type="dxa"/>
              <w:bottom w:w="150" w:type="dxa"/>
              <w:right w:w="240" w:type="dxa"/>
            </w:tcMar>
            <w:vAlign w:val="center"/>
            <w:hideMark/>
          </w:tcPr>
          <w:p w14:paraId="4D690934" w14:textId="77777777" w:rsidR="00EA2578" w:rsidRPr="00EA2578" w:rsidRDefault="00EA2578" w:rsidP="006473EC">
            <w:pPr>
              <w:spacing w:after="160" w:line="360" w:lineRule="auto"/>
              <w:jc w:val="both"/>
            </w:pPr>
            <w:r w:rsidRPr="00EA2578">
              <w:t>107</w:t>
            </w:r>
          </w:p>
        </w:tc>
        <w:tc>
          <w:tcPr>
            <w:tcW w:w="0" w:type="auto"/>
            <w:tcMar>
              <w:top w:w="150" w:type="dxa"/>
              <w:left w:w="240" w:type="dxa"/>
              <w:bottom w:w="150" w:type="dxa"/>
              <w:right w:w="0" w:type="dxa"/>
            </w:tcMar>
            <w:vAlign w:val="center"/>
            <w:hideMark/>
          </w:tcPr>
          <w:p w14:paraId="5192F98B" w14:textId="77777777" w:rsidR="00EA2578" w:rsidRPr="00EA2578" w:rsidRDefault="00EA2578" w:rsidP="006473EC">
            <w:pPr>
              <w:spacing w:after="160" w:line="360" w:lineRule="auto"/>
              <w:jc w:val="both"/>
            </w:pPr>
            <w:r w:rsidRPr="00EA2578">
              <w:t>29.3</w:t>
            </w:r>
          </w:p>
        </w:tc>
      </w:tr>
      <w:tr w:rsidR="00EA2578" w:rsidRPr="00EA2578" w14:paraId="37F76860" w14:textId="77777777" w:rsidTr="00EA2578">
        <w:trPr>
          <w:trHeight w:val="574"/>
        </w:trPr>
        <w:tc>
          <w:tcPr>
            <w:tcW w:w="0" w:type="auto"/>
            <w:tcMar>
              <w:top w:w="150" w:type="dxa"/>
              <w:left w:w="0" w:type="dxa"/>
              <w:bottom w:w="150" w:type="dxa"/>
              <w:right w:w="240" w:type="dxa"/>
            </w:tcMar>
            <w:vAlign w:val="center"/>
            <w:hideMark/>
          </w:tcPr>
          <w:p w14:paraId="49BDDEED" w14:textId="77777777" w:rsidR="00EA2578" w:rsidRPr="00EA2578" w:rsidRDefault="00EA2578" w:rsidP="006473EC">
            <w:pPr>
              <w:spacing w:after="160" w:line="360" w:lineRule="auto"/>
              <w:jc w:val="both"/>
            </w:pPr>
          </w:p>
        </w:tc>
        <w:tc>
          <w:tcPr>
            <w:tcW w:w="0" w:type="auto"/>
            <w:tcMar>
              <w:top w:w="150" w:type="dxa"/>
              <w:left w:w="240" w:type="dxa"/>
              <w:bottom w:w="150" w:type="dxa"/>
              <w:right w:w="240" w:type="dxa"/>
            </w:tcMar>
            <w:vAlign w:val="center"/>
            <w:hideMark/>
          </w:tcPr>
          <w:p w14:paraId="141DFB79" w14:textId="77777777" w:rsidR="00EA2578" w:rsidRPr="00EA2578" w:rsidRDefault="00EA2578" w:rsidP="006473EC">
            <w:pPr>
              <w:spacing w:after="160" w:line="360" w:lineRule="auto"/>
              <w:jc w:val="both"/>
            </w:pPr>
            <w:r w:rsidRPr="00EA2578">
              <w:t>4-5 persons</w:t>
            </w:r>
          </w:p>
        </w:tc>
        <w:tc>
          <w:tcPr>
            <w:tcW w:w="0" w:type="auto"/>
            <w:tcMar>
              <w:top w:w="150" w:type="dxa"/>
              <w:left w:w="240" w:type="dxa"/>
              <w:bottom w:w="150" w:type="dxa"/>
              <w:right w:w="240" w:type="dxa"/>
            </w:tcMar>
            <w:vAlign w:val="center"/>
            <w:hideMark/>
          </w:tcPr>
          <w:p w14:paraId="5D450E79" w14:textId="77777777" w:rsidR="00EA2578" w:rsidRPr="00EA2578" w:rsidRDefault="00EA2578" w:rsidP="006473EC">
            <w:pPr>
              <w:spacing w:after="160" w:line="360" w:lineRule="auto"/>
              <w:jc w:val="both"/>
            </w:pPr>
            <w:r w:rsidRPr="00EA2578">
              <w:t>155</w:t>
            </w:r>
          </w:p>
        </w:tc>
        <w:tc>
          <w:tcPr>
            <w:tcW w:w="0" w:type="auto"/>
            <w:tcMar>
              <w:top w:w="150" w:type="dxa"/>
              <w:left w:w="240" w:type="dxa"/>
              <w:bottom w:w="150" w:type="dxa"/>
              <w:right w:w="0" w:type="dxa"/>
            </w:tcMar>
            <w:vAlign w:val="center"/>
            <w:hideMark/>
          </w:tcPr>
          <w:p w14:paraId="3D4916AB" w14:textId="77777777" w:rsidR="00EA2578" w:rsidRPr="00EA2578" w:rsidRDefault="00EA2578" w:rsidP="006473EC">
            <w:pPr>
              <w:spacing w:after="160" w:line="360" w:lineRule="auto"/>
              <w:jc w:val="both"/>
            </w:pPr>
            <w:r w:rsidRPr="00EA2578">
              <w:t>42.5</w:t>
            </w:r>
          </w:p>
        </w:tc>
      </w:tr>
      <w:tr w:rsidR="00EA2578" w:rsidRPr="00EA2578" w14:paraId="15AC4F49" w14:textId="77777777" w:rsidTr="00EA2578">
        <w:trPr>
          <w:trHeight w:val="574"/>
        </w:trPr>
        <w:tc>
          <w:tcPr>
            <w:tcW w:w="0" w:type="auto"/>
            <w:tcMar>
              <w:top w:w="150" w:type="dxa"/>
              <w:left w:w="0" w:type="dxa"/>
              <w:bottom w:w="150" w:type="dxa"/>
              <w:right w:w="240" w:type="dxa"/>
            </w:tcMar>
            <w:vAlign w:val="center"/>
            <w:hideMark/>
          </w:tcPr>
          <w:p w14:paraId="296C04F1" w14:textId="77777777" w:rsidR="00EA2578" w:rsidRPr="00EA2578" w:rsidRDefault="00EA2578" w:rsidP="006473EC">
            <w:pPr>
              <w:spacing w:after="160" w:line="360" w:lineRule="auto"/>
              <w:jc w:val="both"/>
            </w:pPr>
          </w:p>
        </w:tc>
        <w:tc>
          <w:tcPr>
            <w:tcW w:w="0" w:type="auto"/>
            <w:tcMar>
              <w:top w:w="150" w:type="dxa"/>
              <w:left w:w="240" w:type="dxa"/>
              <w:bottom w:w="150" w:type="dxa"/>
              <w:right w:w="240" w:type="dxa"/>
            </w:tcMar>
            <w:vAlign w:val="center"/>
            <w:hideMark/>
          </w:tcPr>
          <w:p w14:paraId="300651C4" w14:textId="77777777" w:rsidR="00EA2578" w:rsidRPr="00EA2578" w:rsidRDefault="00EA2578" w:rsidP="006473EC">
            <w:pPr>
              <w:spacing w:after="160" w:line="360" w:lineRule="auto"/>
              <w:jc w:val="both"/>
            </w:pPr>
            <w:r w:rsidRPr="00EA2578">
              <w:t>6-7 persons</w:t>
            </w:r>
          </w:p>
        </w:tc>
        <w:tc>
          <w:tcPr>
            <w:tcW w:w="0" w:type="auto"/>
            <w:tcMar>
              <w:top w:w="150" w:type="dxa"/>
              <w:left w:w="240" w:type="dxa"/>
              <w:bottom w:w="150" w:type="dxa"/>
              <w:right w:w="240" w:type="dxa"/>
            </w:tcMar>
            <w:vAlign w:val="center"/>
            <w:hideMark/>
          </w:tcPr>
          <w:p w14:paraId="7D7B993A" w14:textId="77777777" w:rsidR="00EA2578" w:rsidRPr="00EA2578" w:rsidRDefault="00EA2578" w:rsidP="006473EC">
            <w:pPr>
              <w:spacing w:after="160" w:line="360" w:lineRule="auto"/>
              <w:jc w:val="both"/>
            </w:pPr>
            <w:r w:rsidRPr="00EA2578">
              <w:t>58</w:t>
            </w:r>
          </w:p>
        </w:tc>
        <w:tc>
          <w:tcPr>
            <w:tcW w:w="0" w:type="auto"/>
            <w:tcMar>
              <w:top w:w="150" w:type="dxa"/>
              <w:left w:w="240" w:type="dxa"/>
              <w:bottom w:w="150" w:type="dxa"/>
              <w:right w:w="0" w:type="dxa"/>
            </w:tcMar>
            <w:vAlign w:val="center"/>
            <w:hideMark/>
          </w:tcPr>
          <w:p w14:paraId="09B23BC9" w14:textId="77777777" w:rsidR="00EA2578" w:rsidRPr="00EA2578" w:rsidRDefault="00EA2578" w:rsidP="006473EC">
            <w:pPr>
              <w:spacing w:after="160" w:line="360" w:lineRule="auto"/>
              <w:jc w:val="both"/>
            </w:pPr>
            <w:r w:rsidRPr="00EA2578">
              <w:t>15.9</w:t>
            </w:r>
          </w:p>
        </w:tc>
      </w:tr>
      <w:tr w:rsidR="00EA2578" w:rsidRPr="00EA2578" w14:paraId="3ABFF25D" w14:textId="77777777" w:rsidTr="00EA2578">
        <w:trPr>
          <w:trHeight w:val="574"/>
        </w:trPr>
        <w:tc>
          <w:tcPr>
            <w:tcW w:w="0" w:type="auto"/>
            <w:tcMar>
              <w:top w:w="150" w:type="dxa"/>
              <w:left w:w="0" w:type="dxa"/>
              <w:bottom w:w="150" w:type="dxa"/>
              <w:right w:w="240" w:type="dxa"/>
            </w:tcMar>
            <w:vAlign w:val="center"/>
            <w:hideMark/>
          </w:tcPr>
          <w:p w14:paraId="0E6A5F04" w14:textId="77777777" w:rsidR="00EA2578" w:rsidRPr="00EA2578" w:rsidRDefault="00EA2578" w:rsidP="006473EC">
            <w:pPr>
              <w:spacing w:after="160" w:line="360" w:lineRule="auto"/>
              <w:jc w:val="both"/>
            </w:pPr>
          </w:p>
        </w:tc>
        <w:tc>
          <w:tcPr>
            <w:tcW w:w="0" w:type="auto"/>
            <w:tcMar>
              <w:top w:w="150" w:type="dxa"/>
              <w:left w:w="240" w:type="dxa"/>
              <w:bottom w:w="150" w:type="dxa"/>
              <w:right w:w="240" w:type="dxa"/>
            </w:tcMar>
            <w:vAlign w:val="center"/>
            <w:hideMark/>
          </w:tcPr>
          <w:p w14:paraId="21CBD879" w14:textId="77777777" w:rsidR="00EA2578" w:rsidRPr="00EA2578" w:rsidRDefault="00EA2578" w:rsidP="006473EC">
            <w:pPr>
              <w:spacing w:after="160" w:line="360" w:lineRule="auto"/>
              <w:jc w:val="both"/>
            </w:pPr>
            <w:r w:rsidRPr="00EA2578">
              <w:t>8+ persons</w:t>
            </w:r>
          </w:p>
        </w:tc>
        <w:tc>
          <w:tcPr>
            <w:tcW w:w="0" w:type="auto"/>
            <w:tcMar>
              <w:top w:w="150" w:type="dxa"/>
              <w:left w:w="240" w:type="dxa"/>
              <w:bottom w:w="150" w:type="dxa"/>
              <w:right w:w="240" w:type="dxa"/>
            </w:tcMar>
            <w:vAlign w:val="center"/>
            <w:hideMark/>
          </w:tcPr>
          <w:p w14:paraId="243C6064" w14:textId="77777777" w:rsidR="00EA2578" w:rsidRPr="00EA2578" w:rsidRDefault="00EA2578" w:rsidP="006473EC">
            <w:pPr>
              <w:spacing w:after="160" w:line="360" w:lineRule="auto"/>
              <w:jc w:val="both"/>
            </w:pPr>
            <w:r w:rsidRPr="00EA2578">
              <w:t>26</w:t>
            </w:r>
          </w:p>
        </w:tc>
        <w:tc>
          <w:tcPr>
            <w:tcW w:w="0" w:type="auto"/>
            <w:tcMar>
              <w:top w:w="150" w:type="dxa"/>
              <w:left w:w="240" w:type="dxa"/>
              <w:bottom w:w="150" w:type="dxa"/>
              <w:right w:w="0" w:type="dxa"/>
            </w:tcMar>
            <w:vAlign w:val="center"/>
            <w:hideMark/>
          </w:tcPr>
          <w:p w14:paraId="3B4AAC47" w14:textId="77777777" w:rsidR="00EA2578" w:rsidRPr="00EA2578" w:rsidRDefault="00EA2578" w:rsidP="006473EC">
            <w:pPr>
              <w:spacing w:after="160" w:line="360" w:lineRule="auto"/>
              <w:jc w:val="both"/>
            </w:pPr>
            <w:r w:rsidRPr="00EA2578">
              <w:t>7.1</w:t>
            </w:r>
          </w:p>
        </w:tc>
      </w:tr>
      <w:tr w:rsidR="00EA2578" w:rsidRPr="00EA2578" w14:paraId="1BC5AE0F" w14:textId="77777777" w:rsidTr="00EA2578">
        <w:trPr>
          <w:trHeight w:val="574"/>
        </w:trPr>
        <w:tc>
          <w:tcPr>
            <w:tcW w:w="0" w:type="auto"/>
            <w:tcMar>
              <w:top w:w="150" w:type="dxa"/>
              <w:left w:w="0" w:type="dxa"/>
              <w:bottom w:w="150" w:type="dxa"/>
              <w:right w:w="240" w:type="dxa"/>
            </w:tcMar>
            <w:vAlign w:val="center"/>
            <w:hideMark/>
          </w:tcPr>
          <w:p w14:paraId="70C1BA11" w14:textId="77777777" w:rsidR="00EA2578" w:rsidRPr="00EA2578" w:rsidRDefault="00EA2578" w:rsidP="006473EC">
            <w:pPr>
              <w:spacing w:after="160" w:line="360" w:lineRule="auto"/>
              <w:jc w:val="both"/>
            </w:pPr>
            <w:r w:rsidRPr="00EA2578">
              <w:rPr>
                <w:b/>
                <w:bCs/>
              </w:rPr>
              <w:t>Residence Length</w:t>
            </w:r>
          </w:p>
        </w:tc>
        <w:tc>
          <w:tcPr>
            <w:tcW w:w="0" w:type="auto"/>
            <w:tcMar>
              <w:top w:w="150" w:type="dxa"/>
              <w:left w:w="240" w:type="dxa"/>
              <w:bottom w:w="150" w:type="dxa"/>
              <w:right w:w="240" w:type="dxa"/>
            </w:tcMar>
            <w:vAlign w:val="center"/>
            <w:hideMark/>
          </w:tcPr>
          <w:p w14:paraId="530C07AD" w14:textId="77777777" w:rsidR="00EA2578" w:rsidRPr="00EA2578" w:rsidRDefault="00EA2578" w:rsidP="006473EC">
            <w:pPr>
              <w:spacing w:after="160" w:line="360" w:lineRule="auto"/>
              <w:jc w:val="both"/>
            </w:pPr>
            <w:r w:rsidRPr="00EA2578">
              <w:t>&lt;1 year</w:t>
            </w:r>
          </w:p>
        </w:tc>
        <w:tc>
          <w:tcPr>
            <w:tcW w:w="0" w:type="auto"/>
            <w:tcMar>
              <w:top w:w="150" w:type="dxa"/>
              <w:left w:w="240" w:type="dxa"/>
              <w:bottom w:w="150" w:type="dxa"/>
              <w:right w:w="240" w:type="dxa"/>
            </w:tcMar>
            <w:vAlign w:val="center"/>
            <w:hideMark/>
          </w:tcPr>
          <w:p w14:paraId="0F8F4819" w14:textId="77777777" w:rsidR="00EA2578" w:rsidRPr="00EA2578" w:rsidRDefault="00EA2578" w:rsidP="006473EC">
            <w:pPr>
              <w:spacing w:after="160" w:line="360" w:lineRule="auto"/>
              <w:jc w:val="both"/>
            </w:pPr>
            <w:r w:rsidRPr="00EA2578">
              <w:t>28</w:t>
            </w:r>
          </w:p>
        </w:tc>
        <w:tc>
          <w:tcPr>
            <w:tcW w:w="0" w:type="auto"/>
            <w:tcMar>
              <w:top w:w="150" w:type="dxa"/>
              <w:left w:w="240" w:type="dxa"/>
              <w:bottom w:w="150" w:type="dxa"/>
              <w:right w:w="0" w:type="dxa"/>
            </w:tcMar>
            <w:vAlign w:val="center"/>
            <w:hideMark/>
          </w:tcPr>
          <w:p w14:paraId="06CDAF2B" w14:textId="77777777" w:rsidR="00EA2578" w:rsidRPr="00EA2578" w:rsidRDefault="00EA2578" w:rsidP="006473EC">
            <w:pPr>
              <w:spacing w:after="160" w:line="360" w:lineRule="auto"/>
              <w:jc w:val="both"/>
            </w:pPr>
            <w:r w:rsidRPr="00EA2578">
              <w:t>7.7</w:t>
            </w:r>
          </w:p>
        </w:tc>
      </w:tr>
      <w:tr w:rsidR="00EA2578" w:rsidRPr="00EA2578" w14:paraId="5B10BAAF" w14:textId="77777777" w:rsidTr="00EA2578">
        <w:trPr>
          <w:trHeight w:val="574"/>
        </w:trPr>
        <w:tc>
          <w:tcPr>
            <w:tcW w:w="0" w:type="auto"/>
            <w:tcMar>
              <w:top w:w="150" w:type="dxa"/>
              <w:left w:w="0" w:type="dxa"/>
              <w:bottom w:w="150" w:type="dxa"/>
              <w:right w:w="240" w:type="dxa"/>
            </w:tcMar>
            <w:vAlign w:val="center"/>
            <w:hideMark/>
          </w:tcPr>
          <w:p w14:paraId="09B33A16" w14:textId="77777777" w:rsidR="00EA2578" w:rsidRPr="00EA2578" w:rsidRDefault="00EA2578" w:rsidP="006473EC">
            <w:pPr>
              <w:spacing w:after="160" w:line="360" w:lineRule="auto"/>
              <w:jc w:val="both"/>
            </w:pPr>
          </w:p>
        </w:tc>
        <w:tc>
          <w:tcPr>
            <w:tcW w:w="0" w:type="auto"/>
            <w:tcMar>
              <w:top w:w="150" w:type="dxa"/>
              <w:left w:w="240" w:type="dxa"/>
              <w:bottom w:w="150" w:type="dxa"/>
              <w:right w:w="240" w:type="dxa"/>
            </w:tcMar>
            <w:vAlign w:val="center"/>
            <w:hideMark/>
          </w:tcPr>
          <w:p w14:paraId="3BC82028" w14:textId="77777777" w:rsidR="00EA2578" w:rsidRPr="00EA2578" w:rsidRDefault="00EA2578" w:rsidP="006473EC">
            <w:pPr>
              <w:spacing w:after="160" w:line="360" w:lineRule="auto"/>
              <w:jc w:val="both"/>
            </w:pPr>
            <w:r w:rsidRPr="00EA2578">
              <w:t>1-2 years</w:t>
            </w:r>
          </w:p>
        </w:tc>
        <w:tc>
          <w:tcPr>
            <w:tcW w:w="0" w:type="auto"/>
            <w:tcMar>
              <w:top w:w="150" w:type="dxa"/>
              <w:left w:w="240" w:type="dxa"/>
              <w:bottom w:w="150" w:type="dxa"/>
              <w:right w:w="240" w:type="dxa"/>
            </w:tcMar>
            <w:vAlign w:val="center"/>
            <w:hideMark/>
          </w:tcPr>
          <w:p w14:paraId="078660EC" w14:textId="77777777" w:rsidR="00EA2578" w:rsidRPr="00EA2578" w:rsidRDefault="00EA2578" w:rsidP="006473EC">
            <w:pPr>
              <w:spacing w:after="160" w:line="360" w:lineRule="auto"/>
              <w:jc w:val="both"/>
            </w:pPr>
            <w:r w:rsidRPr="00EA2578">
              <w:t>73</w:t>
            </w:r>
          </w:p>
        </w:tc>
        <w:tc>
          <w:tcPr>
            <w:tcW w:w="0" w:type="auto"/>
            <w:tcMar>
              <w:top w:w="150" w:type="dxa"/>
              <w:left w:w="240" w:type="dxa"/>
              <w:bottom w:w="150" w:type="dxa"/>
              <w:right w:w="0" w:type="dxa"/>
            </w:tcMar>
            <w:vAlign w:val="center"/>
            <w:hideMark/>
          </w:tcPr>
          <w:p w14:paraId="4940EEAA" w14:textId="77777777" w:rsidR="00EA2578" w:rsidRPr="00EA2578" w:rsidRDefault="00EA2578" w:rsidP="006473EC">
            <w:pPr>
              <w:spacing w:after="160" w:line="360" w:lineRule="auto"/>
              <w:jc w:val="both"/>
            </w:pPr>
            <w:r w:rsidRPr="00EA2578">
              <w:t>20.0</w:t>
            </w:r>
          </w:p>
        </w:tc>
      </w:tr>
      <w:tr w:rsidR="00EA2578" w:rsidRPr="00EA2578" w14:paraId="1772F145" w14:textId="77777777" w:rsidTr="00EA2578">
        <w:trPr>
          <w:trHeight w:val="574"/>
        </w:trPr>
        <w:tc>
          <w:tcPr>
            <w:tcW w:w="0" w:type="auto"/>
            <w:tcMar>
              <w:top w:w="150" w:type="dxa"/>
              <w:left w:w="0" w:type="dxa"/>
              <w:bottom w:w="150" w:type="dxa"/>
              <w:right w:w="240" w:type="dxa"/>
            </w:tcMar>
            <w:vAlign w:val="center"/>
            <w:hideMark/>
          </w:tcPr>
          <w:p w14:paraId="2BD6BDFE" w14:textId="77777777" w:rsidR="00EA2578" w:rsidRPr="00EA2578" w:rsidRDefault="00EA2578" w:rsidP="006473EC">
            <w:pPr>
              <w:spacing w:after="160" w:line="360" w:lineRule="auto"/>
              <w:jc w:val="both"/>
            </w:pPr>
          </w:p>
        </w:tc>
        <w:tc>
          <w:tcPr>
            <w:tcW w:w="0" w:type="auto"/>
            <w:tcMar>
              <w:top w:w="150" w:type="dxa"/>
              <w:left w:w="240" w:type="dxa"/>
              <w:bottom w:w="150" w:type="dxa"/>
              <w:right w:w="240" w:type="dxa"/>
            </w:tcMar>
            <w:vAlign w:val="center"/>
            <w:hideMark/>
          </w:tcPr>
          <w:p w14:paraId="68437AC2" w14:textId="77777777" w:rsidR="00EA2578" w:rsidRPr="00EA2578" w:rsidRDefault="00EA2578" w:rsidP="006473EC">
            <w:pPr>
              <w:spacing w:after="160" w:line="360" w:lineRule="auto"/>
              <w:jc w:val="both"/>
            </w:pPr>
            <w:r w:rsidRPr="00EA2578">
              <w:t>3-4 years</w:t>
            </w:r>
          </w:p>
        </w:tc>
        <w:tc>
          <w:tcPr>
            <w:tcW w:w="0" w:type="auto"/>
            <w:tcMar>
              <w:top w:w="150" w:type="dxa"/>
              <w:left w:w="240" w:type="dxa"/>
              <w:bottom w:w="150" w:type="dxa"/>
              <w:right w:w="240" w:type="dxa"/>
            </w:tcMar>
            <w:vAlign w:val="center"/>
            <w:hideMark/>
          </w:tcPr>
          <w:p w14:paraId="7FC95B3C" w14:textId="77777777" w:rsidR="00EA2578" w:rsidRPr="00EA2578" w:rsidRDefault="00EA2578" w:rsidP="006473EC">
            <w:pPr>
              <w:spacing w:after="160" w:line="360" w:lineRule="auto"/>
              <w:jc w:val="both"/>
            </w:pPr>
            <w:r w:rsidRPr="00EA2578">
              <w:t>148</w:t>
            </w:r>
          </w:p>
        </w:tc>
        <w:tc>
          <w:tcPr>
            <w:tcW w:w="0" w:type="auto"/>
            <w:tcMar>
              <w:top w:w="150" w:type="dxa"/>
              <w:left w:w="240" w:type="dxa"/>
              <w:bottom w:w="150" w:type="dxa"/>
              <w:right w:w="0" w:type="dxa"/>
            </w:tcMar>
            <w:vAlign w:val="center"/>
            <w:hideMark/>
          </w:tcPr>
          <w:p w14:paraId="6ABE092D" w14:textId="77777777" w:rsidR="00EA2578" w:rsidRPr="00EA2578" w:rsidRDefault="00EA2578" w:rsidP="006473EC">
            <w:pPr>
              <w:spacing w:after="160" w:line="360" w:lineRule="auto"/>
              <w:jc w:val="both"/>
            </w:pPr>
            <w:r w:rsidRPr="00EA2578">
              <w:t>40.5</w:t>
            </w:r>
          </w:p>
        </w:tc>
      </w:tr>
      <w:tr w:rsidR="00EA2578" w:rsidRPr="00EA2578" w14:paraId="3ED0055E" w14:textId="77777777" w:rsidTr="00EA2578">
        <w:trPr>
          <w:trHeight w:val="574"/>
        </w:trPr>
        <w:tc>
          <w:tcPr>
            <w:tcW w:w="0" w:type="auto"/>
            <w:tcMar>
              <w:top w:w="150" w:type="dxa"/>
              <w:left w:w="0" w:type="dxa"/>
              <w:bottom w:w="150" w:type="dxa"/>
              <w:right w:w="240" w:type="dxa"/>
            </w:tcMar>
            <w:vAlign w:val="center"/>
            <w:hideMark/>
          </w:tcPr>
          <w:p w14:paraId="2F9EA974" w14:textId="77777777" w:rsidR="00EA2578" w:rsidRPr="00EA2578" w:rsidRDefault="00EA2578" w:rsidP="006473EC">
            <w:pPr>
              <w:spacing w:after="160" w:line="360" w:lineRule="auto"/>
              <w:jc w:val="both"/>
            </w:pPr>
          </w:p>
        </w:tc>
        <w:tc>
          <w:tcPr>
            <w:tcW w:w="0" w:type="auto"/>
            <w:tcMar>
              <w:top w:w="150" w:type="dxa"/>
              <w:left w:w="240" w:type="dxa"/>
              <w:bottom w:w="150" w:type="dxa"/>
              <w:right w:w="240" w:type="dxa"/>
            </w:tcMar>
            <w:vAlign w:val="center"/>
            <w:hideMark/>
          </w:tcPr>
          <w:p w14:paraId="74D78242" w14:textId="77777777" w:rsidR="00EA2578" w:rsidRPr="00EA2578" w:rsidRDefault="00EA2578" w:rsidP="006473EC">
            <w:pPr>
              <w:spacing w:after="160" w:line="360" w:lineRule="auto"/>
              <w:jc w:val="both"/>
            </w:pPr>
            <w:r w:rsidRPr="00EA2578">
              <w:t>5-6 years</w:t>
            </w:r>
          </w:p>
        </w:tc>
        <w:tc>
          <w:tcPr>
            <w:tcW w:w="0" w:type="auto"/>
            <w:tcMar>
              <w:top w:w="150" w:type="dxa"/>
              <w:left w:w="240" w:type="dxa"/>
              <w:bottom w:w="150" w:type="dxa"/>
              <w:right w:w="240" w:type="dxa"/>
            </w:tcMar>
            <w:vAlign w:val="center"/>
            <w:hideMark/>
          </w:tcPr>
          <w:p w14:paraId="0AAD03E2" w14:textId="77777777" w:rsidR="00EA2578" w:rsidRPr="00EA2578" w:rsidRDefault="00EA2578" w:rsidP="006473EC">
            <w:pPr>
              <w:spacing w:after="160" w:line="360" w:lineRule="auto"/>
              <w:jc w:val="both"/>
            </w:pPr>
            <w:r w:rsidRPr="00EA2578">
              <w:t>76</w:t>
            </w:r>
          </w:p>
        </w:tc>
        <w:tc>
          <w:tcPr>
            <w:tcW w:w="0" w:type="auto"/>
            <w:tcMar>
              <w:top w:w="150" w:type="dxa"/>
              <w:left w:w="240" w:type="dxa"/>
              <w:bottom w:w="150" w:type="dxa"/>
              <w:right w:w="0" w:type="dxa"/>
            </w:tcMar>
            <w:vAlign w:val="center"/>
            <w:hideMark/>
          </w:tcPr>
          <w:p w14:paraId="2A7AA9C7" w14:textId="77777777" w:rsidR="00EA2578" w:rsidRPr="00EA2578" w:rsidRDefault="00EA2578" w:rsidP="006473EC">
            <w:pPr>
              <w:spacing w:after="160" w:line="360" w:lineRule="auto"/>
              <w:jc w:val="both"/>
            </w:pPr>
            <w:r w:rsidRPr="00EA2578">
              <w:t>20.8</w:t>
            </w:r>
          </w:p>
        </w:tc>
      </w:tr>
      <w:tr w:rsidR="00EA2578" w:rsidRPr="00EA2578" w14:paraId="30F5C12C" w14:textId="77777777" w:rsidTr="00EA2578">
        <w:trPr>
          <w:trHeight w:val="574"/>
        </w:trPr>
        <w:tc>
          <w:tcPr>
            <w:tcW w:w="0" w:type="auto"/>
            <w:tcMar>
              <w:top w:w="150" w:type="dxa"/>
              <w:left w:w="0" w:type="dxa"/>
              <w:bottom w:w="150" w:type="dxa"/>
              <w:right w:w="240" w:type="dxa"/>
            </w:tcMar>
            <w:vAlign w:val="center"/>
            <w:hideMark/>
          </w:tcPr>
          <w:p w14:paraId="4D6ACB54" w14:textId="77777777" w:rsidR="00EA2578" w:rsidRPr="00EA2578" w:rsidRDefault="00EA2578" w:rsidP="006473EC">
            <w:pPr>
              <w:spacing w:after="160" w:line="360" w:lineRule="auto"/>
              <w:jc w:val="both"/>
            </w:pPr>
          </w:p>
        </w:tc>
        <w:tc>
          <w:tcPr>
            <w:tcW w:w="0" w:type="auto"/>
            <w:tcMar>
              <w:top w:w="150" w:type="dxa"/>
              <w:left w:w="240" w:type="dxa"/>
              <w:bottom w:w="150" w:type="dxa"/>
              <w:right w:w="240" w:type="dxa"/>
            </w:tcMar>
            <w:vAlign w:val="center"/>
            <w:hideMark/>
          </w:tcPr>
          <w:p w14:paraId="150729BD" w14:textId="77777777" w:rsidR="00EA2578" w:rsidRPr="00EA2578" w:rsidRDefault="00EA2578" w:rsidP="006473EC">
            <w:pPr>
              <w:spacing w:after="160" w:line="360" w:lineRule="auto"/>
              <w:jc w:val="both"/>
            </w:pPr>
            <w:r w:rsidRPr="00EA2578">
              <w:t>7+ years</w:t>
            </w:r>
          </w:p>
        </w:tc>
        <w:tc>
          <w:tcPr>
            <w:tcW w:w="0" w:type="auto"/>
            <w:tcMar>
              <w:top w:w="150" w:type="dxa"/>
              <w:left w:w="240" w:type="dxa"/>
              <w:bottom w:w="150" w:type="dxa"/>
              <w:right w:w="240" w:type="dxa"/>
            </w:tcMar>
            <w:vAlign w:val="center"/>
            <w:hideMark/>
          </w:tcPr>
          <w:p w14:paraId="4ED8F16E" w14:textId="77777777" w:rsidR="00EA2578" w:rsidRPr="00EA2578" w:rsidRDefault="00EA2578" w:rsidP="006473EC">
            <w:pPr>
              <w:spacing w:after="160" w:line="360" w:lineRule="auto"/>
              <w:jc w:val="both"/>
            </w:pPr>
            <w:r w:rsidRPr="00EA2578">
              <w:t>40</w:t>
            </w:r>
          </w:p>
        </w:tc>
        <w:tc>
          <w:tcPr>
            <w:tcW w:w="0" w:type="auto"/>
            <w:tcMar>
              <w:top w:w="150" w:type="dxa"/>
              <w:left w:w="240" w:type="dxa"/>
              <w:bottom w:w="150" w:type="dxa"/>
              <w:right w:w="0" w:type="dxa"/>
            </w:tcMar>
            <w:vAlign w:val="center"/>
            <w:hideMark/>
          </w:tcPr>
          <w:p w14:paraId="73B2E485" w14:textId="77777777" w:rsidR="00EA2578" w:rsidRPr="00EA2578" w:rsidRDefault="00EA2578" w:rsidP="006473EC">
            <w:pPr>
              <w:spacing w:after="160" w:line="360" w:lineRule="auto"/>
              <w:jc w:val="both"/>
            </w:pPr>
            <w:r w:rsidRPr="00EA2578">
              <w:t>11.0</w:t>
            </w:r>
          </w:p>
        </w:tc>
      </w:tr>
      <w:tr w:rsidR="00EA2578" w:rsidRPr="00EA2578" w14:paraId="1690D931" w14:textId="77777777" w:rsidTr="00EA2578">
        <w:trPr>
          <w:trHeight w:val="574"/>
        </w:trPr>
        <w:tc>
          <w:tcPr>
            <w:tcW w:w="0" w:type="auto"/>
            <w:tcMar>
              <w:top w:w="150" w:type="dxa"/>
              <w:left w:w="0" w:type="dxa"/>
              <w:bottom w:w="150" w:type="dxa"/>
              <w:right w:w="240" w:type="dxa"/>
            </w:tcMar>
            <w:vAlign w:val="center"/>
            <w:hideMark/>
          </w:tcPr>
          <w:p w14:paraId="5F007C64" w14:textId="77777777" w:rsidR="00EA2578" w:rsidRPr="00EA2578" w:rsidRDefault="00EA2578" w:rsidP="006473EC">
            <w:pPr>
              <w:spacing w:after="160" w:line="360" w:lineRule="auto"/>
              <w:jc w:val="both"/>
            </w:pPr>
            <w:r w:rsidRPr="00EA2578">
              <w:rPr>
                <w:b/>
                <w:bCs/>
              </w:rPr>
              <w:t>Tenure</w:t>
            </w:r>
          </w:p>
        </w:tc>
        <w:tc>
          <w:tcPr>
            <w:tcW w:w="0" w:type="auto"/>
            <w:tcMar>
              <w:top w:w="150" w:type="dxa"/>
              <w:left w:w="240" w:type="dxa"/>
              <w:bottom w:w="150" w:type="dxa"/>
              <w:right w:w="240" w:type="dxa"/>
            </w:tcMar>
            <w:vAlign w:val="center"/>
            <w:hideMark/>
          </w:tcPr>
          <w:p w14:paraId="30B0E624" w14:textId="77777777" w:rsidR="00EA2578" w:rsidRPr="00EA2578" w:rsidRDefault="00EA2578" w:rsidP="006473EC">
            <w:pPr>
              <w:spacing w:after="160" w:line="360" w:lineRule="auto"/>
              <w:jc w:val="both"/>
            </w:pPr>
            <w:r w:rsidRPr="00EA2578">
              <w:t>Owner-occupier</w:t>
            </w:r>
          </w:p>
        </w:tc>
        <w:tc>
          <w:tcPr>
            <w:tcW w:w="0" w:type="auto"/>
            <w:tcMar>
              <w:top w:w="150" w:type="dxa"/>
              <w:left w:w="240" w:type="dxa"/>
              <w:bottom w:w="150" w:type="dxa"/>
              <w:right w:w="240" w:type="dxa"/>
            </w:tcMar>
            <w:vAlign w:val="center"/>
            <w:hideMark/>
          </w:tcPr>
          <w:p w14:paraId="0D79B671" w14:textId="77777777" w:rsidR="00EA2578" w:rsidRPr="00EA2578" w:rsidRDefault="00EA2578" w:rsidP="006473EC">
            <w:pPr>
              <w:spacing w:after="160" w:line="360" w:lineRule="auto"/>
              <w:jc w:val="both"/>
            </w:pPr>
            <w:r w:rsidRPr="00EA2578">
              <w:t>260</w:t>
            </w:r>
          </w:p>
        </w:tc>
        <w:tc>
          <w:tcPr>
            <w:tcW w:w="0" w:type="auto"/>
            <w:tcMar>
              <w:top w:w="150" w:type="dxa"/>
              <w:left w:w="240" w:type="dxa"/>
              <w:bottom w:w="150" w:type="dxa"/>
              <w:right w:w="0" w:type="dxa"/>
            </w:tcMar>
            <w:vAlign w:val="center"/>
            <w:hideMark/>
          </w:tcPr>
          <w:p w14:paraId="1158CBD8" w14:textId="77777777" w:rsidR="00EA2578" w:rsidRPr="00EA2578" w:rsidRDefault="00EA2578" w:rsidP="006473EC">
            <w:pPr>
              <w:spacing w:after="160" w:line="360" w:lineRule="auto"/>
              <w:jc w:val="both"/>
            </w:pPr>
            <w:r w:rsidRPr="00EA2578">
              <w:t>71.2</w:t>
            </w:r>
          </w:p>
        </w:tc>
      </w:tr>
      <w:tr w:rsidR="00EA2578" w:rsidRPr="00EA2578" w14:paraId="2D519C7F" w14:textId="77777777" w:rsidTr="00EA2578">
        <w:trPr>
          <w:trHeight w:val="574"/>
        </w:trPr>
        <w:tc>
          <w:tcPr>
            <w:tcW w:w="0" w:type="auto"/>
            <w:tcMar>
              <w:top w:w="150" w:type="dxa"/>
              <w:left w:w="0" w:type="dxa"/>
              <w:bottom w:w="150" w:type="dxa"/>
              <w:right w:w="240" w:type="dxa"/>
            </w:tcMar>
            <w:vAlign w:val="center"/>
            <w:hideMark/>
          </w:tcPr>
          <w:p w14:paraId="4DE8D75C" w14:textId="77777777" w:rsidR="00EA2578" w:rsidRPr="00EA2578" w:rsidRDefault="00EA2578" w:rsidP="006473EC">
            <w:pPr>
              <w:spacing w:after="160" w:line="360" w:lineRule="auto"/>
              <w:jc w:val="both"/>
            </w:pPr>
          </w:p>
        </w:tc>
        <w:tc>
          <w:tcPr>
            <w:tcW w:w="0" w:type="auto"/>
            <w:tcMar>
              <w:top w:w="150" w:type="dxa"/>
              <w:left w:w="240" w:type="dxa"/>
              <w:bottom w:w="150" w:type="dxa"/>
              <w:right w:w="240" w:type="dxa"/>
            </w:tcMar>
            <w:vAlign w:val="center"/>
            <w:hideMark/>
          </w:tcPr>
          <w:p w14:paraId="789AC4DA" w14:textId="77777777" w:rsidR="00EA2578" w:rsidRPr="00EA2578" w:rsidRDefault="00EA2578" w:rsidP="006473EC">
            <w:pPr>
              <w:spacing w:after="160" w:line="360" w:lineRule="auto"/>
              <w:jc w:val="both"/>
            </w:pPr>
            <w:r w:rsidRPr="00EA2578">
              <w:t>Tenant</w:t>
            </w:r>
          </w:p>
        </w:tc>
        <w:tc>
          <w:tcPr>
            <w:tcW w:w="0" w:type="auto"/>
            <w:tcMar>
              <w:top w:w="150" w:type="dxa"/>
              <w:left w:w="240" w:type="dxa"/>
              <w:bottom w:w="150" w:type="dxa"/>
              <w:right w:w="240" w:type="dxa"/>
            </w:tcMar>
            <w:vAlign w:val="center"/>
            <w:hideMark/>
          </w:tcPr>
          <w:p w14:paraId="647ED6A1" w14:textId="77777777" w:rsidR="00EA2578" w:rsidRPr="00EA2578" w:rsidRDefault="00EA2578" w:rsidP="006473EC">
            <w:pPr>
              <w:spacing w:after="160" w:line="360" w:lineRule="auto"/>
              <w:jc w:val="both"/>
            </w:pPr>
            <w:r w:rsidRPr="00EA2578">
              <w:t>94</w:t>
            </w:r>
          </w:p>
        </w:tc>
        <w:tc>
          <w:tcPr>
            <w:tcW w:w="0" w:type="auto"/>
            <w:tcMar>
              <w:top w:w="150" w:type="dxa"/>
              <w:left w:w="240" w:type="dxa"/>
              <w:bottom w:w="150" w:type="dxa"/>
              <w:right w:w="0" w:type="dxa"/>
            </w:tcMar>
            <w:vAlign w:val="center"/>
            <w:hideMark/>
          </w:tcPr>
          <w:p w14:paraId="70FCCD01" w14:textId="77777777" w:rsidR="00EA2578" w:rsidRPr="00EA2578" w:rsidRDefault="00EA2578" w:rsidP="006473EC">
            <w:pPr>
              <w:spacing w:after="160" w:line="360" w:lineRule="auto"/>
              <w:jc w:val="both"/>
            </w:pPr>
            <w:r w:rsidRPr="00EA2578">
              <w:t>25.8</w:t>
            </w:r>
          </w:p>
        </w:tc>
      </w:tr>
      <w:tr w:rsidR="00EA2578" w:rsidRPr="00EA2578" w14:paraId="7D8A21D0" w14:textId="77777777" w:rsidTr="00EA2578">
        <w:trPr>
          <w:trHeight w:val="574"/>
        </w:trPr>
        <w:tc>
          <w:tcPr>
            <w:tcW w:w="0" w:type="auto"/>
            <w:tcMar>
              <w:top w:w="150" w:type="dxa"/>
              <w:left w:w="0" w:type="dxa"/>
              <w:bottom w:w="150" w:type="dxa"/>
              <w:right w:w="240" w:type="dxa"/>
            </w:tcMar>
            <w:vAlign w:val="center"/>
            <w:hideMark/>
          </w:tcPr>
          <w:p w14:paraId="2EED74CD" w14:textId="77777777" w:rsidR="00EA2578" w:rsidRPr="00EA2578" w:rsidRDefault="00EA2578" w:rsidP="006473EC">
            <w:pPr>
              <w:spacing w:after="160" w:line="360" w:lineRule="auto"/>
              <w:jc w:val="both"/>
            </w:pPr>
          </w:p>
        </w:tc>
        <w:tc>
          <w:tcPr>
            <w:tcW w:w="0" w:type="auto"/>
            <w:tcMar>
              <w:top w:w="150" w:type="dxa"/>
              <w:left w:w="240" w:type="dxa"/>
              <w:bottom w:w="150" w:type="dxa"/>
              <w:right w:w="240" w:type="dxa"/>
            </w:tcMar>
            <w:vAlign w:val="center"/>
            <w:hideMark/>
          </w:tcPr>
          <w:p w14:paraId="66A6ACF2" w14:textId="77777777" w:rsidR="00EA2578" w:rsidRPr="00EA2578" w:rsidRDefault="00EA2578" w:rsidP="006473EC">
            <w:pPr>
              <w:spacing w:after="160" w:line="360" w:lineRule="auto"/>
              <w:jc w:val="both"/>
            </w:pPr>
            <w:r w:rsidRPr="00EA2578">
              <w:t>Other</w:t>
            </w:r>
          </w:p>
        </w:tc>
        <w:tc>
          <w:tcPr>
            <w:tcW w:w="0" w:type="auto"/>
            <w:tcMar>
              <w:top w:w="150" w:type="dxa"/>
              <w:left w:w="240" w:type="dxa"/>
              <w:bottom w:w="150" w:type="dxa"/>
              <w:right w:w="240" w:type="dxa"/>
            </w:tcMar>
            <w:vAlign w:val="center"/>
            <w:hideMark/>
          </w:tcPr>
          <w:p w14:paraId="23459CE7" w14:textId="77777777" w:rsidR="00EA2578" w:rsidRPr="00EA2578" w:rsidRDefault="00EA2578" w:rsidP="006473EC">
            <w:pPr>
              <w:spacing w:after="160" w:line="360" w:lineRule="auto"/>
              <w:jc w:val="both"/>
            </w:pPr>
            <w:r w:rsidRPr="00EA2578">
              <w:t>11</w:t>
            </w:r>
          </w:p>
        </w:tc>
        <w:tc>
          <w:tcPr>
            <w:tcW w:w="0" w:type="auto"/>
            <w:tcMar>
              <w:top w:w="150" w:type="dxa"/>
              <w:left w:w="240" w:type="dxa"/>
              <w:bottom w:w="150" w:type="dxa"/>
              <w:right w:w="0" w:type="dxa"/>
            </w:tcMar>
            <w:vAlign w:val="center"/>
            <w:hideMark/>
          </w:tcPr>
          <w:p w14:paraId="40A10D5B" w14:textId="77777777" w:rsidR="00EA2578" w:rsidRPr="00EA2578" w:rsidRDefault="00EA2578" w:rsidP="006473EC">
            <w:pPr>
              <w:spacing w:after="160" w:line="360" w:lineRule="auto"/>
              <w:jc w:val="both"/>
            </w:pPr>
            <w:r w:rsidRPr="00EA2578">
              <w:t>3.0</w:t>
            </w:r>
          </w:p>
        </w:tc>
      </w:tr>
    </w:tbl>
    <w:p w14:paraId="37402CE3" w14:textId="77777777" w:rsidR="00EA2578" w:rsidRPr="00EA2578" w:rsidRDefault="00EA2578" w:rsidP="006473EC">
      <w:pPr>
        <w:spacing w:after="160" w:line="360" w:lineRule="auto"/>
        <w:jc w:val="both"/>
      </w:pPr>
      <w:r w:rsidRPr="00EA2578">
        <w:lastRenderedPageBreak/>
        <w:t>The mean age of respondents was 41.3 years (SD = 12.7), mean household income was ₦187,500, and mean household size was 4.2 persons (SD = 1.8).</w:t>
      </w:r>
    </w:p>
    <w:p w14:paraId="3406D1EA" w14:textId="77777777" w:rsidR="00EA2578" w:rsidRPr="00EA2578" w:rsidRDefault="00EA2578" w:rsidP="006473EC">
      <w:pPr>
        <w:spacing w:after="160" w:line="360" w:lineRule="auto"/>
        <w:jc w:val="both"/>
        <w:rPr>
          <w:b/>
          <w:bCs/>
        </w:rPr>
      </w:pPr>
      <w:r w:rsidRPr="00EA2578">
        <w:rPr>
          <w:b/>
          <w:bCs/>
        </w:rPr>
        <w:t>4.4 Thermal Comfort Perception</w:t>
      </w:r>
    </w:p>
    <w:p w14:paraId="04AFC27F" w14:textId="77777777" w:rsidR="00EA2578" w:rsidRPr="00EA2578" w:rsidRDefault="00EA2578" w:rsidP="006473EC">
      <w:pPr>
        <w:spacing w:after="160" w:line="360" w:lineRule="auto"/>
        <w:jc w:val="both"/>
      </w:pPr>
      <w:r w:rsidRPr="00EA2578">
        <w:rPr>
          <w:b/>
          <w:bCs/>
        </w:rPr>
        <w:t>Table 4.2: Thermal Comfort Ratings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07"/>
        <w:gridCol w:w="1027"/>
        <w:gridCol w:w="900"/>
        <w:gridCol w:w="2406"/>
      </w:tblGrid>
      <w:tr w:rsidR="00EA2578" w:rsidRPr="00EA2578" w14:paraId="0B4FA891" w14:textId="77777777" w:rsidTr="00EA2578">
        <w:trPr>
          <w:tblHeader/>
        </w:trPr>
        <w:tc>
          <w:tcPr>
            <w:tcW w:w="0" w:type="auto"/>
            <w:tcMar>
              <w:top w:w="150" w:type="dxa"/>
              <w:left w:w="0" w:type="dxa"/>
              <w:bottom w:w="150" w:type="dxa"/>
              <w:right w:w="240" w:type="dxa"/>
            </w:tcMar>
            <w:vAlign w:val="center"/>
            <w:hideMark/>
          </w:tcPr>
          <w:p w14:paraId="65C5365C" w14:textId="77777777" w:rsidR="00EA2578" w:rsidRPr="00EA2578" w:rsidRDefault="00EA2578" w:rsidP="006473EC">
            <w:pPr>
              <w:spacing w:after="160" w:line="360" w:lineRule="auto"/>
              <w:jc w:val="both"/>
            </w:pPr>
            <w:r w:rsidRPr="00EA2578">
              <w:t>Variable</w:t>
            </w:r>
          </w:p>
        </w:tc>
        <w:tc>
          <w:tcPr>
            <w:tcW w:w="0" w:type="auto"/>
            <w:tcMar>
              <w:top w:w="150" w:type="dxa"/>
              <w:left w:w="240" w:type="dxa"/>
              <w:bottom w:w="150" w:type="dxa"/>
              <w:right w:w="240" w:type="dxa"/>
            </w:tcMar>
            <w:vAlign w:val="center"/>
            <w:hideMark/>
          </w:tcPr>
          <w:p w14:paraId="59C3586A" w14:textId="77777777" w:rsidR="00EA2578" w:rsidRPr="00EA2578" w:rsidRDefault="00EA2578" w:rsidP="006473EC">
            <w:pPr>
              <w:spacing w:after="160" w:line="360" w:lineRule="auto"/>
              <w:jc w:val="both"/>
            </w:pPr>
            <w:r w:rsidRPr="00EA2578">
              <w:t>Mean</w:t>
            </w:r>
          </w:p>
        </w:tc>
        <w:tc>
          <w:tcPr>
            <w:tcW w:w="0" w:type="auto"/>
            <w:tcMar>
              <w:top w:w="150" w:type="dxa"/>
              <w:left w:w="240" w:type="dxa"/>
              <w:bottom w:w="150" w:type="dxa"/>
              <w:right w:w="240" w:type="dxa"/>
            </w:tcMar>
            <w:vAlign w:val="center"/>
            <w:hideMark/>
          </w:tcPr>
          <w:p w14:paraId="3623B10D" w14:textId="77777777" w:rsidR="00EA2578" w:rsidRPr="00EA2578" w:rsidRDefault="00EA2578" w:rsidP="006473EC">
            <w:pPr>
              <w:spacing w:after="160" w:line="360" w:lineRule="auto"/>
              <w:jc w:val="both"/>
            </w:pPr>
            <w:r w:rsidRPr="00EA2578">
              <w:t>SD</w:t>
            </w:r>
          </w:p>
        </w:tc>
        <w:tc>
          <w:tcPr>
            <w:tcW w:w="0" w:type="auto"/>
            <w:tcMar>
              <w:top w:w="150" w:type="dxa"/>
              <w:left w:w="240" w:type="dxa"/>
              <w:bottom w:w="150" w:type="dxa"/>
              <w:right w:w="240" w:type="dxa"/>
            </w:tcMar>
            <w:vAlign w:val="center"/>
            <w:hideMark/>
          </w:tcPr>
          <w:p w14:paraId="124C11B3" w14:textId="77777777" w:rsidR="00EA2578" w:rsidRPr="00EA2578" w:rsidRDefault="00EA2578" w:rsidP="006473EC">
            <w:pPr>
              <w:spacing w:after="160" w:line="360" w:lineRule="auto"/>
              <w:jc w:val="both"/>
            </w:pPr>
            <w:r w:rsidRPr="00EA2578">
              <w:t>Good/Excellent (%)</w:t>
            </w:r>
          </w:p>
        </w:tc>
      </w:tr>
      <w:tr w:rsidR="00EA2578" w:rsidRPr="00EA2578" w14:paraId="5653B72A" w14:textId="77777777" w:rsidTr="00EA2578">
        <w:tc>
          <w:tcPr>
            <w:tcW w:w="0" w:type="auto"/>
            <w:tcMar>
              <w:top w:w="150" w:type="dxa"/>
              <w:left w:w="0" w:type="dxa"/>
              <w:bottom w:w="150" w:type="dxa"/>
              <w:right w:w="240" w:type="dxa"/>
            </w:tcMar>
            <w:vAlign w:val="center"/>
            <w:hideMark/>
          </w:tcPr>
          <w:p w14:paraId="0A02806C" w14:textId="77777777" w:rsidR="00EA2578" w:rsidRPr="00EA2578" w:rsidRDefault="00EA2578" w:rsidP="006473EC">
            <w:pPr>
              <w:spacing w:after="160" w:line="360" w:lineRule="auto"/>
              <w:jc w:val="both"/>
            </w:pPr>
            <w:r w:rsidRPr="00EA2578">
              <w:t>Indoor Temperature</w:t>
            </w:r>
          </w:p>
        </w:tc>
        <w:tc>
          <w:tcPr>
            <w:tcW w:w="0" w:type="auto"/>
            <w:tcMar>
              <w:top w:w="150" w:type="dxa"/>
              <w:left w:w="240" w:type="dxa"/>
              <w:bottom w:w="150" w:type="dxa"/>
              <w:right w:w="240" w:type="dxa"/>
            </w:tcMar>
            <w:vAlign w:val="center"/>
            <w:hideMark/>
          </w:tcPr>
          <w:p w14:paraId="1D055620" w14:textId="77777777" w:rsidR="00EA2578" w:rsidRPr="00EA2578" w:rsidRDefault="00EA2578" w:rsidP="006473EC">
            <w:pPr>
              <w:spacing w:after="160" w:line="360" w:lineRule="auto"/>
              <w:jc w:val="both"/>
            </w:pPr>
            <w:r w:rsidRPr="00EA2578">
              <w:t>3.91</w:t>
            </w:r>
          </w:p>
        </w:tc>
        <w:tc>
          <w:tcPr>
            <w:tcW w:w="0" w:type="auto"/>
            <w:tcMar>
              <w:top w:w="150" w:type="dxa"/>
              <w:left w:w="240" w:type="dxa"/>
              <w:bottom w:w="150" w:type="dxa"/>
              <w:right w:w="240" w:type="dxa"/>
            </w:tcMar>
            <w:vAlign w:val="center"/>
            <w:hideMark/>
          </w:tcPr>
          <w:p w14:paraId="70C5C783" w14:textId="77777777" w:rsidR="00EA2578" w:rsidRPr="00EA2578" w:rsidRDefault="00EA2578" w:rsidP="006473EC">
            <w:pPr>
              <w:spacing w:after="160" w:line="360" w:lineRule="auto"/>
              <w:jc w:val="both"/>
            </w:pPr>
            <w:r w:rsidRPr="00EA2578">
              <w:t>1.12</w:t>
            </w:r>
          </w:p>
        </w:tc>
        <w:tc>
          <w:tcPr>
            <w:tcW w:w="0" w:type="auto"/>
            <w:tcMar>
              <w:top w:w="150" w:type="dxa"/>
              <w:left w:w="240" w:type="dxa"/>
              <w:bottom w:w="150" w:type="dxa"/>
              <w:right w:w="0" w:type="dxa"/>
            </w:tcMar>
            <w:vAlign w:val="center"/>
            <w:hideMark/>
          </w:tcPr>
          <w:p w14:paraId="6E83EE23" w14:textId="77777777" w:rsidR="00EA2578" w:rsidRPr="00EA2578" w:rsidRDefault="00EA2578" w:rsidP="006473EC">
            <w:pPr>
              <w:spacing w:after="160" w:line="360" w:lineRule="auto"/>
              <w:jc w:val="both"/>
            </w:pPr>
            <w:r w:rsidRPr="00EA2578">
              <w:t>73.7</w:t>
            </w:r>
          </w:p>
        </w:tc>
      </w:tr>
      <w:tr w:rsidR="00EA2578" w:rsidRPr="00EA2578" w14:paraId="670DB520" w14:textId="77777777" w:rsidTr="00EA2578">
        <w:tc>
          <w:tcPr>
            <w:tcW w:w="0" w:type="auto"/>
            <w:tcMar>
              <w:top w:w="150" w:type="dxa"/>
              <w:left w:w="0" w:type="dxa"/>
              <w:bottom w:w="150" w:type="dxa"/>
              <w:right w:w="240" w:type="dxa"/>
            </w:tcMar>
            <w:vAlign w:val="center"/>
            <w:hideMark/>
          </w:tcPr>
          <w:p w14:paraId="64A6A93C" w14:textId="77777777" w:rsidR="00EA2578" w:rsidRPr="00EA2578" w:rsidRDefault="00EA2578" w:rsidP="006473EC">
            <w:pPr>
              <w:spacing w:after="160" w:line="360" w:lineRule="auto"/>
              <w:jc w:val="both"/>
            </w:pPr>
            <w:r w:rsidRPr="00EA2578">
              <w:t>Indoor Humidity</w:t>
            </w:r>
          </w:p>
        </w:tc>
        <w:tc>
          <w:tcPr>
            <w:tcW w:w="0" w:type="auto"/>
            <w:tcMar>
              <w:top w:w="150" w:type="dxa"/>
              <w:left w:w="240" w:type="dxa"/>
              <w:bottom w:w="150" w:type="dxa"/>
              <w:right w:w="240" w:type="dxa"/>
            </w:tcMar>
            <w:vAlign w:val="center"/>
            <w:hideMark/>
          </w:tcPr>
          <w:p w14:paraId="68B760F9" w14:textId="77777777" w:rsidR="00EA2578" w:rsidRPr="00EA2578" w:rsidRDefault="00EA2578" w:rsidP="006473EC">
            <w:pPr>
              <w:spacing w:after="160" w:line="360" w:lineRule="auto"/>
              <w:jc w:val="both"/>
            </w:pPr>
            <w:r w:rsidRPr="00EA2578">
              <w:t>3.66</w:t>
            </w:r>
          </w:p>
        </w:tc>
        <w:tc>
          <w:tcPr>
            <w:tcW w:w="0" w:type="auto"/>
            <w:tcMar>
              <w:top w:w="150" w:type="dxa"/>
              <w:left w:w="240" w:type="dxa"/>
              <w:bottom w:w="150" w:type="dxa"/>
              <w:right w:w="240" w:type="dxa"/>
            </w:tcMar>
            <w:vAlign w:val="center"/>
            <w:hideMark/>
          </w:tcPr>
          <w:p w14:paraId="5E102C2A" w14:textId="77777777" w:rsidR="00EA2578" w:rsidRPr="00EA2578" w:rsidRDefault="00EA2578" w:rsidP="006473EC">
            <w:pPr>
              <w:spacing w:after="160" w:line="360" w:lineRule="auto"/>
              <w:jc w:val="both"/>
            </w:pPr>
            <w:r w:rsidRPr="00EA2578">
              <w:t>1.23</w:t>
            </w:r>
          </w:p>
        </w:tc>
        <w:tc>
          <w:tcPr>
            <w:tcW w:w="0" w:type="auto"/>
            <w:tcMar>
              <w:top w:w="150" w:type="dxa"/>
              <w:left w:w="240" w:type="dxa"/>
              <w:bottom w:w="150" w:type="dxa"/>
              <w:right w:w="0" w:type="dxa"/>
            </w:tcMar>
            <w:vAlign w:val="center"/>
            <w:hideMark/>
          </w:tcPr>
          <w:p w14:paraId="2D7B1CD4" w14:textId="77777777" w:rsidR="00EA2578" w:rsidRPr="00EA2578" w:rsidRDefault="00EA2578" w:rsidP="006473EC">
            <w:pPr>
              <w:spacing w:after="160" w:line="360" w:lineRule="auto"/>
              <w:jc w:val="both"/>
            </w:pPr>
            <w:r w:rsidRPr="00EA2578">
              <w:t>65.4</w:t>
            </w:r>
          </w:p>
        </w:tc>
      </w:tr>
      <w:tr w:rsidR="00EA2578" w:rsidRPr="00EA2578" w14:paraId="5E1BCAE2" w14:textId="77777777" w:rsidTr="00EA2578">
        <w:tc>
          <w:tcPr>
            <w:tcW w:w="0" w:type="auto"/>
            <w:tcMar>
              <w:top w:w="150" w:type="dxa"/>
              <w:left w:w="0" w:type="dxa"/>
              <w:bottom w:w="150" w:type="dxa"/>
              <w:right w:w="240" w:type="dxa"/>
            </w:tcMar>
            <w:vAlign w:val="center"/>
            <w:hideMark/>
          </w:tcPr>
          <w:p w14:paraId="13EA6ABD" w14:textId="77777777" w:rsidR="00EA2578" w:rsidRPr="00EA2578" w:rsidRDefault="00EA2578" w:rsidP="006473EC">
            <w:pPr>
              <w:spacing w:after="160" w:line="360" w:lineRule="auto"/>
              <w:jc w:val="both"/>
            </w:pPr>
            <w:r w:rsidRPr="00EA2578">
              <w:t>Air Movement/Ventilation</w:t>
            </w:r>
          </w:p>
        </w:tc>
        <w:tc>
          <w:tcPr>
            <w:tcW w:w="0" w:type="auto"/>
            <w:tcMar>
              <w:top w:w="150" w:type="dxa"/>
              <w:left w:w="240" w:type="dxa"/>
              <w:bottom w:w="150" w:type="dxa"/>
              <w:right w:w="240" w:type="dxa"/>
            </w:tcMar>
            <w:vAlign w:val="center"/>
            <w:hideMark/>
          </w:tcPr>
          <w:p w14:paraId="230D8D88" w14:textId="77777777" w:rsidR="00EA2578" w:rsidRPr="00EA2578" w:rsidRDefault="00EA2578" w:rsidP="006473EC">
            <w:pPr>
              <w:spacing w:after="160" w:line="360" w:lineRule="auto"/>
              <w:jc w:val="both"/>
            </w:pPr>
            <w:r w:rsidRPr="00EA2578">
              <w:t>3.72</w:t>
            </w:r>
          </w:p>
        </w:tc>
        <w:tc>
          <w:tcPr>
            <w:tcW w:w="0" w:type="auto"/>
            <w:tcMar>
              <w:top w:w="150" w:type="dxa"/>
              <w:left w:w="240" w:type="dxa"/>
              <w:bottom w:w="150" w:type="dxa"/>
              <w:right w:w="240" w:type="dxa"/>
            </w:tcMar>
            <w:vAlign w:val="center"/>
            <w:hideMark/>
          </w:tcPr>
          <w:p w14:paraId="59FB6F13" w14:textId="77777777" w:rsidR="00EA2578" w:rsidRPr="00EA2578" w:rsidRDefault="00EA2578" w:rsidP="006473EC">
            <w:pPr>
              <w:spacing w:after="160" w:line="360" w:lineRule="auto"/>
              <w:jc w:val="both"/>
            </w:pPr>
            <w:r w:rsidRPr="00EA2578">
              <w:t>1.18</w:t>
            </w:r>
          </w:p>
        </w:tc>
        <w:tc>
          <w:tcPr>
            <w:tcW w:w="0" w:type="auto"/>
            <w:tcMar>
              <w:top w:w="150" w:type="dxa"/>
              <w:left w:w="240" w:type="dxa"/>
              <w:bottom w:w="150" w:type="dxa"/>
              <w:right w:w="0" w:type="dxa"/>
            </w:tcMar>
            <w:vAlign w:val="center"/>
            <w:hideMark/>
          </w:tcPr>
          <w:p w14:paraId="1DE10F7C" w14:textId="77777777" w:rsidR="00EA2578" w:rsidRPr="00EA2578" w:rsidRDefault="00EA2578" w:rsidP="006473EC">
            <w:pPr>
              <w:spacing w:after="160" w:line="360" w:lineRule="auto"/>
              <w:jc w:val="both"/>
            </w:pPr>
            <w:r w:rsidRPr="00EA2578">
              <w:t>64.9</w:t>
            </w:r>
          </w:p>
        </w:tc>
      </w:tr>
      <w:tr w:rsidR="00EA2578" w:rsidRPr="00EA2578" w14:paraId="2C435FAA" w14:textId="77777777" w:rsidTr="00EA2578">
        <w:tc>
          <w:tcPr>
            <w:tcW w:w="0" w:type="auto"/>
            <w:tcMar>
              <w:top w:w="150" w:type="dxa"/>
              <w:left w:w="0" w:type="dxa"/>
              <w:bottom w:w="150" w:type="dxa"/>
              <w:right w:w="240" w:type="dxa"/>
            </w:tcMar>
            <w:vAlign w:val="center"/>
            <w:hideMark/>
          </w:tcPr>
          <w:p w14:paraId="6B431AD6" w14:textId="77777777" w:rsidR="00EA2578" w:rsidRPr="00EA2578" w:rsidRDefault="00EA2578" w:rsidP="006473EC">
            <w:pPr>
              <w:spacing w:after="160" w:line="360" w:lineRule="auto"/>
              <w:jc w:val="both"/>
            </w:pPr>
            <w:r w:rsidRPr="00EA2578">
              <w:t>Overall Thermal Comfort</w:t>
            </w:r>
          </w:p>
        </w:tc>
        <w:tc>
          <w:tcPr>
            <w:tcW w:w="0" w:type="auto"/>
            <w:tcMar>
              <w:top w:w="150" w:type="dxa"/>
              <w:left w:w="240" w:type="dxa"/>
              <w:bottom w:w="150" w:type="dxa"/>
              <w:right w:w="240" w:type="dxa"/>
            </w:tcMar>
            <w:vAlign w:val="center"/>
            <w:hideMark/>
          </w:tcPr>
          <w:p w14:paraId="086982AD" w14:textId="77777777" w:rsidR="00EA2578" w:rsidRPr="00EA2578" w:rsidRDefault="00EA2578" w:rsidP="006473EC">
            <w:pPr>
              <w:spacing w:after="160" w:line="360" w:lineRule="auto"/>
              <w:jc w:val="both"/>
            </w:pPr>
            <w:r w:rsidRPr="00EA2578">
              <w:t>3.82</w:t>
            </w:r>
          </w:p>
        </w:tc>
        <w:tc>
          <w:tcPr>
            <w:tcW w:w="0" w:type="auto"/>
            <w:tcMar>
              <w:top w:w="150" w:type="dxa"/>
              <w:left w:w="240" w:type="dxa"/>
              <w:bottom w:w="150" w:type="dxa"/>
              <w:right w:w="240" w:type="dxa"/>
            </w:tcMar>
            <w:vAlign w:val="center"/>
            <w:hideMark/>
          </w:tcPr>
          <w:p w14:paraId="52C6CEEF" w14:textId="77777777" w:rsidR="00EA2578" w:rsidRPr="00EA2578" w:rsidRDefault="00EA2578" w:rsidP="006473EC">
            <w:pPr>
              <w:spacing w:after="160" w:line="360" w:lineRule="auto"/>
              <w:jc w:val="both"/>
            </w:pPr>
            <w:r w:rsidRPr="00EA2578">
              <w:t>1.16</w:t>
            </w:r>
          </w:p>
        </w:tc>
        <w:tc>
          <w:tcPr>
            <w:tcW w:w="0" w:type="auto"/>
            <w:tcMar>
              <w:top w:w="150" w:type="dxa"/>
              <w:left w:w="240" w:type="dxa"/>
              <w:bottom w:w="150" w:type="dxa"/>
              <w:right w:w="0" w:type="dxa"/>
            </w:tcMar>
            <w:vAlign w:val="center"/>
            <w:hideMark/>
          </w:tcPr>
          <w:p w14:paraId="2FFD877C" w14:textId="77777777" w:rsidR="00EA2578" w:rsidRPr="00EA2578" w:rsidRDefault="00EA2578" w:rsidP="006473EC">
            <w:pPr>
              <w:spacing w:after="160" w:line="360" w:lineRule="auto"/>
              <w:jc w:val="both"/>
            </w:pPr>
            <w:r w:rsidRPr="00EA2578">
              <w:t>69.6</w:t>
            </w:r>
          </w:p>
        </w:tc>
      </w:tr>
    </w:tbl>
    <w:p w14:paraId="2FB9B867" w14:textId="77777777" w:rsidR="00EA2578" w:rsidRPr="00EA2578" w:rsidRDefault="00EA2578" w:rsidP="006473EC">
      <w:pPr>
        <w:spacing w:after="160" w:line="360" w:lineRule="auto"/>
        <w:jc w:val="both"/>
      </w:pPr>
      <w:r w:rsidRPr="00EA2578">
        <w:rPr>
          <w:i/>
          <w:iCs/>
        </w:rPr>
        <w:t>Scale: 1=Very Poor to 5=Excellent</w:t>
      </w:r>
    </w:p>
    <w:p w14:paraId="02E41160" w14:textId="007A3355" w:rsidR="00EA2578" w:rsidRPr="00EA2578" w:rsidRDefault="00EA2578" w:rsidP="006473EC">
      <w:pPr>
        <w:spacing w:after="160" w:line="360" w:lineRule="auto"/>
        <w:jc w:val="both"/>
      </w:pPr>
      <w:r w:rsidRPr="00EA2578">
        <w:t xml:space="preserve">The majority of respondents rated thermal comfort positively, with 69.6% rating overall thermal comfort as Good or Excellent. When compared to </w:t>
      </w:r>
      <w:proofErr w:type="spellStart"/>
      <w:r w:rsidRPr="00EA2578">
        <w:t>sandcrete</w:t>
      </w:r>
      <w:proofErr w:type="spellEnd"/>
      <w:r w:rsidRPr="00EA2578">
        <w:t xml:space="preserve"> buildings, 74.5% reported their ISSB home was "Much cooler" (42.7%) or "Somewhat cooler" (31.8%). During the hottest part of the day (</w:t>
      </w:r>
      <w:r w:rsidR="00F53902">
        <w:t>12 pm</w:t>
      </w:r>
      <w:r w:rsidRPr="00EA2578">
        <w:t>-</w:t>
      </w:r>
      <w:r w:rsidR="00F53902">
        <w:t>4 pm</w:t>
      </w:r>
      <w:r w:rsidRPr="00EA2578">
        <w:t>), 64.7% reported being comfortable or very comfortable. Only 8.8% "Always" required cooling devices, while 44.9% "Sometimes" used them.</w:t>
      </w:r>
    </w:p>
    <w:p w14:paraId="027B4E12" w14:textId="77777777" w:rsidR="00EA2578" w:rsidRPr="00EA2578" w:rsidRDefault="00EA2578" w:rsidP="006473EC">
      <w:pPr>
        <w:spacing w:after="160" w:line="360" w:lineRule="auto"/>
        <w:jc w:val="both"/>
        <w:rPr>
          <w:b/>
          <w:bCs/>
        </w:rPr>
      </w:pPr>
      <w:r w:rsidRPr="00EA2578">
        <w:rPr>
          <w:b/>
          <w:bCs/>
        </w:rPr>
        <w:t>4.5 Building Performance and Durability</w:t>
      </w:r>
    </w:p>
    <w:p w14:paraId="4F6EB2E0" w14:textId="77777777" w:rsidR="00EA2578" w:rsidRPr="00EA2578" w:rsidRDefault="00EA2578" w:rsidP="006473EC">
      <w:pPr>
        <w:spacing w:after="160" w:line="360" w:lineRule="auto"/>
        <w:jc w:val="both"/>
      </w:pPr>
      <w:r w:rsidRPr="00EA2578">
        <w:rPr>
          <w:b/>
          <w:bCs/>
        </w:rPr>
        <w:t>Table 4.3: Building Performance Ratings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06"/>
        <w:gridCol w:w="1027"/>
        <w:gridCol w:w="900"/>
        <w:gridCol w:w="3026"/>
      </w:tblGrid>
      <w:tr w:rsidR="00EA2578" w:rsidRPr="00EA2578" w14:paraId="10C8FBE9" w14:textId="77777777" w:rsidTr="00EA2578">
        <w:trPr>
          <w:tblHeader/>
        </w:trPr>
        <w:tc>
          <w:tcPr>
            <w:tcW w:w="0" w:type="auto"/>
            <w:tcMar>
              <w:top w:w="150" w:type="dxa"/>
              <w:left w:w="0" w:type="dxa"/>
              <w:bottom w:w="150" w:type="dxa"/>
              <w:right w:w="240" w:type="dxa"/>
            </w:tcMar>
            <w:vAlign w:val="center"/>
            <w:hideMark/>
          </w:tcPr>
          <w:p w14:paraId="64D11DE6" w14:textId="77777777" w:rsidR="00EA2578" w:rsidRPr="00EA2578" w:rsidRDefault="00EA2578" w:rsidP="006473EC">
            <w:pPr>
              <w:spacing w:after="160" w:line="360" w:lineRule="auto"/>
              <w:jc w:val="both"/>
            </w:pPr>
            <w:r w:rsidRPr="00EA2578">
              <w:t>Statement</w:t>
            </w:r>
          </w:p>
        </w:tc>
        <w:tc>
          <w:tcPr>
            <w:tcW w:w="0" w:type="auto"/>
            <w:tcMar>
              <w:top w:w="150" w:type="dxa"/>
              <w:left w:w="240" w:type="dxa"/>
              <w:bottom w:w="150" w:type="dxa"/>
              <w:right w:w="240" w:type="dxa"/>
            </w:tcMar>
            <w:vAlign w:val="center"/>
            <w:hideMark/>
          </w:tcPr>
          <w:p w14:paraId="4574F3A5" w14:textId="77777777" w:rsidR="00EA2578" w:rsidRPr="00EA2578" w:rsidRDefault="00EA2578" w:rsidP="006473EC">
            <w:pPr>
              <w:spacing w:after="160" w:line="360" w:lineRule="auto"/>
              <w:jc w:val="both"/>
            </w:pPr>
            <w:r w:rsidRPr="00EA2578">
              <w:t>Mean</w:t>
            </w:r>
          </w:p>
        </w:tc>
        <w:tc>
          <w:tcPr>
            <w:tcW w:w="0" w:type="auto"/>
            <w:tcMar>
              <w:top w:w="150" w:type="dxa"/>
              <w:left w:w="240" w:type="dxa"/>
              <w:bottom w:w="150" w:type="dxa"/>
              <w:right w:w="240" w:type="dxa"/>
            </w:tcMar>
            <w:vAlign w:val="center"/>
            <w:hideMark/>
          </w:tcPr>
          <w:p w14:paraId="32B3DAC8" w14:textId="77777777" w:rsidR="00EA2578" w:rsidRPr="00EA2578" w:rsidRDefault="00EA2578" w:rsidP="006473EC">
            <w:pPr>
              <w:spacing w:after="160" w:line="360" w:lineRule="auto"/>
              <w:jc w:val="both"/>
            </w:pPr>
            <w:r w:rsidRPr="00EA2578">
              <w:t>SD</w:t>
            </w:r>
          </w:p>
        </w:tc>
        <w:tc>
          <w:tcPr>
            <w:tcW w:w="0" w:type="auto"/>
            <w:tcMar>
              <w:top w:w="150" w:type="dxa"/>
              <w:left w:w="240" w:type="dxa"/>
              <w:bottom w:w="150" w:type="dxa"/>
              <w:right w:w="240" w:type="dxa"/>
            </w:tcMar>
            <w:vAlign w:val="center"/>
            <w:hideMark/>
          </w:tcPr>
          <w:p w14:paraId="38DCFC54" w14:textId="77777777" w:rsidR="00EA2578" w:rsidRPr="00EA2578" w:rsidRDefault="00EA2578" w:rsidP="006473EC">
            <w:pPr>
              <w:spacing w:after="160" w:line="360" w:lineRule="auto"/>
              <w:jc w:val="both"/>
            </w:pPr>
            <w:r w:rsidRPr="00EA2578">
              <w:t>Agree/Strongly Agree (%)</w:t>
            </w:r>
          </w:p>
        </w:tc>
      </w:tr>
      <w:tr w:rsidR="00EA2578" w:rsidRPr="00EA2578" w14:paraId="6F34D7CF" w14:textId="77777777" w:rsidTr="00EA2578">
        <w:tc>
          <w:tcPr>
            <w:tcW w:w="0" w:type="auto"/>
            <w:tcMar>
              <w:top w:w="150" w:type="dxa"/>
              <w:left w:w="0" w:type="dxa"/>
              <w:bottom w:w="150" w:type="dxa"/>
              <w:right w:w="240" w:type="dxa"/>
            </w:tcMar>
            <w:vAlign w:val="center"/>
            <w:hideMark/>
          </w:tcPr>
          <w:p w14:paraId="0974C183" w14:textId="77777777" w:rsidR="00EA2578" w:rsidRPr="00EA2578" w:rsidRDefault="00EA2578" w:rsidP="006473EC">
            <w:pPr>
              <w:spacing w:after="160" w:line="360" w:lineRule="auto"/>
              <w:jc w:val="both"/>
            </w:pPr>
            <w:r w:rsidRPr="00EA2578">
              <w:t>Overall building quality</w:t>
            </w:r>
          </w:p>
        </w:tc>
        <w:tc>
          <w:tcPr>
            <w:tcW w:w="0" w:type="auto"/>
            <w:tcMar>
              <w:top w:w="150" w:type="dxa"/>
              <w:left w:w="240" w:type="dxa"/>
              <w:bottom w:w="150" w:type="dxa"/>
              <w:right w:w="240" w:type="dxa"/>
            </w:tcMar>
            <w:vAlign w:val="center"/>
            <w:hideMark/>
          </w:tcPr>
          <w:p w14:paraId="5F3063FA" w14:textId="77777777" w:rsidR="00EA2578" w:rsidRPr="00EA2578" w:rsidRDefault="00EA2578" w:rsidP="006473EC">
            <w:pPr>
              <w:spacing w:after="160" w:line="360" w:lineRule="auto"/>
              <w:jc w:val="both"/>
            </w:pPr>
            <w:r w:rsidRPr="00EA2578">
              <w:t>4.01</w:t>
            </w:r>
          </w:p>
        </w:tc>
        <w:tc>
          <w:tcPr>
            <w:tcW w:w="0" w:type="auto"/>
            <w:tcMar>
              <w:top w:w="150" w:type="dxa"/>
              <w:left w:w="240" w:type="dxa"/>
              <w:bottom w:w="150" w:type="dxa"/>
              <w:right w:w="240" w:type="dxa"/>
            </w:tcMar>
            <w:vAlign w:val="center"/>
            <w:hideMark/>
          </w:tcPr>
          <w:p w14:paraId="5E786029" w14:textId="77777777" w:rsidR="00EA2578" w:rsidRPr="00EA2578" w:rsidRDefault="00EA2578" w:rsidP="006473EC">
            <w:pPr>
              <w:spacing w:after="160" w:line="360" w:lineRule="auto"/>
              <w:jc w:val="both"/>
            </w:pPr>
            <w:r w:rsidRPr="00EA2578">
              <w:t>1.08</w:t>
            </w:r>
          </w:p>
        </w:tc>
        <w:tc>
          <w:tcPr>
            <w:tcW w:w="0" w:type="auto"/>
            <w:tcMar>
              <w:top w:w="150" w:type="dxa"/>
              <w:left w:w="240" w:type="dxa"/>
              <w:bottom w:w="150" w:type="dxa"/>
              <w:right w:w="0" w:type="dxa"/>
            </w:tcMar>
            <w:vAlign w:val="center"/>
            <w:hideMark/>
          </w:tcPr>
          <w:p w14:paraId="4B0DE5C7" w14:textId="77777777" w:rsidR="00EA2578" w:rsidRPr="00EA2578" w:rsidRDefault="00EA2578" w:rsidP="006473EC">
            <w:pPr>
              <w:spacing w:after="160" w:line="360" w:lineRule="auto"/>
              <w:jc w:val="both"/>
            </w:pPr>
            <w:r w:rsidRPr="00EA2578">
              <w:t>70.4</w:t>
            </w:r>
          </w:p>
        </w:tc>
      </w:tr>
      <w:tr w:rsidR="00EA2578" w:rsidRPr="00EA2578" w14:paraId="01BD6755" w14:textId="77777777" w:rsidTr="00EA2578">
        <w:tc>
          <w:tcPr>
            <w:tcW w:w="0" w:type="auto"/>
            <w:tcMar>
              <w:top w:w="150" w:type="dxa"/>
              <w:left w:w="0" w:type="dxa"/>
              <w:bottom w:w="150" w:type="dxa"/>
              <w:right w:w="240" w:type="dxa"/>
            </w:tcMar>
            <w:vAlign w:val="center"/>
            <w:hideMark/>
          </w:tcPr>
          <w:p w14:paraId="59481C34" w14:textId="77777777" w:rsidR="00EA2578" w:rsidRPr="00EA2578" w:rsidRDefault="00EA2578" w:rsidP="006473EC">
            <w:pPr>
              <w:spacing w:after="160" w:line="360" w:lineRule="auto"/>
              <w:jc w:val="both"/>
            </w:pPr>
            <w:r w:rsidRPr="00EA2578">
              <w:lastRenderedPageBreak/>
              <w:t>Maintained structural integrity</w:t>
            </w:r>
          </w:p>
        </w:tc>
        <w:tc>
          <w:tcPr>
            <w:tcW w:w="0" w:type="auto"/>
            <w:tcMar>
              <w:top w:w="150" w:type="dxa"/>
              <w:left w:w="240" w:type="dxa"/>
              <w:bottom w:w="150" w:type="dxa"/>
              <w:right w:w="240" w:type="dxa"/>
            </w:tcMar>
            <w:vAlign w:val="center"/>
            <w:hideMark/>
          </w:tcPr>
          <w:p w14:paraId="3E6EE868" w14:textId="77777777" w:rsidR="00EA2578" w:rsidRPr="00EA2578" w:rsidRDefault="00EA2578" w:rsidP="006473EC">
            <w:pPr>
              <w:spacing w:after="160" w:line="360" w:lineRule="auto"/>
              <w:jc w:val="both"/>
            </w:pPr>
            <w:r w:rsidRPr="00EA2578">
              <w:t>3.93</w:t>
            </w:r>
          </w:p>
        </w:tc>
        <w:tc>
          <w:tcPr>
            <w:tcW w:w="0" w:type="auto"/>
            <w:tcMar>
              <w:top w:w="150" w:type="dxa"/>
              <w:left w:w="240" w:type="dxa"/>
              <w:bottom w:w="150" w:type="dxa"/>
              <w:right w:w="240" w:type="dxa"/>
            </w:tcMar>
            <w:vAlign w:val="center"/>
            <w:hideMark/>
          </w:tcPr>
          <w:p w14:paraId="3FD6BEBD" w14:textId="77777777" w:rsidR="00EA2578" w:rsidRPr="00EA2578" w:rsidRDefault="00EA2578" w:rsidP="006473EC">
            <w:pPr>
              <w:spacing w:after="160" w:line="360" w:lineRule="auto"/>
              <w:jc w:val="both"/>
            </w:pPr>
            <w:r w:rsidRPr="00EA2578">
              <w:t>1.04</w:t>
            </w:r>
          </w:p>
        </w:tc>
        <w:tc>
          <w:tcPr>
            <w:tcW w:w="0" w:type="auto"/>
            <w:tcMar>
              <w:top w:w="150" w:type="dxa"/>
              <w:left w:w="240" w:type="dxa"/>
              <w:bottom w:w="150" w:type="dxa"/>
              <w:right w:w="0" w:type="dxa"/>
            </w:tcMar>
            <w:vAlign w:val="center"/>
            <w:hideMark/>
          </w:tcPr>
          <w:p w14:paraId="2C603426" w14:textId="77777777" w:rsidR="00EA2578" w:rsidRPr="00EA2578" w:rsidRDefault="00EA2578" w:rsidP="006473EC">
            <w:pPr>
              <w:spacing w:after="160" w:line="360" w:lineRule="auto"/>
              <w:jc w:val="both"/>
            </w:pPr>
            <w:r w:rsidRPr="00EA2578">
              <w:t>76.4</w:t>
            </w:r>
          </w:p>
        </w:tc>
      </w:tr>
      <w:tr w:rsidR="00EA2578" w:rsidRPr="00EA2578" w14:paraId="38F97694" w14:textId="77777777" w:rsidTr="00EA2578">
        <w:tc>
          <w:tcPr>
            <w:tcW w:w="0" w:type="auto"/>
            <w:tcMar>
              <w:top w:w="150" w:type="dxa"/>
              <w:left w:w="0" w:type="dxa"/>
              <w:bottom w:w="150" w:type="dxa"/>
              <w:right w:w="240" w:type="dxa"/>
            </w:tcMar>
            <w:vAlign w:val="center"/>
            <w:hideMark/>
          </w:tcPr>
          <w:p w14:paraId="5A31CCF8" w14:textId="77777777" w:rsidR="00EA2578" w:rsidRPr="00EA2578" w:rsidRDefault="00EA2578" w:rsidP="006473EC">
            <w:pPr>
              <w:spacing w:after="160" w:line="360" w:lineRule="auto"/>
              <w:jc w:val="both"/>
            </w:pPr>
            <w:r w:rsidRPr="00EA2578">
              <w:t>Walls appear strong and durable</w:t>
            </w:r>
          </w:p>
        </w:tc>
        <w:tc>
          <w:tcPr>
            <w:tcW w:w="0" w:type="auto"/>
            <w:tcMar>
              <w:top w:w="150" w:type="dxa"/>
              <w:left w:w="240" w:type="dxa"/>
              <w:bottom w:w="150" w:type="dxa"/>
              <w:right w:w="240" w:type="dxa"/>
            </w:tcMar>
            <w:vAlign w:val="center"/>
            <w:hideMark/>
          </w:tcPr>
          <w:p w14:paraId="43911C90" w14:textId="77777777" w:rsidR="00EA2578" w:rsidRPr="00EA2578" w:rsidRDefault="00EA2578" w:rsidP="006473EC">
            <w:pPr>
              <w:spacing w:after="160" w:line="360" w:lineRule="auto"/>
              <w:jc w:val="both"/>
            </w:pPr>
            <w:r w:rsidRPr="00EA2578">
              <w:t>3.97</w:t>
            </w:r>
          </w:p>
        </w:tc>
        <w:tc>
          <w:tcPr>
            <w:tcW w:w="0" w:type="auto"/>
            <w:tcMar>
              <w:top w:w="150" w:type="dxa"/>
              <w:left w:w="240" w:type="dxa"/>
              <w:bottom w:w="150" w:type="dxa"/>
              <w:right w:w="240" w:type="dxa"/>
            </w:tcMar>
            <w:vAlign w:val="center"/>
            <w:hideMark/>
          </w:tcPr>
          <w:p w14:paraId="3101A252" w14:textId="77777777" w:rsidR="00EA2578" w:rsidRPr="00EA2578" w:rsidRDefault="00EA2578" w:rsidP="006473EC">
            <w:pPr>
              <w:spacing w:after="160" w:line="360" w:lineRule="auto"/>
              <w:jc w:val="both"/>
            </w:pPr>
            <w:r w:rsidRPr="00EA2578">
              <w:t>1.02</w:t>
            </w:r>
          </w:p>
        </w:tc>
        <w:tc>
          <w:tcPr>
            <w:tcW w:w="0" w:type="auto"/>
            <w:tcMar>
              <w:top w:w="150" w:type="dxa"/>
              <w:left w:w="240" w:type="dxa"/>
              <w:bottom w:w="150" w:type="dxa"/>
              <w:right w:w="0" w:type="dxa"/>
            </w:tcMar>
            <w:vAlign w:val="center"/>
            <w:hideMark/>
          </w:tcPr>
          <w:p w14:paraId="26BCEDBF" w14:textId="77777777" w:rsidR="00EA2578" w:rsidRPr="00EA2578" w:rsidRDefault="00EA2578" w:rsidP="006473EC">
            <w:pPr>
              <w:spacing w:after="160" w:line="360" w:lineRule="auto"/>
              <w:jc w:val="both"/>
            </w:pPr>
            <w:r w:rsidRPr="00EA2578">
              <w:t>77.5</w:t>
            </w:r>
          </w:p>
        </w:tc>
      </w:tr>
      <w:tr w:rsidR="00EA2578" w:rsidRPr="00EA2578" w14:paraId="25D07C3A" w14:textId="77777777" w:rsidTr="00EA2578">
        <w:tc>
          <w:tcPr>
            <w:tcW w:w="0" w:type="auto"/>
            <w:tcMar>
              <w:top w:w="150" w:type="dxa"/>
              <w:left w:w="0" w:type="dxa"/>
              <w:bottom w:w="150" w:type="dxa"/>
              <w:right w:w="240" w:type="dxa"/>
            </w:tcMar>
            <w:vAlign w:val="center"/>
            <w:hideMark/>
          </w:tcPr>
          <w:p w14:paraId="5546DC76" w14:textId="77777777" w:rsidR="00EA2578" w:rsidRPr="00EA2578" w:rsidRDefault="00EA2578" w:rsidP="006473EC">
            <w:pPr>
              <w:spacing w:after="160" w:line="360" w:lineRule="auto"/>
              <w:jc w:val="both"/>
            </w:pPr>
            <w:r w:rsidRPr="00EA2578">
              <w:t>Adequate protection during rainfall</w:t>
            </w:r>
          </w:p>
        </w:tc>
        <w:tc>
          <w:tcPr>
            <w:tcW w:w="0" w:type="auto"/>
            <w:tcMar>
              <w:top w:w="150" w:type="dxa"/>
              <w:left w:w="240" w:type="dxa"/>
              <w:bottom w:w="150" w:type="dxa"/>
              <w:right w:w="240" w:type="dxa"/>
            </w:tcMar>
            <w:vAlign w:val="center"/>
            <w:hideMark/>
          </w:tcPr>
          <w:p w14:paraId="1A848CC3" w14:textId="77777777" w:rsidR="00EA2578" w:rsidRPr="00EA2578" w:rsidRDefault="00EA2578" w:rsidP="006473EC">
            <w:pPr>
              <w:spacing w:after="160" w:line="360" w:lineRule="auto"/>
              <w:jc w:val="both"/>
            </w:pPr>
            <w:r w:rsidRPr="00EA2578">
              <w:t>3.83</w:t>
            </w:r>
          </w:p>
        </w:tc>
        <w:tc>
          <w:tcPr>
            <w:tcW w:w="0" w:type="auto"/>
            <w:tcMar>
              <w:top w:w="150" w:type="dxa"/>
              <w:left w:w="240" w:type="dxa"/>
              <w:bottom w:w="150" w:type="dxa"/>
              <w:right w:w="240" w:type="dxa"/>
            </w:tcMar>
            <w:vAlign w:val="center"/>
            <w:hideMark/>
          </w:tcPr>
          <w:p w14:paraId="6A18CBE9" w14:textId="77777777" w:rsidR="00EA2578" w:rsidRPr="00EA2578" w:rsidRDefault="00EA2578" w:rsidP="006473EC">
            <w:pPr>
              <w:spacing w:after="160" w:line="360" w:lineRule="auto"/>
              <w:jc w:val="both"/>
            </w:pPr>
            <w:r w:rsidRPr="00EA2578">
              <w:t>1.08</w:t>
            </w:r>
          </w:p>
        </w:tc>
        <w:tc>
          <w:tcPr>
            <w:tcW w:w="0" w:type="auto"/>
            <w:tcMar>
              <w:top w:w="150" w:type="dxa"/>
              <w:left w:w="240" w:type="dxa"/>
              <w:bottom w:w="150" w:type="dxa"/>
              <w:right w:w="0" w:type="dxa"/>
            </w:tcMar>
            <w:vAlign w:val="center"/>
            <w:hideMark/>
          </w:tcPr>
          <w:p w14:paraId="545396E4" w14:textId="77777777" w:rsidR="00EA2578" w:rsidRPr="00EA2578" w:rsidRDefault="00EA2578" w:rsidP="006473EC">
            <w:pPr>
              <w:spacing w:after="160" w:line="360" w:lineRule="auto"/>
              <w:jc w:val="both"/>
            </w:pPr>
            <w:r w:rsidRPr="00EA2578">
              <w:t>71.8</w:t>
            </w:r>
          </w:p>
        </w:tc>
      </w:tr>
      <w:tr w:rsidR="00EA2578" w:rsidRPr="00EA2578" w14:paraId="683A075B" w14:textId="77777777" w:rsidTr="00EA2578">
        <w:tc>
          <w:tcPr>
            <w:tcW w:w="0" w:type="auto"/>
            <w:tcMar>
              <w:top w:w="150" w:type="dxa"/>
              <w:left w:w="0" w:type="dxa"/>
              <w:bottom w:w="150" w:type="dxa"/>
              <w:right w:w="240" w:type="dxa"/>
            </w:tcMar>
            <w:vAlign w:val="center"/>
            <w:hideMark/>
          </w:tcPr>
          <w:p w14:paraId="4A3A76EA" w14:textId="77777777" w:rsidR="00EA2578" w:rsidRPr="00EA2578" w:rsidRDefault="00EA2578" w:rsidP="006473EC">
            <w:pPr>
              <w:spacing w:after="160" w:line="360" w:lineRule="auto"/>
              <w:jc w:val="both"/>
            </w:pPr>
            <w:r w:rsidRPr="00EA2578">
              <w:t>No water penetration during rainfall</w:t>
            </w:r>
          </w:p>
        </w:tc>
        <w:tc>
          <w:tcPr>
            <w:tcW w:w="0" w:type="auto"/>
            <w:tcMar>
              <w:top w:w="150" w:type="dxa"/>
              <w:left w:w="240" w:type="dxa"/>
              <w:bottom w:w="150" w:type="dxa"/>
              <w:right w:w="240" w:type="dxa"/>
            </w:tcMar>
            <w:vAlign w:val="center"/>
            <w:hideMark/>
          </w:tcPr>
          <w:p w14:paraId="3FF0D18A" w14:textId="77777777" w:rsidR="00EA2578" w:rsidRPr="00EA2578" w:rsidRDefault="00EA2578" w:rsidP="006473EC">
            <w:pPr>
              <w:spacing w:after="160" w:line="360" w:lineRule="auto"/>
              <w:jc w:val="both"/>
            </w:pPr>
            <w:r w:rsidRPr="00EA2578">
              <w:t>3.71</w:t>
            </w:r>
          </w:p>
        </w:tc>
        <w:tc>
          <w:tcPr>
            <w:tcW w:w="0" w:type="auto"/>
            <w:tcMar>
              <w:top w:w="150" w:type="dxa"/>
              <w:left w:w="240" w:type="dxa"/>
              <w:bottom w:w="150" w:type="dxa"/>
              <w:right w:w="240" w:type="dxa"/>
            </w:tcMar>
            <w:vAlign w:val="center"/>
            <w:hideMark/>
          </w:tcPr>
          <w:p w14:paraId="14A36F81" w14:textId="77777777" w:rsidR="00EA2578" w:rsidRPr="00EA2578" w:rsidRDefault="00EA2578" w:rsidP="006473EC">
            <w:pPr>
              <w:spacing w:after="160" w:line="360" w:lineRule="auto"/>
              <w:jc w:val="both"/>
            </w:pPr>
            <w:r w:rsidRPr="00EA2578">
              <w:t>1.16</w:t>
            </w:r>
          </w:p>
        </w:tc>
        <w:tc>
          <w:tcPr>
            <w:tcW w:w="0" w:type="auto"/>
            <w:tcMar>
              <w:top w:w="150" w:type="dxa"/>
              <w:left w:w="240" w:type="dxa"/>
              <w:bottom w:w="150" w:type="dxa"/>
              <w:right w:w="0" w:type="dxa"/>
            </w:tcMar>
            <w:vAlign w:val="center"/>
            <w:hideMark/>
          </w:tcPr>
          <w:p w14:paraId="5CF96F91" w14:textId="77777777" w:rsidR="00EA2578" w:rsidRPr="00EA2578" w:rsidRDefault="00EA2578" w:rsidP="006473EC">
            <w:pPr>
              <w:spacing w:after="160" w:line="360" w:lineRule="auto"/>
              <w:jc w:val="both"/>
            </w:pPr>
            <w:r w:rsidRPr="00EA2578">
              <w:t>66.3</w:t>
            </w:r>
          </w:p>
        </w:tc>
      </w:tr>
      <w:tr w:rsidR="00EA2578" w:rsidRPr="00EA2578" w14:paraId="72794D71" w14:textId="77777777" w:rsidTr="00EA2578">
        <w:tc>
          <w:tcPr>
            <w:tcW w:w="0" w:type="auto"/>
            <w:tcMar>
              <w:top w:w="150" w:type="dxa"/>
              <w:left w:w="0" w:type="dxa"/>
              <w:bottom w:w="150" w:type="dxa"/>
              <w:right w:w="240" w:type="dxa"/>
            </w:tcMar>
            <w:vAlign w:val="center"/>
            <w:hideMark/>
          </w:tcPr>
          <w:p w14:paraId="15392DAA" w14:textId="77777777" w:rsidR="00EA2578" w:rsidRPr="00EA2578" w:rsidRDefault="00EA2578" w:rsidP="006473EC">
            <w:pPr>
              <w:spacing w:after="160" w:line="360" w:lineRule="auto"/>
              <w:jc w:val="both"/>
            </w:pPr>
            <w:r w:rsidRPr="00EA2578">
              <w:t>Minimal maintenance required</w:t>
            </w:r>
          </w:p>
        </w:tc>
        <w:tc>
          <w:tcPr>
            <w:tcW w:w="0" w:type="auto"/>
            <w:tcMar>
              <w:top w:w="150" w:type="dxa"/>
              <w:left w:w="240" w:type="dxa"/>
              <w:bottom w:w="150" w:type="dxa"/>
              <w:right w:w="240" w:type="dxa"/>
            </w:tcMar>
            <w:vAlign w:val="center"/>
            <w:hideMark/>
          </w:tcPr>
          <w:p w14:paraId="4D99930C" w14:textId="77777777" w:rsidR="00EA2578" w:rsidRPr="00EA2578" w:rsidRDefault="00EA2578" w:rsidP="006473EC">
            <w:pPr>
              <w:spacing w:after="160" w:line="360" w:lineRule="auto"/>
              <w:jc w:val="both"/>
            </w:pPr>
            <w:r w:rsidRPr="00EA2578">
              <w:t>3.63</w:t>
            </w:r>
          </w:p>
        </w:tc>
        <w:tc>
          <w:tcPr>
            <w:tcW w:w="0" w:type="auto"/>
            <w:tcMar>
              <w:top w:w="150" w:type="dxa"/>
              <w:left w:w="240" w:type="dxa"/>
              <w:bottom w:w="150" w:type="dxa"/>
              <w:right w:w="240" w:type="dxa"/>
            </w:tcMar>
            <w:vAlign w:val="center"/>
            <w:hideMark/>
          </w:tcPr>
          <w:p w14:paraId="17AB075B" w14:textId="77777777" w:rsidR="00EA2578" w:rsidRPr="00EA2578" w:rsidRDefault="00EA2578" w:rsidP="006473EC">
            <w:pPr>
              <w:spacing w:after="160" w:line="360" w:lineRule="auto"/>
              <w:jc w:val="both"/>
            </w:pPr>
            <w:r w:rsidRPr="00EA2578">
              <w:t>1.17</w:t>
            </w:r>
          </w:p>
        </w:tc>
        <w:tc>
          <w:tcPr>
            <w:tcW w:w="0" w:type="auto"/>
            <w:tcMar>
              <w:top w:w="150" w:type="dxa"/>
              <w:left w:w="240" w:type="dxa"/>
              <w:bottom w:w="150" w:type="dxa"/>
              <w:right w:w="0" w:type="dxa"/>
            </w:tcMar>
            <w:vAlign w:val="center"/>
            <w:hideMark/>
          </w:tcPr>
          <w:p w14:paraId="1745F94A" w14:textId="77777777" w:rsidR="00EA2578" w:rsidRPr="00EA2578" w:rsidRDefault="00EA2578" w:rsidP="006473EC">
            <w:pPr>
              <w:spacing w:after="160" w:line="360" w:lineRule="auto"/>
              <w:jc w:val="both"/>
            </w:pPr>
            <w:r w:rsidRPr="00EA2578">
              <w:t>61.9</w:t>
            </w:r>
          </w:p>
        </w:tc>
      </w:tr>
    </w:tbl>
    <w:p w14:paraId="329CE5C8" w14:textId="77777777" w:rsidR="00EA2578" w:rsidRPr="00EA2578" w:rsidRDefault="00EA2578" w:rsidP="006473EC">
      <w:pPr>
        <w:spacing w:after="160" w:line="360" w:lineRule="auto"/>
        <w:jc w:val="both"/>
      </w:pPr>
      <w:r w:rsidRPr="00EA2578">
        <w:rPr>
          <w:i/>
          <w:iCs/>
        </w:rPr>
        <w:t>Scale: 1=Strongly Disagree to 5=Strongly Agree</w:t>
      </w:r>
    </w:p>
    <w:p w14:paraId="4827FBB4" w14:textId="77777777" w:rsidR="00EA2578" w:rsidRPr="00EA2578" w:rsidRDefault="00EA2578" w:rsidP="006473EC">
      <w:pPr>
        <w:spacing w:after="160" w:line="360" w:lineRule="auto"/>
        <w:jc w:val="both"/>
      </w:pPr>
      <w:r w:rsidRPr="00EA2578">
        <w:t>The majority of respondents reported no wall deterioration (55.6%) and no repairs needed (63.8%). Among those with issues, minor surface cracking (19.2%) and dampness/staining (12.6%) were most common.</w:t>
      </w:r>
    </w:p>
    <w:p w14:paraId="40EFFE42" w14:textId="77777777" w:rsidR="00EA2578" w:rsidRPr="00EA2578" w:rsidRDefault="00EA2578" w:rsidP="006473EC">
      <w:pPr>
        <w:spacing w:after="160" w:line="360" w:lineRule="auto"/>
        <w:jc w:val="both"/>
        <w:rPr>
          <w:b/>
          <w:bCs/>
        </w:rPr>
      </w:pPr>
      <w:r w:rsidRPr="00EA2578">
        <w:rPr>
          <w:b/>
          <w:bCs/>
        </w:rPr>
        <w:t>4.6 Climate Change Impacts</w:t>
      </w:r>
    </w:p>
    <w:p w14:paraId="51FA09F5" w14:textId="77777777" w:rsidR="00EA2578" w:rsidRPr="00EA2578" w:rsidRDefault="00EA2578" w:rsidP="006473EC">
      <w:pPr>
        <w:spacing w:after="160" w:line="360" w:lineRule="auto"/>
        <w:jc w:val="both"/>
      </w:pPr>
      <w:r w:rsidRPr="00EA2578">
        <w:rPr>
          <w:b/>
          <w:bCs/>
        </w:rPr>
        <w:t>Table 4.4: Flood Experience and Impact</w:t>
      </w:r>
    </w:p>
    <w:tbl>
      <w:tblPr>
        <w:tblW w:w="10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10"/>
        <w:gridCol w:w="1530"/>
        <w:gridCol w:w="2001"/>
      </w:tblGrid>
      <w:tr w:rsidR="00EA2578" w:rsidRPr="00EA2578" w14:paraId="3F1F8DF6" w14:textId="77777777" w:rsidTr="00EA2578">
        <w:trPr>
          <w:trHeight w:val="567"/>
          <w:tblHeader/>
        </w:trPr>
        <w:tc>
          <w:tcPr>
            <w:tcW w:w="0" w:type="auto"/>
            <w:tcMar>
              <w:top w:w="150" w:type="dxa"/>
              <w:left w:w="0" w:type="dxa"/>
              <w:bottom w:w="150" w:type="dxa"/>
              <w:right w:w="240" w:type="dxa"/>
            </w:tcMar>
            <w:vAlign w:val="center"/>
            <w:hideMark/>
          </w:tcPr>
          <w:p w14:paraId="005CEFFF" w14:textId="77777777" w:rsidR="00EA2578" w:rsidRPr="00EA2578" w:rsidRDefault="00EA2578" w:rsidP="006473EC">
            <w:pPr>
              <w:spacing w:after="160" w:line="360" w:lineRule="auto"/>
              <w:jc w:val="both"/>
            </w:pPr>
            <w:r w:rsidRPr="00EA2578">
              <w:t>Response</w:t>
            </w:r>
          </w:p>
        </w:tc>
        <w:tc>
          <w:tcPr>
            <w:tcW w:w="0" w:type="auto"/>
            <w:tcMar>
              <w:top w:w="150" w:type="dxa"/>
              <w:left w:w="240" w:type="dxa"/>
              <w:bottom w:w="150" w:type="dxa"/>
              <w:right w:w="240" w:type="dxa"/>
            </w:tcMar>
            <w:vAlign w:val="center"/>
            <w:hideMark/>
          </w:tcPr>
          <w:p w14:paraId="086FC402" w14:textId="77777777" w:rsidR="00EA2578" w:rsidRPr="00EA2578" w:rsidRDefault="00EA2578" w:rsidP="006473EC">
            <w:pPr>
              <w:spacing w:after="160" w:line="360" w:lineRule="auto"/>
              <w:jc w:val="both"/>
            </w:pPr>
            <w:r w:rsidRPr="00EA2578">
              <w:t>Frequency</w:t>
            </w:r>
          </w:p>
        </w:tc>
        <w:tc>
          <w:tcPr>
            <w:tcW w:w="0" w:type="auto"/>
            <w:tcMar>
              <w:top w:w="150" w:type="dxa"/>
              <w:left w:w="240" w:type="dxa"/>
              <w:bottom w:w="150" w:type="dxa"/>
              <w:right w:w="240" w:type="dxa"/>
            </w:tcMar>
            <w:vAlign w:val="center"/>
            <w:hideMark/>
          </w:tcPr>
          <w:p w14:paraId="42BF4750" w14:textId="77777777" w:rsidR="00EA2578" w:rsidRPr="00EA2578" w:rsidRDefault="00EA2578" w:rsidP="006473EC">
            <w:pPr>
              <w:spacing w:after="160" w:line="360" w:lineRule="auto"/>
              <w:jc w:val="both"/>
            </w:pPr>
            <w:r w:rsidRPr="00EA2578">
              <w:t>Percentage (%)</w:t>
            </w:r>
          </w:p>
        </w:tc>
      </w:tr>
      <w:tr w:rsidR="00EA2578" w:rsidRPr="00EA2578" w14:paraId="067AEC4B" w14:textId="77777777" w:rsidTr="00EA2578">
        <w:trPr>
          <w:trHeight w:val="567"/>
        </w:trPr>
        <w:tc>
          <w:tcPr>
            <w:tcW w:w="0" w:type="auto"/>
            <w:tcMar>
              <w:top w:w="150" w:type="dxa"/>
              <w:left w:w="0" w:type="dxa"/>
              <w:bottom w:w="150" w:type="dxa"/>
              <w:right w:w="240" w:type="dxa"/>
            </w:tcMar>
            <w:vAlign w:val="center"/>
            <w:hideMark/>
          </w:tcPr>
          <w:p w14:paraId="3895F2FB" w14:textId="77777777" w:rsidR="00EA2578" w:rsidRPr="00EA2578" w:rsidRDefault="00EA2578" w:rsidP="006473EC">
            <w:pPr>
              <w:spacing w:after="160" w:line="360" w:lineRule="auto"/>
              <w:jc w:val="both"/>
            </w:pPr>
            <w:r w:rsidRPr="00EA2578">
              <w:rPr>
                <w:b/>
                <w:bCs/>
              </w:rPr>
              <w:t>Flood Experience</w:t>
            </w:r>
          </w:p>
        </w:tc>
        <w:tc>
          <w:tcPr>
            <w:tcW w:w="0" w:type="auto"/>
            <w:tcMar>
              <w:top w:w="150" w:type="dxa"/>
              <w:left w:w="240" w:type="dxa"/>
              <w:bottom w:w="150" w:type="dxa"/>
              <w:right w:w="240" w:type="dxa"/>
            </w:tcMar>
            <w:vAlign w:val="center"/>
            <w:hideMark/>
          </w:tcPr>
          <w:p w14:paraId="6B974E23" w14:textId="77777777" w:rsidR="00EA2578" w:rsidRPr="00EA2578" w:rsidRDefault="00EA2578" w:rsidP="006473EC">
            <w:pPr>
              <w:spacing w:after="160" w:line="360" w:lineRule="auto"/>
              <w:jc w:val="both"/>
            </w:pPr>
          </w:p>
        </w:tc>
        <w:tc>
          <w:tcPr>
            <w:tcW w:w="0" w:type="auto"/>
            <w:tcMar>
              <w:top w:w="150" w:type="dxa"/>
              <w:left w:w="240" w:type="dxa"/>
              <w:bottom w:w="150" w:type="dxa"/>
              <w:right w:w="0" w:type="dxa"/>
            </w:tcMar>
            <w:vAlign w:val="center"/>
            <w:hideMark/>
          </w:tcPr>
          <w:p w14:paraId="269D9572" w14:textId="77777777" w:rsidR="00EA2578" w:rsidRPr="00EA2578" w:rsidRDefault="00EA2578" w:rsidP="006473EC">
            <w:pPr>
              <w:spacing w:after="160" w:line="360" w:lineRule="auto"/>
              <w:jc w:val="both"/>
            </w:pPr>
          </w:p>
        </w:tc>
      </w:tr>
      <w:tr w:rsidR="00EA2578" w:rsidRPr="00EA2578" w14:paraId="4162E9A6" w14:textId="77777777" w:rsidTr="00EA2578">
        <w:trPr>
          <w:trHeight w:val="555"/>
        </w:trPr>
        <w:tc>
          <w:tcPr>
            <w:tcW w:w="0" w:type="auto"/>
            <w:tcMar>
              <w:top w:w="150" w:type="dxa"/>
              <w:left w:w="0" w:type="dxa"/>
              <w:bottom w:w="150" w:type="dxa"/>
              <w:right w:w="240" w:type="dxa"/>
            </w:tcMar>
            <w:vAlign w:val="center"/>
            <w:hideMark/>
          </w:tcPr>
          <w:p w14:paraId="34C79D5D" w14:textId="77777777" w:rsidR="00EA2578" w:rsidRPr="00EA2578" w:rsidRDefault="00EA2578" w:rsidP="006473EC">
            <w:pPr>
              <w:spacing w:after="160" w:line="360" w:lineRule="auto"/>
              <w:jc w:val="both"/>
            </w:pPr>
            <w:r w:rsidRPr="00EA2578">
              <w:t>Never</w:t>
            </w:r>
          </w:p>
        </w:tc>
        <w:tc>
          <w:tcPr>
            <w:tcW w:w="0" w:type="auto"/>
            <w:tcMar>
              <w:top w:w="150" w:type="dxa"/>
              <w:left w:w="240" w:type="dxa"/>
              <w:bottom w:w="150" w:type="dxa"/>
              <w:right w:w="240" w:type="dxa"/>
            </w:tcMar>
            <w:vAlign w:val="center"/>
            <w:hideMark/>
          </w:tcPr>
          <w:p w14:paraId="68ECC163" w14:textId="77777777" w:rsidR="00EA2578" w:rsidRPr="00EA2578" w:rsidRDefault="00EA2578" w:rsidP="006473EC">
            <w:pPr>
              <w:spacing w:after="160" w:line="360" w:lineRule="auto"/>
              <w:jc w:val="both"/>
            </w:pPr>
            <w:r w:rsidRPr="00EA2578">
              <w:t>173</w:t>
            </w:r>
          </w:p>
        </w:tc>
        <w:tc>
          <w:tcPr>
            <w:tcW w:w="0" w:type="auto"/>
            <w:tcMar>
              <w:top w:w="150" w:type="dxa"/>
              <w:left w:w="240" w:type="dxa"/>
              <w:bottom w:w="150" w:type="dxa"/>
              <w:right w:w="0" w:type="dxa"/>
            </w:tcMar>
            <w:vAlign w:val="center"/>
            <w:hideMark/>
          </w:tcPr>
          <w:p w14:paraId="5DC3F38A" w14:textId="77777777" w:rsidR="00EA2578" w:rsidRPr="00EA2578" w:rsidRDefault="00EA2578" w:rsidP="006473EC">
            <w:pPr>
              <w:spacing w:after="160" w:line="360" w:lineRule="auto"/>
              <w:jc w:val="both"/>
            </w:pPr>
            <w:r w:rsidRPr="00EA2578">
              <w:t>47.4</w:t>
            </w:r>
          </w:p>
        </w:tc>
      </w:tr>
      <w:tr w:rsidR="00EA2578" w:rsidRPr="00EA2578" w14:paraId="2E90F659" w14:textId="77777777" w:rsidTr="00EA2578">
        <w:trPr>
          <w:trHeight w:val="567"/>
        </w:trPr>
        <w:tc>
          <w:tcPr>
            <w:tcW w:w="0" w:type="auto"/>
            <w:tcMar>
              <w:top w:w="150" w:type="dxa"/>
              <w:left w:w="0" w:type="dxa"/>
              <w:bottom w:w="150" w:type="dxa"/>
              <w:right w:w="240" w:type="dxa"/>
            </w:tcMar>
            <w:vAlign w:val="center"/>
            <w:hideMark/>
          </w:tcPr>
          <w:p w14:paraId="0AAA4A18" w14:textId="77777777" w:rsidR="00EA2578" w:rsidRPr="00EA2578" w:rsidRDefault="00EA2578" w:rsidP="006473EC">
            <w:pPr>
              <w:spacing w:after="160" w:line="360" w:lineRule="auto"/>
              <w:jc w:val="both"/>
            </w:pPr>
            <w:r w:rsidRPr="00EA2578">
              <w:t>Once</w:t>
            </w:r>
          </w:p>
        </w:tc>
        <w:tc>
          <w:tcPr>
            <w:tcW w:w="0" w:type="auto"/>
            <w:tcMar>
              <w:top w:w="150" w:type="dxa"/>
              <w:left w:w="240" w:type="dxa"/>
              <w:bottom w:w="150" w:type="dxa"/>
              <w:right w:w="240" w:type="dxa"/>
            </w:tcMar>
            <w:vAlign w:val="center"/>
            <w:hideMark/>
          </w:tcPr>
          <w:p w14:paraId="41E92474" w14:textId="77777777" w:rsidR="00EA2578" w:rsidRPr="00EA2578" w:rsidRDefault="00EA2578" w:rsidP="006473EC">
            <w:pPr>
              <w:spacing w:after="160" w:line="360" w:lineRule="auto"/>
              <w:jc w:val="both"/>
            </w:pPr>
            <w:r w:rsidRPr="00EA2578">
              <w:t>66</w:t>
            </w:r>
          </w:p>
        </w:tc>
        <w:tc>
          <w:tcPr>
            <w:tcW w:w="0" w:type="auto"/>
            <w:tcMar>
              <w:top w:w="150" w:type="dxa"/>
              <w:left w:w="240" w:type="dxa"/>
              <w:bottom w:w="150" w:type="dxa"/>
              <w:right w:w="0" w:type="dxa"/>
            </w:tcMar>
            <w:vAlign w:val="center"/>
            <w:hideMark/>
          </w:tcPr>
          <w:p w14:paraId="282856A6" w14:textId="77777777" w:rsidR="00EA2578" w:rsidRPr="00EA2578" w:rsidRDefault="00EA2578" w:rsidP="006473EC">
            <w:pPr>
              <w:spacing w:after="160" w:line="360" w:lineRule="auto"/>
              <w:jc w:val="both"/>
            </w:pPr>
            <w:r w:rsidRPr="00EA2578">
              <w:t>18.1</w:t>
            </w:r>
          </w:p>
        </w:tc>
      </w:tr>
      <w:tr w:rsidR="00EA2578" w:rsidRPr="00EA2578" w14:paraId="6891970C" w14:textId="77777777" w:rsidTr="00EA2578">
        <w:trPr>
          <w:trHeight w:val="567"/>
        </w:trPr>
        <w:tc>
          <w:tcPr>
            <w:tcW w:w="0" w:type="auto"/>
            <w:tcMar>
              <w:top w:w="150" w:type="dxa"/>
              <w:left w:w="0" w:type="dxa"/>
              <w:bottom w:w="150" w:type="dxa"/>
              <w:right w:w="240" w:type="dxa"/>
            </w:tcMar>
            <w:vAlign w:val="center"/>
            <w:hideMark/>
          </w:tcPr>
          <w:p w14:paraId="0A477838" w14:textId="77777777" w:rsidR="00EA2578" w:rsidRPr="00EA2578" w:rsidRDefault="00EA2578" w:rsidP="006473EC">
            <w:pPr>
              <w:spacing w:after="160" w:line="360" w:lineRule="auto"/>
              <w:jc w:val="both"/>
            </w:pPr>
            <w:r w:rsidRPr="00EA2578">
              <w:t>2-3 times</w:t>
            </w:r>
          </w:p>
        </w:tc>
        <w:tc>
          <w:tcPr>
            <w:tcW w:w="0" w:type="auto"/>
            <w:tcMar>
              <w:top w:w="150" w:type="dxa"/>
              <w:left w:w="240" w:type="dxa"/>
              <w:bottom w:w="150" w:type="dxa"/>
              <w:right w:w="240" w:type="dxa"/>
            </w:tcMar>
            <w:vAlign w:val="center"/>
            <w:hideMark/>
          </w:tcPr>
          <w:p w14:paraId="72DBC58C" w14:textId="77777777" w:rsidR="00EA2578" w:rsidRPr="00EA2578" w:rsidRDefault="00EA2578" w:rsidP="006473EC">
            <w:pPr>
              <w:spacing w:after="160" w:line="360" w:lineRule="auto"/>
              <w:jc w:val="both"/>
            </w:pPr>
            <w:r w:rsidRPr="00EA2578">
              <w:t>52</w:t>
            </w:r>
          </w:p>
        </w:tc>
        <w:tc>
          <w:tcPr>
            <w:tcW w:w="0" w:type="auto"/>
            <w:tcMar>
              <w:top w:w="150" w:type="dxa"/>
              <w:left w:w="240" w:type="dxa"/>
              <w:bottom w:w="150" w:type="dxa"/>
              <w:right w:w="0" w:type="dxa"/>
            </w:tcMar>
            <w:vAlign w:val="center"/>
            <w:hideMark/>
          </w:tcPr>
          <w:p w14:paraId="74367774" w14:textId="77777777" w:rsidR="00EA2578" w:rsidRPr="00EA2578" w:rsidRDefault="00EA2578" w:rsidP="006473EC">
            <w:pPr>
              <w:spacing w:after="160" w:line="360" w:lineRule="auto"/>
              <w:jc w:val="both"/>
            </w:pPr>
            <w:r w:rsidRPr="00EA2578">
              <w:t>14.2</w:t>
            </w:r>
          </w:p>
        </w:tc>
      </w:tr>
      <w:tr w:rsidR="00EA2578" w:rsidRPr="00EA2578" w14:paraId="0309D0C1" w14:textId="77777777" w:rsidTr="00EA2578">
        <w:trPr>
          <w:trHeight w:val="567"/>
        </w:trPr>
        <w:tc>
          <w:tcPr>
            <w:tcW w:w="0" w:type="auto"/>
            <w:tcMar>
              <w:top w:w="150" w:type="dxa"/>
              <w:left w:w="0" w:type="dxa"/>
              <w:bottom w:w="150" w:type="dxa"/>
              <w:right w:w="240" w:type="dxa"/>
            </w:tcMar>
            <w:vAlign w:val="center"/>
            <w:hideMark/>
          </w:tcPr>
          <w:p w14:paraId="345C9594" w14:textId="77777777" w:rsidR="00EA2578" w:rsidRPr="00EA2578" w:rsidRDefault="00EA2578" w:rsidP="006473EC">
            <w:pPr>
              <w:spacing w:after="160" w:line="360" w:lineRule="auto"/>
              <w:jc w:val="both"/>
            </w:pPr>
            <w:r w:rsidRPr="00EA2578">
              <w:lastRenderedPageBreak/>
              <w:t>4-5 times</w:t>
            </w:r>
          </w:p>
        </w:tc>
        <w:tc>
          <w:tcPr>
            <w:tcW w:w="0" w:type="auto"/>
            <w:tcMar>
              <w:top w:w="150" w:type="dxa"/>
              <w:left w:w="240" w:type="dxa"/>
              <w:bottom w:w="150" w:type="dxa"/>
              <w:right w:w="240" w:type="dxa"/>
            </w:tcMar>
            <w:vAlign w:val="center"/>
            <w:hideMark/>
          </w:tcPr>
          <w:p w14:paraId="5EE33005" w14:textId="77777777" w:rsidR="00EA2578" w:rsidRPr="00EA2578" w:rsidRDefault="00EA2578" w:rsidP="006473EC">
            <w:pPr>
              <w:spacing w:after="160" w:line="360" w:lineRule="auto"/>
              <w:jc w:val="both"/>
            </w:pPr>
            <w:r w:rsidRPr="00EA2578">
              <w:t>41</w:t>
            </w:r>
          </w:p>
        </w:tc>
        <w:tc>
          <w:tcPr>
            <w:tcW w:w="0" w:type="auto"/>
            <w:tcMar>
              <w:top w:w="150" w:type="dxa"/>
              <w:left w:w="240" w:type="dxa"/>
              <w:bottom w:w="150" w:type="dxa"/>
              <w:right w:w="0" w:type="dxa"/>
            </w:tcMar>
            <w:vAlign w:val="center"/>
            <w:hideMark/>
          </w:tcPr>
          <w:p w14:paraId="4CB6272D" w14:textId="77777777" w:rsidR="00EA2578" w:rsidRPr="00EA2578" w:rsidRDefault="00EA2578" w:rsidP="006473EC">
            <w:pPr>
              <w:spacing w:after="160" w:line="360" w:lineRule="auto"/>
              <w:jc w:val="both"/>
            </w:pPr>
            <w:r w:rsidRPr="00EA2578">
              <w:t>11.2</w:t>
            </w:r>
          </w:p>
        </w:tc>
      </w:tr>
      <w:tr w:rsidR="00EA2578" w:rsidRPr="00EA2578" w14:paraId="39FFB6F9" w14:textId="77777777" w:rsidTr="00EA2578">
        <w:trPr>
          <w:trHeight w:val="567"/>
        </w:trPr>
        <w:tc>
          <w:tcPr>
            <w:tcW w:w="0" w:type="auto"/>
            <w:tcMar>
              <w:top w:w="150" w:type="dxa"/>
              <w:left w:w="0" w:type="dxa"/>
              <w:bottom w:w="150" w:type="dxa"/>
              <w:right w:w="240" w:type="dxa"/>
            </w:tcMar>
            <w:vAlign w:val="center"/>
            <w:hideMark/>
          </w:tcPr>
          <w:p w14:paraId="2A9A22B4" w14:textId="77777777" w:rsidR="00EA2578" w:rsidRPr="00EA2578" w:rsidRDefault="00EA2578" w:rsidP="006473EC">
            <w:pPr>
              <w:spacing w:after="160" w:line="360" w:lineRule="auto"/>
              <w:jc w:val="both"/>
            </w:pPr>
            <w:r w:rsidRPr="00EA2578">
              <w:t>&gt;5 times</w:t>
            </w:r>
          </w:p>
        </w:tc>
        <w:tc>
          <w:tcPr>
            <w:tcW w:w="0" w:type="auto"/>
            <w:tcMar>
              <w:top w:w="150" w:type="dxa"/>
              <w:left w:w="240" w:type="dxa"/>
              <w:bottom w:w="150" w:type="dxa"/>
              <w:right w:w="240" w:type="dxa"/>
            </w:tcMar>
            <w:vAlign w:val="center"/>
            <w:hideMark/>
          </w:tcPr>
          <w:p w14:paraId="76321BC5" w14:textId="77777777" w:rsidR="00EA2578" w:rsidRPr="00EA2578" w:rsidRDefault="00EA2578" w:rsidP="006473EC">
            <w:pPr>
              <w:spacing w:after="160" w:line="360" w:lineRule="auto"/>
              <w:jc w:val="both"/>
            </w:pPr>
            <w:r w:rsidRPr="00EA2578">
              <w:t>33</w:t>
            </w:r>
          </w:p>
        </w:tc>
        <w:tc>
          <w:tcPr>
            <w:tcW w:w="0" w:type="auto"/>
            <w:tcMar>
              <w:top w:w="150" w:type="dxa"/>
              <w:left w:w="240" w:type="dxa"/>
              <w:bottom w:w="150" w:type="dxa"/>
              <w:right w:w="0" w:type="dxa"/>
            </w:tcMar>
            <w:vAlign w:val="center"/>
            <w:hideMark/>
          </w:tcPr>
          <w:p w14:paraId="7B60573D" w14:textId="77777777" w:rsidR="00EA2578" w:rsidRPr="00EA2578" w:rsidRDefault="00EA2578" w:rsidP="006473EC">
            <w:pPr>
              <w:spacing w:after="160" w:line="360" w:lineRule="auto"/>
              <w:jc w:val="both"/>
            </w:pPr>
            <w:r w:rsidRPr="00EA2578">
              <w:t>9.0</w:t>
            </w:r>
          </w:p>
        </w:tc>
      </w:tr>
      <w:tr w:rsidR="00EA2578" w:rsidRPr="00EA2578" w14:paraId="4F2C0B80" w14:textId="77777777" w:rsidTr="00EA2578">
        <w:trPr>
          <w:trHeight w:val="567"/>
        </w:trPr>
        <w:tc>
          <w:tcPr>
            <w:tcW w:w="0" w:type="auto"/>
            <w:tcMar>
              <w:top w:w="150" w:type="dxa"/>
              <w:left w:w="0" w:type="dxa"/>
              <w:bottom w:w="150" w:type="dxa"/>
              <w:right w:w="240" w:type="dxa"/>
            </w:tcMar>
            <w:vAlign w:val="center"/>
            <w:hideMark/>
          </w:tcPr>
          <w:p w14:paraId="221B3305" w14:textId="77777777" w:rsidR="00EA2578" w:rsidRPr="00EA2578" w:rsidRDefault="00EA2578" w:rsidP="006473EC">
            <w:pPr>
              <w:spacing w:after="160" w:line="360" w:lineRule="auto"/>
              <w:jc w:val="both"/>
            </w:pPr>
            <w:r w:rsidRPr="00EA2578">
              <w:rPr>
                <w:b/>
                <w:bCs/>
              </w:rPr>
              <w:t>Building Response to Flooding (among those who experienced)</w:t>
            </w:r>
          </w:p>
        </w:tc>
        <w:tc>
          <w:tcPr>
            <w:tcW w:w="0" w:type="auto"/>
            <w:tcMar>
              <w:top w:w="150" w:type="dxa"/>
              <w:left w:w="240" w:type="dxa"/>
              <w:bottom w:w="150" w:type="dxa"/>
              <w:right w:w="240" w:type="dxa"/>
            </w:tcMar>
            <w:vAlign w:val="center"/>
            <w:hideMark/>
          </w:tcPr>
          <w:p w14:paraId="08810203" w14:textId="77777777" w:rsidR="00EA2578" w:rsidRPr="00EA2578" w:rsidRDefault="00EA2578" w:rsidP="006473EC">
            <w:pPr>
              <w:spacing w:after="160" w:line="360" w:lineRule="auto"/>
              <w:jc w:val="both"/>
            </w:pPr>
          </w:p>
        </w:tc>
        <w:tc>
          <w:tcPr>
            <w:tcW w:w="0" w:type="auto"/>
            <w:tcMar>
              <w:top w:w="150" w:type="dxa"/>
              <w:left w:w="240" w:type="dxa"/>
              <w:bottom w:w="150" w:type="dxa"/>
              <w:right w:w="0" w:type="dxa"/>
            </w:tcMar>
            <w:vAlign w:val="center"/>
            <w:hideMark/>
          </w:tcPr>
          <w:p w14:paraId="5836F399" w14:textId="77777777" w:rsidR="00EA2578" w:rsidRPr="00EA2578" w:rsidRDefault="00EA2578" w:rsidP="006473EC">
            <w:pPr>
              <w:spacing w:after="160" w:line="360" w:lineRule="auto"/>
              <w:jc w:val="both"/>
            </w:pPr>
          </w:p>
        </w:tc>
      </w:tr>
      <w:tr w:rsidR="00EA2578" w:rsidRPr="00EA2578" w14:paraId="1E18B97B" w14:textId="77777777" w:rsidTr="00EA2578">
        <w:trPr>
          <w:trHeight w:val="555"/>
        </w:trPr>
        <w:tc>
          <w:tcPr>
            <w:tcW w:w="0" w:type="auto"/>
            <w:tcMar>
              <w:top w:w="150" w:type="dxa"/>
              <w:left w:w="0" w:type="dxa"/>
              <w:bottom w:w="150" w:type="dxa"/>
              <w:right w:w="240" w:type="dxa"/>
            </w:tcMar>
            <w:vAlign w:val="center"/>
            <w:hideMark/>
          </w:tcPr>
          <w:p w14:paraId="67C1FBF3" w14:textId="77777777" w:rsidR="00EA2578" w:rsidRPr="00EA2578" w:rsidRDefault="00EA2578" w:rsidP="006473EC">
            <w:pPr>
              <w:spacing w:after="160" w:line="360" w:lineRule="auto"/>
              <w:jc w:val="both"/>
            </w:pPr>
            <w:r w:rsidRPr="00EA2578">
              <w:t>No damage, walls intact</w:t>
            </w:r>
          </w:p>
        </w:tc>
        <w:tc>
          <w:tcPr>
            <w:tcW w:w="0" w:type="auto"/>
            <w:tcMar>
              <w:top w:w="150" w:type="dxa"/>
              <w:left w:w="240" w:type="dxa"/>
              <w:bottom w:w="150" w:type="dxa"/>
              <w:right w:w="240" w:type="dxa"/>
            </w:tcMar>
            <w:vAlign w:val="center"/>
            <w:hideMark/>
          </w:tcPr>
          <w:p w14:paraId="17EB79F0" w14:textId="77777777" w:rsidR="00EA2578" w:rsidRPr="00EA2578" w:rsidRDefault="00EA2578" w:rsidP="006473EC">
            <w:pPr>
              <w:spacing w:after="160" w:line="360" w:lineRule="auto"/>
              <w:jc w:val="both"/>
            </w:pPr>
            <w:r w:rsidRPr="00EA2578">
              <w:t>140</w:t>
            </w:r>
          </w:p>
        </w:tc>
        <w:tc>
          <w:tcPr>
            <w:tcW w:w="0" w:type="auto"/>
            <w:tcMar>
              <w:top w:w="150" w:type="dxa"/>
              <w:left w:w="240" w:type="dxa"/>
              <w:bottom w:w="150" w:type="dxa"/>
              <w:right w:w="0" w:type="dxa"/>
            </w:tcMar>
            <w:vAlign w:val="center"/>
            <w:hideMark/>
          </w:tcPr>
          <w:p w14:paraId="3FB1ABCD" w14:textId="77777777" w:rsidR="00EA2578" w:rsidRPr="00EA2578" w:rsidRDefault="00EA2578" w:rsidP="006473EC">
            <w:pPr>
              <w:spacing w:after="160" w:line="360" w:lineRule="auto"/>
              <w:jc w:val="both"/>
            </w:pPr>
            <w:r w:rsidRPr="00EA2578">
              <w:t>72.9</w:t>
            </w:r>
          </w:p>
        </w:tc>
      </w:tr>
      <w:tr w:rsidR="00EA2578" w:rsidRPr="00EA2578" w14:paraId="464FF43B" w14:textId="77777777" w:rsidTr="00EA2578">
        <w:trPr>
          <w:trHeight w:val="567"/>
        </w:trPr>
        <w:tc>
          <w:tcPr>
            <w:tcW w:w="0" w:type="auto"/>
            <w:tcMar>
              <w:top w:w="150" w:type="dxa"/>
              <w:left w:w="0" w:type="dxa"/>
              <w:bottom w:w="150" w:type="dxa"/>
              <w:right w:w="240" w:type="dxa"/>
            </w:tcMar>
            <w:vAlign w:val="center"/>
            <w:hideMark/>
          </w:tcPr>
          <w:p w14:paraId="35906DA4" w14:textId="77777777" w:rsidR="00EA2578" w:rsidRPr="00EA2578" w:rsidRDefault="00EA2578" w:rsidP="006473EC">
            <w:pPr>
              <w:spacing w:after="160" w:line="360" w:lineRule="auto"/>
              <w:jc w:val="both"/>
            </w:pPr>
            <w:r w:rsidRPr="00EA2578">
              <w:t>Water staining only</w:t>
            </w:r>
          </w:p>
        </w:tc>
        <w:tc>
          <w:tcPr>
            <w:tcW w:w="0" w:type="auto"/>
            <w:tcMar>
              <w:top w:w="150" w:type="dxa"/>
              <w:left w:w="240" w:type="dxa"/>
              <w:bottom w:w="150" w:type="dxa"/>
              <w:right w:w="240" w:type="dxa"/>
            </w:tcMar>
            <w:vAlign w:val="center"/>
            <w:hideMark/>
          </w:tcPr>
          <w:p w14:paraId="00CAEAC6" w14:textId="77777777" w:rsidR="00EA2578" w:rsidRPr="00EA2578" w:rsidRDefault="00EA2578" w:rsidP="006473EC">
            <w:pPr>
              <w:spacing w:after="160" w:line="360" w:lineRule="auto"/>
              <w:jc w:val="both"/>
            </w:pPr>
            <w:r w:rsidRPr="00EA2578">
              <w:t>33</w:t>
            </w:r>
          </w:p>
        </w:tc>
        <w:tc>
          <w:tcPr>
            <w:tcW w:w="0" w:type="auto"/>
            <w:tcMar>
              <w:top w:w="150" w:type="dxa"/>
              <w:left w:w="240" w:type="dxa"/>
              <w:bottom w:w="150" w:type="dxa"/>
              <w:right w:w="0" w:type="dxa"/>
            </w:tcMar>
            <w:vAlign w:val="center"/>
            <w:hideMark/>
          </w:tcPr>
          <w:p w14:paraId="039D5845" w14:textId="77777777" w:rsidR="00EA2578" w:rsidRPr="00EA2578" w:rsidRDefault="00EA2578" w:rsidP="006473EC">
            <w:pPr>
              <w:spacing w:after="160" w:line="360" w:lineRule="auto"/>
              <w:jc w:val="both"/>
            </w:pPr>
            <w:r w:rsidRPr="00EA2578">
              <w:t>17.2</w:t>
            </w:r>
          </w:p>
        </w:tc>
      </w:tr>
      <w:tr w:rsidR="00EA2578" w:rsidRPr="00EA2578" w14:paraId="5A0EF2FA" w14:textId="77777777" w:rsidTr="00EA2578">
        <w:trPr>
          <w:trHeight w:val="567"/>
        </w:trPr>
        <w:tc>
          <w:tcPr>
            <w:tcW w:w="0" w:type="auto"/>
            <w:tcMar>
              <w:top w:w="150" w:type="dxa"/>
              <w:left w:w="0" w:type="dxa"/>
              <w:bottom w:w="150" w:type="dxa"/>
              <w:right w:w="240" w:type="dxa"/>
            </w:tcMar>
            <w:vAlign w:val="center"/>
            <w:hideMark/>
          </w:tcPr>
          <w:p w14:paraId="0459645F" w14:textId="77777777" w:rsidR="00EA2578" w:rsidRPr="00EA2578" w:rsidRDefault="00EA2578" w:rsidP="006473EC">
            <w:pPr>
              <w:spacing w:after="160" w:line="360" w:lineRule="auto"/>
              <w:jc w:val="both"/>
            </w:pPr>
            <w:r w:rsidRPr="00EA2578">
              <w:t>Minor damage</w:t>
            </w:r>
          </w:p>
        </w:tc>
        <w:tc>
          <w:tcPr>
            <w:tcW w:w="0" w:type="auto"/>
            <w:tcMar>
              <w:top w:w="150" w:type="dxa"/>
              <w:left w:w="240" w:type="dxa"/>
              <w:bottom w:w="150" w:type="dxa"/>
              <w:right w:w="240" w:type="dxa"/>
            </w:tcMar>
            <w:vAlign w:val="center"/>
            <w:hideMark/>
          </w:tcPr>
          <w:p w14:paraId="746C3812" w14:textId="77777777" w:rsidR="00EA2578" w:rsidRPr="00EA2578" w:rsidRDefault="00EA2578" w:rsidP="006473EC">
            <w:pPr>
              <w:spacing w:after="160" w:line="360" w:lineRule="auto"/>
              <w:jc w:val="both"/>
            </w:pPr>
            <w:r w:rsidRPr="00EA2578">
              <w:t>11</w:t>
            </w:r>
          </w:p>
        </w:tc>
        <w:tc>
          <w:tcPr>
            <w:tcW w:w="0" w:type="auto"/>
            <w:tcMar>
              <w:top w:w="150" w:type="dxa"/>
              <w:left w:w="240" w:type="dxa"/>
              <w:bottom w:w="150" w:type="dxa"/>
              <w:right w:w="0" w:type="dxa"/>
            </w:tcMar>
            <w:vAlign w:val="center"/>
            <w:hideMark/>
          </w:tcPr>
          <w:p w14:paraId="76B00724" w14:textId="77777777" w:rsidR="00EA2578" w:rsidRPr="00EA2578" w:rsidRDefault="00EA2578" w:rsidP="006473EC">
            <w:pPr>
              <w:spacing w:after="160" w:line="360" w:lineRule="auto"/>
              <w:jc w:val="both"/>
            </w:pPr>
            <w:r w:rsidRPr="00EA2578">
              <w:t>5.7</w:t>
            </w:r>
          </w:p>
        </w:tc>
      </w:tr>
      <w:tr w:rsidR="00EA2578" w:rsidRPr="00EA2578" w14:paraId="081E0AF8" w14:textId="77777777" w:rsidTr="00EA2578">
        <w:trPr>
          <w:trHeight w:val="567"/>
        </w:trPr>
        <w:tc>
          <w:tcPr>
            <w:tcW w:w="0" w:type="auto"/>
            <w:tcMar>
              <w:top w:w="150" w:type="dxa"/>
              <w:left w:w="0" w:type="dxa"/>
              <w:bottom w:w="150" w:type="dxa"/>
              <w:right w:w="240" w:type="dxa"/>
            </w:tcMar>
            <w:vAlign w:val="center"/>
            <w:hideMark/>
          </w:tcPr>
          <w:p w14:paraId="0A8C4740" w14:textId="77777777" w:rsidR="00EA2578" w:rsidRPr="00EA2578" w:rsidRDefault="00EA2578" w:rsidP="006473EC">
            <w:pPr>
              <w:spacing w:after="160" w:line="360" w:lineRule="auto"/>
              <w:jc w:val="both"/>
            </w:pPr>
            <w:r w:rsidRPr="00EA2578">
              <w:t>Major structural damage</w:t>
            </w:r>
          </w:p>
        </w:tc>
        <w:tc>
          <w:tcPr>
            <w:tcW w:w="0" w:type="auto"/>
            <w:tcMar>
              <w:top w:w="150" w:type="dxa"/>
              <w:left w:w="240" w:type="dxa"/>
              <w:bottom w:w="150" w:type="dxa"/>
              <w:right w:w="240" w:type="dxa"/>
            </w:tcMar>
            <w:vAlign w:val="center"/>
            <w:hideMark/>
          </w:tcPr>
          <w:p w14:paraId="42962157" w14:textId="77777777" w:rsidR="00EA2578" w:rsidRPr="00EA2578" w:rsidRDefault="00EA2578" w:rsidP="006473EC">
            <w:pPr>
              <w:spacing w:after="160" w:line="360" w:lineRule="auto"/>
              <w:jc w:val="both"/>
            </w:pPr>
            <w:r w:rsidRPr="00EA2578">
              <w:t>5</w:t>
            </w:r>
          </w:p>
        </w:tc>
        <w:tc>
          <w:tcPr>
            <w:tcW w:w="0" w:type="auto"/>
            <w:tcMar>
              <w:top w:w="150" w:type="dxa"/>
              <w:left w:w="240" w:type="dxa"/>
              <w:bottom w:w="150" w:type="dxa"/>
              <w:right w:w="0" w:type="dxa"/>
            </w:tcMar>
            <w:vAlign w:val="center"/>
            <w:hideMark/>
          </w:tcPr>
          <w:p w14:paraId="1489DE33" w14:textId="77777777" w:rsidR="00EA2578" w:rsidRPr="00EA2578" w:rsidRDefault="00EA2578" w:rsidP="006473EC">
            <w:pPr>
              <w:spacing w:after="160" w:line="360" w:lineRule="auto"/>
              <w:jc w:val="both"/>
            </w:pPr>
            <w:r w:rsidRPr="00EA2578">
              <w:t>2.6</w:t>
            </w:r>
          </w:p>
        </w:tc>
      </w:tr>
    </w:tbl>
    <w:p w14:paraId="039787AA" w14:textId="77777777" w:rsidR="00EA2578" w:rsidRPr="00EA2578" w:rsidRDefault="00EA2578" w:rsidP="006473EC">
      <w:pPr>
        <w:spacing w:after="160" w:line="360" w:lineRule="auto"/>
        <w:jc w:val="both"/>
      </w:pPr>
      <w:r w:rsidRPr="00EA2578">
        <w:rPr>
          <w:b/>
          <w:bCs/>
        </w:rPr>
        <w:t>Table 4.5: Heat Wave Experience and Performance</w:t>
      </w:r>
    </w:p>
    <w:tbl>
      <w:tblPr>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39"/>
        <w:gridCol w:w="2178"/>
        <w:gridCol w:w="2849"/>
      </w:tblGrid>
      <w:tr w:rsidR="00EA2578" w:rsidRPr="00EA2578" w14:paraId="3A720EBF" w14:textId="77777777" w:rsidTr="00EA2578">
        <w:trPr>
          <w:trHeight w:val="561"/>
          <w:tblHeader/>
        </w:trPr>
        <w:tc>
          <w:tcPr>
            <w:tcW w:w="0" w:type="auto"/>
            <w:tcMar>
              <w:top w:w="150" w:type="dxa"/>
              <w:left w:w="0" w:type="dxa"/>
              <w:bottom w:w="150" w:type="dxa"/>
              <w:right w:w="240" w:type="dxa"/>
            </w:tcMar>
            <w:vAlign w:val="center"/>
            <w:hideMark/>
          </w:tcPr>
          <w:p w14:paraId="673C47BE" w14:textId="77777777" w:rsidR="00EA2578" w:rsidRPr="00EA2578" w:rsidRDefault="00EA2578" w:rsidP="006473EC">
            <w:pPr>
              <w:spacing w:after="160" w:line="360" w:lineRule="auto"/>
              <w:jc w:val="both"/>
            </w:pPr>
            <w:r w:rsidRPr="00EA2578">
              <w:t>Response</w:t>
            </w:r>
          </w:p>
        </w:tc>
        <w:tc>
          <w:tcPr>
            <w:tcW w:w="0" w:type="auto"/>
            <w:tcMar>
              <w:top w:w="150" w:type="dxa"/>
              <w:left w:w="240" w:type="dxa"/>
              <w:bottom w:w="150" w:type="dxa"/>
              <w:right w:w="240" w:type="dxa"/>
            </w:tcMar>
            <w:vAlign w:val="center"/>
            <w:hideMark/>
          </w:tcPr>
          <w:p w14:paraId="0E992CB4" w14:textId="77777777" w:rsidR="00EA2578" w:rsidRPr="00EA2578" w:rsidRDefault="00EA2578" w:rsidP="006473EC">
            <w:pPr>
              <w:spacing w:after="160" w:line="360" w:lineRule="auto"/>
              <w:jc w:val="both"/>
            </w:pPr>
            <w:r w:rsidRPr="00EA2578">
              <w:t>Frequency</w:t>
            </w:r>
          </w:p>
        </w:tc>
        <w:tc>
          <w:tcPr>
            <w:tcW w:w="0" w:type="auto"/>
            <w:tcMar>
              <w:top w:w="150" w:type="dxa"/>
              <w:left w:w="240" w:type="dxa"/>
              <w:bottom w:w="150" w:type="dxa"/>
              <w:right w:w="240" w:type="dxa"/>
            </w:tcMar>
            <w:vAlign w:val="center"/>
            <w:hideMark/>
          </w:tcPr>
          <w:p w14:paraId="25549F5A" w14:textId="77777777" w:rsidR="00EA2578" w:rsidRPr="00EA2578" w:rsidRDefault="00EA2578" w:rsidP="006473EC">
            <w:pPr>
              <w:spacing w:after="160" w:line="360" w:lineRule="auto"/>
              <w:jc w:val="both"/>
            </w:pPr>
            <w:r w:rsidRPr="00EA2578">
              <w:t>Percentage (%)</w:t>
            </w:r>
          </w:p>
        </w:tc>
      </w:tr>
      <w:tr w:rsidR="00EA2578" w:rsidRPr="00EA2578" w14:paraId="52E82169" w14:textId="77777777" w:rsidTr="00EA2578">
        <w:trPr>
          <w:trHeight w:val="561"/>
        </w:trPr>
        <w:tc>
          <w:tcPr>
            <w:tcW w:w="0" w:type="auto"/>
            <w:tcMar>
              <w:top w:w="150" w:type="dxa"/>
              <w:left w:w="0" w:type="dxa"/>
              <w:bottom w:w="150" w:type="dxa"/>
              <w:right w:w="240" w:type="dxa"/>
            </w:tcMar>
            <w:vAlign w:val="center"/>
            <w:hideMark/>
          </w:tcPr>
          <w:p w14:paraId="44AC8110" w14:textId="77777777" w:rsidR="00EA2578" w:rsidRPr="00EA2578" w:rsidRDefault="00EA2578" w:rsidP="006473EC">
            <w:pPr>
              <w:spacing w:after="160" w:line="360" w:lineRule="auto"/>
              <w:jc w:val="both"/>
            </w:pPr>
            <w:r w:rsidRPr="00EA2578">
              <w:rPr>
                <w:b/>
                <w:bCs/>
              </w:rPr>
              <w:t>Heat Wave Experience</w:t>
            </w:r>
          </w:p>
        </w:tc>
        <w:tc>
          <w:tcPr>
            <w:tcW w:w="0" w:type="auto"/>
            <w:tcMar>
              <w:top w:w="150" w:type="dxa"/>
              <w:left w:w="240" w:type="dxa"/>
              <w:bottom w:w="150" w:type="dxa"/>
              <w:right w:w="240" w:type="dxa"/>
            </w:tcMar>
            <w:vAlign w:val="center"/>
            <w:hideMark/>
          </w:tcPr>
          <w:p w14:paraId="28E02E30" w14:textId="77777777" w:rsidR="00EA2578" w:rsidRPr="00EA2578" w:rsidRDefault="00EA2578" w:rsidP="006473EC">
            <w:pPr>
              <w:spacing w:after="160" w:line="360" w:lineRule="auto"/>
              <w:jc w:val="both"/>
            </w:pPr>
          </w:p>
        </w:tc>
        <w:tc>
          <w:tcPr>
            <w:tcW w:w="0" w:type="auto"/>
            <w:tcMar>
              <w:top w:w="150" w:type="dxa"/>
              <w:left w:w="240" w:type="dxa"/>
              <w:bottom w:w="150" w:type="dxa"/>
              <w:right w:w="0" w:type="dxa"/>
            </w:tcMar>
            <w:vAlign w:val="center"/>
            <w:hideMark/>
          </w:tcPr>
          <w:p w14:paraId="3B58A614" w14:textId="77777777" w:rsidR="00EA2578" w:rsidRPr="00EA2578" w:rsidRDefault="00EA2578" w:rsidP="006473EC">
            <w:pPr>
              <w:spacing w:after="160" w:line="360" w:lineRule="auto"/>
              <w:jc w:val="both"/>
            </w:pPr>
          </w:p>
        </w:tc>
      </w:tr>
      <w:tr w:rsidR="00EA2578" w:rsidRPr="00EA2578" w14:paraId="38B828B3" w14:textId="77777777" w:rsidTr="00EA2578">
        <w:trPr>
          <w:trHeight w:val="561"/>
        </w:trPr>
        <w:tc>
          <w:tcPr>
            <w:tcW w:w="0" w:type="auto"/>
            <w:tcMar>
              <w:top w:w="150" w:type="dxa"/>
              <w:left w:w="0" w:type="dxa"/>
              <w:bottom w:w="150" w:type="dxa"/>
              <w:right w:w="240" w:type="dxa"/>
            </w:tcMar>
            <w:vAlign w:val="center"/>
            <w:hideMark/>
          </w:tcPr>
          <w:p w14:paraId="2E569250" w14:textId="77777777" w:rsidR="00EA2578" w:rsidRPr="00EA2578" w:rsidRDefault="00EA2578" w:rsidP="006473EC">
            <w:pPr>
              <w:spacing w:after="160" w:line="360" w:lineRule="auto"/>
              <w:jc w:val="both"/>
            </w:pPr>
            <w:r w:rsidRPr="00EA2578">
              <w:t>Never</w:t>
            </w:r>
          </w:p>
        </w:tc>
        <w:tc>
          <w:tcPr>
            <w:tcW w:w="0" w:type="auto"/>
            <w:tcMar>
              <w:top w:w="150" w:type="dxa"/>
              <w:left w:w="240" w:type="dxa"/>
              <w:bottom w:w="150" w:type="dxa"/>
              <w:right w:w="240" w:type="dxa"/>
            </w:tcMar>
            <w:vAlign w:val="center"/>
            <w:hideMark/>
          </w:tcPr>
          <w:p w14:paraId="4A37C062" w14:textId="77777777" w:rsidR="00EA2578" w:rsidRPr="00EA2578" w:rsidRDefault="00EA2578" w:rsidP="006473EC">
            <w:pPr>
              <w:spacing w:after="160" w:line="360" w:lineRule="auto"/>
              <w:jc w:val="both"/>
            </w:pPr>
            <w:r w:rsidRPr="00EA2578">
              <w:t>42</w:t>
            </w:r>
          </w:p>
        </w:tc>
        <w:tc>
          <w:tcPr>
            <w:tcW w:w="0" w:type="auto"/>
            <w:tcMar>
              <w:top w:w="150" w:type="dxa"/>
              <w:left w:w="240" w:type="dxa"/>
              <w:bottom w:w="150" w:type="dxa"/>
              <w:right w:w="0" w:type="dxa"/>
            </w:tcMar>
            <w:vAlign w:val="center"/>
            <w:hideMark/>
          </w:tcPr>
          <w:p w14:paraId="57DC47B7" w14:textId="77777777" w:rsidR="00EA2578" w:rsidRPr="00EA2578" w:rsidRDefault="00EA2578" w:rsidP="006473EC">
            <w:pPr>
              <w:spacing w:after="160" w:line="360" w:lineRule="auto"/>
              <w:jc w:val="both"/>
            </w:pPr>
            <w:r w:rsidRPr="00EA2578">
              <w:t>11.5</w:t>
            </w:r>
          </w:p>
        </w:tc>
      </w:tr>
      <w:tr w:rsidR="00EA2578" w:rsidRPr="00EA2578" w14:paraId="14D8EBC6" w14:textId="77777777" w:rsidTr="00EA2578">
        <w:trPr>
          <w:trHeight w:val="561"/>
        </w:trPr>
        <w:tc>
          <w:tcPr>
            <w:tcW w:w="0" w:type="auto"/>
            <w:tcMar>
              <w:top w:w="150" w:type="dxa"/>
              <w:left w:w="0" w:type="dxa"/>
              <w:bottom w:w="150" w:type="dxa"/>
              <w:right w:w="240" w:type="dxa"/>
            </w:tcMar>
            <w:vAlign w:val="center"/>
            <w:hideMark/>
          </w:tcPr>
          <w:p w14:paraId="0BFE201D" w14:textId="77777777" w:rsidR="00EA2578" w:rsidRPr="00EA2578" w:rsidRDefault="00EA2578" w:rsidP="006473EC">
            <w:pPr>
              <w:spacing w:after="160" w:line="360" w:lineRule="auto"/>
              <w:jc w:val="both"/>
            </w:pPr>
            <w:r w:rsidRPr="00EA2578">
              <w:t>Rarely</w:t>
            </w:r>
          </w:p>
        </w:tc>
        <w:tc>
          <w:tcPr>
            <w:tcW w:w="0" w:type="auto"/>
            <w:tcMar>
              <w:top w:w="150" w:type="dxa"/>
              <w:left w:w="240" w:type="dxa"/>
              <w:bottom w:w="150" w:type="dxa"/>
              <w:right w:w="240" w:type="dxa"/>
            </w:tcMar>
            <w:vAlign w:val="center"/>
            <w:hideMark/>
          </w:tcPr>
          <w:p w14:paraId="2F22BE25" w14:textId="77777777" w:rsidR="00EA2578" w:rsidRPr="00EA2578" w:rsidRDefault="00EA2578" w:rsidP="006473EC">
            <w:pPr>
              <w:spacing w:after="160" w:line="360" w:lineRule="auto"/>
              <w:jc w:val="both"/>
            </w:pPr>
            <w:r w:rsidRPr="00EA2578">
              <w:t>55</w:t>
            </w:r>
          </w:p>
        </w:tc>
        <w:tc>
          <w:tcPr>
            <w:tcW w:w="0" w:type="auto"/>
            <w:tcMar>
              <w:top w:w="150" w:type="dxa"/>
              <w:left w:w="240" w:type="dxa"/>
              <w:bottom w:w="150" w:type="dxa"/>
              <w:right w:w="0" w:type="dxa"/>
            </w:tcMar>
            <w:vAlign w:val="center"/>
            <w:hideMark/>
          </w:tcPr>
          <w:p w14:paraId="62E56177" w14:textId="77777777" w:rsidR="00EA2578" w:rsidRPr="00EA2578" w:rsidRDefault="00EA2578" w:rsidP="006473EC">
            <w:pPr>
              <w:spacing w:after="160" w:line="360" w:lineRule="auto"/>
              <w:jc w:val="both"/>
            </w:pPr>
            <w:r w:rsidRPr="00EA2578">
              <w:t>15.1</w:t>
            </w:r>
          </w:p>
        </w:tc>
      </w:tr>
      <w:tr w:rsidR="00EA2578" w:rsidRPr="00EA2578" w14:paraId="0D24E9EC" w14:textId="77777777" w:rsidTr="00EA2578">
        <w:trPr>
          <w:trHeight w:val="549"/>
        </w:trPr>
        <w:tc>
          <w:tcPr>
            <w:tcW w:w="0" w:type="auto"/>
            <w:tcMar>
              <w:top w:w="150" w:type="dxa"/>
              <w:left w:w="0" w:type="dxa"/>
              <w:bottom w:w="150" w:type="dxa"/>
              <w:right w:w="240" w:type="dxa"/>
            </w:tcMar>
            <w:vAlign w:val="center"/>
            <w:hideMark/>
          </w:tcPr>
          <w:p w14:paraId="60D9C0BA" w14:textId="77777777" w:rsidR="00EA2578" w:rsidRPr="00EA2578" w:rsidRDefault="00EA2578" w:rsidP="006473EC">
            <w:pPr>
              <w:spacing w:after="160" w:line="360" w:lineRule="auto"/>
              <w:jc w:val="both"/>
            </w:pPr>
            <w:r w:rsidRPr="00EA2578">
              <w:t>Occasionally</w:t>
            </w:r>
          </w:p>
        </w:tc>
        <w:tc>
          <w:tcPr>
            <w:tcW w:w="0" w:type="auto"/>
            <w:tcMar>
              <w:top w:w="150" w:type="dxa"/>
              <w:left w:w="240" w:type="dxa"/>
              <w:bottom w:w="150" w:type="dxa"/>
              <w:right w:w="240" w:type="dxa"/>
            </w:tcMar>
            <w:vAlign w:val="center"/>
            <w:hideMark/>
          </w:tcPr>
          <w:p w14:paraId="1CC38972" w14:textId="77777777" w:rsidR="00EA2578" w:rsidRPr="00EA2578" w:rsidRDefault="00EA2578" w:rsidP="006473EC">
            <w:pPr>
              <w:spacing w:after="160" w:line="360" w:lineRule="auto"/>
              <w:jc w:val="both"/>
            </w:pPr>
            <w:r w:rsidRPr="00EA2578">
              <w:t>142</w:t>
            </w:r>
          </w:p>
        </w:tc>
        <w:tc>
          <w:tcPr>
            <w:tcW w:w="0" w:type="auto"/>
            <w:tcMar>
              <w:top w:w="150" w:type="dxa"/>
              <w:left w:w="240" w:type="dxa"/>
              <w:bottom w:w="150" w:type="dxa"/>
              <w:right w:w="0" w:type="dxa"/>
            </w:tcMar>
            <w:vAlign w:val="center"/>
            <w:hideMark/>
          </w:tcPr>
          <w:p w14:paraId="147CA725" w14:textId="77777777" w:rsidR="00EA2578" w:rsidRPr="00EA2578" w:rsidRDefault="00EA2578" w:rsidP="006473EC">
            <w:pPr>
              <w:spacing w:after="160" w:line="360" w:lineRule="auto"/>
              <w:jc w:val="both"/>
            </w:pPr>
            <w:r w:rsidRPr="00EA2578">
              <w:t>38.9</w:t>
            </w:r>
          </w:p>
        </w:tc>
      </w:tr>
      <w:tr w:rsidR="00EA2578" w:rsidRPr="00EA2578" w14:paraId="7074D48D" w14:textId="77777777" w:rsidTr="00EA2578">
        <w:trPr>
          <w:trHeight w:val="561"/>
        </w:trPr>
        <w:tc>
          <w:tcPr>
            <w:tcW w:w="0" w:type="auto"/>
            <w:tcMar>
              <w:top w:w="150" w:type="dxa"/>
              <w:left w:w="0" w:type="dxa"/>
              <w:bottom w:w="150" w:type="dxa"/>
              <w:right w:w="240" w:type="dxa"/>
            </w:tcMar>
            <w:vAlign w:val="center"/>
            <w:hideMark/>
          </w:tcPr>
          <w:p w14:paraId="5C2EAE0B" w14:textId="77777777" w:rsidR="00EA2578" w:rsidRPr="00EA2578" w:rsidRDefault="00EA2578" w:rsidP="006473EC">
            <w:pPr>
              <w:spacing w:after="160" w:line="360" w:lineRule="auto"/>
              <w:jc w:val="both"/>
            </w:pPr>
            <w:r w:rsidRPr="00EA2578">
              <w:lastRenderedPageBreak/>
              <w:t>Frequently</w:t>
            </w:r>
          </w:p>
        </w:tc>
        <w:tc>
          <w:tcPr>
            <w:tcW w:w="0" w:type="auto"/>
            <w:tcMar>
              <w:top w:w="150" w:type="dxa"/>
              <w:left w:w="240" w:type="dxa"/>
              <w:bottom w:w="150" w:type="dxa"/>
              <w:right w:w="240" w:type="dxa"/>
            </w:tcMar>
            <w:vAlign w:val="center"/>
            <w:hideMark/>
          </w:tcPr>
          <w:p w14:paraId="05D7B564" w14:textId="77777777" w:rsidR="00EA2578" w:rsidRPr="00EA2578" w:rsidRDefault="00EA2578" w:rsidP="006473EC">
            <w:pPr>
              <w:spacing w:after="160" w:line="360" w:lineRule="auto"/>
              <w:jc w:val="both"/>
            </w:pPr>
            <w:r w:rsidRPr="00EA2578">
              <w:t>104</w:t>
            </w:r>
          </w:p>
        </w:tc>
        <w:tc>
          <w:tcPr>
            <w:tcW w:w="0" w:type="auto"/>
            <w:tcMar>
              <w:top w:w="150" w:type="dxa"/>
              <w:left w:w="240" w:type="dxa"/>
              <w:bottom w:w="150" w:type="dxa"/>
              <w:right w:w="0" w:type="dxa"/>
            </w:tcMar>
            <w:vAlign w:val="center"/>
            <w:hideMark/>
          </w:tcPr>
          <w:p w14:paraId="3F566531" w14:textId="77777777" w:rsidR="00EA2578" w:rsidRPr="00EA2578" w:rsidRDefault="00EA2578" w:rsidP="006473EC">
            <w:pPr>
              <w:spacing w:after="160" w:line="360" w:lineRule="auto"/>
              <w:jc w:val="both"/>
            </w:pPr>
            <w:r w:rsidRPr="00EA2578">
              <w:t>28.5</w:t>
            </w:r>
          </w:p>
        </w:tc>
      </w:tr>
      <w:tr w:rsidR="00EA2578" w:rsidRPr="00EA2578" w14:paraId="7BDFFCFF" w14:textId="77777777" w:rsidTr="00EA2578">
        <w:trPr>
          <w:trHeight w:val="561"/>
        </w:trPr>
        <w:tc>
          <w:tcPr>
            <w:tcW w:w="0" w:type="auto"/>
            <w:tcMar>
              <w:top w:w="150" w:type="dxa"/>
              <w:left w:w="0" w:type="dxa"/>
              <w:bottom w:w="150" w:type="dxa"/>
              <w:right w:w="240" w:type="dxa"/>
            </w:tcMar>
            <w:vAlign w:val="center"/>
            <w:hideMark/>
          </w:tcPr>
          <w:p w14:paraId="4D0B1790" w14:textId="77777777" w:rsidR="00EA2578" w:rsidRPr="00EA2578" w:rsidRDefault="00EA2578" w:rsidP="006473EC">
            <w:pPr>
              <w:spacing w:after="160" w:line="360" w:lineRule="auto"/>
              <w:jc w:val="both"/>
            </w:pPr>
            <w:r w:rsidRPr="00EA2578">
              <w:t>Very frequently</w:t>
            </w:r>
          </w:p>
        </w:tc>
        <w:tc>
          <w:tcPr>
            <w:tcW w:w="0" w:type="auto"/>
            <w:tcMar>
              <w:top w:w="150" w:type="dxa"/>
              <w:left w:w="240" w:type="dxa"/>
              <w:bottom w:w="150" w:type="dxa"/>
              <w:right w:w="240" w:type="dxa"/>
            </w:tcMar>
            <w:vAlign w:val="center"/>
            <w:hideMark/>
          </w:tcPr>
          <w:p w14:paraId="3D93D058" w14:textId="77777777" w:rsidR="00EA2578" w:rsidRPr="00EA2578" w:rsidRDefault="00EA2578" w:rsidP="006473EC">
            <w:pPr>
              <w:spacing w:after="160" w:line="360" w:lineRule="auto"/>
              <w:jc w:val="both"/>
            </w:pPr>
            <w:r w:rsidRPr="00EA2578">
              <w:t>22</w:t>
            </w:r>
          </w:p>
        </w:tc>
        <w:tc>
          <w:tcPr>
            <w:tcW w:w="0" w:type="auto"/>
            <w:tcMar>
              <w:top w:w="150" w:type="dxa"/>
              <w:left w:w="240" w:type="dxa"/>
              <w:bottom w:w="150" w:type="dxa"/>
              <w:right w:w="0" w:type="dxa"/>
            </w:tcMar>
            <w:vAlign w:val="center"/>
            <w:hideMark/>
          </w:tcPr>
          <w:p w14:paraId="6AACA26C" w14:textId="77777777" w:rsidR="00EA2578" w:rsidRPr="00EA2578" w:rsidRDefault="00EA2578" w:rsidP="006473EC">
            <w:pPr>
              <w:spacing w:after="160" w:line="360" w:lineRule="auto"/>
              <w:jc w:val="both"/>
            </w:pPr>
            <w:r w:rsidRPr="00EA2578">
              <w:t>6.0</w:t>
            </w:r>
          </w:p>
        </w:tc>
      </w:tr>
      <w:tr w:rsidR="00EA2578" w:rsidRPr="00EA2578" w14:paraId="7FBC6BE1" w14:textId="77777777" w:rsidTr="00EA2578">
        <w:trPr>
          <w:trHeight w:val="561"/>
        </w:trPr>
        <w:tc>
          <w:tcPr>
            <w:tcW w:w="0" w:type="auto"/>
            <w:tcMar>
              <w:top w:w="150" w:type="dxa"/>
              <w:left w:w="0" w:type="dxa"/>
              <w:bottom w:w="150" w:type="dxa"/>
              <w:right w:w="240" w:type="dxa"/>
            </w:tcMar>
            <w:vAlign w:val="center"/>
            <w:hideMark/>
          </w:tcPr>
          <w:p w14:paraId="5AF9B4D3" w14:textId="77777777" w:rsidR="00EA2578" w:rsidRPr="00EA2578" w:rsidRDefault="00EA2578" w:rsidP="006473EC">
            <w:pPr>
              <w:spacing w:after="160" w:line="360" w:lineRule="auto"/>
              <w:jc w:val="both"/>
            </w:pPr>
            <w:r w:rsidRPr="00EA2578">
              <w:rPr>
                <w:b/>
                <w:bCs/>
              </w:rPr>
              <w:t>Performance During Heat Waves</w:t>
            </w:r>
          </w:p>
        </w:tc>
        <w:tc>
          <w:tcPr>
            <w:tcW w:w="0" w:type="auto"/>
            <w:tcMar>
              <w:top w:w="150" w:type="dxa"/>
              <w:left w:w="240" w:type="dxa"/>
              <w:bottom w:w="150" w:type="dxa"/>
              <w:right w:w="240" w:type="dxa"/>
            </w:tcMar>
            <w:vAlign w:val="center"/>
            <w:hideMark/>
          </w:tcPr>
          <w:p w14:paraId="389AFBF6" w14:textId="77777777" w:rsidR="00EA2578" w:rsidRPr="00EA2578" w:rsidRDefault="00EA2578" w:rsidP="006473EC">
            <w:pPr>
              <w:spacing w:after="160" w:line="360" w:lineRule="auto"/>
              <w:jc w:val="both"/>
            </w:pPr>
          </w:p>
        </w:tc>
        <w:tc>
          <w:tcPr>
            <w:tcW w:w="0" w:type="auto"/>
            <w:tcMar>
              <w:top w:w="150" w:type="dxa"/>
              <w:left w:w="240" w:type="dxa"/>
              <w:bottom w:w="150" w:type="dxa"/>
              <w:right w:w="0" w:type="dxa"/>
            </w:tcMar>
            <w:vAlign w:val="center"/>
            <w:hideMark/>
          </w:tcPr>
          <w:p w14:paraId="2CC0E921" w14:textId="77777777" w:rsidR="00EA2578" w:rsidRPr="00EA2578" w:rsidRDefault="00EA2578" w:rsidP="006473EC">
            <w:pPr>
              <w:spacing w:after="160" w:line="360" w:lineRule="auto"/>
              <w:jc w:val="both"/>
            </w:pPr>
          </w:p>
        </w:tc>
      </w:tr>
      <w:tr w:rsidR="00EA2578" w:rsidRPr="00EA2578" w14:paraId="699D114A" w14:textId="77777777" w:rsidTr="00EA2578">
        <w:trPr>
          <w:trHeight w:val="561"/>
        </w:trPr>
        <w:tc>
          <w:tcPr>
            <w:tcW w:w="0" w:type="auto"/>
            <w:tcMar>
              <w:top w:w="150" w:type="dxa"/>
              <w:left w:w="0" w:type="dxa"/>
              <w:bottom w:w="150" w:type="dxa"/>
              <w:right w:w="240" w:type="dxa"/>
            </w:tcMar>
            <w:vAlign w:val="center"/>
            <w:hideMark/>
          </w:tcPr>
          <w:p w14:paraId="7A838F38" w14:textId="77777777" w:rsidR="00EA2578" w:rsidRPr="00EA2578" w:rsidRDefault="00EA2578" w:rsidP="006473EC">
            <w:pPr>
              <w:spacing w:after="160" w:line="360" w:lineRule="auto"/>
              <w:jc w:val="both"/>
            </w:pPr>
            <w:r w:rsidRPr="00EA2578">
              <w:t>Much more comfortable</w:t>
            </w:r>
          </w:p>
        </w:tc>
        <w:tc>
          <w:tcPr>
            <w:tcW w:w="0" w:type="auto"/>
            <w:tcMar>
              <w:top w:w="150" w:type="dxa"/>
              <w:left w:w="240" w:type="dxa"/>
              <w:bottom w:w="150" w:type="dxa"/>
              <w:right w:w="240" w:type="dxa"/>
            </w:tcMar>
            <w:vAlign w:val="center"/>
            <w:hideMark/>
          </w:tcPr>
          <w:p w14:paraId="241A5A8C" w14:textId="77777777" w:rsidR="00EA2578" w:rsidRPr="00EA2578" w:rsidRDefault="00EA2578" w:rsidP="006473EC">
            <w:pPr>
              <w:spacing w:after="160" w:line="360" w:lineRule="auto"/>
              <w:jc w:val="both"/>
            </w:pPr>
            <w:r w:rsidRPr="00EA2578">
              <w:t>105</w:t>
            </w:r>
          </w:p>
        </w:tc>
        <w:tc>
          <w:tcPr>
            <w:tcW w:w="0" w:type="auto"/>
            <w:tcMar>
              <w:top w:w="150" w:type="dxa"/>
              <w:left w:w="240" w:type="dxa"/>
              <w:bottom w:w="150" w:type="dxa"/>
              <w:right w:w="0" w:type="dxa"/>
            </w:tcMar>
            <w:vAlign w:val="center"/>
            <w:hideMark/>
          </w:tcPr>
          <w:p w14:paraId="2210626F" w14:textId="77777777" w:rsidR="00EA2578" w:rsidRPr="00EA2578" w:rsidRDefault="00EA2578" w:rsidP="006473EC">
            <w:pPr>
              <w:spacing w:after="160" w:line="360" w:lineRule="auto"/>
              <w:jc w:val="both"/>
            </w:pPr>
            <w:r w:rsidRPr="00EA2578">
              <w:t>28.8</w:t>
            </w:r>
          </w:p>
        </w:tc>
      </w:tr>
      <w:tr w:rsidR="00EA2578" w:rsidRPr="00EA2578" w14:paraId="28E79E01" w14:textId="77777777" w:rsidTr="00EA2578">
        <w:trPr>
          <w:trHeight w:val="561"/>
        </w:trPr>
        <w:tc>
          <w:tcPr>
            <w:tcW w:w="0" w:type="auto"/>
            <w:tcMar>
              <w:top w:w="150" w:type="dxa"/>
              <w:left w:w="0" w:type="dxa"/>
              <w:bottom w:w="150" w:type="dxa"/>
              <w:right w:w="240" w:type="dxa"/>
            </w:tcMar>
            <w:vAlign w:val="center"/>
            <w:hideMark/>
          </w:tcPr>
          <w:p w14:paraId="49AD4356" w14:textId="77777777" w:rsidR="00EA2578" w:rsidRPr="00EA2578" w:rsidRDefault="00EA2578" w:rsidP="006473EC">
            <w:pPr>
              <w:spacing w:after="160" w:line="360" w:lineRule="auto"/>
              <w:jc w:val="both"/>
            </w:pPr>
            <w:r w:rsidRPr="00EA2578">
              <w:t>More comfortable</w:t>
            </w:r>
          </w:p>
        </w:tc>
        <w:tc>
          <w:tcPr>
            <w:tcW w:w="0" w:type="auto"/>
            <w:tcMar>
              <w:top w:w="150" w:type="dxa"/>
              <w:left w:w="240" w:type="dxa"/>
              <w:bottom w:w="150" w:type="dxa"/>
              <w:right w:w="240" w:type="dxa"/>
            </w:tcMar>
            <w:vAlign w:val="center"/>
            <w:hideMark/>
          </w:tcPr>
          <w:p w14:paraId="16FD12F6" w14:textId="77777777" w:rsidR="00EA2578" w:rsidRPr="00EA2578" w:rsidRDefault="00EA2578" w:rsidP="006473EC">
            <w:pPr>
              <w:spacing w:after="160" w:line="360" w:lineRule="auto"/>
              <w:jc w:val="both"/>
            </w:pPr>
            <w:r w:rsidRPr="00EA2578">
              <w:t>133</w:t>
            </w:r>
          </w:p>
        </w:tc>
        <w:tc>
          <w:tcPr>
            <w:tcW w:w="0" w:type="auto"/>
            <w:tcMar>
              <w:top w:w="150" w:type="dxa"/>
              <w:left w:w="240" w:type="dxa"/>
              <w:bottom w:w="150" w:type="dxa"/>
              <w:right w:w="0" w:type="dxa"/>
            </w:tcMar>
            <w:vAlign w:val="center"/>
            <w:hideMark/>
          </w:tcPr>
          <w:p w14:paraId="05CD1D3F" w14:textId="77777777" w:rsidR="00EA2578" w:rsidRPr="00EA2578" w:rsidRDefault="00EA2578" w:rsidP="006473EC">
            <w:pPr>
              <w:spacing w:after="160" w:line="360" w:lineRule="auto"/>
              <w:jc w:val="both"/>
            </w:pPr>
            <w:r w:rsidRPr="00EA2578">
              <w:t>36.4</w:t>
            </w:r>
          </w:p>
        </w:tc>
      </w:tr>
      <w:tr w:rsidR="00EA2578" w:rsidRPr="00EA2578" w14:paraId="7F8CCBFA" w14:textId="77777777" w:rsidTr="00EA2578">
        <w:trPr>
          <w:trHeight w:val="549"/>
        </w:trPr>
        <w:tc>
          <w:tcPr>
            <w:tcW w:w="0" w:type="auto"/>
            <w:tcMar>
              <w:top w:w="150" w:type="dxa"/>
              <w:left w:w="0" w:type="dxa"/>
              <w:bottom w:w="150" w:type="dxa"/>
              <w:right w:w="240" w:type="dxa"/>
            </w:tcMar>
            <w:vAlign w:val="center"/>
            <w:hideMark/>
          </w:tcPr>
          <w:p w14:paraId="58A554F8" w14:textId="77777777" w:rsidR="00EA2578" w:rsidRPr="00EA2578" w:rsidRDefault="00EA2578" w:rsidP="006473EC">
            <w:pPr>
              <w:spacing w:after="160" w:line="360" w:lineRule="auto"/>
              <w:jc w:val="both"/>
            </w:pPr>
            <w:r w:rsidRPr="00EA2578">
              <w:t>About the same</w:t>
            </w:r>
          </w:p>
        </w:tc>
        <w:tc>
          <w:tcPr>
            <w:tcW w:w="0" w:type="auto"/>
            <w:tcMar>
              <w:top w:w="150" w:type="dxa"/>
              <w:left w:w="240" w:type="dxa"/>
              <w:bottom w:w="150" w:type="dxa"/>
              <w:right w:w="240" w:type="dxa"/>
            </w:tcMar>
            <w:vAlign w:val="center"/>
            <w:hideMark/>
          </w:tcPr>
          <w:p w14:paraId="59B9884E" w14:textId="77777777" w:rsidR="00EA2578" w:rsidRPr="00EA2578" w:rsidRDefault="00EA2578" w:rsidP="006473EC">
            <w:pPr>
              <w:spacing w:after="160" w:line="360" w:lineRule="auto"/>
              <w:jc w:val="both"/>
            </w:pPr>
            <w:r w:rsidRPr="00EA2578">
              <w:t>60</w:t>
            </w:r>
          </w:p>
        </w:tc>
        <w:tc>
          <w:tcPr>
            <w:tcW w:w="0" w:type="auto"/>
            <w:tcMar>
              <w:top w:w="150" w:type="dxa"/>
              <w:left w:w="240" w:type="dxa"/>
              <w:bottom w:w="150" w:type="dxa"/>
              <w:right w:w="0" w:type="dxa"/>
            </w:tcMar>
            <w:vAlign w:val="center"/>
            <w:hideMark/>
          </w:tcPr>
          <w:p w14:paraId="3DAF0CDA" w14:textId="77777777" w:rsidR="00EA2578" w:rsidRPr="00EA2578" w:rsidRDefault="00EA2578" w:rsidP="006473EC">
            <w:pPr>
              <w:spacing w:after="160" w:line="360" w:lineRule="auto"/>
              <w:jc w:val="both"/>
            </w:pPr>
            <w:r w:rsidRPr="00EA2578">
              <w:t>16.4</w:t>
            </w:r>
          </w:p>
        </w:tc>
      </w:tr>
      <w:tr w:rsidR="00EA2578" w:rsidRPr="00EA2578" w14:paraId="163CA940" w14:textId="77777777" w:rsidTr="00EA2578">
        <w:trPr>
          <w:trHeight w:val="561"/>
        </w:trPr>
        <w:tc>
          <w:tcPr>
            <w:tcW w:w="0" w:type="auto"/>
            <w:tcMar>
              <w:top w:w="150" w:type="dxa"/>
              <w:left w:w="0" w:type="dxa"/>
              <w:bottom w:w="150" w:type="dxa"/>
              <w:right w:w="240" w:type="dxa"/>
            </w:tcMar>
            <w:vAlign w:val="center"/>
            <w:hideMark/>
          </w:tcPr>
          <w:p w14:paraId="577A2C48" w14:textId="77777777" w:rsidR="00EA2578" w:rsidRPr="00EA2578" w:rsidRDefault="00EA2578" w:rsidP="006473EC">
            <w:pPr>
              <w:spacing w:after="160" w:line="360" w:lineRule="auto"/>
              <w:jc w:val="both"/>
            </w:pPr>
            <w:r w:rsidRPr="00EA2578">
              <w:t>Less comfortable</w:t>
            </w:r>
          </w:p>
        </w:tc>
        <w:tc>
          <w:tcPr>
            <w:tcW w:w="0" w:type="auto"/>
            <w:tcMar>
              <w:top w:w="150" w:type="dxa"/>
              <w:left w:w="240" w:type="dxa"/>
              <w:bottom w:w="150" w:type="dxa"/>
              <w:right w:w="240" w:type="dxa"/>
            </w:tcMar>
            <w:vAlign w:val="center"/>
            <w:hideMark/>
          </w:tcPr>
          <w:p w14:paraId="0501A6BE" w14:textId="77777777" w:rsidR="00EA2578" w:rsidRPr="00EA2578" w:rsidRDefault="00EA2578" w:rsidP="006473EC">
            <w:pPr>
              <w:spacing w:after="160" w:line="360" w:lineRule="auto"/>
              <w:jc w:val="both"/>
            </w:pPr>
            <w:r w:rsidRPr="00EA2578">
              <w:t>22</w:t>
            </w:r>
          </w:p>
        </w:tc>
        <w:tc>
          <w:tcPr>
            <w:tcW w:w="0" w:type="auto"/>
            <w:tcMar>
              <w:top w:w="150" w:type="dxa"/>
              <w:left w:w="240" w:type="dxa"/>
              <w:bottom w:w="150" w:type="dxa"/>
              <w:right w:w="0" w:type="dxa"/>
            </w:tcMar>
            <w:vAlign w:val="center"/>
            <w:hideMark/>
          </w:tcPr>
          <w:p w14:paraId="2B667FAC" w14:textId="77777777" w:rsidR="00EA2578" w:rsidRPr="00EA2578" w:rsidRDefault="00EA2578" w:rsidP="006473EC">
            <w:pPr>
              <w:spacing w:after="160" w:line="360" w:lineRule="auto"/>
              <w:jc w:val="both"/>
            </w:pPr>
            <w:r w:rsidRPr="00EA2578">
              <w:t>6.0</w:t>
            </w:r>
          </w:p>
        </w:tc>
      </w:tr>
      <w:tr w:rsidR="00EA2578" w:rsidRPr="00EA2578" w14:paraId="13C1660D" w14:textId="77777777" w:rsidTr="00EA2578">
        <w:trPr>
          <w:trHeight w:val="561"/>
        </w:trPr>
        <w:tc>
          <w:tcPr>
            <w:tcW w:w="0" w:type="auto"/>
            <w:tcMar>
              <w:top w:w="150" w:type="dxa"/>
              <w:left w:w="0" w:type="dxa"/>
              <w:bottom w:w="150" w:type="dxa"/>
              <w:right w:w="240" w:type="dxa"/>
            </w:tcMar>
            <w:vAlign w:val="center"/>
            <w:hideMark/>
          </w:tcPr>
          <w:p w14:paraId="3035C5D5" w14:textId="77777777" w:rsidR="00EA2578" w:rsidRPr="00EA2578" w:rsidRDefault="00EA2578" w:rsidP="006473EC">
            <w:pPr>
              <w:spacing w:after="160" w:line="360" w:lineRule="auto"/>
              <w:jc w:val="both"/>
            </w:pPr>
            <w:r w:rsidRPr="00EA2578">
              <w:t>Much less comfortable</w:t>
            </w:r>
          </w:p>
        </w:tc>
        <w:tc>
          <w:tcPr>
            <w:tcW w:w="0" w:type="auto"/>
            <w:tcMar>
              <w:top w:w="150" w:type="dxa"/>
              <w:left w:w="240" w:type="dxa"/>
              <w:bottom w:w="150" w:type="dxa"/>
              <w:right w:w="240" w:type="dxa"/>
            </w:tcMar>
            <w:vAlign w:val="center"/>
            <w:hideMark/>
          </w:tcPr>
          <w:p w14:paraId="19F33E18" w14:textId="77777777" w:rsidR="00EA2578" w:rsidRPr="00EA2578" w:rsidRDefault="00EA2578" w:rsidP="006473EC">
            <w:pPr>
              <w:spacing w:after="160" w:line="360" w:lineRule="auto"/>
              <w:jc w:val="both"/>
            </w:pPr>
            <w:r w:rsidRPr="00EA2578">
              <w:t>8</w:t>
            </w:r>
          </w:p>
        </w:tc>
        <w:tc>
          <w:tcPr>
            <w:tcW w:w="0" w:type="auto"/>
            <w:tcMar>
              <w:top w:w="150" w:type="dxa"/>
              <w:left w:w="240" w:type="dxa"/>
              <w:bottom w:w="150" w:type="dxa"/>
              <w:right w:w="0" w:type="dxa"/>
            </w:tcMar>
            <w:vAlign w:val="center"/>
            <w:hideMark/>
          </w:tcPr>
          <w:p w14:paraId="23A1DDA9" w14:textId="77777777" w:rsidR="00EA2578" w:rsidRPr="00EA2578" w:rsidRDefault="00EA2578" w:rsidP="006473EC">
            <w:pPr>
              <w:spacing w:after="160" w:line="360" w:lineRule="auto"/>
              <w:jc w:val="both"/>
            </w:pPr>
            <w:r w:rsidRPr="00EA2578">
              <w:t>2.2</w:t>
            </w:r>
          </w:p>
        </w:tc>
      </w:tr>
    </w:tbl>
    <w:p w14:paraId="7D74C966" w14:textId="77777777" w:rsidR="00EA2578" w:rsidRPr="00EA2578" w:rsidRDefault="00EA2578" w:rsidP="006473EC">
      <w:pPr>
        <w:spacing w:after="160" w:line="360" w:lineRule="auto"/>
        <w:jc w:val="both"/>
      </w:pPr>
      <w:r w:rsidRPr="00EA2578">
        <w:t>Overall, 52.6% of respondents had experienced flooding, with 72.9% of those reporting no wall damage. During heat waves, 65.2% reported their ISSB home was more comfortable compared to other buildings.</w:t>
      </w:r>
    </w:p>
    <w:p w14:paraId="045F559B" w14:textId="77777777" w:rsidR="00EA2578" w:rsidRPr="00EA2578" w:rsidRDefault="00EA2578" w:rsidP="006473EC">
      <w:pPr>
        <w:spacing w:after="160" w:line="360" w:lineRule="auto"/>
        <w:jc w:val="both"/>
        <w:rPr>
          <w:b/>
          <w:bCs/>
        </w:rPr>
      </w:pPr>
      <w:r w:rsidRPr="00EA2578">
        <w:rPr>
          <w:b/>
          <w:bCs/>
        </w:rPr>
        <w:t>4.7 Socio-Economic Dimensions and Overall Satisfaction</w:t>
      </w:r>
    </w:p>
    <w:p w14:paraId="5863BF0C" w14:textId="77777777" w:rsidR="00EA2578" w:rsidRPr="00EA2578" w:rsidRDefault="00EA2578" w:rsidP="006473EC">
      <w:pPr>
        <w:spacing w:after="160" w:line="360" w:lineRule="auto"/>
        <w:jc w:val="both"/>
      </w:pPr>
      <w:r w:rsidRPr="00EA2578">
        <w:rPr>
          <w:b/>
          <w:bCs/>
        </w:rPr>
        <w:t>Table 4.6: Satisfaction and Socio-Economic Indicators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66"/>
        <w:gridCol w:w="1027"/>
        <w:gridCol w:w="900"/>
        <w:gridCol w:w="3026"/>
      </w:tblGrid>
      <w:tr w:rsidR="00EA2578" w:rsidRPr="00EA2578" w14:paraId="2F591EBC" w14:textId="77777777" w:rsidTr="00EA2578">
        <w:trPr>
          <w:tblHeader/>
        </w:trPr>
        <w:tc>
          <w:tcPr>
            <w:tcW w:w="0" w:type="auto"/>
            <w:tcMar>
              <w:top w:w="150" w:type="dxa"/>
              <w:left w:w="0" w:type="dxa"/>
              <w:bottom w:w="150" w:type="dxa"/>
              <w:right w:w="240" w:type="dxa"/>
            </w:tcMar>
            <w:vAlign w:val="center"/>
            <w:hideMark/>
          </w:tcPr>
          <w:p w14:paraId="05A521DB" w14:textId="77777777" w:rsidR="00EA2578" w:rsidRPr="00EA2578" w:rsidRDefault="00EA2578" w:rsidP="006473EC">
            <w:pPr>
              <w:spacing w:after="160" w:line="360" w:lineRule="auto"/>
              <w:jc w:val="both"/>
            </w:pPr>
            <w:r w:rsidRPr="00EA2578">
              <w:t>Statement</w:t>
            </w:r>
          </w:p>
        </w:tc>
        <w:tc>
          <w:tcPr>
            <w:tcW w:w="0" w:type="auto"/>
            <w:tcMar>
              <w:top w:w="150" w:type="dxa"/>
              <w:left w:w="240" w:type="dxa"/>
              <w:bottom w:w="150" w:type="dxa"/>
              <w:right w:w="240" w:type="dxa"/>
            </w:tcMar>
            <w:vAlign w:val="center"/>
            <w:hideMark/>
          </w:tcPr>
          <w:p w14:paraId="2B1070A7" w14:textId="77777777" w:rsidR="00EA2578" w:rsidRPr="00EA2578" w:rsidRDefault="00EA2578" w:rsidP="006473EC">
            <w:pPr>
              <w:spacing w:after="160" w:line="360" w:lineRule="auto"/>
              <w:jc w:val="both"/>
            </w:pPr>
            <w:r w:rsidRPr="00EA2578">
              <w:t>Mean</w:t>
            </w:r>
          </w:p>
        </w:tc>
        <w:tc>
          <w:tcPr>
            <w:tcW w:w="0" w:type="auto"/>
            <w:tcMar>
              <w:top w:w="150" w:type="dxa"/>
              <w:left w:w="240" w:type="dxa"/>
              <w:bottom w:w="150" w:type="dxa"/>
              <w:right w:w="240" w:type="dxa"/>
            </w:tcMar>
            <w:vAlign w:val="center"/>
            <w:hideMark/>
          </w:tcPr>
          <w:p w14:paraId="30BE82F2" w14:textId="77777777" w:rsidR="00EA2578" w:rsidRPr="00EA2578" w:rsidRDefault="00EA2578" w:rsidP="006473EC">
            <w:pPr>
              <w:spacing w:after="160" w:line="360" w:lineRule="auto"/>
              <w:jc w:val="both"/>
            </w:pPr>
            <w:r w:rsidRPr="00EA2578">
              <w:t>SD</w:t>
            </w:r>
          </w:p>
        </w:tc>
        <w:tc>
          <w:tcPr>
            <w:tcW w:w="0" w:type="auto"/>
            <w:tcMar>
              <w:top w:w="150" w:type="dxa"/>
              <w:left w:w="240" w:type="dxa"/>
              <w:bottom w:w="150" w:type="dxa"/>
              <w:right w:w="240" w:type="dxa"/>
            </w:tcMar>
            <w:vAlign w:val="center"/>
            <w:hideMark/>
          </w:tcPr>
          <w:p w14:paraId="17B2544F" w14:textId="77777777" w:rsidR="00EA2578" w:rsidRPr="00EA2578" w:rsidRDefault="00EA2578" w:rsidP="006473EC">
            <w:pPr>
              <w:spacing w:after="160" w:line="360" w:lineRule="auto"/>
              <w:jc w:val="both"/>
            </w:pPr>
            <w:r w:rsidRPr="00EA2578">
              <w:t>Agree/Strongly Agree (%)</w:t>
            </w:r>
          </w:p>
        </w:tc>
      </w:tr>
      <w:tr w:rsidR="00EA2578" w:rsidRPr="00EA2578" w14:paraId="2914E2FD" w14:textId="77777777" w:rsidTr="00EA2578">
        <w:tc>
          <w:tcPr>
            <w:tcW w:w="0" w:type="auto"/>
            <w:tcMar>
              <w:top w:w="150" w:type="dxa"/>
              <w:left w:w="0" w:type="dxa"/>
              <w:bottom w:w="150" w:type="dxa"/>
              <w:right w:w="240" w:type="dxa"/>
            </w:tcMar>
            <w:vAlign w:val="center"/>
            <w:hideMark/>
          </w:tcPr>
          <w:p w14:paraId="08FCE971" w14:textId="77777777" w:rsidR="00EA2578" w:rsidRPr="00EA2578" w:rsidRDefault="00EA2578" w:rsidP="006473EC">
            <w:pPr>
              <w:spacing w:after="160" w:line="360" w:lineRule="auto"/>
              <w:jc w:val="both"/>
            </w:pPr>
            <w:r w:rsidRPr="00EA2578">
              <w:t>Positive effect on health</w:t>
            </w:r>
          </w:p>
        </w:tc>
        <w:tc>
          <w:tcPr>
            <w:tcW w:w="0" w:type="auto"/>
            <w:tcMar>
              <w:top w:w="150" w:type="dxa"/>
              <w:left w:w="240" w:type="dxa"/>
              <w:bottom w:w="150" w:type="dxa"/>
              <w:right w:w="240" w:type="dxa"/>
            </w:tcMar>
            <w:vAlign w:val="center"/>
            <w:hideMark/>
          </w:tcPr>
          <w:p w14:paraId="6994510A" w14:textId="77777777" w:rsidR="00EA2578" w:rsidRPr="00EA2578" w:rsidRDefault="00EA2578" w:rsidP="006473EC">
            <w:pPr>
              <w:spacing w:after="160" w:line="360" w:lineRule="auto"/>
              <w:jc w:val="both"/>
            </w:pPr>
            <w:r w:rsidRPr="00EA2578">
              <w:t>3.70</w:t>
            </w:r>
          </w:p>
        </w:tc>
        <w:tc>
          <w:tcPr>
            <w:tcW w:w="0" w:type="auto"/>
            <w:tcMar>
              <w:top w:w="150" w:type="dxa"/>
              <w:left w:w="240" w:type="dxa"/>
              <w:bottom w:w="150" w:type="dxa"/>
              <w:right w:w="240" w:type="dxa"/>
            </w:tcMar>
            <w:vAlign w:val="center"/>
            <w:hideMark/>
          </w:tcPr>
          <w:p w14:paraId="79F5E74A" w14:textId="77777777" w:rsidR="00EA2578" w:rsidRPr="00EA2578" w:rsidRDefault="00EA2578" w:rsidP="006473EC">
            <w:pPr>
              <w:spacing w:after="160" w:line="360" w:lineRule="auto"/>
              <w:jc w:val="both"/>
            </w:pPr>
            <w:r w:rsidRPr="00EA2578">
              <w:t>1.10</w:t>
            </w:r>
          </w:p>
        </w:tc>
        <w:tc>
          <w:tcPr>
            <w:tcW w:w="0" w:type="auto"/>
            <w:tcMar>
              <w:top w:w="150" w:type="dxa"/>
              <w:left w:w="240" w:type="dxa"/>
              <w:bottom w:w="150" w:type="dxa"/>
              <w:right w:w="0" w:type="dxa"/>
            </w:tcMar>
            <w:vAlign w:val="center"/>
            <w:hideMark/>
          </w:tcPr>
          <w:p w14:paraId="69B6E8FB" w14:textId="77777777" w:rsidR="00EA2578" w:rsidRPr="00EA2578" w:rsidRDefault="00EA2578" w:rsidP="006473EC">
            <w:pPr>
              <w:spacing w:after="160" w:line="360" w:lineRule="auto"/>
              <w:jc w:val="both"/>
            </w:pPr>
            <w:r w:rsidRPr="00EA2578">
              <w:t>66.3</w:t>
            </w:r>
          </w:p>
        </w:tc>
      </w:tr>
      <w:tr w:rsidR="00EA2578" w:rsidRPr="00EA2578" w14:paraId="3DAAA8A7" w14:textId="77777777" w:rsidTr="00EA2578">
        <w:tc>
          <w:tcPr>
            <w:tcW w:w="0" w:type="auto"/>
            <w:tcMar>
              <w:top w:w="150" w:type="dxa"/>
              <w:left w:w="0" w:type="dxa"/>
              <w:bottom w:w="150" w:type="dxa"/>
              <w:right w:w="240" w:type="dxa"/>
            </w:tcMar>
            <w:vAlign w:val="center"/>
            <w:hideMark/>
          </w:tcPr>
          <w:p w14:paraId="2154DCC7" w14:textId="77777777" w:rsidR="00EA2578" w:rsidRPr="00EA2578" w:rsidRDefault="00EA2578" w:rsidP="006473EC">
            <w:pPr>
              <w:spacing w:after="160" w:line="360" w:lineRule="auto"/>
              <w:jc w:val="both"/>
            </w:pPr>
            <w:r w:rsidRPr="00EA2578">
              <w:lastRenderedPageBreak/>
              <w:t>Positive effect on productivity</w:t>
            </w:r>
          </w:p>
        </w:tc>
        <w:tc>
          <w:tcPr>
            <w:tcW w:w="0" w:type="auto"/>
            <w:tcMar>
              <w:top w:w="150" w:type="dxa"/>
              <w:left w:w="240" w:type="dxa"/>
              <w:bottom w:w="150" w:type="dxa"/>
              <w:right w:w="240" w:type="dxa"/>
            </w:tcMar>
            <w:vAlign w:val="center"/>
            <w:hideMark/>
          </w:tcPr>
          <w:p w14:paraId="4FA6821A" w14:textId="77777777" w:rsidR="00EA2578" w:rsidRPr="00EA2578" w:rsidRDefault="00EA2578" w:rsidP="006473EC">
            <w:pPr>
              <w:spacing w:after="160" w:line="360" w:lineRule="auto"/>
              <w:jc w:val="both"/>
            </w:pPr>
            <w:r w:rsidRPr="00EA2578">
              <w:t>3.66</w:t>
            </w:r>
          </w:p>
        </w:tc>
        <w:tc>
          <w:tcPr>
            <w:tcW w:w="0" w:type="auto"/>
            <w:tcMar>
              <w:top w:w="150" w:type="dxa"/>
              <w:left w:w="240" w:type="dxa"/>
              <w:bottom w:w="150" w:type="dxa"/>
              <w:right w:w="240" w:type="dxa"/>
            </w:tcMar>
            <w:vAlign w:val="center"/>
            <w:hideMark/>
          </w:tcPr>
          <w:p w14:paraId="41DA080C" w14:textId="77777777" w:rsidR="00EA2578" w:rsidRPr="00EA2578" w:rsidRDefault="00EA2578" w:rsidP="006473EC">
            <w:pPr>
              <w:spacing w:after="160" w:line="360" w:lineRule="auto"/>
              <w:jc w:val="both"/>
            </w:pPr>
            <w:r w:rsidRPr="00EA2578">
              <w:t>1.12</w:t>
            </w:r>
          </w:p>
        </w:tc>
        <w:tc>
          <w:tcPr>
            <w:tcW w:w="0" w:type="auto"/>
            <w:tcMar>
              <w:top w:w="150" w:type="dxa"/>
              <w:left w:w="240" w:type="dxa"/>
              <w:bottom w:w="150" w:type="dxa"/>
              <w:right w:w="0" w:type="dxa"/>
            </w:tcMar>
            <w:vAlign w:val="center"/>
            <w:hideMark/>
          </w:tcPr>
          <w:p w14:paraId="64737DB6" w14:textId="77777777" w:rsidR="00EA2578" w:rsidRPr="00EA2578" w:rsidRDefault="00EA2578" w:rsidP="006473EC">
            <w:pPr>
              <w:spacing w:after="160" w:line="360" w:lineRule="auto"/>
              <w:jc w:val="both"/>
            </w:pPr>
            <w:r w:rsidRPr="00EA2578">
              <w:t>63.8</w:t>
            </w:r>
          </w:p>
        </w:tc>
      </w:tr>
      <w:tr w:rsidR="00EA2578" w:rsidRPr="00EA2578" w14:paraId="1D4F393F" w14:textId="77777777" w:rsidTr="00EA2578">
        <w:tc>
          <w:tcPr>
            <w:tcW w:w="0" w:type="auto"/>
            <w:tcMar>
              <w:top w:w="150" w:type="dxa"/>
              <w:left w:w="0" w:type="dxa"/>
              <w:bottom w:w="150" w:type="dxa"/>
              <w:right w:w="240" w:type="dxa"/>
            </w:tcMar>
            <w:vAlign w:val="center"/>
            <w:hideMark/>
          </w:tcPr>
          <w:p w14:paraId="5714D9F8" w14:textId="77777777" w:rsidR="00EA2578" w:rsidRPr="00EA2578" w:rsidRDefault="00EA2578" w:rsidP="006473EC">
            <w:pPr>
              <w:spacing w:after="160" w:line="360" w:lineRule="auto"/>
              <w:jc w:val="both"/>
            </w:pPr>
            <w:r w:rsidRPr="00EA2578">
              <w:t>Satisfied with overall performance</w:t>
            </w:r>
          </w:p>
        </w:tc>
        <w:tc>
          <w:tcPr>
            <w:tcW w:w="0" w:type="auto"/>
            <w:tcMar>
              <w:top w:w="150" w:type="dxa"/>
              <w:left w:w="240" w:type="dxa"/>
              <w:bottom w:w="150" w:type="dxa"/>
              <w:right w:w="240" w:type="dxa"/>
            </w:tcMar>
            <w:vAlign w:val="center"/>
            <w:hideMark/>
          </w:tcPr>
          <w:p w14:paraId="55FAEDFD" w14:textId="77777777" w:rsidR="00EA2578" w:rsidRPr="00EA2578" w:rsidRDefault="00EA2578" w:rsidP="006473EC">
            <w:pPr>
              <w:spacing w:after="160" w:line="360" w:lineRule="auto"/>
              <w:jc w:val="both"/>
            </w:pPr>
            <w:r w:rsidRPr="00EA2578">
              <w:t>3.80</w:t>
            </w:r>
          </w:p>
        </w:tc>
        <w:tc>
          <w:tcPr>
            <w:tcW w:w="0" w:type="auto"/>
            <w:tcMar>
              <w:top w:w="150" w:type="dxa"/>
              <w:left w:w="240" w:type="dxa"/>
              <w:bottom w:w="150" w:type="dxa"/>
              <w:right w:w="240" w:type="dxa"/>
            </w:tcMar>
            <w:vAlign w:val="center"/>
            <w:hideMark/>
          </w:tcPr>
          <w:p w14:paraId="1688D629" w14:textId="77777777" w:rsidR="00EA2578" w:rsidRPr="00EA2578" w:rsidRDefault="00EA2578" w:rsidP="006473EC">
            <w:pPr>
              <w:spacing w:after="160" w:line="360" w:lineRule="auto"/>
              <w:jc w:val="both"/>
            </w:pPr>
            <w:r w:rsidRPr="00EA2578">
              <w:t>1.09</w:t>
            </w:r>
          </w:p>
        </w:tc>
        <w:tc>
          <w:tcPr>
            <w:tcW w:w="0" w:type="auto"/>
            <w:tcMar>
              <w:top w:w="150" w:type="dxa"/>
              <w:left w:w="240" w:type="dxa"/>
              <w:bottom w:w="150" w:type="dxa"/>
              <w:right w:w="0" w:type="dxa"/>
            </w:tcMar>
            <w:vAlign w:val="center"/>
            <w:hideMark/>
          </w:tcPr>
          <w:p w14:paraId="1A8C8ECE" w14:textId="77777777" w:rsidR="00EA2578" w:rsidRPr="00EA2578" w:rsidRDefault="00EA2578" w:rsidP="006473EC">
            <w:pPr>
              <w:spacing w:after="160" w:line="360" w:lineRule="auto"/>
              <w:jc w:val="both"/>
            </w:pPr>
            <w:r w:rsidRPr="00EA2578">
              <w:t>70.1</w:t>
            </w:r>
          </w:p>
        </w:tc>
      </w:tr>
      <w:tr w:rsidR="00EA2578" w:rsidRPr="00EA2578" w14:paraId="45589038" w14:textId="77777777" w:rsidTr="00EA2578">
        <w:tc>
          <w:tcPr>
            <w:tcW w:w="0" w:type="auto"/>
            <w:tcMar>
              <w:top w:w="150" w:type="dxa"/>
              <w:left w:w="0" w:type="dxa"/>
              <w:bottom w:w="150" w:type="dxa"/>
              <w:right w:w="240" w:type="dxa"/>
            </w:tcMar>
            <w:vAlign w:val="center"/>
            <w:hideMark/>
          </w:tcPr>
          <w:p w14:paraId="0353F983" w14:textId="77777777" w:rsidR="00EA2578" w:rsidRPr="00EA2578" w:rsidRDefault="00EA2578" w:rsidP="006473EC">
            <w:pPr>
              <w:spacing w:after="160" w:line="360" w:lineRule="auto"/>
              <w:jc w:val="both"/>
            </w:pPr>
            <w:r w:rsidRPr="00EA2578">
              <w:t>Good value for money</w:t>
            </w:r>
          </w:p>
        </w:tc>
        <w:tc>
          <w:tcPr>
            <w:tcW w:w="0" w:type="auto"/>
            <w:tcMar>
              <w:top w:w="150" w:type="dxa"/>
              <w:left w:w="240" w:type="dxa"/>
              <w:bottom w:w="150" w:type="dxa"/>
              <w:right w:w="240" w:type="dxa"/>
            </w:tcMar>
            <w:vAlign w:val="center"/>
            <w:hideMark/>
          </w:tcPr>
          <w:p w14:paraId="4797BEFA" w14:textId="77777777" w:rsidR="00EA2578" w:rsidRPr="00EA2578" w:rsidRDefault="00EA2578" w:rsidP="006473EC">
            <w:pPr>
              <w:spacing w:after="160" w:line="360" w:lineRule="auto"/>
              <w:jc w:val="both"/>
            </w:pPr>
            <w:r w:rsidRPr="00EA2578">
              <w:t>3.73</w:t>
            </w:r>
          </w:p>
        </w:tc>
        <w:tc>
          <w:tcPr>
            <w:tcW w:w="0" w:type="auto"/>
            <w:tcMar>
              <w:top w:w="150" w:type="dxa"/>
              <w:left w:w="240" w:type="dxa"/>
              <w:bottom w:w="150" w:type="dxa"/>
              <w:right w:w="240" w:type="dxa"/>
            </w:tcMar>
            <w:vAlign w:val="center"/>
            <w:hideMark/>
          </w:tcPr>
          <w:p w14:paraId="238652FE" w14:textId="77777777" w:rsidR="00EA2578" w:rsidRPr="00EA2578" w:rsidRDefault="00EA2578" w:rsidP="006473EC">
            <w:pPr>
              <w:spacing w:after="160" w:line="360" w:lineRule="auto"/>
              <w:jc w:val="both"/>
            </w:pPr>
            <w:r w:rsidRPr="00EA2578">
              <w:t>1.06</w:t>
            </w:r>
          </w:p>
        </w:tc>
        <w:tc>
          <w:tcPr>
            <w:tcW w:w="0" w:type="auto"/>
            <w:tcMar>
              <w:top w:w="150" w:type="dxa"/>
              <w:left w:w="240" w:type="dxa"/>
              <w:bottom w:w="150" w:type="dxa"/>
              <w:right w:w="0" w:type="dxa"/>
            </w:tcMar>
            <w:vAlign w:val="center"/>
            <w:hideMark/>
          </w:tcPr>
          <w:p w14:paraId="732AA067" w14:textId="77777777" w:rsidR="00EA2578" w:rsidRPr="00EA2578" w:rsidRDefault="00EA2578" w:rsidP="006473EC">
            <w:pPr>
              <w:spacing w:after="160" w:line="360" w:lineRule="auto"/>
              <w:jc w:val="both"/>
            </w:pPr>
            <w:r w:rsidRPr="00EA2578">
              <w:t>66.6</w:t>
            </w:r>
          </w:p>
        </w:tc>
      </w:tr>
      <w:tr w:rsidR="00EA2578" w:rsidRPr="00EA2578" w14:paraId="3D43719B" w14:textId="77777777" w:rsidTr="00EA2578">
        <w:tc>
          <w:tcPr>
            <w:tcW w:w="0" w:type="auto"/>
            <w:tcMar>
              <w:top w:w="150" w:type="dxa"/>
              <w:left w:w="0" w:type="dxa"/>
              <w:bottom w:w="150" w:type="dxa"/>
              <w:right w:w="240" w:type="dxa"/>
            </w:tcMar>
            <w:vAlign w:val="center"/>
            <w:hideMark/>
          </w:tcPr>
          <w:p w14:paraId="71A19779" w14:textId="77777777" w:rsidR="00EA2578" w:rsidRPr="00EA2578" w:rsidRDefault="00EA2578" w:rsidP="006473EC">
            <w:pPr>
              <w:spacing w:after="160" w:line="360" w:lineRule="auto"/>
              <w:jc w:val="both"/>
            </w:pPr>
            <w:r w:rsidRPr="00EA2578">
              <w:t>Would recommend to others</w:t>
            </w:r>
          </w:p>
        </w:tc>
        <w:tc>
          <w:tcPr>
            <w:tcW w:w="0" w:type="auto"/>
            <w:tcMar>
              <w:top w:w="150" w:type="dxa"/>
              <w:left w:w="240" w:type="dxa"/>
              <w:bottom w:w="150" w:type="dxa"/>
              <w:right w:w="240" w:type="dxa"/>
            </w:tcMar>
            <w:vAlign w:val="center"/>
            <w:hideMark/>
          </w:tcPr>
          <w:p w14:paraId="5F3CE2B5" w14:textId="77777777" w:rsidR="00EA2578" w:rsidRPr="00EA2578" w:rsidRDefault="00EA2578" w:rsidP="006473EC">
            <w:pPr>
              <w:spacing w:after="160" w:line="360" w:lineRule="auto"/>
              <w:jc w:val="both"/>
            </w:pPr>
            <w:r w:rsidRPr="00EA2578">
              <w:t>3.92</w:t>
            </w:r>
          </w:p>
        </w:tc>
        <w:tc>
          <w:tcPr>
            <w:tcW w:w="0" w:type="auto"/>
            <w:tcMar>
              <w:top w:w="150" w:type="dxa"/>
              <w:left w:w="240" w:type="dxa"/>
              <w:bottom w:w="150" w:type="dxa"/>
              <w:right w:w="240" w:type="dxa"/>
            </w:tcMar>
            <w:vAlign w:val="center"/>
            <w:hideMark/>
          </w:tcPr>
          <w:p w14:paraId="3DD22D5E" w14:textId="77777777" w:rsidR="00EA2578" w:rsidRPr="00EA2578" w:rsidRDefault="00EA2578" w:rsidP="006473EC">
            <w:pPr>
              <w:spacing w:after="160" w:line="360" w:lineRule="auto"/>
              <w:jc w:val="both"/>
            </w:pPr>
            <w:r w:rsidRPr="00EA2578">
              <w:t>1.02</w:t>
            </w:r>
          </w:p>
        </w:tc>
        <w:tc>
          <w:tcPr>
            <w:tcW w:w="0" w:type="auto"/>
            <w:tcMar>
              <w:top w:w="150" w:type="dxa"/>
              <w:left w:w="240" w:type="dxa"/>
              <w:bottom w:w="150" w:type="dxa"/>
              <w:right w:w="0" w:type="dxa"/>
            </w:tcMar>
            <w:vAlign w:val="center"/>
            <w:hideMark/>
          </w:tcPr>
          <w:p w14:paraId="43235367" w14:textId="77777777" w:rsidR="00EA2578" w:rsidRPr="00EA2578" w:rsidRDefault="00EA2578" w:rsidP="006473EC">
            <w:pPr>
              <w:spacing w:after="160" w:line="360" w:lineRule="auto"/>
              <w:jc w:val="both"/>
            </w:pPr>
            <w:r w:rsidRPr="00EA2578">
              <w:t>74.8</w:t>
            </w:r>
          </w:p>
        </w:tc>
      </w:tr>
      <w:tr w:rsidR="00EA2578" w:rsidRPr="00EA2578" w14:paraId="41480E6C" w14:textId="77777777" w:rsidTr="00EA2578">
        <w:tc>
          <w:tcPr>
            <w:tcW w:w="0" w:type="auto"/>
            <w:tcMar>
              <w:top w:w="150" w:type="dxa"/>
              <w:left w:w="0" w:type="dxa"/>
              <w:bottom w:w="150" w:type="dxa"/>
              <w:right w:w="240" w:type="dxa"/>
            </w:tcMar>
            <w:vAlign w:val="center"/>
            <w:hideMark/>
          </w:tcPr>
          <w:p w14:paraId="5F6A2352" w14:textId="09A61CAB" w:rsidR="00EA2578" w:rsidRPr="00EA2578" w:rsidRDefault="00EA2578" w:rsidP="006473EC">
            <w:pPr>
              <w:spacing w:after="160" w:line="360" w:lineRule="auto"/>
              <w:jc w:val="both"/>
            </w:pPr>
            <w:r w:rsidRPr="00EA2578">
              <w:t xml:space="preserve">Would choose for </w:t>
            </w:r>
            <w:r w:rsidR="0020074B">
              <w:t xml:space="preserve">the </w:t>
            </w:r>
            <w:r w:rsidRPr="00EA2578">
              <w:t>next home</w:t>
            </w:r>
          </w:p>
        </w:tc>
        <w:tc>
          <w:tcPr>
            <w:tcW w:w="0" w:type="auto"/>
            <w:tcMar>
              <w:top w:w="150" w:type="dxa"/>
              <w:left w:w="240" w:type="dxa"/>
              <w:bottom w:w="150" w:type="dxa"/>
              <w:right w:w="240" w:type="dxa"/>
            </w:tcMar>
            <w:vAlign w:val="center"/>
            <w:hideMark/>
          </w:tcPr>
          <w:p w14:paraId="05D9DCBB" w14:textId="77777777" w:rsidR="00EA2578" w:rsidRPr="00EA2578" w:rsidRDefault="00EA2578" w:rsidP="006473EC">
            <w:pPr>
              <w:spacing w:after="160" w:line="360" w:lineRule="auto"/>
              <w:jc w:val="both"/>
            </w:pPr>
            <w:r w:rsidRPr="00EA2578">
              <w:t>3.86</w:t>
            </w:r>
          </w:p>
        </w:tc>
        <w:tc>
          <w:tcPr>
            <w:tcW w:w="0" w:type="auto"/>
            <w:tcMar>
              <w:top w:w="150" w:type="dxa"/>
              <w:left w:w="240" w:type="dxa"/>
              <w:bottom w:w="150" w:type="dxa"/>
              <w:right w:w="240" w:type="dxa"/>
            </w:tcMar>
            <w:vAlign w:val="center"/>
            <w:hideMark/>
          </w:tcPr>
          <w:p w14:paraId="11F5A08B" w14:textId="77777777" w:rsidR="00EA2578" w:rsidRPr="00EA2578" w:rsidRDefault="00EA2578" w:rsidP="006473EC">
            <w:pPr>
              <w:spacing w:after="160" w:line="360" w:lineRule="auto"/>
              <w:jc w:val="both"/>
            </w:pPr>
            <w:r w:rsidRPr="00EA2578">
              <w:t>1.05</w:t>
            </w:r>
          </w:p>
        </w:tc>
        <w:tc>
          <w:tcPr>
            <w:tcW w:w="0" w:type="auto"/>
            <w:tcMar>
              <w:top w:w="150" w:type="dxa"/>
              <w:left w:w="240" w:type="dxa"/>
              <w:bottom w:w="150" w:type="dxa"/>
              <w:right w:w="0" w:type="dxa"/>
            </w:tcMar>
            <w:vAlign w:val="center"/>
            <w:hideMark/>
          </w:tcPr>
          <w:p w14:paraId="171CA73A" w14:textId="77777777" w:rsidR="00EA2578" w:rsidRPr="00EA2578" w:rsidRDefault="00EA2578" w:rsidP="006473EC">
            <w:pPr>
              <w:spacing w:after="160" w:line="360" w:lineRule="auto"/>
              <w:jc w:val="both"/>
            </w:pPr>
            <w:r w:rsidRPr="00EA2578">
              <w:t>71.8</w:t>
            </w:r>
          </w:p>
        </w:tc>
      </w:tr>
    </w:tbl>
    <w:p w14:paraId="045E217A" w14:textId="77777777" w:rsidR="00EA2578" w:rsidRPr="00EA2578" w:rsidRDefault="00EA2578" w:rsidP="006473EC">
      <w:pPr>
        <w:spacing w:after="160" w:line="360" w:lineRule="auto"/>
        <w:jc w:val="both"/>
      </w:pPr>
      <w:r w:rsidRPr="00EA2578">
        <w:rPr>
          <w:i/>
          <w:iCs/>
        </w:rPr>
        <w:t>Scale: 1=Strongly Disagree to 5=Strongly Agree</w:t>
      </w:r>
    </w:p>
    <w:p w14:paraId="2A36E970" w14:textId="77777777" w:rsidR="00EA2578" w:rsidRPr="00EA2578" w:rsidRDefault="00EA2578" w:rsidP="006473EC">
      <w:pPr>
        <w:spacing w:after="160" w:line="360" w:lineRule="auto"/>
        <w:jc w:val="both"/>
      </w:pPr>
      <w:r w:rsidRPr="00EA2578">
        <w:t>Overall quality of life was rated Good or Excellent by 69.0% of respondents (mean = 3.76, SD = 1.08).</w:t>
      </w:r>
    </w:p>
    <w:p w14:paraId="17A6364C" w14:textId="77777777" w:rsidR="00EA2578" w:rsidRPr="00EA2578" w:rsidRDefault="00EA2578" w:rsidP="006473EC">
      <w:pPr>
        <w:spacing w:after="160" w:line="360" w:lineRule="auto"/>
        <w:jc w:val="both"/>
      </w:pPr>
      <w:r w:rsidRPr="00EA2578">
        <w:rPr>
          <w:b/>
          <w:bCs/>
        </w:rPr>
        <w:t>Table 4.7: Perceived Advantages and Disadvantages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53"/>
        <w:gridCol w:w="900"/>
        <w:gridCol w:w="2393"/>
        <w:gridCol w:w="680"/>
      </w:tblGrid>
      <w:tr w:rsidR="00EA2578" w:rsidRPr="00EA2578" w14:paraId="37B53481" w14:textId="77777777" w:rsidTr="00EA2578">
        <w:trPr>
          <w:tblHeader/>
        </w:trPr>
        <w:tc>
          <w:tcPr>
            <w:tcW w:w="0" w:type="auto"/>
            <w:tcMar>
              <w:top w:w="150" w:type="dxa"/>
              <w:left w:w="0" w:type="dxa"/>
              <w:bottom w:w="150" w:type="dxa"/>
              <w:right w:w="240" w:type="dxa"/>
            </w:tcMar>
            <w:vAlign w:val="center"/>
            <w:hideMark/>
          </w:tcPr>
          <w:p w14:paraId="5E7DB575" w14:textId="77777777" w:rsidR="00EA2578" w:rsidRPr="00EA2578" w:rsidRDefault="00EA2578" w:rsidP="006473EC">
            <w:pPr>
              <w:spacing w:after="160" w:line="360" w:lineRule="auto"/>
              <w:jc w:val="both"/>
            </w:pPr>
            <w:r w:rsidRPr="00EA2578">
              <w:t>Advantage</w:t>
            </w:r>
          </w:p>
        </w:tc>
        <w:tc>
          <w:tcPr>
            <w:tcW w:w="0" w:type="auto"/>
            <w:tcMar>
              <w:top w:w="150" w:type="dxa"/>
              <w:left w:w="240" w:type="dxa"/>
              <w:bottom w:w="150" w:type="dxa"/>
              <w:right w:w="240" w:type="dxa"/>
            </w:tcMar>
            <w:vAlign w:val="center"/>
            <w:hideMark/>
          </w:tcPr>
          <w:p w14:paraId="17A73E05" w14:textId="77777777" w:rsidR="00EA2578" w:rsidRPr="00EA2578" w:rsidRDefault="00EA2578" w:rsidP="006473EC">
            <w:pPr>
              <w:spacing w:after="160" w:line="360" w:lineRule="auto"/>
              <w:jc w:val="both"/>
            </w:pPr>
            <w:r w:rsidRPr="00EA2578">
              <w:t>%</w:t>
            </w:r>
          </w:p>
        </w:tc>
        <w:tc>
          <w:tcPr>
            <w:tcW w:w="0" w:type="auto"/>
            <w:tcMar>
              <w:top w:w="150" w:type="dxa"/>
              <w:left w:w="240" w:type="dxa"/>
              <w:bottom w:w="150" w:type="dxa"/>
              <w:right w:w="240" w:type="dxa"/>
            </w:tcMar>
            <w:vAlign w:val="center"/>
            <w:hideMark/>
          </w:tcPr>
          <w:p w14:paraId="06030A9B" w14:textId="77777777" w:rsidR="00EA2578" w:rsidRPr="00EA2578" w:rsidRDefault="00EA2578" w:rsidP="006473EC">
            <w:pPr>
              <w:spacing w:after="160" w:line="360" w:lineRule="auto"/>
              <w:jc w:val="both"/>
            </w:pPr>
            <w:r w:rsidRPr="00EA2578">
              <w:t>Disadvantage</w:t>
            </w:r>
          </w:p>
        </w:tc>
        <w:tc>
          <w:tcPr>
            <w:tcW w:w="0" w:type="auto"/>
            <w:tcMar>
              <w:top w:w="150" w:type="dxa"/>
              <w:left w:w="240" w:type="dxa"/>
              <w:bottom w:w="150" w:type="dxa"/>
              <w:right w:w="240" w:type="dxa"/>
            </w:tcMar>
            <w:vAlign w:val="center"/>
            <w:hideMark/>
          </w:tcPr>
          <w:p w14:paraId="3DBA860B" w14:textId="77777777" w:rsidR="00EA2578" w:rsidRPr="00EA2578" w:rsidRDefault="00EA2578" w:rsidP="006473EC">
            <w:pPr>
              <w:spacing w:after="160" w:line="360" w:lineRule="auto"/>
              <w:jc w:val="both"/>
            </w:pPr>
            <w:r w:rsidRPr="00EA2578">
              <w:t>%</w:t>
            </w:r>
          </w:p>
        </w:tc>
      </w:tr>
      <w:tr w:rsidR="00EA2578" w:rsidRPr="00EA2578" w14:paraId="26C1CECC" w14:textId="77777777" w:rsidTr="00EA2578">
        <w:tc>
          <w:tcPr>
            <w:tcW w:w="0" w:type="auto"/>
            <w:tcMar>
              <w:top w:w="150" w:type="dxa"/>
              <w:left w:w="0" w:type="dxa"/>
              <w:bottom w:w="150" w:type="dxa"/>
              <w:right w:w="240" w:type="dxa"/>
            </w:tcMar>
            <w:vAlign w:val="center"/>
            <w:hideMark/>
          </w:tcPr>
          <w:p w14:paraId="3DAC10E8" w14:textId="77777777" w:rsidR="00EA2578" w:rsidRPr="00EA2578" w:rsidRDefault="00EA2578" w:rsidP="006473EC">
            <w:pPr>
              <w:spacing w:after="160" w:line="360" w:lineRule="auto"/>
              <w:jc w:val="both"/>
            </w:pPr>
            <w:r w:rsidRPr="00EA2578">
              <w:t>Thermal comfort</w:t>
            </w:r>
          </w:p>
        </w:tc>
        <w:tc>
          <w:tcPr>
            <w:tcW w:w="0" w:type="auto"/>
            <w:tcMar>
              <w:top w:w="150" w:type="dxa"/>
              <w:left w:w="240" w:type="dxa"/>
              <w:bottom w:w="150" w:type="dxa"/>
              <w:right w:w="240" w:type="dxa"/>
            </w:tcMar>
            <w:vAlign w:val="center"/>
            <w:hideMark/>
          </w:tcPr>
          <w:p w14:paraId="0D11582B" w14:textId="77777777" w:rsidR="00EA2578" w:rsidRPr="00EA2578" w:rsidRDefault="00EA2578" w:rsidP="006473EC">
            <w:pPr>
              <w:spacing w:after="160" w:line="360" w:lineRule="auto"/>
              <w:jc w:val="both"/>
            </w:pPr>
            <w:r w:rsidRPr="00EA2578">
              <w:t>78.9</w:t>
            </w:r>
          </w:p>
        </w:tc>
        <w:tc>
          <w:tcPr>
            <w:tcW w:w="0" w:type="auto"/>
            <w:tcMar>
              <w:top w:w="150" w:type="dxa"/>
              <w:left w:w="240" w:type="dxa"/>
              <w:bottom w:w="150" w:type="dxa"/>
              <w:right w:w="240" w:type="dxa"/>
            </w:tcMar>
            <w:vAlign w:val="center"/>
            <w:hideMark/>
          </w:tcPr>
          <w:p w14:paraId="6D7032D3" w14:textId="77777777" w:rsidR="00EA2578" w:rsidRPr="00EA2578" w:rsidRDefault="00EA2578" w:rsidP="006473EC">
            <w:pPr>
              <w:spacing w:after="160" w:line="360" w:lineRule="auto"/>
              <w:jc w:val="both"/>
            </w:pPr>
            <w:r w:rsidRPr="00EA2578">
              <w:t>Lack of awareness</w:t>
            </w:r>
          </w:p>
        </w:tc>
        <w:tc>
          <w:tcPr>
            <w:tcW w:w="0" w:type="auto"/>
            <w:tcMar>
              <w:top w:w="150" w:type="dxa"/>
              <w:left w:w="240" w:type="dxa"/>
              <w:bottom w:w="150" w:type="dxa"/>
              <w:right w:w="0" w:type="dxa"/>
            </w:tcMar>
            <w:vAlign w:val="center"/>
            <w:hideMark/>
          </w:tcPr>
          <w:p w14:paraId="045AB441" w14:textId="77777777" w:rsidR="00EA2578" w:rsidRPr="00EA2578" w:rsidRDefault="00EA2578" w:rsidP="006473EC">
            <w:pPr>
              <w:spacing w:after="160" w:line="360" w:lineRule="auto"/>
              <w:jc w:val="both"/>
            </w:pPr>
            <w:r w:rsidRPr="00EA2578">
              <w:t>38.1</w:t>
            </w:r>
          </w:p>
        </w:tc>
      </w:tr>
      <w:tr w:rsidR="00EA2578" w:rsidRPr="00EA2578" w14:paraId="70A5950B" w14:textId="77777777" w:rsidTr="00EA2578">
        <w:tc>
          <w:tcPr>
            <w:tcW w:w="0" w:type="auto"/>
            <w:tcMar>
              <w:top w:w="150" w:type="dxa"/>
              <w:left w:w="0" w:type="dxa"/>
              <w:bottom w:w="150" w:type="dxa"/>
              <w:right w:w="240" w:type="dxa"/>
            </w:tcMar>
            <w:vAlign w:val="center"/>
            <w:hideMark/>
          </w:tcPr>
          <w:p w14:paraId="74272FE3" w14:textId="77777777" w:rsidR="00EA2578" w:rsidRPr="00EA2578" w:rsidRDefault="00EA2578" w:rsidP="006473EC">
            <w:pPr>
              <w:spacing w:after="160" w:line="360" w:lineRule="auto"/>
              <w:jc w:val="both"/>
            </w:pPr>
            <w:r w:rsidRPr="00EA2578">
              <w:t>Affordability</w:t>
            </w:r>
          </w:p>
        </w:tc>
        <w:tc>
          <w:tcPr>
            <w:tcW w:w="0" w:type="auto"/>
            <w:tcMar>
              <w:top w:w="150" w:type="dxa"/>
              <w:left w:w="240" w:type="dxa"/>
              <w:bottom w:w="150" w:type="dxa"/>
              <w:right w:w="240" w:type="dxa"/>
            </w:tcMar>
            <w:vAlign w:val="center"/>
            <w:hideMark/>
          </w:tcPr>
          <w:p w14:paraId="1E65181E" w14:textId="77777777" w:rsidR="00EA2578" w:rsidRPr="00EA2578" w:rsidRDefault="00EA2578" w:rsidP="006473EC">
            <w:pPr>
              <w:spacing w:after="160" w:line="360" w:lineRule="auto"/>
              <w:jc w:val="both"/>
            </w:pPr>
            <w:r w:rsidRPr="00EA2578">
              <w:t>62.7</w:t>
            </w:r>
          </w:p>
        </w:tc>
        <w:tc>
          <w:tcPr>
            <w:tcW w:w="0" w:type="auto"/>
            <w:tcMar>
              <w:top w:w="150" w:type="dxa"/>
              <w:left w:w="240" w:type="dxa"/>
              <w:bottom w:w="150" w:type="dxa"/>
              <w:right w:w="240" w:type="dxa"/>
            </w:tcMar>
            <w:vAlign w:val="center"/>
            <w:hideMark/>
          </w:tcPr>
          <w:p w14:paraId="275B0C18" w14:textId="77777777" w:rsidR="00EA2578" w:rsidRPr="00EA2578" w:rsidRDefault="00EA2578" w:rsidP="006473EC">
            <w:pPr>
              <w:spacing w:after="160" w:line="360" w:lineRule="auto"/>
              <w:jc w:val="both"/>
            </w:pPr>
            <w:r w:rsidRPr="00EA2578">
              <w:t>Moisture issues</w:t>
            </w:r>
          </w:p>
        </w:tc>
        <w:tc>
          <w:tcPr>
            <w:tcW w:w="0" w:type="auto"/>
            <w:tcMar>
              <w:top w:w="150" w:type="dxa"/>
              <w:left w:w="240" w:type="dxa"/>
              <w:bottom w:w="150" w:type="dxa"/>
              <w:right w:w="0" w:type="dxa"/>
            </w:tcMar>
            <w:vAlign w:val="center"/>
            <w:hideMark/>
          </w:tcPr>
          <w:p w14:paraId="6AEBBC59" w14:textId="77777777" w:rsidR="00EA2578" w:rsidRPr="00EA2578" w:rsidRDefault="00EA2578" w:rsidP="006473EC">
            <w:pPr>
              <w:spacing w:after="160" w:line="360" w:lineRule="auto"/>
              <w:jc w:val="both"/>
            </w:pPr>
            <w:r w:rsidRPr="00EA2578">
              <w:t>26.6</w:t>
            </w:r>
          </w:p>
        </w:tc>
      </w:tr>
      <w:tr w:rsidR="00EA2578" w:rsidRPr="00EA2578" w14:paraId="2E39E611" w14:textId="77777777" w:rsidTr="00EA2578">
        <w:tc>
          <w:tcPr>
            <w:tcW w:w="0" w:type="auto"/>
            <w:tcMar>
              <w:top w:w="150" w:type="dxa"/>
              <w:left w:w="0" w:type="dxa"/>
              <w:bottom w:w="150" w:type="dxa"/>
              <w:right w:w="240" w:type="dxa"/>
            </w:tcMar>
            <w:vAlign w:val="center"/>
            <w:hideMark/>
          </w:tcPr>
          <w:p w14:paraId="1B53CACC" w14:textId="77777777" w:rsidR="00EA2578" w:rsidRPr="00EA2578" w:rsidRDefault="00EA2578" w:rsidP="006473EC">
            <w:pPr>
              <w:spacing w:after="160" w:line="360" w:lineRule="auto"/>
              <w:jc w:val="both"/>
            </w:pPr>
            <w:r w:rsidRPr="00EA2578">
              <w:t>Durability</w:t>
            </w:r>
          </w:p>
        </w:tc>
        <w:tc>
          <w:tcPr>
            <w:tcW w:w="0" w:type="auto"/>
            <w:tcMar>
              <w:top w:w="150" w:type="dxa"/>
              <w:left w:w="240" w:type="dxa"/>
              <w:bottom w:w="150" w:type="dxa"/>
              <w:right w:w="240" w:type="dxa"/>
            </w:tcMar>
            <w:vAlign w:val="center"/>
            <w:hideMark/>
          </w:tcPr>
          <w:p w14:paraId="7897BB10" w14:textId="77777777" w:rsidR="00EA2578" w:rsidRPr="00EA2578" w:rsidRDefault="00EA2578" w:rsidP="006473EC">
            <w:pPr>
              <w:spacing w:after="160" w:line="360" w:lineRule="auto"/>
              <w:jc w:val="both"/>
            </w:pPr>
            <w:r w:rsidRPr="00EA2578">
              <w:t>54.5</w:t>
            </w:r>
          </w:p>
        </w:tc>
        <w:tc>
          <w:tcPr>
            <w:tcW w:w="0" w:type="auto"/>
            <w:tcMar>
              <w:top w:w="150" w:type="dxa"/>
              <w:left w:w="240" w:type="dxa"/>
              <w:bottom w:w="150" w:type="dxa"/>
              <w:right w:w="240" w:type="dxa"/>
            </w:tcMar>
            <w:vAlign w:val="center"/>
            <w:hideMark/>
          </w:tcPr>
          <w:p w14:paraId="6FF05589" w14:textId="77777777" w:rsidR="00EA2578" w:rsidRPr="00EA2578" w:rsidRDefault="00EA2578" w:rsidP="006473EC">
            <w:pPr>
              <w:spacing w:after="160" w:line="360" w:lineRule="auto"/>
              <w:jc w:val="both"/>
            </w:pPr>
            <w:r w:rsidRPr="00EA2578">
              <w:t>Thermal discomfort</w:t>
            </w:r>
          </w:p>
        </w:tc>
        <w:tc>
          <w:tcPr>
            <w:tcW w:w="0" w:type="auto"/>
            <w:tcMar>
              <w:top w:w="150" w:type="dxa"/>
              <w:left w:w="240" w:type="dxa"/>
              <w:bottom w:w="150" w:type="dxa"/>
              <w:right w:w="0" w:type="dxa"/>
            </w:tcMar>
            <w:vAlign w:val="center"/>
            <w:hideMark/>
          </w:tcPr>
          <w:p w14:paraId="720E6B5E" w14:textId="77777777" w:rsidR="00EA2578" w:rsidRPr="00EA2578" w:rsidRDefault="00EA2578" w:rsidP="006473EC">
            <w:pPr>
              <w:spacing w:after="160" w:line="360" w:lineRule="auto"/>
              <w:jc w:val="both"/>
            </w:pPr>
            <w:r w:rsidRPr="00EA2578">
              <w:t>15.6</w:t>
            </w:r>
          </w:p>
        </w:tc>
      </w:tr>
      <w:tr w:rsidR="00EA2578" w:rsidRPr="00EA2578" w14:paraId="080E8B91" w14:textId="77777777" w:rsidTr="00EA2578">
        <w:tc>
          <w:tcPr>
            <w:tcW w:w="0" w:type="auto"/>
            <w:tcMar>
              <w:top w:w="150" w:type="dxa"/>
              <w:left w:w="0" w:type="dxa"/>
              <w:bottom w:w="150" w:type="dxa"/>
              <w:right w:w="240" w:type="dxa"/>
            </w:tcMar>
            <w:vAlign w:val="center"/>
            <w:hideMark/>
          </w:tcPr>
          <w:p w14:paraId="7E3BE9D2" w14:textId="77777777" w:rsidR="00EA2578" w:rsidRPr="00EA2578" w:rsidRDefault="00EA2578" w:rsidP="006473EC">
            <w:pPr>
              <w:spacing w:after="160" w:line="360" w:lineRule="auto"/>
              <w:jc w:val="both"/>
            </w:pPr>
            <w:r w:rsidRPr="00EA2578">
              <w:t>Low maintenance</w:t>
            </w:r>
          </w:p>
        </w:tc>
        <w:tc>
          <w:tcPr>
            <w:tcW w:w="0" w:type="auto"/>
            <w:tcMar>
              <w:top w:w="150" w:type="dxa"/>
              <w:left w:w="240" w:type="dxa"/>
              <w:bottom w:w="150" w:type="dxa"/>
              <w:right w:w="240" w:type="dxa"/>
            </w:tcMar>
            <w:vAlign w:val="center"/>
            <w:hideMark/>
          </w:tcPr>
          <w:p w14:paraId="5B8620B6" w14:textId="77777777" w:rsidR="00EA2578" w:rsidRPr="00EA2578" w:rsidRDefault="00EA2578" w:rsidP="006473EC">
            <w:pPr>
              <w:spacing w:after="160" w:line="360" w:lineRule="auto"/>
              <w:jc w:val="both"/>
            </w:pPr>
            <w:r w:rsidRPr="00EA2578">
              <w:t>42.7</w:t>
            </w:r>
          </w:p>
        </w:tc>
        <w:tc>
          <w:tcPr>
            <w:tcW w:w="0" w:type="auto"/>
            <w:tcMar>
              <w:top w:w="150" w:type="dxa"/>
              <w:left w:w="240" w:type="dxa"/>
              <w:bottom w:w="150" w:type="dxa"/>
              <w:right w:w="240" w:type="dxa"/>
            </w:tcMar>
            <w:vAlign w:val="center"/>
            <w:hideMark/>
          </w:tcPr>
          <w:p w14:paraId="43A1D709" w14:textId="77777777" w:rsidR="00EA2578" w:rsidRPr="00EA2578" w:rsidRDefault="00EA2578" w:rsidP="006473EC">
            <w:pPr>
              <w:spacing w:after="160" w:line="360" w:lineRule="auto"/>
              <w:jc w:val="both"/>
            </w:pPr>
            <w:r w:rsidRPr="00EA2578">
              <w:t>Durability concerns</w:t>
            </w:r>
          </w:p>
        </w:tc>
        <w:tc>
          <w:tcPr>
            <w:tcW w:w="0" w:type="auto"/>
            <w:tcMar>
              <w:top w:w="150" w:type="dxa"/>
              <w:left w:w="240" w:type="dxa"/>
              <w:bottom w:w="150" w:type="dxa"/>
              <w:right w:w="0" w:type="dxa"/>
            </w:tcMar>
            <w:vAlign w:val="center"/>
            <w:hideMark/>
          </w:tcPr>
          <w:p w14:paraId="32C343D8" w14:textId="77777777" w:rsidR="00EA2578" w:rsidRPr="00EA2578" w:rsidRDefault="00EA2578" w:rsidP="006473EC">
            <w:pPr>
              <w:spacing w:after="160" w:line="360" w:lineRule="auto"/>
              <w:jc w:val="both"/>
            </w:pPr>
            <w:r w:rsidRPr="00EA2578">
              <w:t>14.8</w:t>
            </w:r>
          </w:p>
        </w:tc>
      </w:tr>
    </w:tbl>
    <w:p w14:paraId="310CE1D7" w14:textId="77777777" w:rsidR="00EA2578" w:rsidRPr="00EA2578" w:rsidRDefault="00EA2578" w:rsidP="006473EC">
      <w:pPr>
        <w:spacing w:after="160" w:line="360" w:lineRule="auto"/>
        <w:jc w:val="both"/>
      </w:pPr>
      <w:r w:rsidRPr="00EA2578">
        <w:rPr>
          <w:b/>
          <w:bCs/>
        </w:rPr>
        <w:t>Table 4.8: Suggested Improvements</w:t>
      </w: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29"/>
        <w:gridCol w:w="3492"/>
      </w:tblGrid>
      <w:tr w:rsidR="00EA2578" w:rsidRPr="00EA2578" w14:paraId="3DD606BF" w14:textId="77777777" w:rsidTr="00EA2578">
        <w:trPr>
          <w:trHeight w:val="566"/>
          <w:tblHeader/>
        </w:trPr>
        <w:tc>
          <w:tcPr>
            <w:tcW w:w="0" w:type="auto"/>
            <w:tcMar>
              <w:top w:w="150" w:type="dxa"/>
              <w:left w:w="0" w:type="dxa"/>
              <w:bottom w:w="150" w:type="dxa"/>
              <w:right w:w="240" w:type="dxa"/>
            </w:tcMar>
            <w:vAlign w:val="center"/>
            <w:hideMark/>
          </w:tcPr>
          <w:p w14:paraId="5640B65E" w14:textId="77777777" w:rsidR="00EA2578" w:rsidRPr="00EA2578" w:rsidRDefault="00EA2578" w:rsidP="006473EC">
            <w:pPr>
              <w:spacing w:after="160" w:line="360" w:lineRule="auto"/>
              <w:jc w:val="both"/>
            </w:pPr>
            <w:r w:rsidRPr="00EA2578">
              <w:lastRenderedPageBreak/>
              <w:t>Improvement</w:t>
            </w:r>
          </w:p>
        </w:tc>
        <w:tc>
          <w:tcPr>
            <w:tcW w:w="0" w:type="auto"/>
            <w:tcMar>
              <w:top w:w="150" w:type="dxa"/>
              <w:left w:w="240" w:type="dxa"/>
              <w:bottom w:w="150" w:type="dxa"/>
              <w:right w:w="240" w:type="dxa"/>
            </w:tcMar>
            <w:vAlign w:val="center"/>
            <w:hideMark/>
          </w:tcPr>
          <w:p w14:paraId="0BA11602" w14:textId="77777777" w:rsidR="00EA2578" w:rsidRPr="00EA2578" w:rsidRDefault="00EA2578" w:rsidP="006473EC">
            <w:pPr>
              <w:spacing w:after="160" w:line="360" w:lineRule="auto"/>
              <w:jc w:val="both"/>
            </w:pPr>
            <w:r w:rsidRPr="00EA2578">
              <w:t>Percentage (%)</w:t>
            </w:r>
          </w:p>
        </w:tc>
      </w:tr>
      <w:tr w:rsidR="00EA2578" w:rsidRPr="00EA2578" w14:paraId="26CB89BC" w14:textId="77777777" w:rsidTr="00EA2578">
        <w:trPr>
          <w:trHeight w:val="566"/>
        </w:trPr>
        <w:tc>
          <w:tcPr>
            <w:tcW w:w="0" w:type="auto"/>
            <w:tcMar>
              <w:top w:w="150" w:type="dxa"/>
              <w:left w:w="0" w:type="dxa"/>
              <w:bottom w:w="150" w:type="dxa"/>
              <w:right w:w="240" w:type="dxa"/>
            </w:tcMar>
            <w:vAlign w:val="center"/>
            <w:hideMark/>
          </w:tcPr>
          <w:p w14:paraId="56CD93D1" w14:textId="77777777" w:rsidR="00EA2578" w:rsidRPr="00EA2578" w:rsidRDefault="00EA2578" w:rsidP="006473EC">
            <w:pPr>
              <w:spacing w:after="160" w:line="360" w:lineRule="auto"/>
              <w:jc w:val="both"/>
            </w:pPr>
            <w:r w:rsidRPr="00EA2578">
              <w:t>More awareness and education</w:t>
            </w:r>
          </w:p>
        </w:tc>
        <w:tc>
          <w:tcPr>
            <w:tcW w:w="0" w:type="auto"/>
            <w:tcMar>
              <w:top w:w="150" w:type="dxa"/>
              <w:left w:w="240" w:type="dxa"/>
              <w:bottom w:w="150" w:type="dxa"/>
              <w:right w:w="0" w:type="dxa"/>
            </w:tcMar>
            <w:vAlign w:val="center"/>
            <w:hideMark/>
          </w:tcPr>
          <w:p w14:paraId="27ACAF3D" w14:textId="77777777" w:rsidR="00EA2578" w:rsidRPr="00EA2578" w:rsidRDefault="00EA2578" w:rsidP="006473EC">
            <w:pPr>
              <w:spacing w:after="160" w:line="360" w:lineRule="auto"/>
              <w:jc w:val="both"/>
            </w:pPr>
            <w:r w:rsidRPr="00EA2578">
              <w:t>71.0</w:t>
            </w:r>
          </w:p>
        </w:tc>
      </w:tr>
      <w:tr w:rsidR="00EA2578" w:rsidRPr="00EA2578" w14:paraId="6484ACEE" w14:textId="77777777" w:rsidTr="00EA2578">
        <w:trPr>
          <w:trHeight w:val="554"/>
        </w:trPr>
        <w:tc>
          <w:tcPr>
            <w:tcW w:w="0" w:type="auto"/>
            <w:tcMar>
              <w:top w:w="150" w:type="dxa"/>
              <w:left w:w="0" w:type="dxa"/>
              <w:bottom w:w="150" w:type="dxa"/>
              <w:right w:w="240" w:type="dxa"/>
            </w:tcMar>
            <w:vAlign w:val="center"/>
            <w:hideMark/>
          </w:tcPr>
          <w:p w14:paraId="696FAB37" w14:textId="77777777" w:rsidR="00EA2578" w:rsidRPr="00EA2578" w:rsidRDefault="00EA2578" w:rsidP="006473EC">
            <w:pPr>
              <w:spacing w:after="160" w:line="360" w:lineRule="auto"/>
              <w:jc w:val="both"/>
            </w:pPr>
            <w:r w:rsidRPr="00EA2578">
              <w:t>Government support/incentives</w:t>
            </w:r>
          </w:p>
        </w:tc>
        <w:tc>
          <w:tcPr>
            <w:tcW w:w="0" w:type="auto"/>
            <w:tcMar>
              <w:top w:w="150" w:type="dxa"/>
              <w:left w:w="240" w:type="dxa"/>
              <w:bottom w:w="150" w:type="dxa"/>
              <w:right w:w="0" w:type="dxa"/>
            </w:tcMar>
            <w:vAlign w:val="center"/>
            <w:hideMark/>
          </w:tcPr>
          <w:p w14:paraId="7C08467A" w14:textId="77777777" w:rsidR="00EA2578" w:rsidRPr="00EA2578" w:rsidRDefault="00EA2578" w:rsidP="006473EC">
            <w:pPr>
              <w:spacing w:after="160" w:line="360" w:lineRule="auto"/>
              <w:jc w:val="both"/>
            </w:pPr>
            <w:r w:rsidRPr="00EA2578">
              <w:t>63.0</w:t>
            </w:r>
          </w:p>
        </w:tc>
      </w:tr>
      <w:tr w:rsidR="00EA2578" w:rsidRPr="00EA2578" w14:paraId="7BEDCC27" w14:textId="77777777" w:rsidTr="00EA2578">
        <w:trPr>
          <w:trHeight w:val="566"/>
        </w:trPr>
        <w:tc>
          <w:tcPr>
            <w:tcW w:w="0" w:type="auto"/>
            <w:tcMar>
              <w:top w:w="150" w:type="dxa"/>
              <w:left w:w="0" w:type="dxa"/>
              <w:bottom w:w="150" w:type="dxa"/>
              <w:right w:w="240" w:type="dxa"/>
            </w:tcMar>
            <w:vAlign w:val="center"/>
            <w:hideMark/>
          </w:tcPr>
          <w:p w14:paraId="50EB14FB" w14:textId="77777777" w:rsidR="00EA2578" w:rsidRPr="00EA2578" w:rsidRDefault="00EA2578" w:rsidP="006473EC">
            <w:pPr>
              <w:spacing w:after="160" w:line="360" w:lineRule="auto"/>
              <w:jc w:val="both"/>
            </w:pPr>
            <w:r w:rsidRPr="00EA2578">
              <w:t>Better moisture protection</w:t>
            </w:r>
          </w:p>
        </w:tc>
        <w:tc>
          <w:tcPr>
            <w:tcW w:w="0" w:type="auto"/>
            <w:tcMar>
              <w:top w:w="150" w:type="dxa"/>
              <w:left w:w="240" w:type="dxa"/>
              <w:bottom w:w="150" w:type="dxa"/>
              <w:right w:w="0" w:type="dxa"/>
            </w:tcMar>
            <w:vAlign w:val="center"/>
            <w:hideMark/>
          </w:tcPr>
          <w:p w14:paraId="6590B7F3" w14:textId="77777777" w:rsidR="00EA2578" w:rsidRPr="00EA2578" w:rsidRDefault="00EA2578" w:rsidP="006473EC">
            <w:pPr>
              <w:spacing w:after="160" w:line="360" w:lineRule="auto"/>
              <w:jc w:val="both"/>
            </w:pPr>
            <w:r w:rsidRPr="00EA2578">
              <w:t>48.8</w:t>
            </w:r>
          </w:p>
        </w:tc>
      </w:tr>
      <w:tr w:rsidR="00EA2578" w:rsidRPr="00EA2578" w14:paraId="2AB9EA8B" w14:textId="77777777" w:rsidTr="00EA2578">
        <w:trPr>
          <w:trHeight w:val="566"/>
        </w:trPr>
        <w:tc>
          <w:tcPr>
            <w:tcW w:w="0" w:type="auto"/>
            <w:tcMar>
              <w:top w:w="150" w:type="dxa"/>
              <w:left w:w="0" w:type="dxa"/>
              <w:bottom w:w="150" w:type="dxa"/>
              <w:right w:w="240" w:type="dxa"/>
            </w:tcMar>
            <w:vAlign w:val="center"/>
            <w:hideMark/>
          </w:tcPr>
          <w:p w14:paraId="6CBDDD11" w14:textId="77777777" w:rsidR="00EA2578" w:rsidRPr="00EA2578" w:rsidRDefault="00EA2578" w:rsidP="006473EC">
            <w:pPr>
              <w:spacing w:after="160" w:line="360" w:lineRule="auto"/>
              <w:jc w:val="both"/>
            </w:pPr>
            <w:r w:rsidRPr="00EA2578">
              <w:t>Better quality control</w:t>
            </w:r>
          </w:p>
        </w:tc>
        <w:tc>
          <w:tcPr>
            <w:tcW w:w="0" w:type="auto"/>
            <w:tcMar>
              <w:top w:w="150" w:type="dxa"/>
              <w:left w:w="240" w:type="dxa"/>
              <w:bottom w:w="150" w:type="dxa"/>
              <w:right w:w="0" w:type="dxa"/>
            </w:tcMar>
            <w:vAlign w:val="center"/>
            <w:hideMark/>
          </w:tcPr>
          <w:p w14:paraId="4AD6BA67" w14:textId="77777777" w:rsidR="00EA2578" w:rsidRPr="00EA2578" w:rsidRDefault="00EA2578" w:rsidP="006473EC">
            <w:pPr>
              <w:spacing w:after="160" w:line="360" w:lineRule="auto"/>
              <w:jc w:val="both"/>
            </w:pPr>
            <w:r w:rsidRPr="00EA2578">
              <w:t>45.2</w:t>
            </w:r>
          </w:p>
        </w:tc>
      </w:tr>
      <w:tr w:rsidR="00EA2578" w:rsidRPr="00EA2578" w14:paraId="4F4FFD41" w14:textId="77777777" w:rsidTr="00EA2578">
        <w:trPr>
          <w:trHeight w:val="566"/>
        </w:trPr>
        <w:tc>
          <w:tcPr>
            <w:tcW w:w="0" w:type="auto"/>
            <w:tcMar>
              <w:top w:w="150" w:type="dxa"/>
              <w:left w:w="0" w:type="dxa"/>
              <w:bottom w:w="150" w:type="dxa"/>
              <w:right w:w="240" w:type="dxa"/>
            </w:tcMar>
            <w:vAlign w:val="center"/>
            <w:hideMark/>
          </w:tcPr>
          <w:p w14:paraId="3967AA44" w14:textId="77777777" w:rsidR="00EA2578" w:rsidRPr="00EA2578" w:rsidRDefault="00EA2578" w:rsidP="006473EC">
            <w:pPr>
              <w:spacing w:after="160" w:line="360" w:lineRule="auto"/>
              <w:jc w:val="both"/>
            </w:pPr>
            <w:r w:rsidRPr="00EA2578">
              <w:t>More aesthetic options</w:t>
            </w:r>
          </w:p>
        </w:tc>
        <w:tc>
          <w:tcPr>
            <w:tcW w:w="0" w:type="auto"/>
            <w:tcMar>
              <w:top w:w="150" w:type="dxa"/>
              <w:left w:w="240" w:type="dxa"/>
              <w:bottom w:w="150" w:type="dxa"/>
              <w:right w:w="0" w:type="dxa"/>
            </w:tcMar>
            <w:vAlign w:val="center"/>
            <w:hideMark/>
          </w:tcPr>
          <w:p w14:paraId="58FBCF63" w14:textId="77777777" w:rsidR="00EA2578" w:rsidRPr="00EA2578" w:rsidRDefault="00EA2578" w:rsidP="006473EC">
            <w:pPr>
              <w:spacing w:after="160" w:line="360" w:lineRule="auto"/>
              <w:jc w:val="both"/>
            </w:pPr>
            <w:r w:rsidRPr="00EA2578">
              <w:t>36.7</w:t>
            </w:r>
          </w:p>
        </w:tc>
      </w:tr>
    </w:tbl>
    <w:p w14:paraId="4AB37CDB" w14:textId="77777777" w:rsidR="00EA2578" w:rsidRPr="00EA2578" w:rsidRDefault="00EA2578" w:rsidP="006473EC">
      <w:pPr>
        <w:spacing w:after="160" w:line="360" w:lineRule="auto"/>
        <w:jc w:val="both"/>
        <w:rPr>
          <w:b/>
          <w:bCs/>
        </w:rPr>
      </w:pPr>
      <w:r w:rsidRPr="00EA2578">
        <w:rPr>
          <w:b/>
          <w:bCs/>
        </w:rPr>
        <w:t>4.8 Key Informant Interview Findings</w:t>
      </w:r>
    </w:p>
    <w:p w14:paraId="62C9BA05" w14:textId="77777777" w:rsidR="00EA2578" w:rsidRPr="00EA2578" w:rsidRDefault="00EA2578" w:rsidP="006473EC">
      <w:pPr>
        <w:spacing w:after="160" w:line="360" w:lineRule="auto"/>
        <w:jc w:val="both"/>
      </w:pPr>
      <w:r w:rsidRPr="00EA2578">
        <w:t>Thematic analysis of 20 key informant interviews revealed five major themes:</w:t>
      </w:r>
    </w:p>
    <w:p w14:paraId="6FF23133" w14:textId="77777777" w:rsidR="00EA2578" w:rsidRPr="00EA2578" w:rsidRDefault="00EA2578" w:rsidP="006473EC">
      <w:pPr>
        <w:spacing w:after="160" w:line="360" w:lineRule="auto"/>
        <w:jc w:val="both"/>
        <w:rPr>
          <w:b/>
          <w:bCs/>
        </w:rPr>
      </w:pPr>
      <w:r w:rsidRPr="00EA2578">
        <w:rPr>
          <w:b/>
          <w:bCs/>
        </w:rPr>
        <w:t>4.8.1 Thermal Performance Advantages</w:t>
      </w:r>
    </w:p>
    <w:p w14:paraId="39565422" w14:textId="7900EA7B" w:rsidR="00EA2578" w:rsidRPr="00EA2578" w:rsidRDefault="00EA2578" w:rsidP="006473EC">
      <w:pPr>
        <w:spacing w:after="160" w:line="360" w:lineRule="auto"/>
        <w:jc w:val="both"/>
      </w:pPr>
      <w:r w:rsidRPr="00EA2578">
        <w:t xml:space="preserve">All 20 informants confirmed </w:t>
      </w:r>
      <w:r w:rsidR="0020074B">
        <w:t xml:space="preserve">the </w:t>
      </w:r>
      <w:r w:rsidRPr="00EA2578">
        <w:t xml:space="preserve">superior thermal performance of ISSBs. Architects reported indoor temperatures 3-4°C cooler than adjacent </w:t>
      </w:r>
      <w:proofErr w:type="spellStart"/>
      <w:r w:rsidRPr="00EA2578">
        <w:t>sandcrete</w:t>
      </w:r>
      <w:proofErr w:type="spellEnd"/>
      <w:r w:rsidRPr="00EA2578">
        <w:t xml:space="preserve"> buildings. Developers noted 40-50% energy savings for occupants due to reduced cooling requirements.</w:t>
      </w:r>
    </w:p>
    <w:p w14:paraId="3FE677B1" w14:textId="77777777" w:rsidR="00EA2578" w:rsidRPr="00EA2578" w:rsidRDefault="00EA2578" w:rsidP="006473EC">
      <w:pPr>
        <w:spacing w:after="160" w:line="360" w:lineRule="auto"/>
        <w:jc w:val="both"/>
      </w:pPr>
      <w:r w:rsidRPr="00EA2578">
        <w:rPr>
          <w:i/>
          <w:iCs/>
        </w:rPr>
        <w:t xml:space="preserve">"The thermal performance is remarkable. We consistently see indoor temperatures 3-4 degrees Celsius cooler than adjacent </w:t>
      </w:r>
      <w:proofErr w:type="spellStart"/>
      <w:r w:rsidRPr="00EA2578">
        <w:rPr>
          <w:i/>
          <w:iCs/>
        </w:rPr>
        <w:t>sandcrete</w:t>
      </w:r>
      <w:proofErr w:type="spellEnd"/>
      <w:r w:rsidRPr="00EA2578">
        <w:rPr>
          <w:i/>
          <w:iCs/>
        </w:rPr>
        <w:t xml:space="preserve"> buildings during peak heat periods."</w:t>
      </w:r>
      <w:r w:rsidRPr="00EA2578">
        <w:t> – Architect A</w:t>
      </w:r>
    </w:p>
    <w:p w14:paraId="078A84E4" w14:textId="77777777" w:rsidR="00EA2578" w:rsidRPr="00EA2578" w:rsidRDefault="00EA2578" w:rsidP="006473EC">
      <w:pPr>
        <w:spacing w:after="160" w:line="360" w:lineRule="auto"/>
        <w:jc w:val="both"/>
        <w:rPr>
          <w:b/>
          <w:bCs/>
        </w:rPr>
      </w:pPr>
      <w:r w:rsidRPr="00EA2578">
        <w:rPr>
          <w:b/>
          <w:bCs/>
        </w:rPr>
        <w:t>4.8.2 Durability and Flood Resilience</w:t>
      </w:r>
    </w:p>
    <w:p w14:paraId="6818CC28" w14:textId="77777777" w:rsidR="00EA2578" w:rsidRPr="00EA2578" w:rsidRDefault="00EA2578" w:rsidP="006473EC">
      <w:pPr>
        <w:spacing w:after="160" w:line="360" w:lineRule="auto"/>
        <w:jc w:val="both"/>
      </w:pPr>
      <w:r w:rsidRPr="00EA2578">
        <w:t>Seventeen informants expressed confidence in ISSB durability when properly constructed. Flood resilience was noted, with interlocking systems reducing water infiltration pathways. However, quality control concerns were emphasized.</w:t>
      </w:r>
    </w:p>
    <w:p w14:paraId="1A5D169D" w14:textId="77777777" w:rsidR="00EA2578" w:rsidRPr="00EA2578" w:rsidRDefault="00EA2578" w:rsidP="006473EC">
      <w:pPr>
        <w:spacing w:after="160" w:line="360" w:lineRule="auto"/>
        <w:jc w:val="both"/>
      </w:pPr>
      <w:r w:rsidRPr="00EA2578">
        <w:rPr>
          <w:i/>
          <w:iCs/>
        </w:rPr>
        <w:t>"When properly stabilized and constructed, ISSB buildings are remarkably durable. We have buildings that have stood for over 15 years with minimal maintenance."</w:t>
      </w:r>
      <w:r w:rsidRPr="00EA2578">
        <w:t> – Engineer D</w:t>
      </w:r>
    </w:p>
    <w:p w14:paraId="00395716" w14:textId="77777777" w:rsidR="00EA2578" w:rsidRPr="00EA2578" w:rsidRDefault="00EA2578" w:rsidP="006473EC">
      <w:pPr>
        <w:spacing w:after="160" w:line="360" w:lineRule="auto"/>
        <w:jc w:val="both"/>
        <w:rPr>
          <w:b/>
          <w:bCs/>
        </w:rPr>
      </w:pPr>
      <w:r w:rsidRPr="00EA2578">
        <w:rPr>
          <w:b/>
          <w:bCs/>
        </w:rPr>
        <w:t>4.8.3 Adoption Barriers</w:t>
      </w:r>
    </w:p>
    <w:p w14:paraId="32CE967F" w14:textId="0C0E5852" w:rsidR="00EA2578" w:rsidRPr="00EA2578" w:rsidRDefault="00EA2578" w:rsidP="006473EC">
      <w:pPr>
        <w:spacing w:after="160" w:line="360" w:lineRule="auto"/>
        <w:jc w:val="both"/>
      </w:pPr>
      <w:r w:rsidRPr="00EA2578">
        <w:lastRenderedPageBreak/>
        <w:t xml:space="preserve">All 20 informants identified </w:t>
      </w:r>
      <w:r w:rsidR="0020074B">
        <w:t xml:space="preserve">a </w:t>
      </w:r>
      <w:r w:rsidRPr="00EA2578">
        <w:t>lack of awareness and negative public perception as primary barriers. Knowledge gaps among contractors and inadequate building codes were also cited by 15 informants.</w:t>
      </w:r>
    </w:p>
    <w:p w14:paraId="3A70661F" w14:textId="77777777" w:rsidR="00EA2578" w:rsidRPr="00EA2578" w:rsidRDefault="00EA2578" w:rsidP="006473EC">
      <w:pPr>
        <w:spacing w:after="160" w:line="360" w:lineRule="auto"/>
        <w:jc w:val="both"/>
      </w:pPr>
      <w:r w:rsidRPr="00EA2578">
        <w:rPr>
          <w:i/>
          <w:iCs/>
        </w:rPr>
        <w:t>"The biggest barrier is perception. People associate earth-based materials with poverty and traditional buildings."</w:t>
      </w:r>
      <w:r w:rsidRPr="00EA2578">
        <w:t> – Architect G</w:t>
      </w:r>
    </w:p>
    <w:p w14:paraId="050A8F47" w14:textId="77777777" w:rsidR="00EA2578" w:rsidRPr="00EA2578" w:rsidRDefault="00EA2578" w:rsidP="006473EC">
      <w:pPr>
        <w:spacing w:after="160" w:line="360" w:lineRule="auto"/>
        <w:jc w:val="both"/>
        <w:rPr>
          <w:b/>
          <w:bCs/>
        </w:rPr>
      </w:pPr>
      <w:r w:rsidRPr="00EA2578">
        <w:rPr>
          <w:b/>
          <w:bCs/>
        </w:rPr>
        <w:t>4.8.4 Policy Recommendations</w:t>
      </w:r>
    </w:p>
    <w:p w14:paraId="01274C5F" w14:textId="77777777" w:rsidR="00EA2578" w:rsidRPr="00EA2578" w:rsidRDefault="00EA2578" w:rsidP="006473EC">
      <w:pPr>
        <w:spacing w:after="160" w:line="360" w:lineRule="auto"/>
        <w:jc w:val="both"/>
      </w:pPr>
      <w:r w:rsidRPr="00EA2578">
        <w:t>Recommended interventions included: public awareness campaigns (18 informants), building code reform (14 informants), and government incentives (12 informants).</w:t>
      </w:r>
    </w:p>
    <w:p w14:paraId="5BA9871E" w14:textId="77777777" w:rsidR="00EA2578" w:rsidRPr="00EA2578" w:rsidRDefault="00EA2578" w:rsidP="006473EC">
      <w:pPr>
        <w:spacing w:after="160" w:line="360" w:lineRule="auto"/>
        <w:jc w:val="both"/>
      </w:pPr>
      <w:r w:rsidRPr="00EA2578">
        <w:rPr>
          <w:i/>
          <w:iCs/>
        </w:rPr>
        <w:t>"We need a coordinated national campaign demonstrating the benefits of ISSBs. Showcase successful projects, train builders, and educate the public."</w:t>
      </w:r>
      <w:r w:rsidRPr="00EA2578">
        <w:t> – Developer J</w:t>
      </w:r>
    </w:p>
    <w:p w14:paraId="11B162FE" w14:textId="77777777" w:rsidR="00EA2578" w:rsidRPr="00EA2578" w:rsidRDefault="00EA2578" w:rsidP="006473EC">
      <w:pPr>
        <w:spacing w:after="160" w:line="360" w:lineRule="auto"/>
        <w:jc w:val="both"/>
        <w:rPr>
          <w:b/>
          <w:bCs/>
        </w:rPr>
      </w:pPr>
      <w:r w:rsidRPr="00EA2578">
        <w:rPr>
          <w:b/>
          <w:bCs/>
        </w:rPr>
        <w:t>4.8.5 Future Outlook</w:t>
      </w:r>
    </w:p>
    <w:p w14:paraId="5D2F6816" w14:textId="62F05DCE" w:rsidR="00EA2578" w:rsidRPr="00EA2578" w:rsidRDefault="00EA2578" w:rsidP="006473EC">
      <w:pPr>
        <w:spacing w:after="160" w:line="360" w:lineRule="auto"/>
        <w:jc w:val="both"/>
      </w:pPr>
      <w:r w:rsidRPr="00EA2578">
        <w:t xml:space="preserve">Sixteen informants expressed optimism about </w:t>
      </w:r>
      <w:r w:rsidR="00F53902">
        <w:t>ISSB's</w:t>
      </w:r>
      <w:r w:rsidRPr="00EA2578">
        <w:t xml:space="preserve"> future adoption, emphasizing the need for sustained effort in awareness and quality control.</w:t>
      </w:r>
    </w:p>
    <w:p w14:paraId="7EB90E92" w14:textId="77777777" w:rsidR="00EA2578" w:rsidRPr="00EA2578" w:rsidRDefault="00EA2578" w:rsidP="006473EC">
      <w:pPr>
        <w:spacing w:after="160" w:line="360" w:lineRule="auto"/>
        <w:jc w:val="both"/>
      </w:pPr>
      <w:r w:rsidRPr="00EA2578">
        <w:rPr>
          <w:i/>
          <w:iCs/>
        </w:rPr>
        <w:t>"I see ISSBs becoming mainstream within the next decade, but only if we address the awareness and quality control challenges."</w:t>
      </w:r>
      <w:r w:rsidRPr="00EA2578">
        <w:t> – Engineer N</w:t>
      </w:r>
    </w:p>
    <w:p w14:paraId="1C70FD8A" w14:textId="77777777" w:rsidR="00EA2578" w:rsidRPr="00EA2578" w:rsidRDefault="00EA2578" w:rsidP="006473EC">
      <w:pPr>
        <w:spacing w:after="160" w:line="360" w:lineRule="auto"/>
        <w:jc w:val="both"/>
        <w:rPr>
          <w:b/>
          <w:bCs/>
        </w:rPr>
      </w:pPr>
      <w:r w:rsidRPr="00EA2578">
        <w:rPr>
          <w:b/>
          <w:bCs/>
        </w:rPr>
        <w:t>4.9 Summary of Key Findings</w:t>
      </w:r>
    </w:p>
    <w:p w14:paraId="35BB4C68" w14:textId="77777777" w:rsidR="00EA2578" w:rsidRPr="00EA2578" w:rsidRDefault="00EA2578" w:rsidP="006473EC">
      <w:pPr>
        <w:spacing w:after="160" w:line="360" w:lineRule="auto"/>
        <w:jc w:val="both"/>
      </w:pPr>
      <w:r w:rsidRPr="00EA2578">
        <w:rPr>
          <w:b/>
          <w:bCs/>
        </w:rPr>
        <w:t>Thermal Performance:</w:t>
      </w:r>
      <w:r w:rsidRPr="00EA2578">
        <w:t xml:space="preserve"> 69.6% rated overall thermal comfort as Good or Excellent. ISSB homes were perceived as cooler by 74.5% of respondents compared to </w:t>
      </w:r>
      <w:proofErr w:type="spellStart"/>
      <w:r w:rsidRPr="00EA2578">
        <w:t>sandcrete</w:t>
      </w:r>
      <w:proofErr w:type="spellEnd"/>
      <w:r w:rsidRPr="00EA2578">
        <w:t xml:space="preserve"> buildings. Only 8.8% always required cooling devices.</w:t>
      </w:r>
    </w:p>
    <w:p w14:paraId="6D6F113D" w14:textId="77777777" w:rsidR="00EA2578" w:rsidRPr="00EA2578" w:rsidRDefault="00EA2578" w:rsidP="006473EC">
      <w:pPr>
        <w:spacing w:after="160" w:line="360" w:lineRule="auto"/>
        <w:jc w:val="both"/>
      </w:pPr>
      <w:r w:rsidRPr="00EA2578">
        <w:rPr>
          <w:b/>
          <w:bCs/>
        </w:rPr>
        <w:t>Durability and Flood Resilience:</w:t>
      </w:r>
      <w:r w:rsidRPr="00EA2578">
        <w:t> 70.4% rated building quality as Good or Excellent. 55.6% reported no deterioration, and 63.8% required no repairs. Among those who experienced flooding (52.6%), 72.9% reported no wall damage.</w:t>
      </w:r>
    </w:p>
    <w:p w14:paraId="58F53ABC" w14:textId="77777777" w:rsidR="00EA2578" w:rsidRPr="00EA2578" w:rsidRDefault="00EA2578" w:rsidP="006473EC">
      <w:pPr>
        <w:spacing w:after="160" w:line="360" w:lineRule="auto"/>
        <w:jc w:val="both"/>
      </w:pPr>
      <w:r w:rsidRPr="00EA2578">
        <w:rPr>
          <w:b/>
          <w:bCs/>
        </w:rPr>
        <w:t>Socio-Economic Impact:</w:t>
      </w:r>
      <w:r w:rsidRPr="00EA2578">
        <w:t> 66.3% reported positive health effects, 63.8% reported positive productivity effects. Overall satisfaction was 70.1%, with 74.8% willing to recommend ISSB construction.</w:t>
      </w:r>
    </w:p>
    <w:p w14:paraId="52DB1596" w14:textId="77777777" w:rsidR="00EA2578" w:rsidRPr="00EA2578" w:rsidRDefault="00EA2578" w:rsidP="006473EC">
      <w:pPr>
        <w:spacing w:after="160" w:line="360" w:lineRule="auto"/>
        <w:jc w:val="both"/>
      </w:pPr>
      <w:r w:rsidRPr="00EA2578">
        <w:rPr>
          <w:b/>
          <w:bCs/>
        </w:rPr>
        <w:lastRenderedPageBreak/>
        <w:t>Barriers:</w:t>
      </w:r>
      <w:r w:rsidRPr="00EA2578">
        <w:t> Lack of awareness (38.1%) and moisture issues (26.6%) were the most cited disadvantages. Key informants emphasized public perception and quality control as primary challenges.</w:t>
      </w:r>
    </w:p>
    <w:p w14:paraId="39D80CC9" w14:textId="77777777" w:rsidR="00EA2578" w:rsidRPr="00EA2578" w:rsidRDefault="00EA2578" w:rsidP="006473EC">
      <w:pPr>
        <w:spacing w:after="160" w:line="360" w:lineRule="auto"/>
        <w:jc w:val="both"/>
      </w:pPr>
      <w:r w:rsidRPr="00EA2578">
        <w:rPr>
          <w:b/>
          <w:bCs/>
        </w:rPr>
        <w:t>Recommendations:</w:t>
      </w:r>
      <w:r w:rsidRPr="00EA2578">
        <w:t> Awareness campaigns (71.0%) and government support (63.0%) were the most frequently suggested improvements, aligning with Ibitoye's (2022) recommendation for increased public sensitization.</w:t>
      </w:r>
    </w:p>
    <w:p w14:paraId="618C5060" w14:textId="77777777" w:rsidR="00157248" w:rsidRPr="00157248" w:rsidRDefault="00157248" w:rsidP="006473EC">
      <w:pPr>
        <w:spacing w:after="160" w:line="360" w:lineRule="auto"/>
        <w:jc w:val="both"/>
      </w:pPr>
    </w:p>
    <w:p w14:paraId="5DE9808F" w14:textId="07FA5EA9" w:rsidR="008F48FE" w:rsidRPr="008F48FE" w:rsidRDefault="007E798F" w:rsidP="006473EC">
      <w:pPr>
        <w:spacing w:after="160" w:line="360" w:lineRule="auto"/>
        <w:jc w:val="both"/>
        <w:rPr>
          <w:b/>
          <w:bCs/>
        </w:rPr>
      </w:pPr>
      <w:r>
        <w:rPr>
          <w:b/>
          <w:bCs/>
        </w:rPr>
        <w:t>5.0</w:t>
      </w:r>
      <w:r w:rsidR="008F48FE" w:rsidRPr="008F48FE">
        <w:rPr>
          <w:b/>
          <w:bCs/>
        </w:rPr>
        <w:t xml:space="preserve"> SUMMARY: CONCLUSION AND RECOMMENDATIONS</w:t>
      </w:r>
    </w:p>
    <w:p w14:paraId="26A4CE7F" w14:textId="77777777" w:rsidR="006843F7" w:rsidRPr="006843F7" w:rsidRDefault="006843F7" w:rsidP="006473EC">
      <w:pPr>
        <w:spacing w:after="160" w:line="360" w:lineRule="auto"/>
        <w:jc w:val="both"/>
        <w:rPr>
          <w:b/>
          <w:bCs/>
        </w:rPr>
      </w:pPr>
      <w:r w:rsidRPr="006843F7">
        <w:rPr>
          <w:b/>
          <w:bCs/>
        </w:rPr>
        <w:t>5.1 Introduction</w:t>
      </w:r>
    </w:p>
    <w:p w14:paraId="1B929609" w14:textId="77777777" w:rsidR="006843F7" w:rsidRPr="006843F7" w:rsidRDefault="006843F7" w:rsidP="006473EC">
      <w:pPr>
        <w:spacing w:after="160" w:line="360" w:lineRule="auto"/>
        <w:jc w:val="both"/>
      </w:pPr>
      <w:r w:rsidRPr="006843F7">
        <w:t>This chapter presents a summary of the study, draws conclusions based on the findings, and offers recommendations for policy, practice, and future research. The chapter addresses the six research objectives and corresponding research questions outlined in Chapter One.</w:t>
      </w:r>
    </w:p>
    <w:p w14:paraId="61929E13" w14:textId="77777777" w:rsidR="006843F7" w:rsidRPr="006843F7" w:rsidRDefault="006843F7" w:rsidP="006473EC">
      <w:pPr>
        <w:spacing w:after="160" w:line="360" w:lineRule="auto"/>
        <w:jc w:val="both"/>
        <w:rPr>
          <w:b/>
          <w:bCs/>
        </w:rPr>
      </w:pPr>
      <w:r w:rsidRPr="006843F7">
        <w:rPr>
          <w:b/>
          <w:bCs/>
        </w:rPr>
        <w:t>5.2 Summary of the Study</w:t>
      </w:r>
    </w:p>
    <w:p w14:paraId="50C731B1" w14:textId="77777777" w:rsidR="006843F7" w:rsidRPr="006843F7" w:rsidRDefault="006843F7" w:rsidP="006473EC">
      <w:pPr>
        <w:spacing w:after="160" w:line="360" w:lineRule="auto"/>
        <w:jc w:val="both"/>
      </w:pPr>
      <w:r w:rsidRPr="006843F7">
        <w:t>This study investigated the resilience of Interlocking Stabilized Soil Block (ISSB) buildings to climate change impacts in tropical regions, using Southwestern Nigeria as a case study. The research was motivated by the dual challenges of a chronic housing deficit and escalating climate change vulnerability in Nigeria, coupled with the limited adoption of ISSB technology despite its documented advantages.</w:t>
      </w:r>
    </w:p>
    <w:p w14:paraId="04CA37A2" w14:textId="6C05E489" w:rsidR="006843F7" w:rsidRPr="006843F7" w:rsidRDefault="006843F7" w:rsidP="006473EC">
      <w:pPr>
        <w:spacing w:after="160" w:line="360" w:lineRule="auto"/>
        <w:jc w:val="both"/>
      </w:pPr>
      <w:r w:rsidRPr="006843F7">
        <w:t>The study employed a mixed-methods research design, collecting data through structured questionnaires administered to 365 occupants of ISSB housing estates across three sites in Lagos, Ogun, and Oyo States, as well as semi-structured interviews with 20 key informants</w:t>
      </w:r>
      <w:r w:rsidR="0020074B">
        <w:t>,</w:t>
      </w:r>
      <w:r w:rsidRPr="006843F7">
        <w:t xml:space="preserve"> including architects, engineers, developers, and government officials. The research was anchored in the foundational work of Ibitoye (2022) on </w:t>
      </w:r>
      <w:r w:rsidR="0020074B">
        <w:t xml:space="preserve">the </w:t>
      </w:r>
      <w:r w:rsidRPr="006843F7">
        <w:t xml:space="preserve">cost advantages of ISSBs and </w:t>
      </w:r>
      <w:proofErr w:type="spellStart"/>
      <w:r w:rsidRPr="006843F7">
        <w:t>Asaju</w:t>
      </w:r>
      <w:proofErr w:type="spellEnd"/>
      <w:r w:rsidRPr="006843F7">
        <w:t xml:space="preserve"> (2022) on Indoor Environmental Quality.</w:t>
      </w:r>
    </w:p>
    <w:p w14:paraId="5CC4FDA5" w14:textId="77777777" w:rsidR="006843F7" w:rsidRPr="006843F7" w:rsidRDefault="006843F7" w:rsidP="006473EC">
      <w:pPr>
        <w:spacing w:after="160" w:line="360" w:lineRule="auto"/>
        <w:jc w:val="both"/>
      </w:pPr>
      <w:r w:rsidRPr="006843F7">
        <w:t xml:space="preserve">Key findings revealed that ISSB buildings demonstrate significant resilience to climate change impacts across multiple dimensions. Thermally, 69.6% of respondents rated overall thermal comfort as Good or Excellent, with 74.5% reporting their ISSB home was cooler than </w:t>
      </w:r>
      <w:proofErr w:type="spellStart"/>
      <w:r w:rsidRPr="006843F7">
        <w:t>sandcrete</w:t>
      </w:r>
      <w:proofErr w:type="spellEnd"/>
      <w:r w:rsidRPr="006843F7">
        <w:t xml:space="preserve"> buildings. Structurally, 70.4% rated building quality as Good or Excellent, and among those who </w:t>
      </w:r>
      <w:r w:rsidRPr="006843F7">
        <w:lastRenderedPageBreak/>
        <w:t>experienced flooding, 72.9% reported no wall damage. Socio-economically, 66.3% reported positive health effects, and 74.8% were willing to recommend ISSB construction to others.</w:t>
      </w:r>
    </w:p>
    <w:p w14:paraId="0C437AD6" w14:textId="33D7C4AB" w:rsidR="006843F7" w:rsidRPr="006843F7" w:rsidRDefault="006843F7" w:rsidP="006473EC">
      <w:pPr>
        <w:spacing w:after="160" w:line="360" w:lineRule="auto"/>
        <w:jc w:val="both"/>
      </w:pPr>
      <w:r w:rsidRPr="006843F7">
        <w:t xml:space="preserve">However, the study also identified persistent barriers to adoption, primarily </w:t>
      </w:r>
      <w:r w:rsidR="00F53902">
        <w:t xml:space="preserve">a </w:t>
      </w:r>
      <w:r w:rsidRPr="006843F7">
        <w:t>lack of public awareness (38.1%) and moisture issues (26.6%). Key informants emphasized that negative perceptions associating earth materials with poverty, knowledge gaps among contractors, and inadequate building codes hinder widespread adoption.</w:t>
      </w:r>
    </w:p>
    <w:p w14:paraId="13CC19B2" w14:textId="77777777" w:rsidR="006843F7" w:rsidRPr="006843F7" w:rsidRDefault="006843F7" w:rsidP="006473EC">
      <w:pPr>
        <w:spacing w:after="160" w:line="360" w:lineRule="auto"/>
        <w:jc w:val="both"/>
        <w:rPr>
          <w:b/>
          <w:bCs/>
        </w:rPr>
      </w:pPr>
      <w:r w:rsidRPr="006843F7">
        <w:rPr>
          <w:b/>
          <w:bCs/>
        </w:rPr>
        <w:t>5.3 Conclusion</w:t>
      </w:r>
    </w:p>
    <w:p w14:paraId="18026CC0" w14:textId="77777777" w:rsidR="006843F7" w:rsidRPr="006843F7" w:rsidRDefault="006843F7" w:rsidP="006473EC">
      <w:pPr>
        <w:spacing w:after="160" w:line="360" w:lineRule="auto"/>
        <w:jc w:val="both"/>
      </w:pPr>
      <w:r w:rsidRPr="006843F7">
        <w:t>Based on the findings of this study, the following conclusions are drawn:</w:t>
      </w:r>
    </w:p>
    <w:p w14:paraId="3012C63C" w14:textId="77777777" w:rsidR="006843F7" w:rsidRPr="006843F7" w:rsidRDefault="006843F7" w:rsidP="006473EC">
      <w:pPr>
        <w:spacing w:after="160" w:line="360" w:lineRule="auto"/>
        <w:jc w:val="both"/>
      </w:pPr>
      <w:r w:rsidRPr="006843F7">
        <w:rPr>
          <w:b/>
          <w:bCs/>
        </w:rPr>
        <w:t>1. ISSB buildings demonstrate strong thermal resilience in tropical climates.</w:t>
      </w:r>
      <w:r w:rsidRPr="006843F7">
        <w:t xml:space="preserve"> The superior thermal performance of ISSBs, characterized by lower indoor temperatures and reduced reliance on mechanical cooling, makes them well-suited to address the challenges of rising temperatures and urban heat islands in tropical regions. This finding aligns with </w:t>
      </w:r>
      <w:proofErr w:type="spellStart"/>
      <w:r w:rsidRPr="006843F7">
        <w:t>Musene</w:t>
      </w:r>
      <w:proofErr w:type="spellEnd"/>
      <w:r w:rsidRPr="006843F7">
        <w:t xml:space="preserve"> (2025) and Laibi et al. (2025).</w:t>
      </w:r>
    </w:p>
    <w:p w14:paraId="5B4BC662" w14:textId="77777777" w:rsidR="006843F7" w:rsidRPr="006843F7" w:rsidRDefault="006843F7" w:rsidP="006473EC">
      <w:pPr>
        <w:spacing w:after="160" w:line="360" w:lineRule="auto"/>
        <w:jc w:val="both"/>
      </w:pPr>
      <w:r w:rsidRPr="006843F7">
        <w:rPr>
          <w:b/>
          <w:bCs/>
        </w:rPr>
        <w:t>2. ISSB buildings exhibit adequate structural durability and flood resilience.</w:t>
      </w:r>
      <w:r w:rsidRPr="006843F7">
        <w:t> The majority of buildings maintained structural integrity, with minimal deterioration and repairs required. The interlocking system and proper stabilization provide resistance to water penetration, though quality control remains essential.</w:t>
      </w:r>
    </w:p>
    <w:p w14:paraId="05068E99" w14:textId="77777777" w:rsidR="006843F7" w:rsidRPr="006843F7" w:rsidRDefault="006843F7" w:rsidP="006473EC">
      <w:pPr>
        <w:spacing w:after="160" w:line="360" w:lineRule="auto"/>
        <w:jc w:val="both"/>
      </w:pPr>
      <w:r w:rsidRPr="006843F7">
        <w:rPr>
          <w:b/>
          <w:bCs/>
        </w:rPr>
        <w:t>3. ISSB buildings deliver positive socio-economic outcomes.</w:t>
      </w:r>
      <w:r w:rsidRPr="006843F7">
        <w:t> Occupants reported improved health, productivity, and overall satisfaction, indicating that ISSBs contribute to occupant well-being beyond their material properties.</w:t>
      </w:r>
    </w:p>
    <w:p w14:paraId="679933C2" w14:textId="77777777" w:rsidR="006843F7" w:rsidRPr="006843F7" w:rsidRDefault="006843F7" w:rsidP="006473EC">
      <w:pPr>
        <w:spacing w:after="160" w:line="360" w:lineRule="auto"/>
        <w:jc w:val="both"/>
      </w:pPr>
      <w:r w:rsidRPr="006843F7">
        <w:rPr>
          <w:b/>
          <w:bCs/>
        </w:rPr>
        <w:t>4. Adoption of ISSB technology in Nigeria remains constrained by perceptual and institutional barriers.</w:t>
      </w:r>
      <w:r w:rsidRPr="006843F7">
        <w:t> Despite proven benefits, lack of awareness, negative public perception, inadequate building codes, and limited technical capacity impede widespread adoption.</w:t>
      </w:r>
    </w:p>
    <w:p w14:paraId="7B6391CF" w14:textId="77777777" w:rsidR="006843F7" w:rsidRPr="006843F7" w:rsidRDefault="006843F7" w:rsidP="006473EC">
      <w:pPr>
        <w:spacing w:after="160" w:line="360" w:lineRule="auto"/>
        <w:jc w:val="both"/>
      </w:pPr>
      <w:r w:rsidRPr="006843F7">
        <w:rPr>
          <w:b/>
          <w:bCs/>
        </w:rPr>
        <w:t>5. ISSB technology represents a viable pathway for climate-resilient, affordable housing.</w:t>
      </w:r>
      <w:r w:rsidRPr="006843F7">
        <w:t> The convergence of thermal performance, structural durability, environmental sustainability, and socio-economic benefits positions ISSBs as a strategic solution for addressing Nigeria's housing and climate challenges simultaneously.</w:t>
      </w:r>
    </w:p>
    <w:p w14:paraId="35DDA777" w14:textId="77777777" w:rsidR="006843F7" w:rsidRPr="006843F7" w:rsidRDefault="006843F7" w:rsidP="006473EC">
      <w:pPr>
        <w:spacing w:after="160" w:line="360" w:lineRule="auto"/>
        <w:jc w:val="both"/>
        <w:rPr>
          <w:b/>
          <w:bCs/>
        </w:rPr>
      </w:pPr>
      <w:r w:rsidRPr="006843F7">
        <w:rPr>
          <w:b/>
          <w:bCs/>
        </w:rPr>
        <w:t>5.4 Recommendations</w:t>
      </w:r>
    </w:p>
    <w:p w14:paraId="136E3E0D" w14:textId="77777777" w:rsidR="006843F7" w:rsidRPr="006843F7" w:rsidRDefault="006843F7" w:rsidP="006473EC">
      <w:pPr>
        <w:spacing w:after="160" w:line="360" w:lineRule="auto"/>
        <w:jc w:val="both"/>
        <w:rPr>
          <w:b/>
          <w:bCs/>
        </w:rPr>
      </w:pPr>
      <w:r w:rsidRPr="006843F7">
        <w:rPr>
          <w:b/>
          <w:bCs/>
        </w:rPr>
        <w:lastRenderedPageBreak/>
        <w:t>5.4.1 Policy Recommendations</w:t>
      </w:r>
    </w:p>
    <w:p w14:paraId="074F2695" w14:textId="77777777" w:rsidR="006843F7" w:rsidRPr="006843F7" w:rsidRDefault="006843F7" w:rsidP="006473EC">
      <w:pPr>
        <w:spacing w:after="160" w:line="360" w:lineRule="auto"/>
        <w:jc w:val="both"/>
      </w:pPr>
      <w:r w:rsidRPr="006843F7">
        <w:rPr>
          <w:b/>
          <w:bCs/>
        </w:rPr>
        <w:t>1. Develop a National ISSB Promotion Strategy.</w:t>
      </w:r>
      <w:r w:rsidRPr="006843F7">
        <w:t> The Federal Ministry of Works and Housing should develop a comprehensive strategy for promoting ISSB technology, including targets for ISSB adoption in public housing projects and integration into the National Housing Policy.</w:t>
      </w:r>
    </w:p>
    <w:p w14:paraId="0287DBE7" w14:textId="77777777" w:rsidR="006843F7" w:rsidRPr="006843F7" w:rsidRDefault="006843F7" w:rsidP="006473EC">
      <w:pPr>
        <w:spacing w:after="160" w:line="360" w:lineRule="auto"/>
        <w:jc w:val="both"/>
      </w:pPr>
      <w:r w:rsidRPr="006843F7">
        <w:rPr>
          <w:b/>
          <w:bCs/>
        </w:rPr>
        <w:t>2. Update Building Codes and Standards.</w:t>
      </w:r>
      <w:r w:rsidRPr="006843F7">
        <w:t> Building codes should be updated to explicitly recognize ISSB technology and establish clear quality standards for soil selection, stabilization, compaction, and construction techniques. This would provide regulatory certainty and confidence for developers and officials.</w:t>
      </w:r>
    </w:p>
    <w:p w14:paraId="310BE21E" w14:textId="77777777" w:rsidR="006843F7" w:rsidRPr="006843F7" w:rsidRDefault="006843F7" w:rsidP="006473EC">
      <w:pPr>
        <w:spacing w:after="160" w:line="360" w:lineRule="auto"/>
        <w:jc w:val="both"/>
      </w:pPr>
      <w:r w:rsidRPr="006843F7">
        <w:rPr>
          <w:b/>
          <w:bCs/>
        </w:rPr>
        <w:t>3. Provide Incentives for ISSB Construction.</w:t>
      </w:r>
      <w:r w:rsidRPr="006843F7">
        <w:t> Government should consider tax incentives, subsidies, or reduced approval fees for ISSB construction projects to make the technology economically advantageous and encourage private sector investment.</w:t>
      </w:r>
    </w:p>
    <w:p w14:paraId="2FEE7164" w14:textId="77777777" w:rsidR="006843F7" w:rsidRPr="006843F7" w:rsidRDefault="006843F7" w:rsidP="006473EC">
      <w:pPr>
        <w:spacing w:after="160" w:line="360" w:lineRule="auto"/>
        <w:jc w:val="both"/>
        <w:rPr>
          <w:b/>
          <w:bCs/>
        </w:rPr>
      </w:pPr>
      <w:r w:rsidRPr="006843F7">
        <w:rPr>
          <w:b/>
          <w:bCs/>
        </w:rPr>
        <w:t>5.4.2 Practice Recommendations</w:t>
      </w:r>
    </w:p>
    <w:p w14:paraId="6980E7A9" w14:textId="77777777" w:rsidR="006843F7" w:rsidRPr="006843F7" w:rsidRDefault="006843F7" w:rsidP="006473EC">
      <w:pPr>
        <w:spacing w:after="160" w:line="360" w:lineRule="auto"/>
        <w:jc w:val="both"/>
      </w:pPr>
      <w:r w:rsidRPr="006843F7">
        <w:rPr>
          <w:b/>
          <w:bCs/>
        </w:rPr>
        <w:t>4. Implement Public Awareness Campaigns.</w:t>
      </w:r>
      <w:r w:rsidRPr="006843F7">
        <w:t> Government agencies, professional bodies, and ISSB promoters should collaborate on coordinated public sensitization campaigns demonstrating the benefits of ISSB technology through case studies, demonstration projects, and media engagement.</w:t>
      </w:r>
    </w:p>
    <w:p w14:paraId="11443289" w14:textId="77777777" w:rsidR="006843F7" w:rsidRPr="006843F7" w:rsidRDefault="006843F7" w:rsidP="006473EC">
      <w:pPr>
        <w:spacing w:after="160" w:line="360" w:lineRule="auto"/>
        <w:jc w:val="both"/>
      </w:pPr>
      <w:r w:rsidRPr="006843F7">
        <w:rPr>
          <w:b/>
          <w:bCs/>
        </w:rPr>
        <w:t>5. Strengthen Technical Training and Capacity Building.</w:t>
      </w:r>
      <w:r w:rsidRPr="006843F7">
        <w:t xml:space="preserve"> Training programs for architects, engineers, builders, and block producers should be established to ensure proper ISSB production and construction techniques. Community-based training centers, as advocated by </w:t>
      </w:r>
      <w:proofErr w:type="spellStart"/>
      <w:r w:rsidRPr="006843F7">
        <w:t>Bredenoord</w:t>
      </w:r>
      <w:proofErr w:type="spellEnd"/>
      <w:r w:rsidRPr="006843F7">
        <w:t xml:space="preserve"> et al. (2020), should be promoted.</w:t>
      </w:r>
    </w:p>
    <w:p w14:paraId="00537A14" w14:textId="77777777" w:rsidR="006843F7" w:rsidRPr="006843F7" w:rsidRDefault="006843F7" w:rsidP="006473EC">
      <w:pPr>
        <w:spacing w:after="160" w:line="360" w:lineRule="auto"/>
        <w:jc w:val="both"/>
      </w:pPr>
      <w:r w:rsidRPr="006843F7">
        <w:rPr>
          <w:b/>
          <w:bCs/>
        </w:rPr>
        <w:t>6. Improve Moisture Protection Measures.</w:t>
      </w:r>
      <w:r w:rsidRPr="006843F7">
        <w:t> Design guidelines should emphasize moisture protection strategies including adequate foundation design, roof overhangs, proper drainage, and surface treatments to address occupant concerns about moisture issues.</w:t>
      </w:r>
    </w:p>
    <w:p w14:paraId="1D7F0F9C" w14:textId="77777777" w:rsidR="006843F7" w:rsidRPr="006843F7" w:rsidRDefault="006843F7" w:rsidP="006473EC">
      <w:pPr>
        <w:spacing w:after="160" w:line="360" w:lineRule="auto"/>
        <w:jc w:val="both"/>
        <w:rPr>
          <w:b/>
          <w:bCs/>
        </w:rPr>
      </w:pPr>
      <w:r w:rsidRPr="006843F7">
        <w:rPr>
          <w:b/>
          <w:bCs/>
        </w:rPr>
        <w:t>5.4.3 Research Recommendations</w:t>
      </w:r>
    </w:p>
    <w:p w14:paraId="2E868BF2" w14:textId="77777777" w:rsidR="006843F7" w:rsidRPr="006843F7" w:rsidRDefault="006843F7" w:rsidP="006473EC">
      <w:pPr>
        <w:spacing w:after="160" w:line="360" w:lineRule="auto"/>
        <w:jc w:val="both"/>
      </w:pPr>
      <w:r w:rsidRPr="006843F7">
        <w:rPr>
          <w:b/>
          <w:bCs/>
        </w:rPr>
        <w:t>7. Conduct Longitudinal Performance Studies.</w:t>
      </w:r>
      <w:r w:rsidRPr="006843F7">
        <w:t> Long-term studies tracking ISSB building performance over 10-20 years are needed to assess durability under evolving climate conditions and inform life-cycle cost analysis.</w:t>
      </w:r>
    </w:p>
    <w:p w14:paraId="7AB39495" w14:textId="77777777" w:rsidR="006843F7" w:rsidRPr="006843F7" w:rsidRDefault="006843F7" w:rsidP="006473EC">
      <w:pPr>
        <w:spacing w:after="160" w:line="360" w:lineRule="auto"/>
        <w:jc w:val="both"/>
      </w:pPr>
      <w:r w:rsidRPr="006843F7">
        <w:rPr>
          <w:b/>
          <w:bCs/>
        </w:rPr>
        <w:lastRenderedPageBreak/>
        <w:t>8. Investigate Optimized Stabilization Formulations.</w:t>
      </w:r>
      <w:r w:rsidRPr="006843F7">
        <w:t> Research on alternative stabilizers (lime, geopolymers) and optimal cement content for different soil types in Nigeria could improve performance while reducing environmental impact, as suggested by Neya et al. (2024).</w:t>
      </w:r>
    </w:p>
    <w:p w14:paraId="565817E1" w14:textId="77777777" w:rsidR="006843F7" w:rsidRPr="006843F7" w:rsidRDefault="006843F7" w:rsidP="006473EC">
      <w:pPr>
        <w:spacing w:after="160" w:line="360" w:lineRule="auto"/>
        <w:jc w:val="both"/>
      </w:pPr>
      <w:r w:rsidRPr="006843F7">
        <w:rPr>
          <w:b/>
          <w:bCs/>
        </w:rPr>
        <w:t>9. Expand Geographical Coverage.</w:t>
      </w:r>
      <w:r w:rsidRPr="006843F7">
        <w:t> Similar studies should be conducted in other regions of Nigeria and other tropical countries to assess the generalizability of findings and identify region-specific factors influencing ISSB performance and adoption.</w:t>
      </w:r>
    </w:p>
    <w:p w14:paraId="0C990768" w14:textId="77777777" w:rsidR="006843F7" w:rsidRPr="006843F7" w:rsidRDefault="006843F7" w:rsidP="006473EC">
      <w:pPr>
        <w:spacing w:after="160" w:line="360" w:lineRule="auto"/>
        <w:jc w:val="both"/>
      </w:pPr>
      <w:r w:rsidRPr="006843F7">
        <w:rPr>
          <w:b/>
          <w:bCs/>
        </w:rPr>
        <w:t>10. Assess Life-Cycle Environmental Impacts.</w:t>
      </w:r>
      <w:r w:rsidRPr="006843F7">
        <w:t> Comprehensive life-cycle assessment studies quantifying the embodied carbon, operational energy, and end-of-life impacts of ISSB buildings compared to conventional construction would strengthen the environmental case for adoption.</w:t>
      </w:r>
    </w:p>
    <w:p w14:paraId="65BDCD23" w14:textId="77777777" w:rsidR="006843F7" w:rsidRPr="006843F7" w:rsidRDefault="006843F7" w:rsidP="006473EC">
      <w:pPr>
        <w:spacing w:after="160" w:line="360" w:lineRule="auto"/>
        <w:jc w:val="both"/>
        <w:rPr>
          <w:b/>
          <w:bCs/>
        </w:rPr>
      </w:pPr>
      <w:r w:rsidRPr="006843F7">
        <w:rPr>
          <w:b/>
          <w:bCs/>
        </w:rPr>
        <w:t>5.5 Contribution to Knowledge</w:t>
      </w:r>
    </w:p>
    <w:p w14:paraId="3D73A5EF" w14:textId="77777777" w:rsidR="006843F7" w:rsidRPr="006843F7" w:rsidRDefault="006843F7" w:rsidP="006473EC">
      <w:pPr>
        <w:spacing w:after="160" w:line="360" w:lineRule="auto"/>
        <w:jc w:val="both"/>
      </w:pPr>
      <w:r w:rsidRPr="006843F7">
        <w:t>This study makes several contributions to knowledge:</w:t>
      </w:r>
    </w:p>
    <w:p w14:paraId="18B1A315" w14:textId="3FE9049E" w:rsidR="006843F7" w:rsidRPr="006843F7" w:rsidRDefault="006843F7" w:rsidP="006473EC">
      <w:pPr>
        <w:spacing w:after="160" w:line="360" w:lineRule="auto"/>
        <w:jc w:val="both"/>
      </w:pPr>
      <w:r w:rsidRPr="006843F7">
        <w:rPr>
          <w:b/>
          <w:bCs/>
        </w:rPr>
        <w:t>Theoretical Contribution:</w:t>
      </w:r>
      <w:r w:rsidRPr="006843F7">
        <w:t> The study advances understanding of building resilience by conceptualizing it across multiple dimensions</w:t>
      </w:r>
      <w:r w:rsidR="00A4630D">
        <w:t xml:space="preserve"> </w:t>
      </w:r>
      <w:r w:rsidRPr="006843F7">
        <w:t>thermal, structural, environmental, and socio-economic</w:t>
      </w:r>
      <w:r w:rsidR="00A4630D">
        <w:t xml:space="preserve"> </w:t>
      </w:r>
      <w:r w:rsidRPr="006843F7">
        <w:t>and demonstrating how ISSB buildings perform across these dimensions. This multi-dimensional framework can be applied to assess other building materials and technologies.</w:t>
      </w:r>
    </w:p>
    <w:p w14:paraId="71CA2DA0" w14:textId="77777777" w:rsidR="006843F7" w:rsidRPr="006843F7" w:rsidRDefault="006843F7" w:rsidP="006473EC">
      <w:pPr>
        <w:spacing w:after="160" w:line="360" w:lineRule="auto"/>
        <w:jc w:val="both"/>
      </w:pPr>
      <w:r w:rsidRPr="006843F7">
        <w:rPr>
          <w:b/>
          <w:bCs/>
        </w:rPr>
        <w:t>Empirical Contribution:</w:t>
      </w:r>
      <w:r w:rsidRPr="006843F7">
        <w:t> The study provides empirical evidence from 365 occupants and 20 key informants on ISSB performance in Southwestern Nigeria, contributing to the limited body of field-based research on ISSB buildings in tropical Africa.</w:t>
      </w:r>
    </w:p>
    <w:p w14:paraId="74453A86" w14:textId="77777777" w:rsidR="006843F7" w:rsidRPr="006843F7" w:rsidRDefault="006843F7" w:rsidP="006473EC">
      <w:pPr>
        <w:spacing w:after="160" w:line="360" w:lineRule="auto"/>
        <w:jc w:val="both"/>
      </w:pPr>
      <w:r w:rsidRPr="006843F7">
        <w:rPr>
          <w:b/>
          <w:bCs/>
        </w:rPr>
        <w:t>Policy Contribution:</w:t>
      </w:r>
      <w:r w:rsidRPr="006843F7">
        <w:t> The study's evidence-based recommendations provide a foundation for policy development to promote sustainable, climate-resilient housing in Nigeria and other tropical developing countries.</w:t>
      </w:r>
    </w:p>
    <w:p w14:paraId="1EE319FF" w14:textId="77777777" w:rsidR="006843F7" w:rsidRPr="006843F7" w:rsidRDefault="006843F7" w:rsidP="006473EC">
      <w:pPr>
        <w:spacing w:after="160" w:line="360" w:lineRule="auto"/>
        <w:jc w:val="both"/>
        <w:rPr>
          <w:b/>
          <w:bCs/>
        </w:rPr>
      </w:pPr>
      <w:r w:rsidRPr="006843F7">
        <w:rPr>
          <w:b/>
          <w:bCs/>
        </w:rPr>
        <w:t>5.6 Limitations and Future Research</w:t>
      </w:r>
    </w:p>
    <w:p w14:paraId="09691419" w14:textId="77777777" w:rsidR="006843F7" w:rsidRPr="006843F7" w:rsidRDefault="006843F7" w:rsidP="006473EC">
      <w:pPr>
        <w:spacing w:after="160" w:line="360" w:lineRule="auto"/>
        <w:jc w:val="both"/>
      </w:pPr>
      <w:r w:rsidRPr="006843F7">
        <w:t xml:space="preserve">The study acknowledges several limitations. The cross-sectional design captures perceptions at a single point in time, and findings may not be fully generalizable to other tropical regions. Reliance on self-reported data, though triangulated with key informant interviews, may introduce response bias. Future research should incorporate physical measurements of thermal performance and material testing to complement occupant perceptions. Longitudinal studies tracking building </w:t>
      </w:r>
      <w:r w:rsidRPr="006843F7">
        <w:lastRenderedPageBreak/>
        <w:t>performance over extended periods would provide valuable insights into long-term durability and climate resilience.</w:t>
      </w:r>
    </w:p>
    <w:p w14:paraId="1F34A900" w14:textId="77777777" w:rsidR="006843F7" w:rsidRPr="006843F7" w:rsidRDefault="006843F7" w:rsidP="006473EC">
      <w:pPr>
        <w:spacing w:after="160" w:line="360" w:lineRule="auto"/>
        <w:jc w:val="both"/>
        <w:rPr>
          <w:b/>
          <w:bCs/>
        </w:rPr>
      </w:pPr>
      <w:r w:rsidRPr="006843F7">
        <w:rPr>
          <w:b/>
          <w:bCs/>
        </w:rPr>
        <w:t>5.7 Final Remarks</w:t>
      </w:r>
    </w:p>
    <w:p w14:paraId="097146E8" w14:textId="06AD6CCF" w:rsidR="00157248" w:rsidRDefault="006843F7" w:rsidP="006473EC">
      <w:pPr>
        <w:spacing w:after="160" w:line="360" w:lineRule="auto"/>
        <w:jc w:val="both"/>
      </w:pPr>
      <w:r w:rsidRPr="006843F7">
        <w:t>This study has demonstrated that Interlocking Stabilized Soil Block buildings offer significant resilience to climate change impacts in tropical regions, providing thermal comfort, structural durability, and socio-economic benefits that address pressing housing and climate challenges in Nigeria. However, the full potential of this technology remains unrealized due to perceptual and institutional barriers. Addressing these barriers through coordinated policy interventions, public awareness, and technical capacity building is essential to scale up ISSB adoption and unlock its contribution to sustainable, climate-resilient housing. As climate change intensifies and housing demand grows, ISSB technology offers a timely and practical solution that deserves the attention of policymakers, practitioners, and researchers alike.</w:t>
      </w:r>
    </w:p>
    <w:p w14:paraId="26F80C3F" w14:textId="77777777" w:rsidR="00F6337F" w:rsidRDefault="00F6337F" w:rsidP="006473EC">
      <w:pPr>
        <w:spacing w:before="120" w:after="120" w:line="360" w:lineRule="auto"/>
        <w:jc w:val="both"/>
      </w:pPr>
    </w:p>
    <w:p w14:paraId="14FA81DD" w14:textId="77777777" w:rsidR="00F6337F" w:rsidRDefault="00000000" w:rsidP="006473EC">
      <w:pPr>
        <w:spacing w:after="160" w:line="360" w:lineRule="auto"/>
        <w:jc w:val="both"/>
      </w:pPr>
      <w:r>
        <w:rPr>
          <w:b/>
          <w:bCs/>
        </w:rPr>
        <w:t>REFERENCES</w:t>
      </w:r>
    </w:p>
    <w:p w14:paraId="4DC032F4" w14:textId="77777777" w:rsidR="006473EC" w:rsidRPr="006473EC" w:rsidRDefault="006473EC" w:rsidP="006473EC">
      <w:pPr>
        <w:spacing w:before="120" w:after="120" w:line="360" w:lineRule="auto"/>
        <w:jc w:val="both"/>
      </w:pPr>
      <w:r w:rsidRPr="006473EC">
        <w:t xml:space="preserve">Abad, E. I. B., </w:t>
      </w:r>
      <w:proofErr w:type="spellStart"/>
      <w:r w:rsidRPr="006473EC">
        <w:t>Guaricela</w:t>
      </w:r>
      <w:proofErr w:type="spellEnd"/>
      <w:r w:rsidRPr="006473EC">
        <w:t>, R. I. E., &amp; Catá, J. B. A. (2019). </w:t>
      </w:r>
      <w:r w:rsidRPr="006473EC">
        <w:rPr>
          <w:i/>
          <w:iCs/>
        </w:rPr>
        <w:t xml:space="preserve">Bloque de </w:t>
      </w:r>
      <w:proofErr w:type="spellStart"/>
      <w:r w:rsidRPr="006473EC">
        <w:rPr>
          <w:i/>
          <w:iCs/>
        </w:rPr>
        <w:t>suelo</w:t>
      </w:r>
      <w:proofErr w:type="spellEnd"/>
      <w:r w:rsidRPr="006473EC">
        <w:rPr>
          <w:i/>
          <w:iCs/>
        </w:rPr>
        <w:t xml:space="preserve"> </w:t>
      </w:r>
      <w:proofErr w:type="spellStart"/>
      <w:r w:rsidRPr="006473EC">
        <w:rPr>
          <w:i/>
          <w:iCs/>
        </w:rPr>
        <w:t>estabilizado</w:t>
      </w:r>
      <w:proofErr w:type="spellEnd"/>
      <w:r w:rsidRPr="006473EC">
        <w:rPr>
          <w:i/>
          <w:iCs/>
        </w:rPr>
        <w:t xml:space="preserve"> </w:t>
      </w:r>
      <w:proofErr w:type="spellStart"/>
      <w:r w:rsidRPr="006473EC">
        <w:rPr>
          <w:i/>
          <w:iCs/>
        </w:rPr>
        <w:t>en</w:t>
      </w:r>
      <w:proofErr w:type="spellEnd"/>
      <w:r w:rsidRPr="006473EC">
        <w:rPr>
          <w:i/>
          <w:iCs/>
        </w:rPr>
        <w:t xml:space="preserve"> </w:t>
      </w:r>
      <w:proofErr w:type="spellStart"/>
      <w:r w:rsidRPr="006473EC">
        <w:rPr>
          <w:i/>
          <w:iCs/>
        </w:rPr>
        <w:t>pequeño</w:t>
      </w:r>
      <w:proofErr w:type="spellEnd"/>
      <w:r w:rsidRPr="006473EC">
        <w:rPr>
          <w:i/>
          <w:iCs/>
        </w:rPr>
        <w:t xml:space="preserve"> </w:t>
      </w:r>
      <w:proofErr w:type="spellStart"/>
      <w:r w:rsidRPr="006473EC">
        <w:rPr>
          <w:i/>
          <w:iCs/>
        </w:rPr>
        <w:t>formato</w:t>
      </w:r>
      <w:proofErr w:type="spellEnd"/>
      <w:r w:rsidRPr="006473EC">
        <w:rPr>
          <w:i/>
          <w:iCs/>
        </w:rPr>
        <w:t xml:space="preserve"> y </w:t>
      </w:r>
      <w:proofErr w:type="spellStart"/>
      <w:r w:rsidRPr="006473EC">
        <w:rPr>
          <w:i/>
          <w:iCs/>
        </w:rPr>
        <w:t>tecnología</w:t>
      </w:r>
      <w:proofErr w:type="spellEnd"/>
      <w:r w:rsidRPr="006473EC">
        <w:rPr>
          <w:i/>
          <w:iCs/>
        </w:rPr>
        <w:t xml:space="preserve"> de </w:t>
      </w:r>
      <w:proofErr w:type="spellStart"/>
      <w:r w:rsidRPr="006473EC">
        <w:rPr>
          <w:i/>
          <w:iCs/>
        </w:rPr>
        <w:t>colocación</w:t>
      </w:r>
      <w:proofErr w:type="spellEnd"/>
      <w:r w:rsidRPr="006473EC">
        <w:rPr>
          <w:i/>
          <w:iCs/>
        </w:rPr>
        <w:t xml:space="preserve"> </w:t>
      </w:r>
      <w:proofErr w:type="spellStart"/>
      <w:r w:rsidRPr="006473EC">
        <w:rPr>
          <w:i/>
          <w:iCs/>
        </w:rPr>
        <w:t>en</w:t>
      </w:r>
      <w:proofErr w:type="spellEnd"/>
      <w:r w:rsidRPr="006473EC">
        <w:rPr>
          <w:i/>
          <w:iCs/>
        </w:rPr>
        <w:t xml:space="preserve"> </w:t>
      </w:r>
      <w:proofErr w:type="spellStart"/>
      <w:r w:rsidRPr="006473EC">
        <w:rPr>
          <w:i/>
          <w:iCs/>
        </w:rPr>
        <w:t>obra</w:t>
      </w:r>
      <w:proofErr w:type="spellEnd"/>
      <w:r w:rsidRPr="006473EC">
        <w:rPr>
          <w:i/>
          <w:iCs/>
        </w:rPr>
        <w:t xml:space="preserve"> </w:t>
      </w:r>
      <w:proofErr w:type="spellStart"/>
      <w:r w:rsidRPr="006473EC">
        <w:rPr>
          <w:i/>
          <w:iCs/>
        </w:rPr>
        <w:t>en</w:t>
      </w:r>
      <w:proofErr w:type="spellEnd"/>
      <w:r w:rsidRPr="006473EC">
        <w:rPr>
          <w:i/>
          <w:iCs/>
        </w:rPr>
        <w:t xml:space="preserve"> </w:t>
      </w:r>
      <w:proofErr w:type="spellStart"/>
      <w:r w:rsidRPr="006473EC">
        <w:rPr>
          <w:i/>
          <w:iCs/>
        </w:rPr>
        <w:t>vivienda</w:t>
      </w:r>
      <w:proofErr w:type="spellEnd"/>
      <w:r w:rsidRPr="006473EC">
        <w:rPr>
          <w:i/>
          <w:iCs/>
        </w:rPr>
        <w:t xml:space="preserve"> de </w:t>
      </w:r>
      <w:proofErr w:type="spellStart"/>
      <w:r w:rsidRPr="006473EC">
        <w:rPr>
          <w:i/>
          <w:iCs/>
        </w:rPr>
        <w:t>interés</w:t>
      </w:r>
      <w:proofErr w:type="spellEnd"/>
      <w:r w:rsidRPr="006473EC">
        <w:rPr>
          <w:i/>
          <w:iCs/>
        </w:rPr>
        <w:t xml:space="preserve"> social</w:t>
      </w:r>
      <w:r w:rsidRPr="006473EC">
        <w:t>. Universidad del Norte.</w:t>
      </w:r>
    </w:p>
    <w:p w14:paraId="616F9AC6" w14:textId="77777777" w:rsidR="006473EC" w:rsidRPr="006473EC" w:rsidRDefault="006473EC" w:rsidP="006473EC">
      <w:pPr>
        <w:spacing w:before="120" w:after="120" w:line="360" w:lineRule="auto"/>
        <w:jc w:val="both"/>
      </w:pPr>
      <w:r w:rsidRPr="006473EC">
        <w:t>Adam, E. A., &amp; Agib, A. R. A. (2001). </w:t>
      </w:r>
      <w:r w:rsidRPr="006473EC">
        <w:rPr>
          <w:i/>
          <w:iCs/>
        </w:rPr>
        <w:t xml:space="preserve">Compressed </w:t>
      </w:r>
      <w:proofErr w:type="spellStart"/>
      <w:r w:rsidRPr="006473EC">
        <w:rPr>
          <w:i/>
          <w:iCs/>
        </w:rPr>
        <w:t>stabilised</w:t>
      </w:r>
      <w:proofErr w:type="spellEnd"/>
      <w:r w:rsidRPr="006473EC">
        <w:rPr>
          <w:i/>
          <w:iCs/>
        </w:rPr>
        <w:t xml:space="preserve"> earth block manufacture in Sudan</w:t>
      </w:r>
      <w:r w:rsidRPr="006473EC">
        <w:t>. UNESCO.</w:t>
      </w:r>
    </w:p>
    <w:p w14:paraId="1191797F" w14:textId="77777777" w:rsidR="006473EC" w:rsidRPr="006473EC" w:rsidRDefault="006473EC" w:rsidP="006473EC">
      <w:pPr>
        <w:spacing w:before="120" w:after="120" w:line="360" w:lineRule="auto"/>
        <w:jc w:val="both"/>
      </w:pPr>
      <w:proofErr w:type="spellStart"/>
      <w:r w:rsidRPr="006473EC">
        <w:t>Adegun</w:t>
      </w:r>
      <w:proofErr w:type="spellEnd"/>
      <w:r w:rsidRPr="006473EC">
        <w:t>, O. B., &amp; Adedeji, Y. M. (2017). Review of economic and environmental benefits of earthen materials for housing in Africa. </w:t>
      </w:r>
      <w:r w:rsidRPr="006473EC">
        <w:rPr>
          <w:i/>
          <w:iCs/>
        </w:rPr>
        <w:t>Frontiers of Architectural Research</w:t>
      </w:r>
      <w:r w:rsidRPr="006473EC">
        <w:t>, *6*(4), 519-528. </w:t>
      </w:r>
      <w:hyperlink r:id="rId5" w:tgtFrame="_blank" w:history="1">
        <w:r w:rsidRPr="006473EC">
          <w:rPr>
            <w:rStyle w:val="Hyperlink"/>
          </w:rPr>
          <w:t>https://doi.org/10.1016/j.foar.2017.08.003</w:t>
        </w:r>
      </w:hyperlink>
    </w:p>
    <w:p w14:paraId="14EEAF44" w14:textId="77777777" w:rsidR="006473EC" w:rsidRPr="006473EC" w:rsidRDefault="006473EC" w:rsidP="006473EC">
      <w:pPr>
        <w:spacing w:before="120" w:after="120" w:line="360" w:lineRule="auto"/>
        <w:jc w:val="both"/>
      </w:pPr>
      <w:proofErr w:type="spellStart"/>
      <w:r w:rsidRPr="006473EC">
        <w:t>Afolami</w:t>
      </w:r>
      <w:proofErr w:type="spellEnd"/>
      <w:r w:rsidRPr="006473EC">
        <w:t xml:space="preserve">, A., &amp; Oyebamiji, I. (2017). Users' perception and thermal comfort of residents in an estate built with laterite interlocking blocks, Ekiti State, Nigeria. In T. M. Obamuyi, S. O. </w:t>
      </w:r>
      <w:proofErr w:type="spellStart"/>
      <w:r w:rsidRPr="006473EC">
        <w:t>Fadare</w:t>
      </w:r>
      <w:proofErr w:type="spellEnd"/>
      <w:r w:rsidRPr="006473EC">
        <w:t xml:space="preserve">, A. D. Dada, T. O. </w:t>
      </w:r>
      <w:proofErr w:type="spellStart"/>
      <w:r w:rsidRPr="006473EC">
        <w:t>Fakokunde</w:t>
      </w:r>
      <w:proofErr w:type="spellEnd"/>
      <w:r w:rsidRPr="006473EC">
        <w:t>, &amp; M. A. Abayomi (Eds.), </w:t>
      </w:r>
      <w:r w:rsidRPr="006473EC">
        <w:rPr>
          <w:i/>
          <w:iCs/>
        </w:rPr>
        <w:t>Proceedings of the 1st International Conference of the School of Management Technology</w:t>
      </w:r>
      <w:r w:rsidRPr="006473EC">
        <w:t> (p. 193). Federal University of Technology, Akure.</w:t>
      </w:r>
    </w:p>
    <w:p w14:paraId="23C68B09" w14:textId="77777777" w:rsidR="006473EC" w:rsidRPr="006473EC" w:rsidRDefault="006473EC" w:rsidP="006473EC">
      <w:pPr>
        <w:spacing w:before="120" w:after="120" w:line="360" w:lineRule="auto"/>
        <w:jc w:val="both"/>
      </w:pPr>
      <w:r w:rsidRPr="006473EC">
        <w:t xml:space="preserve">Anosike, N. M., &amp; </w:t>
      </w:r>
      <w:proofErr w:type="spellStart"/>
      <w:r w:rsidRPr="006473EC">
        <w:t>Oyebade</w:t>
      </w:r>
      <w:proofErr w:type="spellEnd"/>
      <w:r w:rsidRPr="006473EC">
        <w:t xml:space="preserve">, A. A. (2012). </w:t>
      </w:r>
      <w:proofErr w:type="spellStart"/>
      <w:r w:rsidRPr="006473EC">
        <w:t>Sandcrete</w:t>
      </w:r>
      <w:proofErr w:type="spellEnd"/>
      <w:r w:rsidRPr="006473EC">
        <w:t xml:space="preserve"> blocks and quality management in Nigeria building industry. </w:t>
      </w:r>
      <w:r w:rsidRPr="006473EC">
        <w:rPr>
          <w:i/>
          <w:iCs/>
        </w:rPr>
        <w:t>Journal of Engineering Project and Production Management</w:t>
      </w:r>
      <w:r w:rsidRPr="006473EC">
        <w:t>, *2*(1), 37-46.</w:t>
      </w:r>
    </w:p>
    <w:p w14:paraId="54B15E8F" w14:textId="77777777" w:rsidR="006473EC" w:rsidRPr="006473EC" w:rsidRDefault="006473EC" w:rsidP="006473EC">
      <w:pPr>
        <w:spacing w:before="120" w:after="120" w:line="360" w:lineRule="auto"/>
        <w:jc w:val="both"/>
      </w:pPr>
      <w:r w:rsidRPr="006473EC">
        <w:lastRenderedPageBreak/>
        <w:t xml:space="preserve">Bales, C., Donahue, C., Fisher, M., </w:t>
      </w:r>
      <w:proofErr w:type="spellStart"/>
      <w:r w:rsidRPr="006473EC">
        <w:t>Mellbom</w:t>
      </w:r>
      <w:proofErr w:type="spellEnd"/>
      <w:r w:rsidRPr="006473EC">
        <w:t>, A., &amp; Pearson, A. (2009). </w:t>
      </w:r>
      <w:r w:rsidRPr="006473EC">
        <w:rPr>
          <w:i/>
          <w:iCs/>
        </w:rPr>
        <w:t>Interlocking compressed earth blocks: From soil to structure</w:t>
      </w:r>
      <w:r w:rsidRPr="006473EC">
        <w:t> [Senior project]. California Polytechnic State University.</w:t>
      </w:r>
    </w:p>
    <w:p w14:paraId="33857701" w14:textId="77777777" w:rsidR="006473EC" w:rsidRPr="006473EC" w:rsidRDefault="006473EC" w:rsidP="006473EC">
      <w:pPr>
        <w:spacing w:before="120" w:after="120" w:line="360" w:lineRule="auto"/>
        <w:jc w:val="both"/>
      </w:pPr>
      <w:r w:rsidRPr="006473EC">
        <w:t>Bosher, L., &amp; Dainty, A. (2019). </w:t>
      </w:r>
      <w:r w:rsidRPr="006473EC">
        <w:rPr>
          <w:i/>
          <w:iCs/>
        </w:rPr>
        <w:t>Building resilience: A systems approach to disaster risk reduction</w:t>
      </w:r>
      <w:r w:rsidRPr="006473EC">
        <w:t>. Routledge.</w:t>
      </w:r>
    </w:p>
    <w:p w14:paraId="22334026" w14:textId="77777777" w:rsidR="006473EC" w:rsidRPr="006473EC" w:rsidRDefault="006473EC" w:rsidP="006473EC">
      <w:pPr>
        <w:spacing w:before="120" w:after="120" w:line="360" w:lineRule="auto"/>
        <w:jc w:val="both"/>
      </w:pPr>
      <w:r w:rsidRPr="006473EC">
        <w:t>Braun, V., &amp; Clarke, V. (2006). Using thematic analysis in psychology. </w:t>
      </w:r>
      <w:r w:rsidRPr="006473EC">
        <w:rPr>
          <w:i/>
          <w:iCs/>
        </w:rPr>
        <w:t>Qualitative Research in Psychology</w:t>
      </w:r>
      <w:r w:rsidRPr="006473EC">
        <w:t>, *3*(2), 77-101. </w:t>
      </w:r>
      <w:hyperlink r:id="rId6" w:tgtFrame="_blank" w:history="1">
        <w:r w:rsidRPr="006473EC">
          <w:rPr>
            <w:rStyle w:val="Hyperlink"/>
          </w:rPr>
          <w:t>https://doi.org/10.1191/1478088706qp063oa</w:t>
        </w:r>
      </w:hyperlink>
    </w:p>
    <w:p w14:paraId="2330C307" w14:textId="77777777" w:rsidR="006473EC" w:rsidRPr="006473EC" w:rsidRDefault="006473EC" w:rsidP="006473EC">
      <w:pPr>
        <w:spacing w:before="120" w:after="120" w:line="360" w:lineRule="auto"/>
        <w:jc w:val="both"/>
      </w:pPr>
      <w:proofErr w:type="spellStart"/>
      <w:r w:rsidRPr="006473EC">
        <w:t>Bredenoord</w:t>
      </w:r>
      <w:proofErr w:type="spellEnd"/>
      <w:r w:rsidRPr="006473EC">
        <w:t xml:space="preserve">, J., </w:t>
      </w:r>
      <w:proofErr w:type="spellStart"/>
      <w:r w:rsidRPr="006473EC">
        <w:t>Kokkamhaeng</w:t>
      </w:r>
      <w:proofErr w:type="spellEnd"/>
      <w:r w:rsidRPr="006473EC">
        <w:t>, W., Janbunjong, P., et al. (2019). Interlocking block masonry (ISSB) for sustainable housing purposes in Thailand, with additional examples from Cambodia and Nepal. </w:t>
      </w:r>
      <w:r w:rsidRPr="006473EC">
        <w:rPr>
          <w:i/>
          <w:iCs/>
        </w:rPr>
        <w:t>Engineering Management Research</w:t>
      </w:r>
      <w:r w:rsidRPr="006473EC">
        <w:t>, *8*(2), 42. </w:t>
      </w:r>
      <w:hyperlink r:id="rId7" w:tgtFrame="_blank" w:history="1">
        <w:r w:rsidRPr="006473EC">
          <w:rPr>
            <w:rStyle w:val="Hyperlink"/>
          </w:rPr>
          <w:t>https://doi.org/10.5539/emr.v8n2p42</w:t>
        </w:r>
      </w:hyperlink>
    </w:p>
    <w:p w14:paraId="20B6B97D" w14:textId="77777777" w:rsidR="006473EC" w:rsidRPr="006473EC" w:rsidRDefault="006473EC" w:rsidP="006473EC">
      <w:pPr>
        <w:spacing w:before="120" w:after="120" w:line="360" w:lineRule="auto"/>
        <w:jc w:val="both"/>
      </w:pPr>
      <w:proofErr w:type="spellStart"/>
      <w:r w:rsidRPr="006473EC">
        <w:t>Bredenoord</w:t>
      </w:r>
      <w:proofErr w:type="spellEnd"/>
      <w:r w:rsidRPr="006473EC">
        <w:t>, J., Park, J., &amp; Kim, K. (2020). The significance of community training centers in building affordable housing and developing settlements. </w:t>
      </w:r>
      <w:r w:rsidRPr="006473EC">
        <w:rPr>
          <w:i/>
          <w:iCs/>
        </w:rPr>
        <w:t>Sustainability</w:t>
      </w:r>
      <w:r w:rsidRPr="006473EC">
        <w:t>, *12*(7), 2952. </w:t>
      </w:r>
      <w:hyperlink r:id="rId8" w:tgtFrame="_blank" w:history="1">
        <w:r w:rsidRPr="006473EC">
          <w:rPr>
            <w:rStyle w:val="Hyperlink"/>
          </w:rPr>
          <w:t>https://doi.org/10.3390/su12072952</w:t>
        </w:r>
      </w:hyperlink>
    </w:p>
    <w:p w14:paraId="1CF6B100" w14:textId="77777777" w:rsidR="006473EC" w:rsidRPr="006473EC" w:rsidRDefault="006473EC" w:rsidP="006473EC">
      <w:pPr>
        <w:spacing w:before="120" w:after="120" w:line="360" w:lineRule="auto"/>
        <w:jc w:val="both"/>
      </w:pPr>
      <w:r w:rsidRPr="006473EC">
        <w:t>Commonwealth of Learning. (2015). </w:t>
      </w:r>
      <w:r w:rsidRPr="006473EC">
        <w:rPr>
          <w:i/>
          <w:iCs/>
        </w:rPr>
        <w:t xml:space="preserve">Producing interlocking </w:t>
      </w:r>
      <w:proofErr w:type="spellStart"/>
      <w:r w:rsidRPr="006473EC">
        <w:rPr>
          <w:i/>
          <w:iCs/>
        </w:rPr>
        <w:t>stabilised</w:t>
      </w:r>
      <w:proofErr w:type="spellEnd"/>
      <w:r w:rsidRPr="006473EC">
        <w:rPr>
          <w:i/>
          <w:iCs/>
        </w:rPr>
        <w:t xml:space="preserve"> soil blocks</w:t>
      </w:r>
      <w:r w:rsidRPr="006473EC">
        <w:t>. [Course material]. COL. </w:t>
      </w:r>
    </w:p>
    <w:p w14:paraId="3EF11681" w14:textId="77777777" w:rsidR="006473EC" w:rsidRPr="006473EC" w:rsidRDefault="006473EC" w:rsidP="006473EC">
      <w:pPr>
        <w:spacing w:before="120" w:after="120" w:line="360" w:lineRule="auto"/>
        <w:jc w:val="both"/>
      </w:pPr>
      <w:r w:rsidRPr="006473EC">
        <w:t>Creswell, J. W., &amp; Creswell, J. D. (2018). </w:t>
      </w:r>
      <w:r w:rsidRPr="006473EC">
        <w:rPr>
          <w:i/>
          <w:iCs/>
        </w:rPr>
        <w:t xml:space="preserve">Research design: Qualitative, quantitative, and mixed methods </w:t>
      </w:r>
      <w:proofErr w:type="gramStart"/>
      <w:r w:rsidRPr="006473EC">
        <w:rPr>
          <w:i/>
          <w:iCs/>
        </w:rPr>
        <w:t>approaches</w:t>
      </w:r>
      <w:proofErr w:type="gramEnd"/>
      <w:r w:rsidRPr="006473EC">
        <w:t> (5th ed.). SAGE Publications.</w:t>
      </w:r>
    </w:p>
    <w:p w14:paraId="41F933F8" w14:textId="77777777" w:rsidR="006473EC" w:rsidRPr="006473EC" w:rsidRDefault="006473EC" w:rsidP="006473EC">
      <w:pPr>
        <w:spacing w:before="120" w:after="120" w:line="360" w:lineRule="auto"/>
        <w:jc w:val="both"/>
      </w:pPr>
      <w:r w:rsidRPr="006473EC">
        <w:t>Creswell, J. W., &amp; Plano Clark, V. L. (2018). </w:t>
      </w:r>
      <w:r w:rsidRPr="006473EC">
        <w:rPr>
          <w:i/>
          <w:iCs/>
        </w:rPr>
        <w:t>Designing and conducting mixed methods research</w:t>
      </w:r>
      <w:r w:rsidRPr="006473EC">
        <w:t> (3rd ed.). SAGE Publications.</w:t>
      </w:r>
    </w:p>
    <w:p w14:paraId="104B9A85" w14:textId="77777777" w:rsidR="006473EC" w:rsidRPr="006473EC" w:rsidRDefault="006473EC" w:rsidP="006473EC">
      <w:pPr>
        <w:spacing w:before="120" w:after="120" w:line="360" w:lineRule="auto"/>
        <w:jc w:val="both"/>
      </w:pPr>
      <w:r w:rsidRPr="006473EC">
        <w:t>Daniel, A. A., Benjamin, G. K., &amp; Tali, J. O. (2018). Adopting stabilized earth construction to address urban low-cost housing crisis in Jos, Nigeria. </w:t>
      </w:r>
      <w:r w:rsidRPr="006473EC">
        <w:rPr>
          <w:i/>
          <w:iCs/>
        </w:rPr>
        <w:t>Journal of Ergonomics Studies and Research</w:t>
      </w:r>
      <w:r w:rsidRPr="006473EC">
        <w:t>, *1*(1), 1-10.</w:t>
      </w:r>
    </w:p>
    <w:p w14:paraId="3F73A999" w14:textId="77777777" w:rsidR="006473EC" w:rsidRPr="006473EC" w:rsidRDefault="006473EC" w:rsidP="006473EC">
      <w:pPr>
        <w:spacing w:before="120" w:after="120" w:line="360" w:lineRule="auto"/>
        <w:jc w:val="both"/>
      </w:pPr>
      <w:r w:rsidRPr="006473EC">
        <w:t>Federal Ministry of Works and Housing. (2021). </w:t>
      </w:r>
      <w:r w:rsidRPr="006473EC">
        <w:rPr>
          <w:i/>
          <w:iCs/>
        </w:rPr>
        <w:t>National Housing Policy</w:t>
      </w:r>
      <w:r w:rsidRPr="006473EC">
        <w:t>. Federal Government of Nigeria.</w:t>
      </w:r>
    </w:p>
    <w:p w14:paraId="533E1EC9" w14:textId="77777777" w:rsidR="006473EC" w:rsidRPr="006473EC" w:rsidRDefault="006473EC" w:rsidP="006473EC">
      <w:pPr>
        <w:spacing w:before="120" w:after="120" w:line="360" w:lineRule="auto"/>
        <w:jc w:val="both"/>
      </w:pPr>
      <w:r w:rsidRPr="006473EC">
        <w:t xml:space="preserve">Folke, C., Carpenter, S. R., Walker, B., Scheffer, M., Chapin, T., &amp; </w:t>
      </w:r>
      <w:proofErr w:type="spellStart"/>
      <w:r w:rsidRPr="006473EC">
        <w:t>Rockström</w:t>
      </w:r>
      <w:proofErr w:type="spellEnd"/>
      <w:r w:rsidRPr="006473EC">
        <w:t>, J. (2010). Resilience thinking: Integrating resilience, adaptability and transformability. </w:t>
      </w:r>
      <w:r w:rsidRPr="006473EC">
        <w:rPr>
          <w:i/>
          <w:iCs/>
        </w:rPr>
        <w:t>Ecology and Society</w:t>
      </w:r>
      <w:r w:rsidRPr="006473EC">
        <w:t>, *15*(4), 20. </w:t>
      </w:r>
      <w:hyperlink r:id="rId9" w:tgtFrame="_blank" w:history="1">
        <w:r w:rsidRPr="006473EC">
          <w:rPr>
            <w:rStyle w:val="Hyperlink"/>
          </w:rPr>
          <w:t>https://doi.org/10.5751/ES-03610-150420</w:t>
        </w:r>
      </w:hyperlink>
    </w:p>
    <w:p w14:paraId="112FD472" w14:textId="420F1A9C" w:rsidR="006473EC" w:rsidRPr="006473EC" w:rsidRDefault="006473EC" w:rsidP="006473EC">
      <w:pPr>
        <w:spacing w:before="120" w:after="120" w:line="360" w:lineRule="auto"/>
        <w:jc w:val="both"/>
      </w:pPr>
      <w:r w:rsidRPr="006473EC">
        <w:lastRenderedPageBreak/>
        <w:t xml:space="preserve">Ganou Koungang, B. M., et al. (2023). </w:t>
      </w:r>
      <w:proofErr w:type="spellStart"/>
      <w:r w:rsidRPr="006473EC">
        <w:t>Biosourced</w:t>
      </w:r>
      <w:proofErr w:type="spellEnd"/>
      <w:r w:rsidRPr="006473EC">
        <w:t xml:space="preserve"> earth blocks in Cameroon: Energy savings and comfort performance. </w:t>
      </w:r>
      <w:r w:rsidR="00307104" w:rsidRPr="00307104">
        <w:rPr>
          <w:i/>
          <w:iCs/>
        </w:rPr>
        <w:t>Cogent Engineering (2023), 10: 2159159</w:t>
      </w:r>
      <w:r w:rsidR="00307104">
        <w:rPr>
          <w:i/>
          <w:iCs/>
        </w:rPr>
        <w:t xml:space="preserve">. </w:t>
      </w:r>
      <w:r w:rsidR="00307104" w:rsidRPr="00307104">
        <w:t>https://doi.org/10.1080/23311916.2022.2159159</w:t>
      </w:r>
    </w:p>
    <w:p w14:paraId="72F5E191" w14:textId="77777777" w:rsidR="006473EC" w:rsidRPr="006473EC" w:rsidRDefault="006473EC" w:rsidP="006473EC">
      <w:pPr>
        <w:spacing w:before="120" w:after="120" w:line="360" w:lineRule="auto"/>
        <w:jc w:val="both"/>
      </w:pPr>
      <w:r w:rsidRPr="006473EC">
        <w:t>Holling, C. S. (1973). Resilience and stability of ecological systems. </w:t>
      </w:r>
      <w:r w:rsidRPr="006473EC">
        <w:rPr>
          <w:i/>
          <w:iCs/>
        </w:rPr>
        <w:t>Annual Review of Ecology and Systematics</w:t>
      </w:r>
      <w:r w:rsidRPr="006473EC">
        <w:t>, *4*, 1-23. </w:t>
      </w:r>
      <w:hyperlink r:id="rId10" w:tgtFrame="_blank" w:history="1">
        <w:r w:rsidRPr="006473EC">
          <w:rPr>
            <w:rStyle w:val="Hyperlink"/>
          </w:rPr>
          <w:t>https://doi.org/10.1146/annurev.es.04.110173.000245</w:t>
        </w:r>
      </w:hyperlink>
    </w:p>
    <w:p w14:paraId="5DDB74CE" w14:textId="77777777" w:rsidR="006473EC" w:rsidRPr="006473EC" w:rsidRDefault="006473EC" w:rsidP="006473EC">
      <w:pPr>
        <w:spacing w:before="120" w:after="120" w:line="360" w:lineRule="auto"/>
        <w:jc w:val="both"/>
      </w:pPr>
      <w:r w:rsidRPr="006473EC">
        <w:t>Ibitoye, O. A. (2021). Knowledge and potentials of recycled paper as affordable building material in Ikorodu, Lagos State. </w:t>
      </w:r>
      <w:r w:rsidRPr="006473EC">
        <w:rPr>
          <w:i/>
          <w:iCs/>
        </w:rPr>
        <w:t>FUDMA Journal of Sciences</w:t>
      </w:r>
      <w:r w:rsidRPr="006473EC">
        <w:t>, *5*(3), 419-422. </w:t>
      </w:r>
    </w:p>
    <w:p w14:paraId="471CE9DD" w14:textId="77777777" w:rsidR="006473EC" w:rsidRPr="006473EC" w:rsidRDefault="006473EC" w:rsidP="006473EC">
      <w:pPr>
        <w:spacing w:before="120" w:after="120" w:line="360" w:lineRule="auto"/>
        <w:jc w:val="both"/>
      </w:pPr>
      <w:r w:rsidRPr="006473EC">
        <w:t xml:space="preserve">Ibitoye, O. A., </w:t>
      </w:r>
      <w:proofErr w:type="spellStart"/>
      <w:r w:rsidRPr="006473EC">
        <w:t>Alagbe</w:t>
      </w:r>
      <w:proofErr w:type="spellEnd"/>
      <w:r w:rsidRPr="006473EC">
        <w:t xml:space="preserve">, O., &amp; Dare-Abel, O. (2022). Comparative cost advantages of interlocking stabilized soil block and </w:t>
      </w:r>
      <w:proofErr w:type="spellStart"/>
      <w:r w:rsidRPr="006473EC">
        <w:t>sandcrete</w:t>
      </w:r>
      <w:proofErr w:type="spellEnd"/>
      <w:r w:rsidRPr="006473EC">
        <w:t xml:space="preserve"> block for building construction in South-West Nigeria. </w:t>
      </w:r>
      <w:r w:rsidRPr="006473EC">
        <w:rPr>
          <w:i/>
          <w:iCs/>
        </w:rPr>
        <w:t>International Journal of Scientific Research and Engineering Development</w:t>
      </w:r>
      <w:r w:rsidRPr="006473EC">
        <w:t>, *5*(5). </w:t>
      </w:r>
      <w:hyperlink r:id="rId11" w:tgtFrame="_blank" w:history="1">
        <w:r w:rsidRPr="006473EC">
          <w:rPr>
            <w:rStyle w:val="Hyperlink"/>
          </w:rPr>
          <w:t>https://doi.org/10.5281/ZENODO.7213970</w:t>
        </w:r>
      </w:hyperlink>
      <w:r w:rsidRPr="006473EC">
        <w:t> </w:t>
      </w:r>
    </w:p>
    <w:p w14:paraId="3B4493C2" w14:textId="77777777" w:rsidR="006473EC" w:rsidRPr="006473EC" w:rsidRDefault="006473EC" w:rsidP="006473EC">
      <w:pPr>
        <w:spacing w:before="120" w:after="120" w:line="360" w:lineRule="auto"/>
        <w:jc w:val="both"/>
      </w:pPr>
      <w:r w:rsidRPr="006473EC">
        <w:t>Ibitoye, O. A., Solomon, B. A., Afolabi, T. A., &amp; Oyewole, A. (2022). Documentation of local architectural vocabularies for residential building components in Yoruba cultures. </w:t>
      </w:r>
      <w:r w:rsidRPr="006473EC">
        <w:rPr>
          <w:i/>
          <w:iCs/>
        </w:rPr>
        <w:t>FUDMA Journal of Sciences</w:t>
      </w:r>
      <w:r w:rsidRPr="006473EC">
        <w:t>, *6*(1), 404-414. </w:t>
      </w:r>
      <w:hyperlink r:id="rId12" w:tgtFrame="_blank" w:history="1">
        <w:r w:rsidRPr="006473EC">
          <w:rPr>
            <w:rStyle w:val="Hyperlink"/>
          </w:rPr>
          <w:t>https://doi.org/10.33003/fjs-2021-0601-2037</w:t>
        </w:r>
      </w:hyperlink>
      <w:r w:rsidRPr="006473EC">
        <w:t> </w:t>
      </w:r>
    </w:p>
    <w:p w14:paraId="50E55676" w14:textId="77777777" w:rsidR="006473EC" w:rsidRPr="006473EC" w:rsidRDefault="006473EC" w:rsidP="006473EC">
      <w:pPr>
        <w:spacing w:before="120" w:after="120" w:line="360" w:lineRule="auto"/>
        <w:jc w:val="both"/>
      </w:pPr>
      <w:r w:rsidRPr="006473EC">
        <w:t xml:space="preserve">Ibitoye, O. A., Abiola, O. A., &amp; </w:t>
      </w:r>
      <w:proofErr w:type="spellStart"/>
      <w:r w:rsidRPr="006473EC">
        <w:t>Babamboni</w:t>
      </w:r>
      <w:proofErr w:type="spellEnd"/>
      <w:r w:rsidRPr="006473EC">
        <w:t>, A. S. (2023). Demographic characteristics of housing estates developed with ISSB technology in selected Southwestern Nigerian (SWN) cities. </w:t>
      </w:r>
      <w:r w:rsidRPr="006473EC">
        <w:rPr>
          <w:i/>
          <w:iCs/>
        </w:rPr>
        <w:t>FUDMA Journal of Sciences</w:t>
      </w:r>
      <w:r w:rsidRPr="006473EC">
        <w:t>, *7*(2), 275-283. </w:t>
      </w:r>
      <w:hyperlink r:id="rId13" w:tgtFrame="_blank" w:history="1">
        <w:r w:rsidRPr="006473EC">
          <w:rPr>
            <w:rStyle w:val="Hyperlink"/>
          </w:rPr>
          <w:t>https://doi.org/10.33003/fjs-2023-0702-2038</w:t>
        </w:r>
      </w:hyperlink>
      <w:r w:rsidRPr="006473EC">
        <w:t> </w:t>
      </w:r>
    </w:p>
    <w:p w14:paraId="0932D6AB" w14:textId="77777777" w:rsidR="006473EC" w:rsidRPr="006473EC" w:rsidRDefault="006473EC" w:rsidP="006473EC">
      <w:pPr>
        <w:spacing w:before="120" w:after="120" w:line="360" w:lineRule="auto"/>
        <w:jc w:val="both"/>
      </w:pPr>
      <w:r w:rsidRPr="006473EC">
        <w:t>Ibitoye, O. A., &amp; Tolu-</w:t>
      </w:r>
      <w:proofErr w:type="spellStart"/>
      <w:r w:rsidRPr="006473EC">
        <w:t>Alalade</w:t>
      </w:r>
      <w:proofErr w:type="spellEnd"/>
      <w:r w:rsidRPr="006473EC">
        <w:t xml:space="preserve">, J. O. (2026). Thermal performance of interlocking </w:t>
      </w:r>
      <w:proofErr w:type="spellStart"/>
      <w:r w:rsidRPr="006473EC">
        <w:t>stabilised</w:t>
      </w:r>
      <w:proofErr w:type="spellEnd"/>
      <w:r w:rsidRPr="006473EC">
        <w:t xml:space="preserve"> soil blocks (ISSB) for passive and sustainable building design. </w:t>
      </w:r>
      <w:r w:rsidRPr="006473EC">
        <w:rPr>
          <w:i/>
          <w:iCs/>
        </w:rPr>
        <w:t>Asian Journal of Geographical Research</w:t>
      </w:r>
      <w:r w:rsidRPr="006473EC">
        <w:t>, *9*(2), 54-63. </w:t>
      </w:r>
      <w:hyperlink r:id="rId14" w:tgtFrame="_blank" w:history="1">
        <w:r w:rsidRPr="006473EC">
          <w:rPr>
            <w:rStyle w:val="Hyperlink"/>
          </w:rPr>
          <w:t>https://doi.org/10.9734/ajgr/2026/v9i2384</w:t>
        </w:r>
      </w:hyperlink>
      <w:r w:rsidRPr="006473EC">
        <w:t> </w:t>
      </w:r>
    </w:p>
    <w:p w14:paraId="7E6223E0" w14:textId="77777777" w:rsidR="006473EC" w:rsidRPr="006473EC" w:rsidRDefault="006473EC" w:rsidP="006473EC">
      <w:pPr>
        <w:spacing w:before="120" w:after="120" w:line="360" w:lineRule="auto"/>
        <w:jc w:val="both"/>
      </w:pPr>
      <w:r w:rsidRPr="006473EC">
        <w:t>Ibitoye, O. A. (2025). The role of resident perception in mainstreaming green facades in Nigerian high-rise architecture. </w:t>
      </w:r>
      <w:proofErr w:type="spellStart"/>
      <w:r w:rsidRPr="006473EC">
        <w:rPr>
          <w:i/>
          <w:iCs/>
        </w:rPr>
        <w:t>Timbou</w:t>
      </w:r>
      <w:proofErr w:type="spellEnd"/>
      <w:r w:rsidRPr="006473EC">
        <w:rPr>
          <w:i/>
          <w:iCs/>
        </w:rPr>
        <w:t xml:space="preserve"> African Academic Publications</w:t>
      </w:r>
      <w:r w:rsidRPr="006473EC">
        <w:t>. </w:t>
      </w:r>
    </w:p>
    <w:p w14:paraId="16074CB4" w14:textId="77777777" w:rsidR="006473EC" w:rsidRPr="006473EC" w:rsidRDefault="006473EC" w:rsidP="006473EC">
      <w:pPr>
        <w:spacing w:before="120" w:after="120" w:line="360" w:lineRule="auto"/>
        <w:jc w:val="both"/>
      </w:pPr>
      <w:r w:rsidRPr="006473EC">
        <w:t>Intergovernmental Panel on Climate Change. (2022). </w:t>
      </w:r>
      <w:r w:rsidRPr="006473EC">
        <w:rPr>
          <w:i/>
          <w:iCs/>
        </w:rPr>
        <w:t>Climate change 2022: Impacts, adaptation and vulnerability</w:t>
      </w:r>
      <w:r w:rsidRPr="006473EC">
        <w:t>. Cambridge University Press.</w:t>
      </w:r>
    </w:p>
    <w:p w14:paraId="3116407A" w14:textId="77777777" w:rsidR="006473EC" w:rsidRPr="006473EC" w:rsidRDefault="006473EC" w:rsidP="006473EC">
      <w:pPr>
        <w:spacing w:before="120" w:after="120" w:line="360" w:lineRule="auto"/>
        <w:jc w:val="both"/>
      </w:pPr>
      <w:r w:rsidRPr="006473EC">
        <w:t>International Organization for Standardization. (2005). </w:t>
      </w:r>
      <w:r w:rsidRPr="006473EC">
        <w:rPr>
          <w:i/>
          <w:iCs/>
        </w:rPr>
        <w:t>Ergonomics of the thermal environment: Analytical determination and interpretation of thermal comfort using calculation of the PMV and PPD indices and local thermal comfort criteria</w:t>
      </w:r>
      <w:r w:rsidRPr="006473EC">
        <w:t> (ISO 7730:2005). ISO.</w:t>
      </w:r>
    </w:p>
    <w:p w14:paraId="3DB44CCE" w14:textId="77777777" w:rsidR="006473EC" w:rsidRPr="006473EC" w:rsidRDefault="006473EC" w:rsidP="006473EC">
      <w:pPr>
        <w:spacing w:before="120" w:after="120" w:line="360" w:lineRule="auto"/>
        <w:jc w:val="both"/>
      </w:pPr>
      <w:r w:rsidRPr="006473EC">
        <w:t>Jagadish, K. (2007). </w:t>
      </w:r>
      <w:r w:rsidRPr="006473EC">
        <w:rPr>
          <w:i/>
          <w:iCs/>
        </w:rPr>
        <w:t>Building with stabilized mud</w:t>
      </w:r>
      <w:r w:rsidRPr="006473EC">
        <w:t>. I.K. International Publishing House.</w:t>
      </w:r>
    </w:p>
    <w:p w14:paraId="48F3556D" w14:textId="3869A508" w:rsidR="006473EC" w:rsidRPr="00307104" w:rsidRDefault="006473EC" w:rsidP="00307104">
      <w:pPr>
        <w:spacing w:line="360" w:lineRule="auto"/>
        <w:jc w:val="both"/>
        <w:rPr>
          <w:b/>
          <w:bCs/>
        </w:rPr>
      </w:pPr>
      <w:r w:rsidRPr="006473EC">
        <w:lastRenderedPageBreak/>
        <w:t xml:space="preserve">Laibi, A. B., et al. (2025). </w:t>
      </w:r>
      <w:r w:rsidR="00307104" w:rsidRPr="00307104">
        <w:t>Experimental Assessment of the Dynamic Hygrothermal and Mechanical Behavior of Compressed Earth Block Walls in a Tropical Humid Climate</w:t>
      </w:r>
      <w:r w:rsidRPr="00307104">
        <w:t>. </w:t>
      </w:r>
      <w:r w:rsidR="00307104" w:rsidRPr="00307104">
        <w:rPr>
          <w:i/>
          <w:iCs/>
        </w:rPr>
        <w:t>Buildings </w:t>
      </w:r>
      <w:r w:rsidR="00307104" w:rsidRPr="00307104">
        <w:rPr>
          <w:b/>
          <w:bCs/>
          <w:i/>
          <w:iCs/>
        </w:rPr>
        <w:t>2025</w:t>
      </w:r>
      <w:r w:rsidR="00307104" w:rsidRPr="00307104">
        <w:rPr>
          <w:i/>
          <w:iCs/>
        </w:rPr>
        <w:t>, 15(19), 3484; </w:t>
      </w:r>
      <w:hyperlink r:id="rId15" w:history="1">
        <w:r w:rsidR="00307104" w:rsidRPr="00307104">
          <w:rPr>
            <w:rStyle w:val="Hyperlink"/>
          </w:rPr>
          <w:t>https://doi.org/10.3390/buildings15193484</w:t>
        </w:r>
      </w:hyperlink>
    </w:p>
    <w:p w14:paraId="3A21013A" w14:textId="77777777" w:rsidR="006473EC" w:rsidRPr="006473EC" w:rsidRDefault="006473EC" w:rsidP="006473EC">
      <w:pPr>
        <w:spacing w:before="120" w:after="120" w:line="360" w:lineRule="auto"/>
        <w:jc w:val="both"/>
      </w:pPr>
      <w:proofErr w:type="spellStart"/>
      <w:r w:rsidRPr="006473EC">
        <w:t>Meerow</w:t>
      </w:r>
      <w:proofErr w:type="spellEnd"/>
      <w:r w:rsidRPr="006473EC">
        <w:t>, S., Newell, J. P., &amp; Stults, M. (2016). Defining urban resilience: A review. </w:t>
      </w:r>
      <w:r w:rsidRPr="006473EC">
        <w:rPr>
          <w:i/>
          <w:iCs/>
        </w:rPr>
        <w:t>Landscape and Urban Planning</w:t>
      </w:r>
      <w:r w:rsidRPr="006473EC">
        <w:t>, *147*, 38-49. </w:t>
      </w:r>
      <w:hyperlink r:id="rId16" w:tgtFrame="_blank" w:history="1">
        <w:r w:rsidRPr="006473EC">
          <w:rPr>
            <w:rStyle w:val="Hyperlink"/>
          </w:rPr>
          <w:t>https://doi.org/10.1016/j.landurbplan.2015.11.011</w:t>
        </w:r>
      </w:hyperlink>
    </w:p>
    <w:p w14:paraId="64A72D01" w14:textId="0A801FA4" w:rsidR="006473EC" w:rsidRPr="006473EC" w:rsidRDefault="006473EC" w:rsidP="006473EC">
      <w:pPr>
        <w:spacing w:before="120" w:after="120" w:line="360" w:lineRule="auto"/>
        <w:jc w:val="both"/>
      </w:pPr>
      <w:r w:rsidRPr="006473EC">
        <w:t>Neya, I., et al. (2024). Thermal comfort in compressed earth block buildings in hot arid climates. </w:t>
      </w:r>
      <w:hyperlink r:id="rId17" w:history="1">
        <w:r w:rsidR="00A537CB" w:rsidRPr="00A537CB">
          <w:rPr>
            <w:rStyle w:val="Hyperlink"/>
            <w:i/>
            <w:iCs/>
          </w:rPr>
          <w:t>Journal of Minerals and Materials Characterization and Engineering</w:t>
        </w:r>
      </w:hyperlink>
      <w:r w:rsidR="00A537CB" w:rsidRPr="00A537CB">
        <w:rPr>
          <w:i/>
          <w:iCs/>
        </w:rPr>
        <w:t> </w:t>
      </w:r>
      <w:r w:rsidR="00A537CB" w:rsidRPr="00A537CB">
        <w:t xml:space="preserve">12(01):1-16 </w:t>
      </w:r>
      <w:hyperlink r:id="rId18" w:tgtFrame="_blank" w:history="1">
        <w:r w:rsidR="00A537CB" w:rsidRPr="00A537CB">
          <w:rPr>
            <w:rStyle w:val="Hyperlink"/>
          </w:rPr>
          <w:t>10.4236/jmmce.2024.121001</w:t>
        </w:r>
      </w:hyperlink>
    </w:p>
    <w:p w14:paraId="7C76749F" w14:textId="77777777" w:rsidR="006473EC" w:rsidRPr="006473EC" w:rsidRDefault="006473EC" w:rsidP="006473EC">
      <w:pPr>
        <w:spacing w:before="120" w:after="120" w:line="360" w:lineRule="auto"/>
        <w:jc w:val="both"/>
      </w:pPr>
      <w:r w:rsidRPr="006473EC">
        <w:t>Nigerian Meteorological Agency. (2021). </w:t>
      </w:r>
      <w:r w:rsidRPr="006473EC">
        <w:rPr>
          <w:i/>
          <w:iCs/>
        </w:rPr>
        <w:t>Climate data report: Nigeria 1961-2020</w:t>
      </w:r>
      <w:r w:rsidRPr="006473EC">
        <w:t>. NIMET.</w:t>
      </w:r>
    </w:p>
    <w:p w14:paraId="6765023A" w14:textId="77777777" w:rsidR="006473EC" w:rsidRPr="006473EC" w:rsidRDefault="006473EC" w:rsidP="006473EC">
      <w:pPr>
        <w:spacing w:before="120" w:after="120" w:line="360" w:lineRule="auto"/>
        <w:jc w:val="both"/>
      </w:pPr>
      <w:r w:rsidRPr="006473EC">
        <w:t xml:space="preserve">Olaleye, A. A., &amp; Ibitoye, O. A. (2022). Architect's response on </w:t>
      </w:r>
      <w:proofErr w:type="spellStart"/>
      <w:r w:rsidRPr="006473EC">
        <w:t>utilisation</w:t>
      </w:r>
      <w:proofErr w:type="spellEnd"/>
      <w:r w:rsidRPr="006473EC">
        <w:t xml:space="preserve"> of interlocking </w:t>
      </w:r>
      <w:proofErr w:type="spellStart"/>
      <w:r w:rsidRPr="006473EC">
        <w:t>stabilised</w:t>
      </w:r>
      <w:proofErr w:type="spellEnd"/>
      <w:r w:rsidRPr="006473EC">
        <w:t xml:space="preserve"> soil blocks as an alternative building material for housing projects in Southwest Nigeria. </w:t>
      </w:r>
      <w:r w:rsidRPr="006473EC">
        <w:rPr>
          <w:i/>
          <w:iCs/>
        </w:rPr>
        <w:t>FUDMA Journal of Sciences</w:t>
      </w:r>
      <w:r w:rsidRPr="006473EC">
        <w:t>, *6*(5), 198-202. </w:t>
      </w:r>
      <w:hyperlink r:id="rId19" w:tgtFrame="_blank" w:history="1">
        <w:r w:rsidRPr="006473EC">
          <w:rPr>
            <w:rStyle w:val="Hyperlink"/>
          </w:rPr>
          <w:t>https://doi.org/10.33003/fjs-2022-0605-1191</w:t>
        </w:r>
      </w:hyperlink>
      <w:r w:rsidRPr="006473EC">
        <w:t> </w:t>
      </w:r>
    </w:p>
    <w:p w14:paraId="672443D4" w14:textId="77777777" w:rsidR="006473EC" w:rsidRPr="006473EC" w:rsidRDefault="006473EC" w:rsidP="006473EC">
      <w:pPr>
        <w:spacing w:before="120" w:after="120" w:line="360" w:lineRule="auto"/>
        <w:jc w:val="both"/>
      </w:pPr>
      <w:r w:rsidRPr="006473EC">
        <w:t>Olgyay, V. (1963). </w:t>
      </w:r>
      <w:r w:rsidRPr="006473EC">
        <w:rPr>
          <w:i/>
          <w:iCs/>
        </w:rPr>
        <w:t>Design with climate: Bioclimatic approach to architectural regionalism</w:t>
      </w:r>
      <w:r w:rsidRPr="006473EC">
        <w:t>. Princeton University Press.</w:t>
      </w:r>
    </w:p>
    <w:p w14:paraId="754AF733" w14:textId="77777777" w:rsidR="006473EC" w:rsidRPr="006473EC" w:rsidRDefault="006473EC" w:rsidP="006473EC">
      <w:pPr>
        <w:spacing w:before="120" w:after="120" w:line="360" w:lineRule="auto"/>
        <w:jc w:val="both"/>
      </w:pPr>
      <w:proofErr w:type="spellStart"/>
      <w:r w:rsidRPr="006473EC">
        <w:t>Oyelami</w:t>
      </w:r>
      <w:proofErr w:type="spellEnd"/>
      <w:r w:rsidRPr="006473EC">
        <w:t>, C. A., &amp; Van Roy, J. L. (2016). A review of the use of lateritic soils in the construction/development of sustainable housing in Africa: A geological perspective. </w:t>
      </w:r>
      <w:r w:rsidRPr="006473EC">
        <w:rPr>
          <w:i/>
          <w:iCs/>
        </w:rPr>
        <w:t>Journal of African Earth Sciences</w:t>
      </w:r>
      <w:r w:rsidRPr="006473EC">
        <w:t>, *119*, 226-237. </w:t>
      </w:r>
      <w:hyperlink r:id="rId20" w:tgtFrame="_blank" w:history="1">
        <w:r w:rsidRPr="006473EC">
          <w:rPr>
            <w:rStyle w:val="Hyperlink"/>
          </w:rPr>
          <w:t>https://doi.org/10.1016/j.jafrearsci.2016.04.005</w:t>
        </w:r>
      </w:hyperlink>
    </w:p>
    <w:p w14:paraId="57FA61E7" w14:textId="77777777" w:rsidR="006473EC" w:rsidRPr="006473EC" w:rsidRDefault="006473EC" w:rsidP="006473EC">
      <w:pPr>
        <w:spacing w:before="120" w:after="120" w:line="360" w:lineRule="auto"/>
        <w:jc w:val="both"/>
      </w:pPr>
      <w:r w:rsidRPr="006473EC">
        <w:t>Pérez-Peña, A. M. (2009). </w:t>
      </w:r>
      <w:r w:rsidRPr="006473EC">
        <w:rPr>
          <w:i/>
          <w:iCs/>
        </w:rPr>
        <w:t xml:space="preserve">Interlocking </w:t>
      </w:r>
      <w:proofErr w:type="spellStart"/>
      <w:r w:rsidRPr="006473EC">
        <w:rPr>
          <w:i/>
          <w:iCs/>
        </w:rPr>
        <w:t>stabilised</w:t>
      </w:r>
      <w:proofErr w:type="spellEnd"/>
      <w:r w:rsidRPr="006473EC">
        <w:rPr>
          <w:i/>
          <w:iCs/>
        </w:rPr>
        <w:t xml:space="preserve"> soil blocks: Appropriate earth technologies in Uganda</w:t>
      </w:r>
      <w:r w:rsidRPr="006473EC">
        <w:t>. UN HABITAT.</w:t>
      </w:r>
    </w:p>
    <w:p w14:paraId="3B8AB6DB" w14:textId="77777777" w:rsidR="006473EC" w:rsidRPr="006473EC" w:rsidRDefault="006473EC" w:rsidP="006473EC">
      <w:pPr>
        <w:spacing w:before="120" w:after="120" w:line="360" w:lineRule="auto"/>
        <w:jc w:val="both"/>
      </w:pPr>
      <w:r w:rsidRPr="006473EC">
        <w:t>UN-Habitat. (2020). </w:t>
      </w:r>
      <w:r w:rsidRPr="006473EC">
        <w:rPr>
          <w:i/>
          <w:iCs/>
        </w:rPr>
        <w:t>Building resilience in urban settlements</w:t>
      </w:r>
      <w:r w:rsidRPr="006473EC">
        <w:t xml:space="preserve">. United Nations Human Settlements </w:t>
      </w:r>
      <w:proofErr w:type="spellStart"/>
      <w:r w:rsidRPr="006473EC">
        <w:t>Programme</w:t>
      </w:r>
      <w:proofErr w:type="spellEnd"/>
      <w:r w:rsidRPr="006473EC">
        <w:t>.</w:t>
      </w:r>
    </w:p>
    <w:p w14:paraId="5395C487" w14:textId="77777777" w:rsidR="006473EC" w:rsidRPr="006473EC" w:rsidRDefault="006473EC" w:rsidP="006473EC">
      <w:pPr>
        <w:spacing w:before="120" w:after="120" w:line="360" w:lineRule="auto"/>
        <w:jc w:val="both"/>
      </w:pPr>
      <w:r w:rsidRPr="006473EC">
        <w:t xml:space="preserve">United Nations Environment </w:t>
      </w:r>
      <w:proofErr w:type="spellStart"/>
      <w:r w:rsidRPr="006473EC">
        <w:t>Programme</w:t>
      </w:r>
      <w:proofErr w:type="spellEnd"/>
      <w:r w:rsidRPr="006473EC">
        <w:t>. (2023). </w:t>
      </w:r>
      <w:r w:rsidRPr="006473EC">
        <w:rPr>
          <w:i/>
          <w:iCs/>
        </w:rPr>
        <w:t>Global status report for buildings and construction</w:t>
      </w:r>
      <w:r w:rsidRPr="006473EC">
        <w:t>. UNEP.</w:t>
      </w:r>
    </w:p>
    <w:p w14:paraId="33A14822" w14:textId="77777777" w:rsidR="006473EC" w:rsidRPr="006473EC" w:rsidRDefault="006473EC" w:rsidP="006473EC">
      <w:pPr>
        <w:spacing w:before="120" w:after="120" w:line="360" w:lineRule="auto"/>
        <w:jc w:val="both"/>
      </w:pPr>
      <w:proofErr w:type="spellStart"/>
      <w:r w:rsidRPr="006473EC">
        <w:t>Venkatarama</w:t>
      </w:r>
      <w:proofErr w:type="spellEnd"/>
      <w:r w:rsidRPr="006473EC">
        <w:t xml:space="preserve"> Reddy, B. (2015). Design of a manual press for the production of compacted stabilized soil blocks. </w:t>
      </w:r>
      <w:r w:rsidRPr="006473EC">
        <w:rPr>
          <w:i/>
          <w:iCs/>
        </w:rPr>
        <w:t>Current Science</w:t>
      </w:r>
      <w:r w:rsidRPr="006473EC">
        <w:t>, *109*(9), 1653-1660.</w:t>
      </w:r>
    </w:p>
    <w:p w14:paraId="4D591911" w14:textId="77777777" w:rsidR="006473EC" w:rsidRPr="006473EC" w:rsidRDefault="006473EC" w:rsidP="006473EC">
      <w:pPr>
        <w:spacing w:before="120" w:after="120" w:line="360" w:lineRule="auto"/>
        <w:jc w:val="both"/>
      </w:pPr>
      <w:r w:rsidRPr="006473EC">
        <w:t>World Bank. (2023). </w:t>
      </w:r>
      <w:r w:rsidRPr="006473EC">
        <w:rPr>
          <w:i/>
          <w:iCs/>
        </w:rPr>
        <w:t>Nigeria urbanization review</w:t>
      </w:r>
      <w:r w:rsidRPr="006473EC">
        <w:t>. World Bank Group.</w:t>
      </w:r>
    </w:p>
    <w:p w14:paraId="6E237D69" w14:textId="77777777" w:rsidR="006473EC" w:rsidRPr="006473EC" w:rsidRDefault="006473EC" w:rsidP="006473EC">
      <w:pPr>
        <w:spacing w:before="120" w:after="120" w:line="360" w:lineRule="auto"/>
        <w:jc w:val="both"/>
      </w:pPr>
      <w:r w:rsidRPr="006473EC">
        <w:t>Yamane, T. (1967). </w:t>
      </w:r>
      <w:r w:rsidRPr="006473EC">
        <w:rPr>
          <w:i/>
          <w:iCs/>
        </w:rPr>
        <w:t>Statistics: An introductory analysis</w:t>
      </w:r>
      <w:r w:rsidRPr="006473EC">
        <w:t> (2nd ed.). Harper &amp; Row.</w:t>
      </w:r>
    </w:p>
    <w:p w14:paraId="5A684B33" w14:textId="77777777" w:rsidR="00F6337F" w:rsidRDefault="00F6337F" w:rsidP="006473EC">
      <w:pPr>
        <w:spacing w:before="120" w:after="120" w:line="360" w:lineRule="auto"/>
        <w:jc w:val="both"/>
      </w:pPr>
    </w:p>
    <w:sectPr w:rsidR="00F633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F708DA"/>
    <w:multiLevelType w:val="multilevel"/>
    <w:tmpl w:val="99606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B86F31"/>
    <w:multiLevelType w:val="multilevel"/>
    <w:tmpl w:val="E11C7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D1668A"/>
    <w:multiLevelType w:val="multilevel"/>
    <w:tmpl w:val="2DF21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D426F2"/>
    <w:multiLevelType w:val="multilevel"/>
    <w:tmpl w:val="996C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B48FF"/>
    <w:multiLevelType w:val="multilevel"/>
    <w:tmpl w:val="4312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135FD1"/>
    <w:multiLevelType w:val="multilevel"/>
    <w:tmpl w:val="1D4C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7352DB"/>
    <w:multiLevelType w:val="multilevel"/>
    <w:tmpl w:val="D550E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A9190A"/>
    <w:multiLevelType w:val="multilevel"/>
    <w:tmpl w:val="95AE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D07478"/>
    <w:multiLevelType w:val="multilevel"/>
    <w:tmpl w:val="F6C8E43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E355351"/>
    <w:multiLevelType w:val="multilevel"/>
    <w:tmpl w:val="25D6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BE0FCB"/>
    <w:multiLevelType w:val="multilevel"/>
    <w:tmpl w:val="2224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477F1C"/>
    <w:multiLevelType w:val="multilevel"/>
    <w:tmpl w:val="30C2E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770707">
    <w:abstractNumId w:val="0"/>
  </w:num>
  <w:num w:numId="2" w16cid:durableId="1462259728">
    <w:abstractNumId w:val="1"/>
  </w:num>
  <w:num w:numId="3" w16cid:durableId="1442605710">
    <w:abstractNumId w:val="7"/>
  </w:num>
  <w:num w:numId="4" w16cid:durableId="2088259855">
    <w:abstractNumId w:val="4"/>
  </w:num>
  <w:num w:numId="5" w16cid:durableId="1923098684">
    <w:abstractNumId w:val="12"/>
  </w:num>
  <w:num w:numId="6" w16cid:durableId="1801848447">
    <w:abstractNumId w:val="10"/>
  </w:num>
  <w:num w:numId="7" w16cid:durableId="1728452696">
    <w:abstractNumId w:val="2"/>
  </w:num>
  <w:num w:numId="8" w16cid:durableId="1639073386">
    <w:abstractNumId w:val="3"/>
  </w:num>
  <w:num w:numId="9" w16cid:durableId="1202743633">
    <w:abstractNumId w:val="13"/>
  </w:num>
  <w:num w:numId="10" w16cid:durableId="277494559">
    <w:abstractNumId w:val="8"/>
  </w:num>
  <w:num w:numId="11" w16cid:durableId="2132088116">
    <w:abstractNumId w:val="9"/>
  </w:num>
  <w:num w:numId="12" w16cid:durableId="841554770">
    <w:abstractNumId w:val="6"/>
  </w:num>
  <w:num w:numId="13" w16cid:durableId="1887138910">
    <w:abstractNumId w:val="11"/>
  </w:num>
  <w:num w:numId="14" w16cid:durableId="187641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37F"/>
    <w:rsid w:val="000A6B34"/>
    <w:rsid w:val="000E043A"/>
    <w:rsid w:val="00137480"/>
    <w:rsid w:val="00157248"/>
    <w:rsid w:val="00174243"/>
    <w:rsid w:val="0020074B"/>
    <w:rsid w:val="00230559"/>
    <w:rsid w:val="00307104"/>
    <w:rsid w:val="00361D9A"/>
    <w:rsid w:val="003A1F15"/>
    <w:rsid w:val="00506C58"/>
    <w:rsid w:val="00517D2A"/>
    <w:rsid w:val="005B61F3"/>
    <w:rsid w:val="005E3464"/>
    <w:rsid w:val="006473EC"/>
    <w:rsid w:val="006843F7"/>
    <w:rsid w:val="006C0315"/>
    <w:rsid w:val="006E2A72"/>
    <w:rsid w:val="0071512A"/>
    <w:rsid w:val="007307E9"/>
    <w:rsid w:val="00745A50"/>
    <w:rsid w:val="007A1AF0"/>
    <w:rsid w:val="007B0F90"/>
    <w:rsid w:val="007D73BA"/>
    <w:rsid w:val="007E798F"/>
    <w:rsid w:val="00851DF2"/>
    <w:rsid w:val="008C365B"/>
    <w:rsid w:val="008F48FE"/>
    <w:rsid w:val="00935049"/>
    <w:rsid w:val="009C08D0"/>
    <w:rsid w:val="00A4630D"/>
    <w:rsid w:val="00A51A02"/>
    <w:rsid w:val="00A537CB"/>
    <w:rsid w:val="00AE44E3"/>
    <w:rsid w:val="00B25882"/>
    <w:rsid w:val="00B2739D"/>
    <w:rsid w:val="00B31DBB"/>
    <w:rsid w:val="00B811E0"/>
    <w:rsid w:val="00BC383C"/>
    <w:rsid w:val="00CE533A"/>
    <w:rsid w:val="00D52880"/>
    <w:rsid w:val="00D91B60"/>
    <w:rsid w:val="00E86456"/>
    <w:rsid w:val="00EA2578"/>
    <w:rsid w:val="00EE0464"/>
    <w:rsid w:val="00F51ECD"/>
    <w:rsid w:val="00F53902"/>
    <w:rsid w:val="00F6337F"/>
    <w:rsid w:val="00FA19C7"/>
    <w:rsid w:val="00FC0874"/>
    <w:rsid w:val="00FC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C497"/>
  <w15:docId w15:val="{AAB45A0C-4A8F-46F1-AB36-BBB77278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ListParagraph">
    <w:name w:val="List Paragraph"/>
    <w:basedOn w:val="Normal"/>
    <w:uiPriority w:val="34"/>
    <w:qFormat/>
    <w:rsid w:val="009C08D0"/>
    <w:pPr>
      <w:ind w:left="720"/>
      <w:contextualSpacing/>
    </w:pPr>
  </w:style>
  <w:style w:type="character" w:styleId="Hyperlink">
    <w:name w:val="Hyperlink"/>
    <w:basedOn w:val="DefaultParagraphFont"/>
    <w:uiPriority w:val="99"/>
    <w:unhideWhenUsed/>
    <w:rsid w:val="00B2739D"/>
    <w:rPr>
      <w:color w:val="0000FF" w:themeColor="hyperlink"/>
      <w:u w:val="single"/>
    </w:rPr>
  </w:style>
  <w:style w:type="character" w:styleId="UnresolvedMention">
    <w:name w:val="Unresolved Mention"/>
    <w:basedOn w:val="DefaultParagraphFont"/>
    <w:uiPriority w:val="99"/>
    <w:semiHidden/>
    <w:unhideWhenUsed/>
    <w:rsid w:val="00B27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3390/su12072952" TargetMode="External"/><Relationship Id="rId13" Type="http://schemas.openxmlformats.org/officeDocument/2006/relationships/hyperlink" Target="https://doi.org/10.33003/fjs-2023-0702-2038" TargetMode="External"/><Relationship Id="rId18" Type="http://schemas.openxmlformats.org/officeDocument/2006/relationships/hyperlink" Target="https://doi.org/10.4236/jmmce.2024.12100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5539/emr.v8n2p42" TargetMode="External"/><Relationship Id="rId12" Type="http://schemas.openxmlformats.org/officeDocument/2006/relationships/hyperlink" Target="https://doi.org/10.33003/fjs-2021-0601-2037" TargetMode="External"/><Relationship Id="rId17" Type="http://schemas.openxmlformats.org/officeDocument/2006/relationships/hyperlink" Target="https://www.researchgate.net/journal/Journal-of-Minerals-and-Materials-Characterization-and-Engineering-2327-4085?_tp=eyJjb250ZXh0Ijp7ImZpcnN0UGFnZSI6Il9kaXJlY3QiLCJwYWdlIjoicHVibGljYXRpb24iLCJwb3NpdGlvbiI6InBhZ2VIZWFkZXIifX0" TargetMode="External"/><Relationship Id="rId2" Type="http://schemas.openxmlformats.org/officeDocument/2006/relationships/styles" Target="styles.xml"/><Relationship Id="rId16" Type="http://schemas.openxmlformats.org/officeDocument/2006/relationships/hyperlink" Target="https://doi.org/10.1016/j.landurbplan.2015.11.011" TargetMode="External"/><Relationship Id="rId20" Type="http://schemas.openxmlformats.org/officeDocument/2006/relationships/hyperlink" Target="https://doi.org/10.1016/j.jafrearsci.2016.04.005" TargetMode="External"/><Relationship Id="rId1" Type="http://schemas.openxmlformats.org/officeDocument/2006/relationships/numbering" Target="numbering.xml"/><Relationship Id="rId6" Type="http://schemas.openxmlformats.org/officeDocument/2006/relationships/hyperlink" Target="https://doi.org/10.1191/1478088706qp063oa" TargetMode="External"/><Relationship Id="rId11" Type="http://schemas.openxmlformats.org/officeDocument/2006/relationships/hyperlink" Target="https://doi.org/10.5281/ZENODO.7213970" TargetMode="External"/><Relationship Id="rId5" Type="http://schemas.openxmlformats.org/officeDocument/2006/relationships/hyperlink" Target="https://doi.org/10.1016/j.foar.2017.08.003" TargetMode="External"/><Relationship Id="rId15" Type="http://schemas.openxmlformats.org/officeDocument/2006/relationships/hyperlink" Target="https://doi.org/10.3390/buildings15193484" TargetMode="External"/><Relationship Id="rId10" Type="http://schemas.openxmlformats.org/officeDocument/2006/relationships/hyperlink" Target="https://doi.org/10.1146/annurev.es.04.110173.000245" TargetMode="External"/><Relationship Id="rId19" Type="http://schemas.openxmlformats.org/officeDocument/2006/relationships/hyperlink" Target="https://doi.org/10.33003/fjs-2022-0605-1191" TargetMode="External"/><Relationship Id="rId4" Type="http://schemas.openxmlformats.org/officeDocument/2006/relationships/webSettings" Target="webSettings.xml"/><Relationship Id="rId9" Type="http://schemas.openxmlformats.org/officeDocument/2006/relationships/hyperlink" Target="https://doi.org/10.5751/ES-03610-150420" TargetMode="External"/><Relationship Id="rId14" Type="http://schemas.openxmlformats.org/officeDocument/2006/relationships/hyperlink" Target="https://doi.org/10.9734/ajgr/2026/v9i238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37</Pages>
  <Words>9609</Words>
  <Characters>54774</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Full%20Thesis</vt:lpstr>
    </vt:vector>
  </TitlesOfParts>
  <Company/>
  <LinksUpToDate>false</LinksUpToDate>
  <CharactersWithSpaces>64255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Full%20Thesis</dc:title>
  <dc:creator>ykih .</dc:creator>
  <cp:lastModifiedBy>ykih .</cp:lastModifiedBy>
  <cp:revision>20</cp:revision>
  <cp:lastPrinted>2026-07-04T08:43:00Z</cp:lastPrinted>
  <dcterms:created xsi:type="dcterms:W3CDTF">2026-06-04T18:52:00Z</dcterms:created>
  <dcterms:modified xsi:type="dcterms:W3CDTF">2026-07-04T08:46:00Z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80d6fb7c-651e-46d9-9b44-29030f1c4728</vt:lpwstr>
  </property>
</Properties>
</file>