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9A8C1" w14:textId="1BE377DB" w:rsidR="00076984" w:rsidRPr="002E2612" w:rsidRDefault="001604E0" w:rsidP="002E2612">
      <w:pPr>
        <w:spacing w:after="11" w:line="253" w:lineRule="auto"/>
        <w:ind w:left="-5"/>
        <w:jc w:val="center"/>
        <w:rPr>
          <w:rFonts w:ascii="Times New Roman" w:hAnsi="Times New Roman" w:cs="Times New Roman"/>
          <w:color w:val="auto"/>
          <w:sz w:val="28"/>
          <w:szCs w:val="28"/>
        </w:rPr>
      </w:pPr>
      <w:r w:rsidRPr="002E2612">
        <w:rPr>
          <w:rFonts w:ascii="Times New Roman" w:hAnsi="Times New Roman" w:cs="Times New Roman"/>
          <w:b/>
          <w:color w:val="auto"/>
          <w:sz w:val="28"/>
          <w:szCs w:val="28"/>
        </w:rPr>
        <w:t>The Impact of Class Size Reduction on</w:t>
      </w:r>
    </w:p>
    <w:p w14:paraId="70ABC8B4" w14:textId="0079DBFD" w:rsidR="00076984" w:rsidRPr="002E2612" w:rsidRDefault="001604E0" w:rsidP="002E2612">
      <w:pPr>
        <w:spacing w:after="11" w:line="253" w:lineRule="auto"/>
        <w:ind w:left="-5"/>
        <w:jc w:val="center"/>
        <w:rPr>
          <w:rFonts w:ascii="Times New Roman" w:hAnsi="Times New Roman" w:cs="Times New Roman"/>
          <w:color w:val="auto"/>
          <w:sz w:val="28"/>
          <w:szCs w:val="28"/>
        </w:rPr>
      </w:pPr>
      <w:r w:rsidRPr="002E2612">
        <w:rPr>
          <w:rFonts w:ascii="Times New Roman" w:hAnsi="Times New Roman" w:cs="Times New Roman"/>
          <w:b/>
          <w:color w:val="auto"/>
          <w:sz w:val="28"/>
          <w:szCs w:val="28"/>
        </w:rPr>
        <w:t/>
      </w:r>
    </w:p>
    <w:p w14:paraId="093FA45E" w14:textId="5DF91AB4" w:rsidR="00076984" w:rsidRPr="002E2612" w:rsidRDefault="001604E0" w:rsidP="002E2612">
      <w:pPr>
        <w:spacing w:after="113" w:line="253" w:lineRule="auto"/>
        <w:ind w:left="-5"/>
        <w:jc w:val="center"/>
        <w:rPr>
          <w:rFonts w:ascii="Times New Roman" w:hAnsi="Times New Roman" w:cs="Times New Roman"/>
          <w:color w:val="auto"/>
          <w:sz w:val="28"/>
          <w:szCs w:val="28"/>
        </w:rPr>
      </w:pPr>
      <w:r w:rsidRPr="002E2612">
        <w:rPr>
          <w:rFonts w:ascii="Times New Roman" w:hAnsi="Times New Roman" w:cs="Times New Roman"/>
          <w:b/>
          <w:color w:val="auto"/>
          <w:sz w:val="28"/>
          <w:szCs w:val="28"/>
        </w:rPr>
        <w:t/>
      </w:r>
    </w:p>
    <w:p w14:paraId="6991711A" w14:textId="77777777" w:rsidR="00076984" w:rsidRPr="00FF5F86" w:rsidRDefault="00076984">
      <w:pPr>
        <w:spacing w:after="113" w:line="253" w:lineRule="auto"/>
        <w:ind w:left="-5"/>
        <w:jc w:val="both"/>
        <w:rPr>
          <w:color w:val="auto"/>
        </w:rPr>
      </w:pPr>
    </w:p>
    <w:p w14:paraId="0BACF32D" w14:textId="77777777" w:rsidR="00076984" w:rsidRPr="00FF5F86" w:rsidRDefault="00076984">
      <w:pPr>
        <w:spacing w:after="113" w:line="253" w:lineRule="auto"/>
        <w:ind w:left="-5"/>
        <w:jc w:val="both"/>
        <w:rPr>
          <w:color w:val="auto"/>
        </w:rPr>
      </w:pPr>
    </w:p>
    <w:p w14:paraId="04F9BB13" w14:textId="77777777" w:rsidR="00076984" w:rsidRPr="00FF5F86" w:rsidRDefault="001604E0">
      <w:pPr>
        <w:pStyle w:val="Heading1"/>
        <w:ind w:left="-5"/>
        <w:jc w:val="both"/>
        <w:rPr>
          <w:color w:val="auto"/>
        </w:rPr>
      </w:pPr>
      <w:r w:rsidRPr="00FF5F86">
        <w:rPr>
          <w:color w:val="auto"/>
        </w:rPr>
        <w:t xml:space="preserve">Abstract </w:t>
      </w:r>
    </w:p>
    <w:p w14:paraId="61DF2AB2" w14:textId="77777777" w:rsidR="002A4EE1" w:rsidRPr="00FF5F86" w:rsidRDefault="002A4EE1" w:rsidP="002A4EE1">
      <w:pPr>
        <w:rPr>
          <w:color w:val="auto"/>
        </w:rPr>
      </w:pPr>
    </w:p>
    <w:p w14:paraId="062D2FE2" w14:textId="0E92A7A7" w:rsidR="006A1707" w:rsidRDefault="00010ADA" w:rsidP="00010ADA">
      <w:pPr>
        <w:spacing w:after="0" w:line="240" w:lineRule="auto"/>
        <w:ind w:left="0" w:firstLine="0"/>
        <w:rPr>
          <w:rFonts w:ascii="Times New Roman" w:eastAsia="Times New Roman" w:hAnsi="Times New Roman" w:cs="Times New Roman"/>
          <w:color w:val="auto"/>
          <w:kern w:val="0"/>
          <w:sz w:val="24"/>
          <w:lang w:val="en-GM" w:eastAsia="zh-CN"/>
          <w14:ligatures w14:val="none"/>
        </w:rPr>
      </w:pPr>
      <w:r w:rsidRPr="00FF5F86">
        <w:rPr>
          <w:rFonts w:ascii="Times New Roman" w:eastAsia="Times New Roman" w:hAnsi="Times New Roman" w:cs="Times New Roman"/>
          <w:color w:val="auto"/>
          <w:kern w:val="0"/>
          <w:sz w:val="24"/>
          <w:lang w:val="en-GM" w:eastAsia="zh-CN"/>
          <w14:ligatures w14:val="none"/>
        </w:rPr>
        <w:t xml:space="preserve">This study used an explanatory sequential mixed-methods design. This strategy first establishes quantitative empirical patterns, then uses qualitative exploration to contextualize and explain those trends. The first quantitative phase used a quasi-experimental, cross-sectional differential design to examine differences in student achievement among different class sizes and a correlational predictive design to map teacher morale. In the next qualitative phase, phenomenological semi-structured interviews and naturalistic classroom observations were used to uncover the instructional and psychological intricacies embedded in the statistical models. </w:t>
      </w:r>
      <w:r w:rsidRPr="00FF5F86">
        <w:rPr>
          <w:rFonts w:ascii="Times New Roman" w:eastAsia="Times New Roman" w:hAnsi="Times New Roman" w:cs="Times New Roman"/>
          <w:color w:val="auto"/>
          <w:kern w:val="0"/>
          <w:sz w:val="24"/>
          <w:lang w:val="en-GM" w:eastAsia="zh-CN"/>
          <w14:ligatures w14:val="none"/>
        </w:rPr>
        <w:br/>
        <w:t xml:space="preserve">Population and Sample Determination </w:t>
      </w:r>
      <w:r w:rsidRPr="00FF5F86">
        <w:rPr>
          <w:rFonts w:ascii="Times New Roman" w:eastAsia="Times New Roman" w:hAnsi="Times New Roman" w:cs="Times New Roman"/>
          <w:color w:val="auto"/>
          <w:kern w:val="0"/>
          <w:sz w:val="24"/>
          <w:lang w:val="en-GM" w:eastAsia="zh-CN"/>
          <w14:ligatures w14:val="none"/>
        </w:rPr>
        <w:br/>
        <w:t xml:space="preserve">The target population consisted of all science students and serving science teachers in the senior secondary schools in MoBSE Educational Region 1 (Banjul and Kanifing Municipalities) and Region 2 (West Coast Region). These sites are the economic core of The Gambia, both urban and peri-urban, where the problem of classroom overcrowding is most severe as a result of rapid demographic changes. </w:t>
      </w:r>
      <w:r w:rsidRPr="00FF5F86">
        <w:rPr>
          <w:rFonts w:ascii="Times New Roman" w:eastAsia="Times New Roman" w:hAnsi="Times New Roman" w:cs="Times New Roman"/>
          <w:color w:val="auto"/>
          <w:kern w:val="0"/>
          <w:sz w:val="24"/>
          <w:lang w:val="en-GM" w:eastAsia="zh-CN"/>
          <w14:ligatures w14:val="none"/>
        </w:rPr>
        <w:br/>
        <w:t xml:space="preserve">A multi-stage stratified random sampling procedure was employed: </w:t>
      </w:r>
      <w:r w:rsidRPr="00FF5F86">
        <w:rPr>
          <w:rFonts w:ascii="Times New Roman" w:eastAsia="Times New Roman" w:hAnsi="Times New Roman" w:cs="Times New Roman"/>
          <w:color w:val="auto"/>
          <w:kern w:val="0"/>
          <w:sz w:val="24"/>
          <w:lang w:val="en-GM" w:eastAsia="zh-CN"/>
          <w14:ligatures w14:val="none"/>
        </w:rPr>
        <w:br/>
        <w:t xml:space="preserve">1. Initially, twelve (12) public and government-aided senior secondary schools were identified and stratified based on their current </w:t>
      </w:r>
      <w:r w:rsidR="0060507D" w:rsidRPr="00FF5F86">
        <w:rPr>
          <w:rFonts w:ascii="Times New Roman" w:eastAsia="Times New Roman" w:hAnsi="Times New Roman" w:cs="Times New Roman"/>
          <w:color w:val="auto"/>
          <w:kern w:val="0"/>
          <w:sz w:val="24"/>
          <w:lang w:val="en-GM" w:eastAsia="zh-CN"/>
          <w14:ligatures w14:val="none"/>
        </w:rPr>
        <w:t>enrolment</w:t>
      </w:r>
      <w:r w:rsidRPr="00FF5F86">
        <w:rPr>
          <w:rFonts w:ascii="Times New Roman" w:eastAsia="Times New Roman" w:hAnsi="Times New Roman" w:cs="Times New Roman"/>
          <w:color w:val="auto"/>
          <w:kern w:val="0"/>
          <w:sz w:val="24"/>
          <w:lang w:val="en-GM" w:eastAsia="zh-CN"/>
          <w14:ligatures w14:val="none"/>
        </w:rPr>
        <w:t xml:space="preserve"> densities (six with chronic large cohorts and six with structurally managed small sections). </w:t>
      </w:r>
      <w:r w:rsidRPr="00FF5F86">
        <w:rPr>
          <w:rFonts w:ascii="Times New Roman" w:eastAsia="Times New Roman" w:hAnsi="Times New Roman" w:cs="Times New Roman"/>
          <w:color w:val="auto"/>
          <w:kern w:val="0"/>
          <w:sz w:val="24"/>
          <w:lang w:val="en-GM" w:eastAsia="zh-CN"/>
          <w14:ligatures w14:val="none"/>
        </w:rPr>
        <w:br/>
        <w:t xml:space="preserve">2. A stratified random sample of 360 Grade 11 science students (180 from reduced classes and 180 from large classes) was selected from these strata using school registry lists. </w:t>
      </w:r>
      <w:r w:rsidRPr="00FF5F86">
        <w:rPr>
          <w:rFonts w:ascii="Times New Roman" w:eastAsia="Times New Roman" w:hAnsi="Times New Roman" w:cs="Times New Roman"/>
          <w:color w:val="auto"/>
          <w:kern w:val="0"/>
          <w:sz w:val="24"/>
          <w:lang w:val="en-GM" w:eastAsia="zh-CN"/>
          <w14:ligatures w14:val="none"/>
        </w:rPr>
        <w:br/>
        <w:t xml:space="preserve">3. At the same time, 80 science teachers (including Physics, Chemistry and Biology instructors from the selected institutions) were enrolled to complete the psychometric morale instrument. </w:t>
      </w:r>
      <w:r w:rsidRPr="00FF5F86">
        <w:rPr>
          <w:rFonts w:ascii="Times New Roman" w:eastAsia="Times New Roman" w:hAnsi="Times New Roman" w:cs="Times New Roman"/>
          <w:color w:val="auto"/>
          <w:kern w:val="0"/>
          <w:sz w:val="24"/>
          <w:lang w:val="en-GM" w:eastAsia="zh-CN"/>
          <w14:ligatures w14:val="none"/>
        </w:rPr>
        <w:br/>
        <w:t xml:space="preserve">4. From this teacher cohort 12 educators were selected using purposive sampling for in-depth qualitative interviewing based on years of experience and extreme classroom density profiles. </w:t>
      </w:r>
      <w:r w:rsidRPr="00FF5F86">
        <w:rPr>
          <w:rFonts w:ascii="Times New Roman" w:eastAsia="Times New Roman" w:hAnsi="Times New Roman" w:cs="Times New Roman"/>
          <w:color w:val="auto"/>
          <w:kern w:val="0"/>
          <w:sz w:val="24"/>
          <w:lang w:val="en-GM" w:eastAsia="zh-CN"/>
          <w14:ligatures w14:val="none"/>
        </w:rPr>
        <w:br/>
        <w:t>Instrumentation</w:t>
      </w:r>
      <w:r w:rsidR="006A1707">
        <w:rPr>
          <w:rFonts w:ascii="Times New Roman" w:eastAsia="Times New Roman" w:hAnsi="Times New Roman" w:cs="Times New Roman"/>
          <w:color w:val="auto"/>
          <w:kern w:val="0"/>
          <w:sz w:val="24"/>
          <w:lang w:val="en-GM" w:eastAsia="zh-CN"/>
          <w14:ligatures w14:val="none"/>
        </w:rPr>
        <w:t>.</w:t>
      </w:r>
      <w:r w:rsidRPr="00FF5F86">
        <w:rPr>
          <w:rFonts w:ascii="Times New Roman" w:eastAsia="Times New Roman" w:hAnsi="Times New Roman" w:cs="Times New Roman"/>
          <w:color w:val="auto"/>
          <w:kern w:val="0"/>
          <w:sz w:val="24"/>
          <w:lang w:val="en-GM" w:eastAsia="zh-CN"/>
          <w14:ligatures w14:val="none"/>
        </w:rPr>
        <w:t xml:space="preserve"> </w:t>
      </w:r>
    </w:p>
    <w:p w14:paraId="2C39B664" w14:textId="67962598" w:rsidR="00460E54" w:rsidRDefault="00010ADA" w:rsidP="00010ADA">
      <w:pPr>
        <w:spacing w:after="0" w:line="240" w:lineRule="auto"/>
        <w:ind w:left="0" w:firstLine="0"/>
        <w:rPr>
          <w:rFonts w:ascii="Times New Roman" w:eastAsia="Times New Roman" w:hAnsi="Times New Roman" w:cs="Times New Roman"/>
          <w:color w:val="auto"/>
          <w:kern w:val="0"/>
          <w:sz w:val="24"/>
          <w:lang w:val="en-GM" w:eastAsia="zh-CN"/>
          <w14:ligatures w14:val="none"/>
        </w:rPr>
      </w:pPr>
      <w:r w:rsidRPr="00FF5F86">
        <w:rPr>
          <w:rFonts w:ascii="Times New Roman" w:eastAsia="Times New Roman" w:hAnsi="Times New Roman" w:cs="Times New Roman"/>
          <w:color w:val="auto"/>
          <w:kern w:val="0"/>
          <w:sz w:val="24"/>
          <w:lang w:val="en-GM" w:eastAsia="zh-CN"/>
          <w14:ligatures w14:val="none"/>
        </w:rPr>
        <w:br/>
      </w:r>
      <w:r w:rsidRPr="006A1707">
        <w:rPr>
          <w:rFonts w:ascii="Times New Roman" w:eastAsia="Times New Roman" w:hAnsi="Times New Roman" w:cs="Times New Roman"/>
          <w:b/>
          <w:bCs/>
          <w:color w:val="auto"/>
          <w:kern w:val="0"/>
          <w:sz w:val="24"/>
          <w:lang w:val="en-GM" w:eastAsia="zh-CN"/>
          <w14:ligatures w14:val="none"/>
        </w:rPr>
        <w:t xml:space="preserve">1. Integrated Science Achievement Test (ISAT) </w:t>
      </w:r>
      <w:r w:rsidRPr="006A1707">
        <w:rPr>
          <w:rFonts w:ascii="Times New Roman" w:eastAsia="Times New Roman" w:hAnsi="Times New Roman" w:cs="Times New Roman"/>
          <w:b/>
          <w:bCs/>
          <w:color w:val="auto"/>
          <w:kern w:val="0"/>
          <w:sz w:val="24"/>
          <w:lang w:val="en-GM" w:eastAsia="zh-CN"/>
          <w14:ligatures w14:val="none"/>
        </w:rPr>
        <w:br/>
      </w:r>
      <w:r w:rsidRPr="00FF5F86">
        <w:rPr>
          <w:rFonts w:ascii="Times New Roman" w:eastAsia="Times New Roman" w:hAnsi="Times New Roman" w:cs="Times New Roman"/>
          <w:color w:val="auto"/>
          <w:kern w:val="0"/>
          <w:sz w:val="24"/>
          <w:lang w:val="en-GM" w:eastAsia="zh-CN"/>
          <w14:ligatures w14:val="none"/>
        </w:rPr>
        <w:t xml:space="preserve">Student cognitive outcomes were measured using the ISAT, a standardized 50 item multiple choice and short answer instrument developed by the researchers. The test items were based on the West African Examinations Council (WAEC) core syllabus benchmarks for Grade 11 Physics, Chemistry and Biology. The items were designed to assess higher-order cognitive domains in Bloom's Revised Taxonomy, such as scientific analysis, data interpretation, and conceptual application, rather than simple recall of facts. </w:t>
      </w:r>
    </w:p>
    <w:p w14:paraId="46613385" w14:textId="52D7648F" w:rsidR="00FF5F86" w:rsidRDefault="00010ADA" w:rsidP="00010ADA">
      <w:pPr>
        <w:spacing w:after="0" w:line="240" w:lineRule="auto"/>
        <w:ind w:left="0" w:firstLine="0"/>
        <w:rPr>
          <w:rFonts w:ascii="Times New Roman" w:eastAsia="Times New Roman" w:hAnsi="Times New Roman" w:cs="Times New Roman"/>
          <w:color w:val="auto"/>
          <w:kern w:val="0"/>
          <w:sz w:val="24"/>
          <w:lang w:val="en-GM" w:eastAsia="zh-CN"/>
          <w14:ligatures w14:val="none"/>
        </w:rPr>
      </w:pPr>
      <w:r w:rsidRPr="00FF5F86">
        <w:rPr>
          <w:rFonts w:ascii="Times New Roman" w:eastAsia="Times New Roman" w:hAnsi="Times New Roman" w:cs="Times New Roman"/>
          <w:color w:val="auto"/>
          <w:kern w:val="0"/>
          <w:sz w:val="24"/>
          <w:lang w:val="en-GM" w:eastAsia="zh-CN"/>
          <w14:ligatures w14:val="none"/>
        </w:rPr>
        <w:br/>
      </w:r>
      <w:r w:rsidRPr="00460E54">
        <w:rPr>
          <w:rFonts w:ascii="Times New Roman" w:eastAsia="Times New Roman" w:hAnsi="Times New Roman" w:cs="Times New Roman"/>
          <w:b/>
          <w:bCs/>
          <w:color w:val="auto"/>
          <w:kern w:val="0"/>
          <w:sz w:val="24"/>
          <w:lang w:val="en-GM" w:eastAsia="zh-CN"/>
          <w14:ligatures w14:val="none"/>
        </w:rPr>
        <w:t>2</w:t>
      </w:r>
      <w:r w:rsidRPr="00FF5F86">
        <w:rPr>
          <w:rFonts w:ascii="Times New Roman" w:eastAsia="Times New Roman" w:hAnsi="Times New Roman" w:cs="Times New Roman"/>
          <w:color w:val="auto"/>
          <w:kern w:val="0"/>
          <w:sz w:val="24"/>
          <w:lang w:val="en-GM" w:eastAsia="zh-CN"/>
          <w14:ligatures w14:val="none"/>
        </w:rPr>
        <w:t xml:space="preserve">. </w:t>
      </w:r>
      <w:r w:rsidRPr="00FF5F86">
        <w:rPr>
          <w:rFonts w:ascii="Times New Roman" w:eastAsia="Times New Roman" w:hAnsi="Times New Roman" w:cs="Times New Roman"/>
          <w:b/>
          <w:bCs/>
          <w:color w:val="auto"/>
          <w:kern w:val="0"/>
          <w:sz w:val="24"/>
          <w:lang w:val="en-GM" w:eastAsia="zh-CN"/>
          <w14:ligatures w14:val="none"/>
        </w:rPr>
        <w:t>Scale of Science Teachers’ Morale and Efficacy (STMES)</w:t>
      </w:r>
      <w:r w:rsidRPr="00FF5F86">
        <w:rPr>
          <w:rFonts w:ascii="Times New Roman" w:eastAsia="Times New Roman" w:hAnsi="Times New Roman" w:cs="Times New Roman"/>
          <w:color w:val="auto"/>
          <w:kern w:val="0"/>
          <w:sz w:val="24"/>
          <w:lang w:val="en-GM" w:eastAsia="zh-CN"/>
          <w14:ligatures w14:val="none"/>
        </w:rPr>
        <w:t xml:space="preserve"> </w:t>
      </w:r>
      <w:r w:rsidRPr="00FF5F86">
        <w:rPr>
          <w:rFonts w:ascii="Times New Roman" w:eastAsia="Times New Roman" w:hAnsi="Times New Roman" w:cs="Times New Roman"/>
          <w:color w:val="auto"/>
          <w:kern w:val="0"/>
          <w:sz w:val="24"/>
          <w:lang w:val="en-GM" w:eastAsia="zh-CN"/>
          <w14:ligatures w14:val="none"/>
        </w:rPr>
        <w:br/>
        <w:t xml:space="preserve">The STMES was adapted from the Maslach Burnout Inventory (MBI) and the Bandura Teacher Self-Efficacy Scale to measure teacher well-being. The 30-item instrument was developed with a </w:t>
      </w:r>
      <w:r w:rsidRPr="00FF5F86">
        <w:rPr>
          <w:rFonts w:ascii="Times New Roman" w:eastAsia="Times New Roman" w:hAnsi="Times New Roman" w:cs="Times New Roman"/>
          <w:color w:val="auto"/>
          <w:kern w:val="0"/>
          <w:sz w:val="24"/>
          <w:lang w:val="en-GM" w:eastAsia="zh-CN"/>
          <w14:ligatures w14:val="none"/>
        </w:rPr>
        <w:lastRenderedPageBreak/>
        <w:t xml:space="preserve">5-point Likert response scale from 1 (Strongly Disagree) to 5 (Strongly Agree) and included three validated subscales: </w:t>
      </w:r>
    </w:p>
    <w:p w14:paraId="66EE1454" w14:textId="77777777" w:rsidR="00FF5F86" w:rsidRDefault="00010ADA" w:rsidP="00010ADA">
      <w:pPr>
        <w:spacing w:after="0" w:line="240" w:lineRule="auto"/>
        <w:ind w:left="0" w:firstLine="0"/>
        <w:rPr>
          <w:rFonts w:ascii="Times New Roman" w:eastAsia="Times New Roman" w:hAnsi="Times New Roman" w:cs="Times New Roman"/>
          <w:color w:val="auto"/>
          <w:kern w:val="0"/>
          <w:sz w:val="24"/>
          <w:lang w:val="en-GM" w:eastAsia="zh-CN"/>
          <w14:ligatures w14:val="none"/>
        </w:rPr>
      </w:pPr>
      <w:r w:rsidRPr="00FF5F86">
        <w:rPr>
          <w:rFonts w:ascii="Times New Roman" w:eastAsia="Times New Roman" w:hAnsi="Times New Roman" w:cs="Times New Roman"/>
          <w:color w:val="auto"/>
          <w:kern w:val="0"/>
          <w:sz w:val="24"/>
          <w:lang w:val="en-GM" w:eastAsia="zh-CN"/>
          <w14:ligatures w14:val="none"/>
        </w:rPr>
        <w:t xml:space="preserve">● Instructional Effectiveness (e.g., confidence in conducting lab experiments, addressing student misconceptions) </w:t>
      </w:r>
    </w:p>
    <w:p w14:paraId="3F500EB3" w14:textId="77777777" w:rsidR="00FF5F86" w:rsidRDefault="00010ADA" w:rsidP="00010ADA">
      <w:pPr>
        <w:spacing w:after="0" w:line="240" w:lineRule="auto"/>
        <w:ind w:left="0" w:firstLine="0"/>
        <w:rPr>
          <w:rFonts w:ascii="Times New Roman" w:eastAsia="Times New Roman" w:hAnsi="Times New Roman" w:cs="Times New Roman"/>
          <w:color w:val="auto"/>
          <w:kern w:val="0"/>
          <w:sz w:val="24"/>
          <w:lang w:val="en-GM" w:eastAsia="zh-CN"/>
          <w14:ligatures w14:val="none"/>
        </w:rPr>
      </w:pPr>
      <w:r w:rsidRPr="00FF5F86">
        <w:rPr>
          <w:rFonts w:ascii="Times New Roman" w:eastAsia="Times New Roman" w:hAnsi="Times New Roman" w:cs="Times New Roman"/>
          <w:color w:val="auto"/>
          <w:kern w:val="0"/>
          <w:sz w:val="24"/>
          <w:lang w:val="en-GM" w:eastAsia="zh-CN"/>
          <w14:ligatures w14:val="none"/>
        </w:rPr>
        <w:t xml:space="preserve">● Workload Satisfaction (e.g., perceived fairness and manageability of grading, lesson planning and administrative requirements) </w:t>
      </w:r>
    </w:p>
    <w:p w14:paraId="34B70ADD" w14:textId="77777777" w:rsidR="00584BA2" w:rsidRDefault="00010ADA" w:rsidP="00010ADA">
      <w:pPr>
        <w:spacing w:after="0" w:line="240" w:lineRule="auto"/>
        <w:ind w:left="0" w:firstLine="0"/>
        <w:rPr>
          <w:rFonts w:ascii="Times New Roman" w:eastAsia="Times New Roman" w:hAnsi="Times New Roman" w:cs="Times New Roman"/>
          <w:color w:val="auto"/>
          <w:kern w:val="0"/>
          <w:sz w:val="24"/>
          <w:lang w:val="en-GM" w:eastAsia="zh-CN"/>
          <w14:ligatures w14:val="none"/>
        </w:rPr>
      </w:pPr>
      <w:r w:rsidRPr="00FF5F86">
        <w:rPr>
          <w:rFonts w:ascii="Times New Roman" w:eastAsia="Times New Roman" w:hAnsi="Times New Roman" w:cs="Times New Roman"/>
          <w:color w:val="auto"/>
          <w:kern w:val="0"/>
          <w:sz w:val="24"/>
          <w:lang w:val="en-GM" w:eastAsia="zh-CN"/>
          <w14:ligatures w14:val="none"/>
        </w:rPr>
        <w:t xml:space="preserve">● Professional Burnout (e.g., emotional exhaustion, fatigue of daily teaching). </w:t>
      </w:r>
    </w:p>
    <w:p w14:paraId="2992ACBC" w14:textId="7C3FC009" w:rsidR="00010ADA" w:rsidRPr="00FF5F86" w:rsidRDefault="00010ADA" w:rsidP="00010ADA">
      <w:pPr>
        <w:spacing w:after="0" w:line="240" w:lineRule="auto"/>
        <w:ind w:left="0" w:firstLine="0"/>
        <w:rPr>
          <w:rFonts w:ascii="Times New Roman" w:eastAsia="Times New Roman" w:hAnsi="Times New Roman" w:cs="Times New Roman"/>
          <w:color w:val="auto"/>
          <w:kern w:val="0"/>
          <w:sz w:val="24"/>
          <w:lang w:val="en-GM" w:eastAsia="zh-CN"/>
          <w14:ligatures w14:val="none"/>
        </w:rPr>
      </w:pPr>
      <w:r w:rsidRPr="00FF5F86">
        <w:rPr>
          <w:rFonts w:ascii="Times New Roman" w:eastAsia="Times New Roman" w:hAnsi="Times New Roman" w:cs="Times New Roman"/>
          <w:color w:val="auto"/>
          <w:kern w:val="0"/>
          <w:sz w:val="24"/>
          <w:lang w:val="en-GM" w:eastAsia="zh-CN"/>
          <w14:ligatures w14:val="none"/>
        </w:rPr>
        <w:br/>
      </w:r>
      <w:r w:rsidRPr="00FF5F86">
        <w:rPr>
          <w:rFonts w:ascii="Times New Roman" w:eastAsia="Times New Roman" w:hAnsi="Times New Roman" w:cs="Times New Roman"/>
          <w:b/>
          <w:bCs/>
          <w:color w:val="auto"/>
          <w:kern w:val="0"/>
          <w:sz w:val="24"/>
          <w:lang w:val="en-GM" w:eastAsia="zh-CN"/>
          <w14:ligatures w14:val="none"/>
        </w:rPr>
        <w:t>3. Qualitative Instrument</w:t>
      </w:r>
      <w:r w:rsidRPr="00FF5F86">
        <w:rPr>
          <w:rFonts w:ascii="Times New Roman" w:eastAsia="Times New Roman" w:hAnsi="Times New Roman" w:cs="Times New Roman"/>
          <w:color w:val="auto"/>
          <w:kern w:val="0"/>
          <w:sz w:val="24"/>
          <w:lang w:val="en-GM" w:eastAsia="zh-CN"/>
          <w14:ligatures w14:val="none"/>
        </w:rPr>
        <w:t xml:space="preserve"> </w:t>
      </w:r>
      <w:r w:rsidRPr="00FF5F86">
        <w:rPr>
          <w:rFonts w:ascii="Times New Roman" w:eastAsia="Times New Roman" w:hAnsi="Times New Roman" w:cs="Times New Roman"/>
          <w:color w:val="auto"/>
          <w:kern w:val="0"/>
          <w:sz w:val="24"/>
          <w:lang w:val="en-GM" w:eastAsia="zh-CN"/>
          <w14:ligatures w14:val="none"/>
        </w:rPr>
        <w:br/>
        <w:t>Qualitative protocols consisted of a semi-structured interview schedule that focused on pedagogical adaptations in response to overcrowding, and a structured classroom observation matrix to record the frequency of student-</w:t>
      </w:r>
      <w:r w:rsidR="00C316AC" w:rsidRPr="00FF5F86">
        <w:rPr>
          <w:rFonts w:ascii="Times New Roman" w:eastAsia="Times New Roman" w:hAnsi="Times New Roman" w:cs="Times New Roman"/>
          <w:color w:val="auto"/>
          <w:kern w:val="0"/>
          <w:sz w:val="24"/>
          <w:lang w:val="en-GM" w:eastAsia="zh-CN"/>
          <w14:ligatures w14:val="none"/>
        </w:rPr>
        <w:t>cantered</w:t>
      </w:r>
      <w:r w:rsidRPr="00FF5F86">
        <w:rPr>
          <w:rFonts w:ascii="Times New Roman" w:eastAsia="Times New Roman" w:hAnsi="Times New Roman" w:cs="Times New Roman"/>
          <w:color w:val="auto"/>
          <w:kern w:val="0"/>
          <w:sz w:val="24"/>
          <w:lang w:val="en-GM" w:eastAsia="zh-CN"/>
          <w14:ligatures w14:val="none"/>
        </w:rPr>
        <w:t xml:space="preserve"> activities, time lost to disciplinary management, and levels of student engagement. </w:t>
      </w:r>
      <w:r w:rsidRPr="00FF5F86">
        <w:rPr>
          <w:rFonts w:ascii="Times New Roman" w:eastAsia="Times New Roman" w:hAnsi="Times New Roman" w:cs="Times New Roman"/>
          <w:color w:val="auto"/>
          <w:kern w:val="0"/>
          <w:sz w:val="24"/>
          <w:lang w:val="en-GM" w:eastAsia="zh-CN"/>
          <w14:ligatures w14:val="none"/>
        </w:rPr>
        <w:br/>
        <w:t xml:space="preserve">Reliability and Validity </w:t>
      </w:r>
      <w:r w:rsidRPr="00FF5F86">
        <w:rPr>
          <w:rFonts w:ascii="Times New Roman" w:eastAsia="Times New Roman" w:hAnsi="Times New Roman" w:cs="Times New Roman"/>
          <w:color w:val="auto"/>
          <w:kern w:val="0"/>
          <w:sz w:val="24"/>
          <w:lang w:val="en-GM" w:eastAsia="zh-CN"/>
          <w14:ligatures w14:val="none"/>
        </w:rPr>
        <w:br/>
        <w:t xml:space="preserve">To ensure construct and content validity, the ISAT items and the STMES scale dimensions were reviewed in detail by a panel of expert science educators from the University of The Gambia and senior curriculum specialists from MoBSE. Internal consistency metrics were derived from a pilot study conducted in two SSS institutions which were not sampled. The reliability coefficient for the ISAT was calculated using the Kuder-Richardson Formula 20 (KR-20 = .84). Cronbach’s alpha (\alpha) coefficients were calculated for the STMES subscales: Instructional Efficacy (\alpha = 0.81), Workload Satisfaction (\alpha = 0.79), and Professional Burnout (\alpha = 0.86). The statistics confirmed high internal reliability of the measurement instruments. </w:t>
      </w:r>
      <w:r w:rsidRPr="00FF5F86">
        <w:rPr>
          <w:rFonts w:ascii="Times New Roman" w:eastAsia="Times New Roman" w:hAnsi="Times New Roman" w:cs="Times New Roman"/>
          <w:color w:val="auto"/>
          <w:kern w:val="0"/>
          <w:sz w:val="24"/>
          <w:lang w:val="en-GM" w:eastAsia="zh-CN"/>
          <w14:ligatures w14:val="none"/>
        </w:rPr>
        <w:br/>
        <w:t xml:space="preserve">Data collection methods </w:t>
      </w:r>
      <w:r w:rsidRPr="00FF5F86">
        <w:rPr>
          <w:rFonts w:ascii="Times New Roman" w:eastAsia="Times New Roman" w:hAnsi="Times New Roman" w:cs="Times New Roman"/>
          <w:color w:val="auto"/>
          <w:kern w:val="0"/>
          <w:sz w:val="24"/>
          <w:lang w:val="en-GM" w:eastAsia="zh-CN"/>
          <w14:ligatures w14:val="none"/>
        </w:rPr>
        <w:br/>
        <w:t xml:space="preserve">Data was collected during the academic term for a continuous period of 10 weeks. Official administrative clearances were received from MoBSE and the heads of individual schools. Quantitative instruments were administered under standardized conditions: students completed the ISAT in a supervised 90-minute session, and the STMES surveys were distributed to teachers during departmental meetings. </w:t>
      </w:r>
      <w:r w:rsidRPr="00FF5F86">
        <w:rPr>
          <w:rFonts w:ascii="Times New Roman" w:eastAsia="Times New Roman" w:hAnsi="Times New Roman" w:cs="Times New Roman"/>
          <w:color w:val="auto"/>
          <w:kern w:val="0"/>
          <w:sz w:val="24"/>
          <w:lang w:val="en-GM" w:eastAsia="zh-CN"/>
          <w14:ligatures w14:val="none"/>
        </w:rPr>
        <w:br/>
        <w:t xml:space="preserve">Once the quantitative data were safely collected, the researchers moved to the qualitative phase, conducting the 12 semi-structured interviews in private staff rooms. The interviews were audio recorded with explicit permission and lasted approximately 45-60 minutes. Two researchers unobtrusively observed classrooms for two instructional cycles per school to reduce observer effects. </w:t>
      </w:r>
      <w:r w:rsidRPr="00FF5F86">
        <w:rPr>
          <w:rFonts w:ascii="Times New Roman" w:eastAsia="Times New Roman" w:hAnsi="Times New Roman" w:cs="Times New Roman"/>
          <w:color w:val="auto"/>
          <w:kern w:val="0"/>
          <w:sz w:val="24"/>
          <w:lang w:val="en-GM" w:eastAsia="zh-CN"/>
          <w14:ligatures w14:val="none"/>
        </w:rPr>
        <w:br/>
        <w:t xml:space="preserve">Statement of Ethics </w:t>
      </w:r>
      <w:r w:rsidRPr="00FF5F86">
        <w:rPr>
          <w:rFonts w:ascii="Times New Roman" w:eastAsia="Times New Roman" w:hAnsi="Times New Roman" w:cs="Times New Roman"/>
          <w:color w:val="auto"/>
          <w:kern w:val="0"/>
          <w:sz w:val="24"/>
          <w:lang w:val="en-GM" w:eastAsia="zh-CN"/>
          <w14:ligatures w14:val="none"/>
        </w:rPr>
        <w:br/>
        <w:t xml:space="preserve">The study conformed to international ethical protocols for research involving human subjects. Institutional approval was obtained and written informed consent was obtained from all participating teachers and school administrators. Parent consent forms were sent out and returned for students and students gave verbal assent before the tests were administered. To strictly preserve anonymity, alphanumeric codes were assigned to all participants, schools and raw datasets. All physical and digital files were stored in password encrypted databases, with access limited to the principal research team. </w:t>
      </w:r>
      <w:r w:rsidRPr="00FF5F86">
        <w:rPr>
          <w:rFonts w:ascii="Times New Roman" w:eastAsia="Times New Roman" w:hAnsi="Times New Roman" w:cs="Times New Roman"/>
          <w:color w:val="auto"/>
          <w:kern w:val="0"/>
          <w:sz w:val="24"/>
          <w:lang w:val="en-GM" w:eastAsia="zh-CN"/>
          <w14:ligatures w14:val="none"/>
        </w:rPr>
        <w:br/>
        <w:t xml:space="preserve">Methods of Data Analysis </w:t>
      </w:r>
      <w:r w:rsidRPr="00FF5F86">
        <w:rPr>
          <w:rFonts w:ascii="Times New Roman" w:eastAsia="Times New Roman" w:hAnsi="Times New Roman" w:cs="Times New Roman"/>
          <w:color w:val="auto"/>
          <w:kern w:val="0"/>
          <w:sz w:val="24"/>
          <w:lang w:val="en-GM" w:eastAsia="zh-CN"/>
          <w14:ligatures w14:val="none"/>
        </w:rPr>
        <w:br/>
        <w:t xml:space="preserve">Statistical analysis software was used to process, code and clean the quantitative data. Descriptive statistics (means, standard deviations, skewness and kurtosis) confirmed normal distribution profiles. To test Research Question 1, independent samples t-tests were used to compare mean academic scores between the two class-size cohorts, with Cohen's d calculated to </w:t>
      </w:r>
      <w:r w:rsidRPr="00FF5F86">
        <w:rPr>
          <w:rFonts w:ascii="Times New Roman" w:eastAsia="Times New Roman" w:hAnsi="Times New Roman" w:cs="Times New Roman"/>
          <w:color w:val="auto"/>
          <w:kern w:val="0"/>
          <w:sz w:val="24"/>
          <w:lang w:val="en-GM" w:eastAsia="zh-CN"/>
          <w14:ligatures w14:val="none"/>
        </w:rPr>
        <w:lastRenderedPageBreak/>
        <w:t xml:space="preserve">measure effect sizes. To </w:t>
      </w:r>
      <w:proofErr w:type="spellStart"/>
      <w:r w:rsidRPr="00FF5F86">
        <w:rPr>
          <w:rFonts w:ascii="Times New Roman" w:eastAsia="Times New Roman" w:hAnsi="Times New Roman" w:cs="Times New Roman"/>
          <w:color w:val="auto"/>
          <w:kern w:val="0"/>
          <w:sz w:val="24"/>
          <w:lang w:val="en-GM" w:eastAsia="zh-CN"/>
          <w14:ligatures w14:val="none"/>
        </w:rPr>
        <w:t>analyze</w:t>
      </w:r>
      <w:proofErr w:type="spellEnd"/>
      <w:r w:rsidRPr="00FF5F86">
        <w:rPr>
          <w:rFonts w:ascii="Times New Roman" w:eastAsia="Times New Roman" w:hAnsi="Times New Roman" w:cs="Times New Roman"/>
          <w:color w:val="auto"/>
          <w:kern w:val="0"/>
          <w:sz w:val="24"/>
          <w:lang w:val="en-GM" w:eastAsia="zh-CN"/>
          <w14:ligatures w14:val="none"/>
        </w:rPr>
        <w:t xml:space="preserve"> Research Question 2, ordinary least squares (OLS) multiple regression models were used with class size as the primary predictor variable, controlling for demographic covariates, and the STMES subscales as the dependent variables. </w:t>
      </w:r>
      <w:r w:rsidRPr="00FF5F86">
        <w:rPr>
          <w:rFonts w:ascii="Times New Roman" w:eastAsia="Times New Roman" w:hAnsi="Times New Roman" w:cs="Times New Roman"/>
          <w:color w:val="auto"/>
          <w:kern w:val="0"/>
          <w:sz w:val="24"/>
          <w:lang w:val="en-GM" w:eastAsia="zh-CN"/>
          <w14:ligatures w14:val="none"/>
        </w:rPr>
        <w:br/>
        <w:t xml:space="preserve">Qualitative data were </w:t>
      </w:r>
      <w:proofErr w:type="spellStart"/>
      <w:r w:rsidRPr="00FF5F86">
        <w:rPr>
          <w:rFonts w:ascii="Times New Roman" w:eastAsia="Times New Roman" w:hAnsi="Times New Roman" w:cs="Times New Roman"/>
          <w:color w:val="auto"/>
          <w:kern w:val="0"/>
          <w:sz w:val="24"/>
          <w:lang w:val="en-GM" w:eastAsia="zh-CN"/>
          <w14:ligatures w14:val="none"/>
        </w:rPr>
        <w:t>analyzed</w:t>
      </w:r>
      <w:proofErr w:type="spellEnd"/>
      <w:r w:rsidRPr="00FF5F86">
        <w:rPr>
          <w:rFonts w:ascii="Times New Roman" w:eastAsia="Times New Roman" w:hAnsi="Times New Roman" w:cs="Times New Roman"/>
          <w:color w:val="auto"/>
          <w:kern w:val="0"/>
          <w:sz w:val="24"/>
          <w:lang w:val="en-GM" w:eastAsia="zh-CN"/>
          <w14:ligatures w14:val="none"/>
        </w:rPr>
        <w:t xml:space="preserve"> through thematic analysis with a concurrent inductive-deductive coding </w:t>
      </w:r>
      <w:r w:rsidR="00CB2443" w:rsidRPr="00FF5F86">
        <w:rPr>
          <w:rFonts w:ascii="Times New Roman" w:eastAsia="Times New Roman" w:hAnsi="Times New Roman" w:cs="Times New Roman"/>
          <w:color w:val="auto"/>
          <w:kern w:val="0"/>
          <w:sz w:val="24"/>
          <w:lang w:val="en-GM" w:eastAsia="zh-CN"/>
          <w14:ligatures w14:val="none"/>
        </w:rPr>
        <w:t>matrix.</w:t>
      </w:r>
      <w:r w:rsidRPr="00FF5F86">
        <w:rPr>
          <w:rFonts w:ascii="Times New Roman" w:eastAsia="Times New Roman" w:hAnsi="Times New Roman" w:cs="Times New Roman"/>
          <w:color w:val="auto"/>
          <w:kern w:val="0"/>
          <w:sz w:val="24"/>
          <w:lang w:val="en-GM" w:eastAsia="zh-CN"/>
          <w14:ligatures w14:val="none"/>
        </w:rPr>
        <w:t xml:space="preserve"> Audio recordings were transcribed verbatim, read and coded multiple times to generate initial codes, descriptive sub-themes and overarching analytical themes that demonstrated the quantitative models. </w:t>
      </w:r>
      <w:r w:rsidRPr="00FF5F86">
        <w:rPr>
          <w:rFonts w:ascii="Times New Roman" w:eastAsia="Times New Roman" w:hAnsi="Times New Roman" w:cs="Times New Roman"/>
          <w:color w:val="auto"/>
          <w:kern w:val="0"/>
          <w:sz w:val="24"/>
          <w:lang w:val="en-GM" w:eastAsia="zh-CN"/>
          <w14:ligatures w14:val="none"/>
        </w:rPr>
        <w:br/>
      </w:r>
      <w:r w:rsidRPr="00FF5F86">
        <w:rPr>
          <w:rFonts w:ascii="Times New Roman" w:eastAsia="Times New Roman" w:hAnsi="Times New Roman" w:cs="Times New Roman"/>
          <w:b/>
          <w:bCs/>
          <w:color w:val="auto"/>
          <w:kern w:val="0"/>
          <w:sz w:val="24"/>
          <w:lang w:val="en-GM" w:eastAsia="zh-CN"/>
          <w14:ligatures w14:val="none"/>
        </w:rPr>
        <w:t>5. Outcomes and conclusions</w:t>
      </w:r>
      <w:r w:rsidRPr="00FF5F86">
        <w:rPr>
          <w:rFonts w:ascii="Times New Roman" w:eastAsia="Times New Roman" w:hAnsi="Times New Roman" w:cs="Times New Roman"/>
          <w:color w:val="auto"/>
          <w:kern w:val="0"/>
          <w:sz w:val="24"/>
          <w:lang w:val="en-GM" w:eastAsia="zh-CN"/>
          <w14:ligatures w14:val="none"/>
        </w:rPr>
        <w:t xml:space="preserve"> </w:t>
      </w:r>
      <w:r w:rsidRPr="00FF5F86">
        <w:rPr>
          <w:rFonts w:ascii="Times New Roman" w:eastAsia="Times New Roman" w:hAnsi="Times New Roman" w:cs="Times New Roman"/>
          <w:color w:val="auto"/>
          <w:kern w:val="0"/>
          <w:sz w:val="24"/>
          <w:lang w:val="en-GM" w:eastAsia="zh-CN"/>
          <w14:ligatures w14:val="none"/>
        </w:rPr>
        <w:br/>
        <w:t xml:space="preserve">Demographic and Descriptive Characterization </w:t>
      </w:r>
      <w:r w:rsidRPr="00FF5F86">
        <w:rPr>
          <w:rFonts w:ascii="Times New Roman" w:eastAsia="Times New Roman" w:hAnsi="Times New Roman" w:cs="Times New Roman"/>
          <w:color w:val="auto"/>
          <w:kern w:val="0"/>
          <w:sz w:val="24"/>
          <w:lang w:val="en-GM" w:eastAsia="zh-CN"/>
          <w14:ligatures w14:val="none"/>
        </w:rPr>
        <w:br/>
        <w:t xml:space="preserve">The final sample included 360 students and 80 science teachers. In the student sample, 52% were female and 48% were male. The mean </w:t>
      </w:r>
      <w:r w:rsidR="00CB2443" w:rsidRPr="00FF5F86">
        <w:rPr>
          <w:rFonts w:ascii="Times New Roman" w:eastAsia="Times New Roman" w:hAnsi="Times New Roman" w:cs="Times New Roman"/>
          <w:color w:val="auto"/>
          <w:kern w:val="0"/>
          <w:sz w:val="24"/>
          <w:lang w:val="en-GM" w:eastAsia="zh-CN"/>
          <w14:ligatures w14:val="none"/>
        </w:rPr>
        <w:t>enrolment</w:t>
      </w:r>
      <w:r w:rsidRPr="00FF5F86">
        <w:rPr>
          <w:rFonts w:ascii="Times New Roman" w:eastAsia="Times New Roman" w:hAnsi="Times New Roman" w:cs="Times New Roman"/>
          <w:color w:val="auto"/>
          <w:kern w:val="0"/>
          <w:sz w:val="24"/>
          <w:lang w:val="en-GM" w:eastAsia="zh-CN"/>
          <w14:ligatures w14:val="none"/>
        </w:rPr>
        <w:t xml:space="preserve"> density was 31.4 students (SD = 3.2) for the "Reduced Class Size" cohort and 64.8 students (SD = 6.9) for the "Large Class Size" cohort. The teacher participants were evenly spread across the science tracks: 28 taught Physics, 27 taught Chemistry and 25 taught Biology. Average teaching experience was 7.4 years (SD = 4.1). </w:t>
      </w:r>
      <w:r w:rsidRPr="00FF5F86">
        <w:rPr>
          <w:rFonts w:ascii="Times New Roman" w:eastAsia="Times New Roman" w:hAnsi="Times New Roman" w:cs="Times New Roman"/>
          <w:color w:val="auto"/>
          <w:kern w:val="0"/>
          <w:sz w:val="24"/>
          <w:lang w:val="en-GM" w:eastAsia="zh-CN"/>
          <w14:ligatures w14:val="none"/>
        </w:rPr>
        <w:br/>
        <w:t xml:space="preserve">Research Question 1: Student Academic Achievement and Class Size </w:t>
      </w:r>
      <w:r w:rsidRPr="00FF5F86">
        <w:rPr>
          <w:rFonts w:ascii="Times New Roman" w:eastAsia="Times New Roman" w:hAnsi="Times New Roman" w:cs="Times New Roman"/>
          <w:color w:val="auto"/>
          <w:kern w:val="0"/>
          <w:sz w:val="24"/>
          <w:lang w:val="en-GM" w:eastAsia="zh-CN"/>
          <w14:ligatures w14:val="none"/>
        </w:rPr>
        <w:br/>
        <w:t>An independent samples t-test was conducted on the total ISAT scores and on each of the science subject dimensions to explore the effect of class size on cognitive achievement. The data satisfied all assumptions for parametric testing including normality and homogeneity of variance (Levene’s test p &gt; .05).</w:t>
      </w:r>
    </w:p>
    <w:p w14:paraId="5D460A87" w14:textId="77777777" w:rsidR="002A4EE1" w:rsidRPr="00FF5F86" w:rsidRDefault="002A4EE1" w:rsidP="002A4EE1">
      <w:pPr>
        <w:rPr>
          <w:color w:val="auto"/>
          <w:lang w:val="en-GM"/>
        </w:rPr>
      </w:pPr>
    </w:p>
    <w:p w14:paraId="6B025E9C" w14:textId="77777777" w:rsidR="00076984" w:rsidRPr="00FF5F86" w:rsidRDefault="001604E0">
      <w:pPr>
        <w:spacing w:after="358"/>
        <w:jc w:val="both"/>
        <w:rPr>
          <w:color w:val="auto"/>
        </w:rPr>
      </w:pPr>
      <w:r w:rsidRPr="00FF5F86">
        <w:rPr>
          <w:noProof/>
          <w:color w:val="auto"/>
        </w:rPr>
        <w:drawing>
          <wp:inline distT="0" distB="0" distL="114300" distR="114300" wp14:anchorId="1C846531" wp14:editId="1E2AC186">
            <wp:extent cx="6009057" cy="3700517"/>
            <wp:effectExtent l="0" t="0" r="0" b="0"/>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5" cstate="print"/>
                    <a:srcRect/>
                    <a:stretch/>
                  </pic:blipFill>
                  <pic:spPr>
                    <a:xfrm>
                      <a:off x="0" y="0"/>
                      <a:ext cx="6009057" cy="3700517"/>
                    </a:xfrm>
                    <a:prstGeom prst="rect">
                      <a:avLst/>
                    </a:prstGeom>
                  </pic:spPr>
                </pic:pic>
              </a:graphicData>
            </a:graphic>
          </wp:inline>
        </w:drawing>
      </w:r>
      <w:r w:rsidRPr="00FF5F86">
        <w:rPr>
          <w:i/>
          <w:color w:val="auto"/>
        </w:rPr>
        <w:t xml:space="preserve">Figure 1: Conceptual Framework showing the systemic impact of class size on science education outcomes. </w:t>
      </w:r>
    </w:p>
    <w:p w14:paraId="54F482E7" w14:textId="77777777" w:rsidR="00076984" w:rsidRPr="00FF5F86" w:rsidRDefault="001604E0">
      <w:pPr>
        <w:pStyle w:val="Heading1"/>
        <w:ind w:left="-5"/>
        <w:jc w:val="both"/>
        <w:rPr>
          <w:color w:val="auto"/>
        </w:rPr>
      </w:pPr>
      <w:r w:rsidRPr="00FF5F86">
        <w:rPr>
          <w:color w:val="auto"/>
        </w:rPr>
        <w:lastRenderedPageBreak/>
        <w:t xml:space="preserve">4. Methodology </w:t>
      </w:r>
    </w:p>
    <w:p w14:paraId="434EB80D" w14:textId="77777777" w:rsidR="00076984" w:rsidRPr="00FF5F86" w:rsidRDefault="001604E0">
      <w:pPr>
        <w:pStyle w:val="Heading2"/>
        <w:ind w:left="-5"/>
        <w:jc w:val="both"/>
        <w:rPr>
          <w:color w:val="auto"/>
        </w:rPr>
      </w:pPr>
      <w:r w:rsidRPr="00FF5F86">
        <w:rPr>
          <w:color w:val="auto"/>
        </w:rPr>
        <w:t xml:space="preserve">Research Design </w:t>
      </w:r>
    </w:p>
    <w:p w14:paraId="20AC3908" w14:textId="77777777" w:rsidR="00A739C0" w:rsidRPr="00FF5F86" w:rsidRDefault="00A739C0" w:rsidP="00A739C0">
      <w:pPr>
        <w:spacing w:before="100" w:beforeAutospacing="1" w:after="100" w:afterAutospacing="1" w:line="240" w:lineRule="auto"/>
        <w:ind w:left="0" w:firstLine="0"/>
        <w:rPr>
          <w:rFonts w:ascii="Times New Roman" w:eastAsia="Times New Roman" w:hAnsi="Times New Roman" w:cs="Times New Roman"/>
          <w:color w:val="auto"/>
          <w:kern w:val="0"/>
          <w:sz w:val="24"/>
          <w:lang w:val="en-GM" w:eastAsia="zh-CN"/>
          <w14:ligatures w14:val="none"/>
        </w:rPr>
      </w:pPr>
      <w:r w:rsidRPr="00FF5F86">
        <w:rPr>
          <w:rFonts w:ascii="Times New Roman" w:eastAsia="Times New Roman" w:hAnsi="Times New Roman" w:cs="Times New Roman"/>
          <w:color w:val="auto"/>
          <w:kern w:val="0"/>
          <w:sz w:val="24"/>
          <w:lang w:val="en-GM" w:eastAsia="zh-CN"/>
          <w14:ligatures w14:val="none"/>
        </w:rPr>
        <w:t>This investigation employed an explanatory sequential mixed-methods design, an approach wherein quantitative empirical patterns are established first, followed by qualitative exploration to contextualize and explain those trends. The initial quantitative phase utilized a quasi-experimental, cross-sectional differential design to evaluate differences in student achievement across distinct class sizes and a correlational predictive design to map teacher morale. The subsequent qualitative phase leveraged phenomenological semi-structured interviews and naturalistic classroom observations to unpack the instructional and psychological nuances underlying the statistical models.</w:t>
      </w:r>
    </w:p>
    <w:p w14:paraId="0A14AA99" w14:textId="77777777" w:rsidR="00A739C0" w:rsidRPr="00FF5F86" w:rsidRDefault="00A739C0" w:rsidP="00A739C0">
      <w:pPr>
        <w:spacing w:before="100" w:beforeAutospacing="1" w:after="100" w:afterAutospacing="1" w:line="240" w:lineRule="auto"/>
        <w:ind w:left="0" w:firstLine="0"/>
        <w:outlineLvl w:val="1"/>
        <w:rPr>
          <w:rFonts w:ascii="Times New Roman" w:eastAsia="Times New Roman" w:hAnsi="Times New Roman" w:cs="Times New Roman"/>
          <w:b/>
          <w:bCs/>
          <w:color w:val="auto"/>
          <w:kern w:val="0"/>
          <w:sz w:val="36"/>
          <w:szCs w:val="36"/>
          <w:lang w:val="en-GM" w:eastAsia="zh-CN"/>
          <w14:ligatures w14:val="none"/>
        </w:rPr>
      </w:pPr>
      <w:r w:rsidRPr="00FF5F86">
        <w:rPr>
          <w:rFonts w:ascii="Times New Roman" w:eastAsia="Times New Roman" w:hAnsi="Times New Roman" w:cs="Times New Roman"/>
          <w:b/>
          <w:bCs/>
          <w:color w:val="auto"/>
          <w:kern w:val="0"/>
          <w:sz w:val="36"/>
          <w:szCs w:val="36"/>
          <w:lang w:val="en-GM" w:eastAsia="zh-CN"/>
          <w14:ligatures w14:val="none"/>
        </w:rPr>
        <w:t>Population and Sample Selection</w:t>
      </w:r>
    </w:p>
    <w:p w14:paraId="55E15605" w14:textId="77777777" w:rsidR="00A739C0" w:rsidRPr="00FF5F86" w:rsidRDefault="00A739C0" w:rsidP="00A739C0">
      <w:pPr>
        <w:spacing w:before="100" w:beforeAutospacing="1" w:after="100" w:afterAutospacing="1" w:line="240" w:lineRule="auto"/>
        <w:ind w:left="0" w:firstLine="0"/>
        <w:rPr>
          <w:rFonts w:ascii="Times New Roman" w:eastAsia="Times New Roman" w:hAnsi="Times New Roman" w:cs="Times New Roman"/>
          <w:color w:val="auto"/>
          <w:kern w:val="0"/>
          <w:sz w:val="24"/>
          <w:lang w:val="en-GM" w:eastAsia="zh-CN"/>
          <w14:ligatures w14:val="none"/>
        </w:rPr>
      </w:pPr>
      <w:r w:rsidRPr="00FF5F86">
        <w:rPr>
          <w:rFonts w:ascii="Times New Roman" w:eastAsia="Times New Roman" w:hAnsi="Times New Roman" w:cs="Times New Roman"/>
          <w:color w:val="auto"/>
          <w:kern w:val="0"/>
          <w:sz w:val="24"/>
          <w:lang w:val="en-GM" w:eastAsia="zh-CN"/>
          <w14:ligatures w14:val="none"/>
        </w:rPr>
        <w:t>The target population comprised all senior secondary school science students and practicing science teachers within MoBSE Educational Region 1 (Banjul and Kanifing Municipalities) and Region 2 (West Coast Region). These regions represent the urban and peri-urban economic spine of The Gambia, where classroom overcrowding is most acute due to rapid demographic migration.</w:t>
      </w:r>
    </w:p>
    <w:p w14:paraId="40ADDEA0" w14:textId="77777777" w:rsidR="00A739C0" w:rsidRPr="00FF5F86" w:rsidRDefault="00A739C0" w:rsidP="00A739C0">
      <w:pPr>
        <w:spacing w:before="100" w:beforeAutospacing="1" w:after="100" w:afterAutospacing="1" w:line="240" w:lineRule="auto"/>
        <w:ind w:left="0" w:firstLine="0"/>
        <w:rPr>
          <w:rFonts w:ascii="Times New Roman" w:eastAsia="Times New Roman" w:hAnsi="Times New Roman" w:cs="Times New Roman"/>
          <w:color w:val="auto"/>
          <w:kern w:val="0"/>
          <w:sz w:val="24"/>
          <w:lang w:val="en-GM" w:eastAsia="zh-CN"/>
          <w14:ligatures w14:val="none"/>
        </w:rPr>
      </w:pPr>
      <w:r w:rsidRPr="00FF5F86">
        <w:rPr>
          <w:rFonts w:ascii="Times New Roman" w:eastAsia="Times New Roman" w:hAnsi="Times New Roman" w:cs="Times New Roman"/>
          <w:color w:val="auto"/>
          <w:kern w:val="0"/>
          <w:sz w:val="24"/>
          <w:lang w:val="en-GM" w:eastAsia="zh-CN"/>
          <w14:ligatures w14:val="none"/>
        </w:rPr>
        <w:t>A multi-stage stratified random sampling procedure was carried out:</w:t>
      </w:r>
    </w:p>
    <w:p w14:paraId="69426DAC" w14:textId="147895A4" w:rsidR="00A739C0" w:rsidRPr="00FF5F86" w:rsidRDefault="00A739C0" w:rsidP="00A739C0">
      <w:pPr>
        <w:spacing w:before="100" w:beforeAutospacing="1" w:after="100" w:afterAutospacing="1" w:line="240" w:lineRule="auto"/>
        <w:ind w:left="0" w:firstLine="0"/>
        <w:rPr>
          <w:rFonts w:ascii="Times New Roman" w:eastAsia="Times New Roman" w:hAnsi="Times New Roman" w:cs="Times New Roman"/>
          <w:color w:val="auto"/>
          <w:kern w:val="0"/>
          <w:sz w:val="24"/>
          <w:lang w:val="en-GM" w:eastAsia="zh-CN"/>
          <w14:ligatures w14:val="none"/>
        </w:rPr>
      </w:pPr>
      <w:r w:rsidRPr="00FF5F86">
        <w:rPr>
          <w:rFonts w:ascii="Times New Roman" w:eastAsia="Times New Roman" w:hAnsi="Times New Roman" w:cs="Times New Roman"/>
          <w:color w:val="auto"/>
          <w:kern w:val="0"/>
          <w:sz w:val="24"/>
          <w:lang w:val="en-GM" w:eastAsia="zh-CN"/>
          <w14:ligatures w14:val="none"/>
        </w:rPr>
        <w:t xml:space="preserve">1.   First, twelve (12) public and government-aided senior secondary schools were selected and stratified based on their prevailing </w:t>
      </w:r>
      <w:r w:rsidR="00B07339" w:rsidRPr="00FF5F86">
        <w:rPr>
          <w:rFonts w:ascii="Times New Roman" w:eastAsia="Times New Roman" w:hAnsi="Times New Roman" w:cs="Times New Roman"/>
          <w:color w:val="auto"/>
          <w:kern w:val="0"/>
          <w:sz w:val="24"/>
          <w:lang w:val="en-GM" w:eastAsia="zh-CN"/>
          <w14:ligatures w14:val="none"/>
        </w:rPr>
        <w:t>enrolment</w:t>
      </w:r>
      <w:r w:rsidRPr="00FF5F86">
        <w:rPr>
          <w:rFonts w:ascii="Times New Roman" w:eastAsia="Times New Roman" w:hAnsi="Times New Roman" w:cs="Times New Roman"/>
          <w:color w:val="auto"/>
          <w:kern w:val="0"/>
          <w:sz w:val="24"/>
          <w:lang w:val="en-GM" w:eastAsia="zh-CN"/>
          <w14:ligatures w14:val="none"/>
        </w:rPr>
        <w:t xml:space="preserve"> densities (six characterized by chronically large cohorts and six containing structurally managed, smaller sections).</w:t>
      </w:r>
    </w:p>
    <w:p w14:paraId="34765F9D" w14:textId="16C12123" w:rsidR="00A739C0" w:rsidRPr="00FF5F86" w:rsidRDefault="00A739C0" w:rsidP="00A739C0">
      <w:pPr>
        <w:spacing w:before="100" w:beforeAutospacing="1" w:after="100" w:afterAutospacing="1" w:line="240" w:lineRule="auto"/>
        <w:ind w:left="0" w:firstLine="0"/>
        <w:rPr>
          <w:rFonts w:ascii="Times New Roman" w:eastAsia="Times New Roman" w:hAnsi="Times New Roman" w:cs="Times New Roman"/>
          <w:color w:val="auto"/>
          <w:kern w:val="0"/>
          <w:sz w:val="24"/>
          <w:lang w:val="en-GM" w:eastAsia="zh-CN"/>
          <w14:ligatures w14:val="none"/>
        </w:rPr>
      </w:pPr>
      <w:r w:rsidRPr="00FF5F86">
        <w:rPr>
          <w:rFonts w:ascii="Times New Roman" w:eastAsia="Times New Roman" w:hAnsi="Times New Roman" w:cs="Times New Roman"/>
          <w:color w:val="auto"/>
          <w:kern w:val="0"/>
          <w:sz w:val="24"/>
          <w:lang w:val="en-GM" w:eastAsia="zh-CN"/>
          <w14:ligatures w14:val="none"/>
        </w:rPr>
        <w:t>2.    Within these strata, a total of 360 Grade 11 science students (180 from reduced classes and 180 from large classes) were randomly selected using school registry lists.</w:t>
      </w:r>
    </w:p>
    <w:p w14:paraId="3C3ED4BD" w14:textId="0EED222D" w:rsidR="00A739C0" w:rsidRPr="00FF5F86" w:rsidRDefault="00A739C0" w:rsidP="00A739C0">
      <w:pPr>
        <w:spacing w:before="100" w:beforeAutospacing="1" w:after="100" w:afterAutospacing="1" w:line="240" w:lineRule="auto"/>
        <w:ind w:left="0" w:firstLine="0"/>
        <w:rPr>
          <w:rFonts w:ascii="Times New Roman" w:eastAsia="Times New Roman" w:hAnsi="Times New Roman" w:cs="Times New Roman"/>
          <w:color w:val="auto"/>
          <w:kern w:val="0"/>
          <w:sz w:val="24"/>
          <w:lang w:val="en-GM" w:eastAsia="zh-CN"/>
          <w14:ligatures w14:val="none"/>
        </w:rPr>
      </w:pPr>
      <w:r w:rsidRPr="00FF5F86">
        <w:rPr>
          <w:rFonts w:ascii="Times New Roman" w:eastAsia="Times New Roman" w:hAnsi="Times New Roman" w:cs="Times New Roman"/>
          <w:color w:val="auto"/>
          <w:kern w:val="0"/>
          <w:sz w:val="24"/>
          <w:lang w:val="en-GM" w:eastAsia="zh-CN"/>
          <w14:ligatures w14:val="none"/>
        </w:rPr>
        <w:t>3.   Simultaneously, 80 science teachers (comprising instructors of Physics, Chemistry, and Biology across the selected institutions) were enrolled to complete the psychometric morale instrument.</w:t>
      </w:r>
    </w:p>
    <w:p w14:paraId="5174342C" w14:textId="4812C21B" w:rsidR="00A739C0" w:rsidRPr="00FF5F86" w:rsidRDefault="00A739C0" w:rsidP="00A739C0">
      <w:pPr>
        <w:spacing w:before="100" w:beforeAutospacing="1" w:after="100" w:afterAutospacing="1" w:line="240" w:lineRule="auto"/>
        <w:ind w:left="0" w:firstLine="0"/>
        <w:rPr>
          <w:rFonts w:ascii="Times New Roman" w:eastAsia="Times New Roman" w:hAnsi="Times New Roman" w:cs="Times New Roman"/>
          <w:color w:val="auto"/>
          <w:kern w:val="0"/>
          <w:sz w:val="24"/>
          <w:lang w:val="en-GM" w:eastAsia="zh-CN"/>
          <w14:ligatures w14:val="none"/>
        </w:rPr>
      </w:pPr>
      <w:r w:rsidRPr="00FF5F86">
        <w:rPr>
          <w:rFonts w:ascii="Times New Roman" w:eastAsia="Times New Roman" w:hAnsi="Times New Roman" w:cs="Times New Roman"/>
          <w:color w:val="auto"/>
          <w:kern w:val="0"/>
          <w:sz w:val="24"/>
          <w:lang w:val="en-GM" w:eastAsia="zh-CN"/>
          <w14:ligatures w14:val="none"/>
        </w:rPr>
        <w:t>4.   From this teacher cohort, 12 educators were selected via purposive sampling for in-depth qualitative interviewing based on their years of experience and extreme classroom density profiles.</w:t>
      </w:r>
    </w:p>
    <w:p w14:paraId="720249D5" w14:textId="77777777" w:rsidR="00A739C0" w:rsidRPr="00FF5F86" w:rsidRDefault="00A739C0" w:rsidP="00A739C0">
      <w:pPr>
        <w:spacing w:before="100" w:beforeAutospacing="1" w:after="100" w:afterAutospacing="1" w:line="240" w:lineRule="auto"/>
        <w:ind w:left="0" w:firstLine="0"/>
        <w:outlineLvl w:val="1"/>
        <w:rPr>
          <w:rFonts w:ascii="Times New Roman" w:eastAsia="Times New Roman" w:hAnsi="Times New Roman" w:cs="Times New Roman"/>
          <w:b/>
          <w:bCs/>
          <w:color w:val="auto"/>
          <w:kern w:val="0"/>
          <w:sz w:val="36"/>
          <w:szCs w:val="36"/>
          <w:lang w:val="en-GM" w:eastAsia="zh-CN"/>
          <w14:ligatures w14:val="none"/>
        </w:rPr>
      </w:pPr>
      <w:r w:rsidRPr="00FF5F86">
        <w:rPr>
          <w:rFonts w:ascii="Times New Roman" w:eastAsia="Times New Roman" w:hAnsi="Times New Roman" w:cs="Times New Roman"/>
          <w:b/>
          <w:bCs/>
          <w:color w:val="auto"/>
          <w:kern w:val="0"/>
          <w:sz w:val="36"/>
          <w:szCs w:val="36"/>
          <w:lang w:val="en-GM" w:eastAsia="zh-CN"/>
          <w14:ligatures w14:val="none"/>
        </w:rPr>
        <w:t>Instrumentation</w:t>
      </w:r>
    </w:p>
    <w:p w14:paraId="5CD76604" w14:textId="77777777" w:rsidR="00A739C0" w:rsidRPr="00FF5F86" w:rsidRDefault="00A739C0" w:rsidP="00A739C0">
      <w:pPr>
        <w:spacing w:before="100" w:beforeAutospacing="1" w:after="100" w:afterAutospacing="1" w:line="240" w:lineRule="auto"/>
        <w:ind w:left="0" w:firstLine="0"/>
        <w:outlineLvl w:val="2"/>
        <w:rPr>
          <w:rFonts w:ascii="Times New Roman" w:eastAsia="Times New Roman" w:hAnsi="Times New Roman" w:cs="Times New Roman"/>
          <w:b/>
          <w:bCs/>
          <w:color w:val="auto"/>
          <w:kern w:val="0"/>
          <w:sz w:val="27"/>
          <w:szCs w:val="27"/>
          <w:lang w:val="en-GM" w:eastAsia="zh-CN"/>
          <w14:ligatures w14:val="none"/>
        </w:rPr>
      </w:pPr>
      <w:r w:rsidRPr="00FF5F86">
        <w:rPr>
          <w:rFonts w:ascii="Times New Roman" w:eastAsia="Times New Roman" w:hAnsi="Times New Roman" w:cs="Times New Roman"/>
          <w:b/>
          <w:bCs/>
          <w:color w:val="auto"/>
          <w:kern w:val="0"/>
          <w:sz w:val="27"/>
          <w:szCs w:val="27"/>
          <w:lang w:val="en-GM" w:eastAsia="zh-CN"/>
          <w14:ligatures w14:val="none"/>
        </w:rPr>
        <w:t>1. Integrated Science Achievement Test (ISAT)</w:t>
      </w:r>
    </w:p>
    <w:p w14:paraId="4E71882F" w14:textId="77777777" w:rsidR="00A739C0" w:rsidRPr="00FF5F86" w:rsidRDefault="00A739C0" w:rsidP="00A739C0">
      <w:pPr>
        <w:spacing w:before="100" w:beforeAutospacing="1" w:after="100" w:afterAutospacing="1" w:line="240" w:lineRule="auto"/>
        <w:ind w:left="0" w:firstLine="0"/>
        <w:rPr>
          <w:rFonts w:ascii="Times New Roman" w:eastAsia="Times New Roman" w:hAnsi="Times New Roman" w:cs="Times New Roman"/>
          <w:color w:val="auto"/>
          <w:kern w:val="0"/>
          <w:sz w:val="24"/>
          <w:lang w:val="en-GM" w:eastAsia="zh-CN"/>
          <w14:ligatures w14:val="none"/>
        </w:rPr>
      </w:pPr>
      <w:r w:rsidRPr="00FF5F86">
        <w:rPr>
          <w:rFonts w:ascii="Times New Roman" w:eastAsia="Times New Roman" w:hAnsi="Times New Roman" w:cs="Times New Roman"/>
          <w:color w:val="auto"/>
          <w:kern w:val="0"/>
          <w:sz w:val="24"/>
          <w:lang w:val="en-GM" w:eastAsia="zh-CN"/>
          <w14:ligatures w14:val="none"/>
        </w:rPr>
        <w:t xml:space="preserve">Student cognitive outcomes were measured using the ISAT, a 50-item standardized multiple-choice and short-answer instrument developed by the researchers. The test items were closely aligned with the West African Examinations Council (WAEC) core syllabus benchmarks for </w:t>
      </w:r>
      <w:r w:rsidRPr="00FF5F86">
        <w:rPr>
          <w:rFonts w:ascii="Times New Roman" w:eastAsia="Times New Roman" w:hAnsi="Times New Roman" w:cs="Times New Roman"/>
          <w:color w:val="auto"/>
          <w:kern w:val="0"/>
          <w:sz w:val="24"/>
          <w:lang w:val="en-GM" w:eastAsia="zh-CN"/>
          <w14:ligatures w14:val="none"/>
        </w:rPr>
        <w:lastRenderedPageBreak/>
        <w:t>Grade 11 Physics, Chemistry, and Biology. The items specifically targeted higher-order cognitive domains within Bloom’s Revised Taxonomy, focusing on scientific analysis, data interpretation, and conceptual application, rather than simple factual recall.</w:t>
      </w:r>
    </w:p>
    <w:p w14:paraId="74826004" w14:textId="77777777" w:rsidR="00A739C0" w:rsidRPr="00FF5F86" w:rsidRDefault="00A739C0" w:rsidP="00A739C0">
      <w:pPr>
        <w:spacing w:before="100" w:beforeAutospacing="1" w:after="100" w:afterAutospacing="1" w:line="240" w:lineRule="auto"/>
        <w:ind w:left="0" w:firstLine="0"/>
        <w:outlineLvl w:val="2"/>
        <w:rPr>
          <w:rFonts w:ascii="Times New Roman" w:eastAsia="Times New Roman" w:hAnsi="Times New Roman" w:cs="Times New Roman"/>
          <w:b/>
          <w:bCs/>
          <w:color w:val="auto"/>
          <w:kern w:val="0"/>
          <w:sz w:val="27"/>
          <w:szCs w:val="27"/>
          <w:lang w:val="en-GM" w:eastAsia="zh-CN"/>
          <w14:ligatures w14:val="none"/>
        </w:rPr>
      </w:pPr>
      <w:r w:rsidRPr="00FF5F86">
        <w:rPr>
          <w:rFonts w:ascii="Times New Roman" w:eastAsia="Times New Roman" w:hAnsi="Times New Roman" w:cs="Times New Roman"/>
          <w:b/>
          <w:bCs/>
          <w:color w:val="auto"/>
          <w:kern w:val="0"/>
          <w:sz w:val="27"/>
          <w:szCs w:val="27"/>
          <w:lang w:val="en-GM" w:eastAsia="zh-CN"/>
          <w14:ligatures w14:val="none"/>
        </w:rPr>
        <w:t>2. Science Teacher Morale and Efficacy Scale (STMES)</w:t>
      </w:r>
    </w:p>
    <w:p w14:paraId="48AA7DB4" w14:textId="77777777" w:rsidR="00A739C0" w:rsidRPr="00FF5F86" w:rsidRDefault="00A739C0" w:rsidP="00A739C0">
      <w:pPr>
        <w:spacing w:before="100" w:beforeAutospacing="1" w:after="100" w:afterAutospacing="1" w:line="240" w:lineRule="auto"/>
        <w:ind w:left="0" w:firstLine="0"/>
        <w:rPr>
          <w:rFonts w:ascii="Times New Roman" w:eastAsia="Times New Roman" w:hAnsi="Times New Roman" w:cs="Times New Roman"/>
          <w:color w:val="auto"/>
          <w:kern w:val="0"/>
          <w:sz w:val="24"/>
          <w:lang w:val="en-GM" w:eastAsia="zh-CN"/>
          <w14:ligatures w14:val="none"/>
        </w:rPr>
      </w:pPr>
      <w:r w:rsidRPr="00FF5F86">
        <w:rPr>
          <w:rFonts w:ascii="Times New Roman" w:eastAsia="Times New Roman" w:hAnsi="Times New Roman" w:cs="Times New Roman"/>
          <w:color w:val="auto"/>
          <w:kern w:val="0"/>
          <w:sz w:val="24"/>
          <w:lang w:val="en-GM" w:eastAsia="zh-CN"/>
          <w14:ligatures w14:val="none"/>
        </w:rPr>
        <w:t>To quantify teacher well-being, the STMES was constructed by adapting elements from the Maslach Burnout Inventory (MBI) and the Bandura Teacher Self-Efficacy Scale. The 30-item instrument used a 5-point Likert response format (ranging from 1 = Strongly Disagree to 5 = Agree), partitioned into three validated subscales:</w:t>
      </w:r>
    </w:p>
    <w:p w14:paraId="4FA52CCB" w14:textId="779B77AB" w:rsidR="00A739C0" w:rsidRPr="00FF5F86" w:rsidRDefault="00A739C0" w:rsidP="00A739C0">
      <w:pPr>
        <w:spacing w:before="100" w:beforeAutospacing="1" w:after="100" w:afterAutospacing="1" w:line="240" w:lineRule="auto"/>
        <w:ind w:left="0" w:firstLine="0"/>
        <w:rPr>
          <w:rFonts w:ascii="Times New Roman" w:eastAsia="Times New Roman" w:hAnsi="Times New Roman" w:cs="Times New Roman"/>
          <w:color w:val="auto"/>
          <w:kern w:val="0"/>
          <w:sz w:val="24"/>
          <w:lang w:val="en-GM" w:eastAsia="zh-CN"/>
          <w14:ligatures w14:val="none"/>
        </w:rPr>
      </w:pPr>
      <w:r w:rsidRPr="00FF5F86">
        <w:rPr>
          <w:rFonts w:ascii="Times New Roman" w:eastAsia="Times New Roman" w:hAnsi="Times New Roman" w:cs="Times New Roman"/>
          <w:color w:val="auto"/>
          <w:kern w:val="0"/>
          <w:sz w:val="24"/>
          <w:lang w:val="en-GM" w:eastAsia="zh-CN"/>
          <w14:ligatures w14:val="none"/>
        </w:rPr>
        <w:t>●   </w:t>
      </w:r>
      <w:r w:rsidRPr="00FF5F86">
        <w:rPr>
          <w:rFonts w:ascii="Times New Roman" w:eastAsia="Times New Roman" w:hAnsi="Times New Roman" w:cs="Times New Roman"/>
          <w:i/>
          <w:iCs/>
          <w:color w:val="auto"/>
          <w:kern w:val="0"/>
          <w:sz w:val="24"/>
          <w:lang w:val="en-GM" w:eastAsia="zh-CN"/>
          <w14:ligatures w14:val="none"/>
        </w:rPr>
        <w:t>Instructional Efficacy</w:t>
      </w:r>
      <w:r w:rsidRPr="00FF5F86">
        <w:rPr>
          <w:rFonts w:ascii="Times New Roman" w:eastAsia="Times New Roman" w:hAnsi="Times New Roman" w:cs="Times New Roman"/>
          <w:color w:val="auto"/>
          <w:kern w:val="0"/>
          <w:sz w:val="24"/>
          <w:lang w:val="en-GM" w:eastAsia="zh-CN"/>
          <w14:ligatures w14:val="none"/>
        </w:rPr>
        <w:t xml:space="preserve"> (e.g., confidence in conducting laboratory experiments and managing student misconceptions)</w:t>
      </w:r>
    </w:p>
    <w:p w14:paraId="0EB44FC0" w14:textId="0237715D" w:rsidR="00A739C0" w:rsidRPr="00FF5F86" w:rsidRDefault="00461163" w:rsidP="00A739C0">
      <w:pPr>
        <w:spacing w:before="100" w:beforeAutospacing="1" w:after="100" w:afterAutospacing="1" w:line="240" w:lineRule="auto"/>
        <w:ind w:left="0" w:firstLine="0"/>
        <w:rPr>
          <w:rFonts w:ascii="Times New Roman" w:eastAsia="Times New Roman" w:hAnsi="Times New Roman" w:cs="Times New Roman"/>
          <w:color w:val="auto"/>
          <w:kern w:val="0"/>
          <w:sz w:val="24"/>
          <w:lang w:val="en-GM" w:eastAsia="zh-CN"/>
          <w14:ligatures w14:val="none"/>
        </w:rPr>
      </w:pPr>
      <w:r w:rsidRPr="00FF5F86">
        <w:rPr>
          <w:rFonts w:ascii="Times New Roman" w:eastAsia="Times New Roman" w:hAnsi="Times New Roman" w:cs="Times New Roman"/>
          <w:color w:val="auto"/>
          <w:kern w:val="0"/>
          <w:sz w:val="24"/>
          <w:lang w:val="en-GM" w:eastAsia="zh-CN"/>
          <w14:ligatures w14:val="none"/>
        </w:rPr>
        <w:t>● Workload</w:t>
      </w:r>
      <w:r w:rsidR="00A739C0" w:rsidRPr="00FF5F86">
        <w:rPr>
          <w:rFonts w:ascii="Times New Roman" w:eastAsia="Times New Roman" w:hAnsi="Times New Roman" w:cs="Times New Roman"/>
          <w:i/>
          <w:iCs/>
          <w:color w:val="auto"/>
          <w:kern w:val="0"/>
          <w:sz w:val="24"/>
          <w:lang w:val="en-GM" w:eastAsia="zh-CN"/>
          <w14:ligatures w14:val="none"/>
        </w:rPr>
        <w:t xml:space="preserve"> Satisfaction</w:t>
      </w:r>
      <w:r w:rsidR="00A739C0" w:rsidRPr="00FF5F86">
        <w:rPr>
          <w:rFonts w:ascii="Times New Roman" w:eastAsia="Times New Roman" w:hAnsi="Times New Roman" w:cs="Times New Roman"/>
          <w:color w:val="auto"/>
          <w:kern w:val="0"/>
          <w:sz w:val="24"/>
          <w:lang w:val="en-GM" w:eastAsia="zh-CN"/>
          <w14:ligatures w14:val="none"/>
        </w:rPr>
        <w:t xml:space="preserve"> (e.g., perceived fairness and manageability of grading, lesson planning, and administrative requirements)</w:t>
      </w:r>
    </w:p>
    <w:p w14:paraId="366430B9" w14:textId="54CC9AA5" w:rsidR="00A739C0" w:rsidRPr="00FF5F86" w:rsidRDefault="00B07339" w:rsidP="00A739C0">
      <w:pPr>
        <w:spacing w:before="100" w:beforeAutospacing="1" w:after="100" w:afterAutospacing="1" w:line="240" w:lineRule="auto"/>
        <w:ind w:left="0" w:firstLine="0"/>
        <w:rPr>
          <w:rFonts w:ascii="Times New Roman" w:eastAsia="Times New Roman" w:hAnsi="Times New Roman" w:cs="Times New Roman"/>
          <w:color w:val="auto"/>
          <w:kern w:val="0"/>
          <w:sz w:val="24"/>
          <w:lang w:val="en-GM" w:eastAsia="zh-CN"/>
          <w14:ligatures w14:val="none"/>
        </w:rPr>
      </w:pPr>
      <w:r w:rsidRPr="00FF5F86">
        <w:rPr>
          <w:rFonts w:ascii="Times New Roman" w:eastAsia="Times New Roman" w:hAnsi="Times New Roman" w:cs="Times New Roman"/>
          <w:color w:val="auto"/>
          <w:kern w:val="0"/>
          <w:sz w:val="24"/>
          <w:lang w:val="en-GM" w:eastAsia="zh-CN"/>
          <w14:ligatures w14:val="none"/>
        </w:rPr>
        <w:t>● Professional</w:t>
      </w:r>
      <w:r w:rsidR="00A739C0" w:rsidRPr="00FF5F86">
        <w:rPr>
          <w:rFonts w:ascii="Times New Roman" w:eastAsia="Times New Roman" w:hAnsi="Times New Roman" w:cs="Times New Roman"/>
          <w:i/>
          <w:iCs/>
          <w:color w:val="auto"/>
          <w:kern w:val="0"/>
          <w:sz w:val="24"/>
          <w:lang w:val="en-GM" w:eastAsia="zh-CN"/>
          <w14:ligatures w14:val="none"/>
        </w:rPr>
        <w:t xml:space="preserve"> Burnout</w:t>
      </w:r>
      <w:r w:rsidR="00A739C0" w:rsidRPr="00FF5F86">
        <w:rPr>
          <w:rFonts w:ascii="Times New Roman" w:eastAsia="Times New Roman" w:hAnsi="Times New Roman" w:cs="Times New Roman"/>
          <w:color w:val="auto"/>
          <w:kern w:val="0"/>
          <w:sz w:val="24"/>
          <w:lang w:val="en-GM" w:eastAsia="zh-CN"/>
          <w14:ligatures w14:val="none"/>
        </w:rPr>
        <w:t xml:space="preserve"> (e.g., experiences of emotional exhaustion and daily teaching fatigue).</w:t>
      </w:r>
    </w:p>
    <w:p w14:paraId="3CADF6FC" w14:textId="77777777" w:rsidR="00A739C0" w:rsidRPr="00FF5F86" w:rsidRDefault="00A739C0" w:rsidP="00A739C0">
      <w:pPr>
        <w:spacing w:before="100" w:beforeAutospacing="1" w:after="100" w:afterAutospacing="1" w:line="240" w:lineRule="auto"/>
        <w:ind w:left="0" w:firstLine="0"/>
        <w:outlineLvl w:val="2"/>
        <w:rPr>
          <w:rFonts w:ascii="Times New Roman" w:eastAsia="Times New Roman" w:hAnsi="Times New Roman" w:cs="Times New Roman"/>
          <w:b/>
          <w:bCs/>
          <w:color w:val="auto"/>
          <w:kern w:val="0"/>
          <w:sz w:val="27"/>
          <w:szCs w:val="27"/>
          <w:lang w:val="en-GM" w:eastAsia="zh-CN"/>
          <w14:ligatures w14:val="none"/>
        </w:rPr>
      </w:pPr>
      <w:r w:rsidRPr="00FF5F86">
        <w:rPr>
          <w:rFonts w:ascii="Times New Roman" w:eastAsia="Times New Roman" w:hAnsi="Times New Roman" w:cs="Times New Roman"/>
          <w:b/>
          <w:bCs/>
          <w:color w:val="auto"/>
          <w:kern w:val="0"/>
          <w:sz w:val="27"/>
          <w:szCs w:val="27"/>
          <w:lang w:val="en-GM" w:eastAsia="zh-CN"/>
          <w14:ligatures w14:val="none"/>
        </w:rPr>
        <w:t>3. Qualitative Tools</w:t>
      </w:r>
    </w:p>
    <w:p w14:paraId="78E8E9D9" w14:textId="77777777" w:rsidR="00A739C0" w:rsidRPr="00FF5F86" w:rsidRDefault="00A739C0" w:rsidP="00A739C0">
      <w:pPr>
        <w:spacing w:before="100" w:beforeAutospacing="1" w:after="100" w:afterAutospacing="1" w:line="240" w:lineRule="auto"/>
        <w:ind w:left="0" w:firstLine="0"/>
        <w:rPr>
          <w:rFonts w:ascii="Times New Roman" w:eastAsia="Times New Roman" w:hAnsi="Times New Roman" w:cs="Times New Roman"/>
          <w:color w:val="auto"/>
          <w:kern w:val="0"/>
          <w:sz w:val="24"/>
          <w:lang w:val="en-GM" w:eastAsia="zh-CN"/>
          <w14:ligatures w14:val="none"/>
        </w:rPr>
      </w:pPr>
      <w:r w:rsidRPr="00FF5F86">
        <w:rPr>
          <w:rFonts w:ascii="Times New Roman" w:eastAsia="Times New Roman" w:hAnsi="Times New Roman" w:cs="Times New Roman"/>
          <w:color w:val="auto"/>
          <w:kern w:val="0"/>
          <w:sz w:val="24"/>
          <w:lang w:val="en-GM" w:eastAsia="zh-CN"/>
          <w14:ligatures w14:val="none"/>
        </w:rPr>
        <w:t>Qualitative protocols included a semi-structured interview schedule focused on pedagogical adjustments under overcrowding and a structured classroom observation matrix to track the frequency of student-</w:t>
      </w:r>
      <w:proofErr w:type="spellStart"/>
      <w:r w:rsidRPr="00FF5F86">
        <w:rPr>
          <w:rFonts w:ascii="Times New Roman" w:eastAsia="Times New Roman" w:hAnsi="Times New Roman" w:cs="Times New Roman"/>
          <w:color w:val="auto"/>
          <w:kern w:val="0"/>
          <w:sz w:val="24"/>
          <w:lang w:val="en-GM" w:eastAsia="zh-CN"/>
          <w14:ligatures w14:val="none"/>
        </w:rPr>
        <w:t>centered</w:t>
      </w:r>
      <w:proofErr w:type="spellEnd"/>
      <w:r w:rsidRPr="00FF5F86">
        <w:rPr>
          <w:rFonts w:ascii="Times New Roman" w:eastAsia="Times New Roman" w:hAnsi="Times New Roman" w:cs="Times New Roman"/>
          <w:color w:val="auto"/>
          <w:kern w:val="0"/>
          <w:sz w:val="24"/>
          <w:lang w:val="en-GM" w:eastAsia="zh-CN"/>
          <w14:ligatures w14:val="none"/>
        </w:rPr>
        <w:t xml:space="preserve"> activities, time lost to disciplinary management, and student engagement levels.</w:t>
      </w:r>
    </w:p>
    <w:p w14:paraId="1A6034E7" w14:textId="77777777" w:rsidR="00A739C0" w:rsidRPr="00FF5F86" w:rsidRDefault="00A739C0" w:rsidP="00A739C0">
      <w:pPr>
        <w:spacing w:before="100" w:beforeAutospacing="1" w:after="100" w:afterAutospacing="1" w:line="240" w:lineRule="auto"/>
        <w:ind w:left="0" w:firstLine="0"/>
        <w:outlineLvl w:val="1"/>
        <w:rPr>
          <w:rFonts w:ascii="Times New Roman" w:eastAsia="Times New Roman" w:hAnsi="Times New Roman" w:cs="Times New Roman"/>
          <w:b/>
          <w:bCs/>
          <w:color w:val="auto"/>
          <w:kern w:val="0"/>
          <w:sz w:val="36"/>
          <w:szCs w:val="36"/>
          <w:lang w:val="en-GM" w:eastAsia="zh-CN"/>
          <w14:ligatures w14:val="none"/>
        </w:rPr>
      </w:pPr>
      <w:r w:rsidRPr="00FF5F86">
        <w:rPr>
          <w:rFonts w:ascii="Times New Roman" w:eastAsia="Times New Roman" w:hAnsi="Times New Roman" w:cs="Times New Roman"/>
          <w:b/>
          <w:bCs/>
          <w:color w:val="auto"/>
          <w:kern w:val="0"/>
          <w:sz w:val="36"/>
          <w:szCs w:val="36"/>
          <w:lang w:val="en-GM" w:eastAsia="zh-CN"/>
          <w14:ligatures w14:val="none"/>
        </w:rPr>
        <w:t>Validity and Reliability</w:t>
      </w:r>
    </w:p>
    <w:p w14:paraId="77DA3A30" w14:textId="30E758D9" w:rsidR="00A739C0" w:rsidRPr="00FF5F86" w:rsidRDefault="00A739C0" w:rsidP="00A739C0">
      <w:pPr>
        <w:spacing w:before="100" w:beforeAutospacing="1" w:after="100" w:afterAutospacing="1" w:line="240" w:lineRule="auto"/>
        <w:ind w:left="0" w:firstLine="0"/>
        <w:rPr>
          <w:rFonts w:ascii="Times New Roman" w:eastAsia="Times New Roman" w:hAnsi="Times New Roman" w:cs="Times New Roman"/>
          <w:color w:val="auto"/>
          <w:kern w:val="0"/>
          <w:sz w:val="24"/>
          <w:lang w:val="en-GM" w:eastAsia="zh-CN"/>
          <w14:ligatures w14:val="none"/>
        </w:rPr>
      </w:pPr>
      <w:r w:rsidRPr="00FF5F86">
        <w:rPr>
          <w:rFonts w:ascii="Times New Roman" w:eastAsia="Times New Roman" w:hAnsi="Times New Roman" w:cs="Times New Roman"/>
          <w:color w:val="auto"/>
          <w:kern w:val="0"/>
          <w:sz w:val="24"/>
          <w:lang w:val="en-GM" w:eastAsia="zh-CN"/>
          <w14:ligatures w14:val="none"/>
        </w:rPr>
        <w:t>To ensure construct and content validity, the ISAT items and STMES scale dimensions were thoroughly reviewed by a panel of expert science educators from the University of The Gambia and senior curriculum specialists from MoBSE. A pilot study was conducted in two non-sampled SSS institutions to calculate internal consistency metrics. The reliability coefficient for the ISAT was established via Kuder-Richardson Formula 20 (KR\</w:t>
      </w:r>
      <w:r w:rsidR="00C316AC" w:rsidRPr="00FF5F86">
        <w:rPr>
          <w:rFonts w:ascii="Times New Roman" w:eastAsia="Times New Roman" w:hAnsi="Times New Roman" w:cs="Times New Roman"/>
          <w:color w:val="auto"/>
          <w:kern w:val="0"/>
          <w:sz w:val="24"/>
          <w:lang w:val="en-GM" w:eastAsia="zh-CN"/>
          <w14:ligatures w14:val="none"/>
        </w:rPr>
        <w:t>text {</w:t>
      </w:r>
      <w:r w:rsidRPr="00FF5F86">
        <w:rPr>
          <w:rFonts w:ascii="Times New Roman" w:eastAsia="Times New Roman" w:hAnsi="Times New Roman" w:cs="Times New Roman"/>
          <w:color w:val="auto"/>
          <w:kern w:val="0"/>
          <w:sz w:val="24"/>
          <w:lang w:val="en-GM" w:eastAsia="zh-CN"/>
          <w14:ligatures w14:val="none"/>
        </w:rPr>
        <w:t>-}20 = 0.84). For the STMES subscales, Cronbach's alpha (\alpha) coefficients were computed as follows: Instructional Efficacy (\alpha = 0.81), Workload Satisfaction (\alpha = 0.79), and Professional Burnout (\alpha</w:t>
      </w:r>
    </w:p>
    <w:p w14:paraId="09F72D17" w14:textId="77777777" w:rsidR="00A739C0" w:rsidRPr="00FF5F86" w:rsidRDefault="00A739C0" w:rsidP="00A739C0">
      <w:pPr>
        <w:spacing w:before="100" w:beforeAutospacing="1" w:after="100" w:afterAutospacing="1" w:line="240" w:lineRule="auto"/>
        <w:ind w:left="0" w:firstLine="0"/>
        <w:rPr>
          <w:rFonts w:ascii="Times New Roman" w:eastAsia="Times New Roman" w:hAnsi="Times New Roman" w:cs="Times New Roman"/>
          <w:color w:val="auto"/>
          <w:kern w:val="0"/>
          <w:sz w:val="24"/>
          <w:lang w:val="en-GM" w:eastAsia="zh-CN"/>
          <w14:ligatures w14:val="none"/>
        </w:rPr>
      </w:pPr>
      <w:r w:rsidRPr="00FF5F86">
        <w:rPr>
          <w:rFonts w:ascii="Times New Roman" w:eastAsia="Times New Roman" w:hAnsi="Times New Roman" w:cs="Times New Roman"/>
          <w:color w:val="auto"/>
          <w:kern w:val="0"/>
          <w:sz w:val="24"/>
          <w:lang w:val="en-GM" w:eastAsia="zh-CN"/>
          <w14:ligatures w14:val="none"/>
        </w:rPr>
        <w:t>= 0.86). These statistics confirmed that the measurement instruments possessed high internal reliability.</w:t>
      </w:r>
    </w:p>
    <w:p w14:paraId="6A898353" w14:textId="77777777" w:rsidR="00A739C0" w:rsidRPr="00FF5F86" w:rsidRDefault="00A739C0" w:rsidP="00A739C0">
      <w:pPr>
        <w:spacing w:before="100" w:beforeAutospacing="1" w:after="100" w:afterAutospacing="1" w:line="240" w:lineRule="auto"/>
        <w:ind w:left="0" w:firstLine="0"/>
        <w:outlineLvl w:val="1"/>
        <w:rPr>
          <w:rFonts w:ascii="Times New Roman" w:eastAsia="Times New Roman" w:hAnsi="Times New Roman" w:cs="Times New Roman"/>
          <w:b/>
          <w:bCs/>
          <w:color w:val="auto"/>
          <w:kern w:val="0"/>
          <w:sz w:val="36"/>
          <w:szCs w:val="36"/>
          <w:lang w:val="en-GM" w:eastAsia="zh-CN"/>
          <w14:ligatures w14:val="none"/>
        </w:rPr>
      </w:pPr>
      <w:r w:rsidRPr="00FF5F86">
        <w:rPr>
          <w:rFonts w:ascii="Times New Roman" w:eastAsia="Times New Roman" w:hAnsi="Times New Roman" w:cs="Times New Roman"/>
          <w:b/>
          <w:bCs/>
          <w:color w:val="auto"/>
          <w:kern w:val="0"/>
          <w:sz w:val="36"/>
          <w:szCs w:val="36"/>
          <w:lang w:val="en-GM" w:eastAsia="zh-CN"/>
          <w14:ligatures w14:val="none"/>
        </w:rPr>
        <w:t>Data Collection Procedures</w:t>
      </w:r>
    </w:p>
    <w:p w14:paraId="387FFB4B" w14:textId="77777777" w:rsidR="00A739C0" w:rsidRPr="00FF5F86" w:rsidRDefault="00A739C0" w:rsidP="00A739C0">
      <w:pPr>
        <w:spacing w:before="100" w:beforeAutospacing="1" w:after="100" w:afterAutospacing="1" w:line="240" w:lineRule="auto"/>
        <w:ind w:left="0" w:firstLine="0"/>
        <w:rPr>
          <w:rFonts w:ascii="Times New Roman" w:eastAsia="Times New Roman" w:hAnsi="Times New Roman" w:cs="Times New Roman"/>
          <w:color w:val="auto"/>
          <w:kern w:val="0"/>
          <w:sz w:val="24"/>
          <w:lang w:val="en-GM" w:eastAsia="zh-CN"/>
          <w14:ligatures w14:val="none"/>
        </w:rPr>
      </w:pPr>
      <w:r w:rsidRPr="00FF5F86">
        <w:rPr>
          <w:rFonts w:ascii="Times New Roman" w:eastAsia="Times New Roman" w:hAnsi="Times New Roman" w:cs="Times New Roman"/>
          <w:color w:val="auto"/>
          <w:kern w:val="0"/>
          <w:sz w:val="24"/>
          <w:lang w:val="en-GM" w:eastAsia="zh-CN"/>
          <w14:ligatures w14:val="none"/>
        </w:rPr>
        <w:t xml:space="preserve">Data collection took place over a continuous 10-week period during the academic term. Formal administrative clearances were secured from MoBSE and individual school heads. The quantitative instruments were administered under standardized conditions: the ISAT was </w:t>
      </w:r>
      <w:r w:rsidRPr="00FF5F86">
        <w:rPr>
          <w:rFonts w:ascii="Times New Roman" w:eastAsia="Times New Roman" w:hAnsi="Times New Roman" w:cs="Times New Roman"/>
          <w:color w:val="auto"/>
          <w:kern w:val="0"/>
          <w:sz w:val="24"/>
          <w:lang w:val="en-GM" w:eastAsia="zh-CN"/>
          <w14:ligatures w14:val="none"/>
        </w:rPr>
        <w:lastRenderedPageBreak/>
        <w:t>completed by students during a supervised 90-minute session, while the STMES surveys were distributed to teachers during departmental meetings.</w:t>
      </w:r>
    </w:p>
    <w:p w14:paraId="20D8348E" w14:textId="77777777" w:rsidR="00A739C0" w:rsidRPr="00FF5F86" w:rsidRDefault="00A739C0" w:rsidP="00A739C0">
      <w:pPr>
        <w:spacing w:before="100" w:beforeAutospacing="1" w:after="100" w:afterAutospacing="1" w:line="240" w:lineRule="auto"/>
        <w:ind w:left="0" w:firstLine="0"/>
        <w:rPr>
          <w:rFonts w:ascii="Times New Roman" w:eastAsia="Times New Roman" w:hAnsi="Times New Roman" w:cs="Times New Roman"/>
          <w:color w:val="auto"/>
          <w:kern w:val="0"/>
          <w:sz w:val="24"/>
          <w:lang w:val="en-GM" w:eastAsia="zh-CN"/>
          <w14:ligatures w14:val="none"/>
        </w:rPr>
      </w:pPr>
      <w:r w:rsidRPr="00FF5F86">
        <w:rPr>
          <w:rFonts w:ascii="Times New Roman" w:eastAsia="Times New Roman" w:hAnsi="Times New Roman" w:cs="Times New Roman"/>
          <w:color w:val="auto"/>
          <w:kern w:val="0"/>
          <w:sz w:val="24"/>
          <w:lang w:val="en-GM" w:eastAsia="zh-CN"/>
          <w14:ligatures w14:val="none"/>
        </w:rPr>
        <w:t>Once the quantitative data were securely compiled, the researchers conducted the qualitative phase, executing the 12 semi-structured interviews in private staff rooms. Each interview lasted approximately 45 to 60 minutes and was audio-recorded with explicit permission. Classroom observations were conducted unobtrusively by two researchers over two instructional cycles per school to minimize observer effects.</w:t>
      </w:r>
    </w:p>
    <w:p w14:paraId="2164E9EE" w14:textId="77777777" w:rsidR="00A739C0" w:rsidRPr="00FF5F86" w:rsidRDefault="00A739C0" w:rsidP="00A739C0">
      <w:pPr>
        <w:spacing w:before="100" w:beforeAutospacing="1" w:after="100" w:afterAutospacing="1" w:line="240" w:lineRule="auto"/>
        <w:ind w:left="0" w:firstLine="0"/>
        <w:outlineLvl w:val="1"/>
        <w:rPr>
          <w:rFonts w:ascii="Times New Roman" w:eastAsia="Times New Roman" w:hAnsi="Times New Roman" w:cs="Times New Roman"/>
          <w:b/>
          <w:bCs/>
          <w:color w:val="auto"/>
          <w:kern w:val="0"/>
          <w:sz w:val="36"/>
          <w:szCs w:val="36"/>
          <w:lang w:val="en-GM" w:eastAsia="zh-CN"/>
          <w14:ligatures w14:val="none"/>
        </w:rPr>
      </w:pPr>
      <w:r w:rsidRPr="00FF5F86">
        <w:rPr>
          <w:rFonts w:ascii="Times New Roman" w:eastAsia="Times New Roman" w:hAnsi="Times New Roman" w:cs="Times New Roman"/>
          <w:b/>
          <w:bCs/>
          <w:color w:val="auto"/>
          <w:kern w:val="0"/>
          <w:sz w:val="36"/>
          <w:szCs w:val="36"/>
          <w:lang w:val="en-GM" w:eastAsia="zh-CN"/>
          <w14:ligatures w14:val="none"/>
        </w:rPr>
        <w:t>Ethical Considerations</w:t>
      </w:r>
    </w:p>
    <w:p w14:paraId="376F07BC" w14:textId="1B61ED40" w:rsidR="00A739C0" w:rsidRPr="00FF5F86" w:rsidRDefault="00A739C0" w:rsidP="00A739C0">
      <w:pPr>
        <w:spacing w:before="100" w:beforeAutospacing="1" w:after="100" w:afterAutospacing="1" w:line="240" w:lineRule="auto"/>
        <w:ind w:left="0" w:firstLine="0"/>
        <w:rPr>
          <w:rFonts w:ascii="Times New Roman" w:eastAsia="Times New Roman" w:hAnsi="Times New Roman" w:cs="Times New Roman"/>
          <w:color w:val="auto"/>
          <w:kern w:val="0"/>
          <w:sz w:val="24"/>
          <w:lang w:val="en-GM" w:eastAsia="zh-CN"/>
          <w14:ligatures w14:val="none"/>
        </w:rPr>
      </w:pPr>
      <w:r w:rsidRPr="00FF5F86">
        <w:rPr>
          <w:rFonts w:ascii="Times New Roman" w:eastAsia="Times New Roman" w:hAnsi="Times New Roman" w:cs="Times New Roman"/>
          <w:color w:val="auto"/>
          <w:kern w:val="0"/>
          <w:sz w:val="24"/>
          <w:lang w:val="en-GM" w:eastAsia="zh-CN"/>
          <w14:ligatures w14:val="none"/>
        </w:rPr>
        <w:t xml:space="preserve">The study adhered strictly to international ethical protocols for human </w:t>
      </w:r>
      <w:r w:rsidR="00461163" w:rsidRPr="00FF5F86">
        <w:rPr>
          <w:rFonts w:ascii="Times New Roman" w:eastAsia="Times New Roman" w:hAnsi="Times New Roman" w:cs="Times New Roman"/>
          <w:color w:val="auto"/>
          <w:kern w:val="0"/>
          <w:sz w:val="24"/>
          <w:lang w:val="en-GM" w:eastAsia="zh-CN"/>
          <w14:ligatures w14:val="none"/>
        </w:rPr>
        <w:t>subjects’</w:t>
      </w:r>
      <w:r w:rsidRPr="00FF5F86">
        <w:rPr>
          <w:rFonts w:ascii="Times New Roman" w:eastAsia="Times New Roman" w:hAnsi="Times New Roman" w:cs="Times New Roman"/>
          <w:color w:val="auto"/>
          <w:kern w:val="0"/>
          <w:sz w:val="24"/>
          <w:lang w:val="en-GM" w:eastAsia="zh-CN"/>
          <w14:ligatures w14:val="none"/>
        </w:rPr>
        <w:t xml:space="preserve"> research. Institutional approval was obtained, and written informed consent was secured from all participating teachers and school administrators. For students, parental consent forms were distributed and returned, supplemented by verbal student assent prior to test administration. Anonymity was strictly preserved by assigning alphanumeric codes to all participants, schools, and raw datasets. All physical and digital files were stored in password-encrypted databases accessible only to the principal research team.</w:t>
      </w:r>
    </w:p>
    <w:p w14:paraId="39887A95" w14:textId="77777777" w:rsidR="00A739C0" w:rsidRPr="00FF5F86" w:rsidRDefault="00A739C0" w:rsidP="00A739C0">
      <w:pPr>
        <w:spacing w:before="100" w:beforeAutospacing="1" w:after="100" w:afterAutospacing="1" w:line="240" w:lineRule="auto"/>
        <w:ind w:left="0" w:firstLine="0"/>
        <w:outlineLvl w:val="1"/>
        <w:rPr>
          <w:rFonts w:ascii="Times New Roman" w:eastAsia="Times New Roman" w:hAnsi="Times New Roman" w:cs="Times New Roman"/>
          <w:b/>
          <w:bCs/>
          <w:color w:val="auto"/>
          <w:kern w:val="0"/>
          <w:sz w:val="36"/>
          <w:szCs w:val="36"/>
          <w:lang w:val="en-GM" w:eastAsia="zh-CN"/>
          <w14:ligatures w14:val="none"/>
        </w:rPr>
      </w:pPr>
      <w:r w:rsidRPr="00FF5F86">
        <w:rPr>
          <w:rFonts w:ascii="Times New Roman" w:eastAsia="Times New Roman" w:hAnsi="Times New Roman" w:cs="Times New Roman"/>
          <w:b/>
          <w:bCs/>
          <w:color w:val="auto"/>
          <w:kern w:val="0"/>
          <w:sz w:val="36"/>
          <w:szCs w:val="36"/>
          <w:lang w:val="en-GM" w:eastAsia="zh-CN"/>
          <w14:ligatures w14:val="none"/>
        </w:rPr>
        <w:t>Data Analysis Techniques</w:t>
      </w:r>
    </w:p>
    <w:p w14:paraId="43D38450" w14:textId="77777777" w:rsidR="00A739C0" w:rsidRPr="00FF5F86" w:rsidRDefault="00A739C0" w:rsidP="00A739C0">
      <w:pPr>
        <w:spacing w:before="100" w:beforeAutospacing="1" w:after="100" w:afterAutospacing="1" w:line="240" w:lineRule="auto"/>
        <w:ind w:left="0" w:firstLine="0"/>
        <w:rPr>
          <w:rFonts w:ascii="Times New Roman" w:eastAsia="Times New Roman" w:hAnsi="Times New Roman" w:cs="Times New Roman"/>
          <w:color w:val="auto"/>
          <w:kern w:val="0"/>
          <w:sz w:val="24"/>
          <w:lang w:val="en-GM" w:eastAsia="zh-CN"/>
          <w14:ligatures w14:val="none"/>
        </w:rPr>
      </w:pPr>
      <w:r w:rsidRPr="00FF5F86">
        <w:rPr>
          <w:rFonts w:ascii="Times New Roman" w:eastAsia="Times New Roman" w:hAnsi="Times New Roman" w:cs="Times New Roman"/>
          <w:color w:val="auto"/>
          <w:kern w:val="0"/>
          <w:sz w:val="24"/>
          <w:lang w:val="en-GM" w:eastAsia="zh-CN"/>
          <w14:ligatures w14:val="none"/>
        </w:rPr>
        <w:t xml:space="preserve">Quantitative data were cleaned, coded, and processed using statistical analysis software. Descriptive statistics (means, standard deviations, skewness, and kurtosis) were computed to confirm normal distribution profiles. Research Question 1 was </w:t>
      </w:r>
      <w:proofErr w:type="spellStart"/>
      <w:r w:rsidRPr="00FF5F86">
        <w:rPr>
          <w:rFonts w:ascii="Times New Roman" w:eastAsia="Times New Roman" w:hAnsi="Times New Roman" w:cs="Times New Roman"/>
          <w:color w:val="auto"/>
          <w:kern w:val="0"/>
          <w:sz w:val="24"/>
          <w:lang w:val="en-GM" w:eastAsia="zh-CN"/>
          <w14:ligatures w14:val="none"/>
        </w:rPr>
        <w:t>analyzed</w:t>
      </w:r>
      <w:proofErr w:type="spellEnd"/>
      <w:r w:rsidRPr="00FF5F86">
        <w:rPr>
          <w:rFonts w:ascii="Times New Roman" w:eastAsia="Times New Roman" w:hAnsi="Times New Roman" w:cs="Times New Roman"/>
          <w:color w:val="auto"/>
          <w:kern w:val="0"/>
          <w:sz w:val="24"/>
          <w:lang w:val="en-GM" w:eastAsia="zh-CN"/>
          <w14:ligatures w14:val="none"/>
        </w:rPr>
        <w:t xml:space="preserve"> using independent samples </w:t>
      </w:r>
      <w:r w:rsidRPr="00FF5F86">
        <w:rPr>
          <w:rFonts w:ascii="Times New Roman" w:eastAsia="Times New Roman" w:hAnsi="Times New Roman" w:cs="Times New Roman"/>
          <w:i/>
          <w:iCs/>
          <w:color w:val="auto"/>
          <w:kern w:val="0"/>
          <w:sz w:val="24"/>
          <w:lang w:val="en-GM" w:eastAsia="zh-CN"/>
          <w14:ligatures w14:val="none"/>
        </w:rPr>
        <w:t>t</w:t>
      </w:r>
      <w:r w:rsidRPr="00FF5F86">
        <w:rPr>
          <w:rFonts w:ascii="Times New Roman" w:eastAsia="Times New Roman" w:hAnsi="Times New Roman" w:cs="Times New Roman"/>
          <w:color w:val="auto"/>
          <w:kern w:val="0"/>
          <w:sz w:val="24"/>
          <w:lang w:val="en-GM" w:eastAsia="zh-CN"/>
          <w14:ligatures w14:val="none"/>
        </w:rPr>
        <w:t xml:space="preserve">-tests to evaluate the differences in mean academic scores between the two class-size cohorts, supplemented by Cohen's </w:t>
      </w:r>
      <w:r w:rsidRPr="00FF5F86">
        <w:rPr>
          <w:rFonts w:ascii="Times New Roman" w:eastAsia="Times New Roman" w:hAnsi="Times New Roman" w:cs="Times New Roman"/>
          <w:i/>
          <w:iCs/>
          <w:color w:val="auto"/>
          <w:kern w:val="0"/>
          <w:sz w:val="24"/>
          <w:lang w:val="en-GM" w:eastAsia="zh-CN"/>
          <w14:ligatures w14:val="none"/>
        </w:rPr>
        <w:t>d</w:t>
      </w:r>
      <w:r w:rsidRPr="00FF5F86">
        <w:rPr>
          <w:rFonts w:ascii="Times New Roman" w:eastAsia="Times New Roman" w:hAnsi="Times New Roman" w:cs="Times New Roman"/>
          <w:color w:val="auto"/>
          <w:kern w:val="0"/>
          <w:sz w:val="24"/>
          <w:lang w:val="en-GM" w:eastAsia="zh-CN"/>
          <w14:ligatures w14:val="none"/>
        </w:rPr>
        <w:t xml:space="preserve"> computations to determine effect sizes. Research Question 2 was evaluated using ordinary least squares (OLS) multiple regression models, where class size functioned as the primary predictor variable alongside demographic covariates, and the STMES subscales served as the dependent variables.</w:t>
      </w:r>
    </w:p>
    <w:p w14:paraId="2487D744" w14:textId="0BF0672D" w:rsidR="00A739C0" w:rsidRPr="00FF5F86" w:rsidRDefault="00A739C0" w:rsidP="00A739C0">
      <w:pPr>
        <w:spacing w:before="100" w:beforeAutospacing="1" w:after="100" w:afterAutospacing="1" w:line="240" w:lineRule="auto"/>
        <w:ind w:left="0" w:firstLine="0"/>
        <w:rPr>
          <w:rFonts w:ascii="Times New Roman" w:eastAsia="Times New Roman" w:hAnsi="Times New Roman" w:cs="Times New Roman"/>
          <w:color w:val="auto"/>
          <w:kern w:val="0"/>
          <w:sz w:val="24"/>
          <w:lang w:val="en-GM" w:eastAsia="zh-CN"/>
          <w14:ligatures w14:val="none"/>
        </w:rPr>
      </w:pPr>
      <w:r w:rsidRPr="00FF5F86">
        <w:rPr>
          <w:rFonts w:ascii="Times New Roman" w:eastAsia="Times New Roman" w:hAnsi="Times New Roman" w:cs="Times New Roman"/>
          <w:color w:val="auto"/>
          <w:kern w:val="0"/>
          <w:sz w:val="24"/>
          <w:lang w:val="en-GM" w:eastAsia="zh-CN"/>
          <w14:ligatures w14:val="none"/>
        </w:rPr>
        <w:t xml:space="preserve">Qualitative data were </w:t>
      </w:r>
      <w:r w:rsidR="00C316AC" w:rsidRPr="00FF5F86">
        <w:rPr>
          <w:rFonts w:ascii="Times New Roman" w:eastAsia="Times New Roman" w:hAnsi="Times New Roman" w:cs="Times New Roman"/>
          <w:color w:val="auto"/>
          <w:kern w:val="0"/>
          <w:sz w:val="24"/>
          <w:lang w:val="en-GM" w:eastAsia="zh-CN"/>
          <w14:ligatures w14:val="none"/>
        </w:rPr>
        <w:t>analysed</w:t>
      </w:r>
      <w:r w:rsidRPr="00FF5F86">
        <w:rPr>
          <w:rFonts w:ascii="Times New Roman" w:eastAsia="Times New Roman" w:hAnsi="Times New Roman" w:cs="Times New Roman"/>
          <w:color w:val="auto"/>
          <w:kern w:val="0"/>
          <w:sz w:val="24"/>
          <w:lang w:val="en-GM" w:eastAsia="zh-CN"/>
          <w14:ligatures w14:val="none"/>
        </w:rPr>
        <w:t xml:space="preserve"> using thematic analysis via a concurrent inductive-deductive coding matrix. Audio recordings were transcribed verbatim, subjected to iterative reading cycles, and categorized into initial codes, descriptive sub-themes, and overarching analytical themes that illustrated the quantitative models.</w:t>
      </w:r>
    </w:p>
    <w:p w14:paraId="0A5A1C41" w14:textId="77777777" w:rsidR="00A739C0" w:rsidRPr="00FF5F86" w:rsidRDefault="00A739C0" w:rsidP="00A739C0">
      <w:pPr>
        <w:spacing w:before="100" w:beforeAutospacing="1" w:after="100" w:afterAutospacing="1" w:line="240" w:lineRule="auto"/>
        <w:ind w:left="0" w:firstLine="0"/>
        <w:outlineLvl w:val="0"/>
        <w:rPr>
          <w:rFonts w:ascii="Times New Roman" w:eastAsia="Times New Roman" w:hAnsi="Times New Roman" w:cs="Times New Roman"/>
          <w:b/>
          <w:bCs/>
          <w:color w:val="auto"/>
          <w:kern w:val="36"/>
          <w:sz w:val="48"/>
          <w:szCs w:val="48"/>
          <w:lang w:val="en-GM" w:eastAsia="zh-CN"/>
          <w14:ligatures w14:val="none"/>
        </w:rPr>
      </w:pPr>
      <w:r w:rsidRPr="00FF5F86">
        <w:rPr>
          <w:rFonts w:ascii="Times New Roman" w:eastAsia="Times New Roman" w:hAnsi="Times New Roman" w:cs="Times New Roman"/>
          <w:b/>
          <w:bCs/>
          <w:color w:val="auto"/>
          <w:kern w:val="36"/>
          <w:sz w:val="48"/>
          <w:szCs w:val="48"/>
          <w:lang w:val="en-GM" w:eastAsia="zh-CN"/>
          <w14:ligatures w14:val="none"/>
        </w:rPr>
        <w:t>5. Results and Findings</w:t>
      </w:r>
    </w:p>
    <w:p w14:paraId="3DFAA734" w14:textId="77777777" w:rsidR="00A739C0" w:rsidRPr="00FF5F86" w:rsidRDefault="00A739C0" w:rsidP="00A739C0">
      <w:pPr>
        <w:spacing w:before="100" w:beforeAutospacing="1" w:after="100" w:afterAutospacing="1" w:line="240" w:lineRule="auto"/>
        <w:ind w:left="0" w:firstLine="0"/>
        <w:outlineLvl w:val="1"/>
        <w:rPr>
          <w:rFonts w:ascii="Times New Roman" w:eastAsia="Times New Roman" w:hAnsi="Times New Roman" w:cs="Times New Roman"/>
          <w:b/>
          <w:bCs/>
          <w:color w:val="auto"/>
          <w:kern w:val="0"/>
          <w:sz w:val="36"/>
          <w:szCs w:val="36"/>
          <w:lang w:val="en-GM" w:eastAsia="zh-CN"/>
          <w14:ligatures w14:val="none"/>
        </w:rPr>
      </w:pPr>
      <w:r w:rsidRPr="00FF5F86">
        <w:rPr>
          <w:rFonts w:ascii="Times New Roman" w:eastAsia="Times New Roman" w:hAnsi="Times New Roman" w:cs="Times New Roman"/>
          <w:b/>
          <w:bCs/>
          <w:color w:val="auto"/>
          <w:kern w:val="0"/>
          <w:sz w:val="36"/>
          <w:szCs w:val="36"/>
          <w:lang w:val="en-GM" w:eastAsia="zh-CN"/>
          <w14:ligatures w14:val="none"/>
        </w:rPr>
        <w:t>Demographic and Descriptive Characterization</w:t>
      </w:r>
    </w:p>
    <w:p w14:paraId="53ED5B91" w14:textId="0716901D" w:rsidR="00A739C0" w:rsidRPr="00FF5F86" w:rsidRDefault="00A739C0" w:rsidP="00A739C0">
      <w:pPr>
        <w:spacing w:before="100" w:beforeAutospacing="1" w:after="100" w:afterAutospacing="1" w:line="240" w:lineRule="auto"/>
        <w:ind w:left="0" w:firstLine="0"/>
        <w:rPr>
          <w:rFonts w:ascii="Times New Roman" w:eastAsia="Times New Roman" w:hAnsi="Times New Roman" w:cs="Times New Roman"/>
          <w:color w:val="auto"/>
          <w:kern w:val="0"/>
          <w:sz w:val="24"/>
          <w:lang w:val="en-GM" w:eastAsia="zh-CN"/>
          <w14:ligatures w14:val="none"/>
        </w:rPr>
      </w:pPr>
      <w:r w:rsidRPr="00FF5F86">
        <w:rPr>
          <w:rFonts w:ascii="Times New Roman" w:eastAsia="Times New Roman" w:hAnsi="Times New Roman" w:cs="Times New Roman"/>
          <w:color w:val="auto"/>
          <w:kern w:val="0"/>
          <w:sz w:val="24"/>
          <w:lang w:val="en-GM" w:eastAsia="zh-CN"/>
          <w14:ligatures w14:val="none"/>
        </w:rPr>
        <w:t xml:space="preserve">The final </w:t>
      </w:r>
      <w:r w:rsidR="00C316AC" w:rsidRPr="00FF5F86">
        <w:rPr>
          <w:rFonts w:ascii="Times New Roman" w:eastAsia="Times New Roman" w:hAnsi="Times New Roman" w:cs="Times New Roman"/>
          <w:color w:val="auto"/>
          <w:kern w:val="0"/>
          <w:sz w:val="24"/>
          <w:lang w:val="en-GM" w:eastAsia="zh-CN"/>
          <w14:ligatures w14:val="none"/>
        </w:rPr>
        <w:t>analysed</w:t>
      </w:r>
      <w:r w:rsidRPr="00FF5F86">
        <w:rPr>
          <w:rFonts w:ascii="Times New Roman" w:eastAsia="Times New Roman" w:hAnsi="Times New Roman" w:cs="Times New Roman"/>
          <w:color w:val="auto"/>
          <w:kern w:val="0"/>
          <w:sz w:val="24"/>
          <w:lang w:val="en-GM" w:eastAsia="zh-CN"/>
          <w14:ligatures w14:val="none"/>
        </w:rPr>
        <w:t xml:space="preserve"> sample consisted of 360 students and 80 science teachers. Within the student sample, 52% were female and 48% were male. The average </w:t>
      </w:r>
      <w:r w:rsidR="009434A0" w:rsidRPr="00FF5F86">
        <w:rPr>
          <w:rFonts w:ascii="Times New Roman" w:eastAsia="Times New Roman" w:hAnsi="Times New Roman" w:cs="Times New Roman"/>
          <w:color w:val="auto"/>
          <w:kern w:val="0"/>
          <w:sz w:val="24"/>
          <w:lang w:val="en-GM" w:eastAsia="zh-CN"/>
          <w14:ligatures w14:val="none"/>
        </w:rPr>
        <w:t>enrolment</w:t>
      </w:r>
      <w:r w:rsidRPr="00FF5F86">
        <w:rPr>
          <w:rFonts w:ascii="Times New Roman" w:eastAsia="Times New Roman" w:hAnsi="Times New Roman" w:cs="Times New Roman"/>
          <w:color w:val="auto"/>
          <w:kern w:val="0"/>
          <w:sz w:val="24"/>
          <w:lang w:val="en-GM" w:eastAsia="zh-CN"/>
          <w14:ligatures w14:val="none"/>
        </w:rPr>
        <w:t xml:space="preserve"> density for the "Reduced Class Size" cohort was 31.4 students (SD = 3.2), while the "Large Class Size" cohort exhibited an average density of 64.8 students (SD = 6.9). Among the teacher participants, the distribution </w:t>
      </w:r>
      <w:r w:rsidRPr="00FF5F86">
        <w:rPr>
          <w:rFonts w:ascii="Times New Roman" w:eastAsia="Times New Roman" w:hAnsi="Times New Roman" w:cs="Times New Roman"/>
          <w:color w:val="auto"/>
          <w:kern w:val="0"/>
          <w:sz w:val="24"/>
          <w:lang w:val="en-GM" w:eastAsia="zh-CN"/>
          <w14:ligatures w14:val="none"/>
        </w:rPr>
        <w:lastRenderedPageBreak/>
        <w:t>across science tracks was balanced: 28 taught Physics, 27 Chemistry, and 25 Biology. The mean teaching experience was 7.4 years (SD = 4.1).</w:t>
      </w:r>
    </w:p>
    <w:p w14:paraId="53DEB62C" w14:textId="77777777" w:rsidR="00A739C0" w:rsidRPr="00FF5F86" w:rsidRDefault="00A739C0" w:rsidP="00A739C0">
      <w:pPr>
        <w:spacing w:before="100" w:beforeAutospacing="1" w:after="100" w:afterAutospacing="1" w:line="240" w:lineRule="auto"/>
        <w:ind w:left="0" w:firstLine="0"/>
        <w:outlineLvl w:val="1"/>
        <w:rPr>
          <w:rFonts w:ascii="Times New Roman" w:eastAsia="Times New Roman" w:hAnsi="Times New Roman" w:cs="Times New Roman"/>
          <w:b/>
          <w:bCs/>
          <w:color w:val="auto"/>
          <w:kern w:val="0"/>
          <w:sz w:val="36"/>
          <w:szCs w:val="36"/>
          <w:lang w:val="en-GM" w:eastAsia="zh-CN"/>
          <w14:ligatures w14:val="none"/>
        </w:rPr>
      </w:pPr>
      <w:r w:rsidRPr="00FF5F86">
        <w:rPr>
          <w:rFonts w:ascii="Times New Roman" w:eastAsia="Times New Roman" w:hAnsi="Times New Roman" w:cs="Times New Roman"/>
          <w:b/>
          <w:bCs/>
          <w:color w:val="auto"/>
          <w:kern w:val="0"/>
          <w:sz w:val="36"/>
          <w:szCs w:val="36"/>
          <w:lang w:val="en-GM" w:eastAsia="zh-CN"/>
          <w14:ligatures w14:val="none"/>
        </w:rPr>
        <w:t>Research Question 1: Class Size and Student Academic Achievement</w:t>
      </w:r>
    </w:p>
    <w:p w14:paraId="21FF906D" w14:textId="77777777" w:rsidR="00A739C0" w:rsidRPr="00FF5F86" w:rsidRDefault="00A739C0" w:rsidP="00A739C0">
      <w:pPr>
        <w:spacing w:before="100" w:beforeAutospacing="1" w:after="100" w:afterAutospacing="1" w:line="240" w:lineRule="auto"/>
        <w:ind w:left="0" w:firstLine="0"/>
        <w:rPr>
          <w:rFonts w:ascii="Times New Roman" w:eastAsia="Times New Roman" w:hAnsi="Times New Roman" w:cs="Times New Roman"/>
          <w:color w:val="auto"/>
          <w:kern w:val="0"/>
          <w:sz w:val="24"/>
          <w:lang w:val="en-GM" w:eastAsia="zh-CN"/>
          <w14:ligatures w14:val="none"/>
        </w:rPr>
      </w:pPr>
      <w:r w:rsidRPr="00FF5F86">
        <w:rPr>
          <w:rFonts w:ascii="Times New Roman" w:eastAsia="Times New Roman" w:hAnsi="Times New Roman" w:cs="Times New Roman"/>
          <w:color w:val="auto"/>
          <w:kern w:val="0"/>
          <w:sz w:val="24"/>
          <w:lang w:val="en-GM" w:eastAsia="zh-CN"/>
          <w14:ligatures w14:val="none"/>
        </w:rPr>
        <w:t xml:space="preserve">To evaluate the impact of class size on cognitive achievement, an independent samples </w:t>
      </w:r>
      <w:r w:rsidRPr="00FF5F86">
        <w:rPr>
          <w:rFonts w:ascii="Times New Roman" w:eastAsia="Times New Roman" w:hAnsi="Times New Roman" w:cs="Times New Roman"/>
          <w:i/>
          <w:iCs/>
          <w:color w:val="auto"/>
          <w:kern w:val="0"/>
          <w:sz w:val="24"/>
          <w:lang w:val="en-GM" w:eastAsia="zh-CN"/>
          <w14:ligatures w14:val="none"/>
        </w:rPr>
        <w:t>t</w:t>
      </w:r>
      <w:r w:rsidRPr="00FF5F86">
        <w:rPr>
          <w:rFonts w:ascii="Times New Roman" w:eastAsia="Times New Roman" w:hAnsi="Times New Roman" w:cs="Times New Roman"/>
          <w:color w:val="auto"/>
          <w:kern w:val="0"/>
          <w:sz w:val="24"/>
          <w:lang w:val="en-GM" w:eastAsia="zh-CN"/>
          <w14:ligatures w14:val="none"/>
        </w:rPr>
        <w:t>-test was conducted on the total ISAT scores and across the individual science subject dimensions. The data met all necessary assumptions for parametric testing, including normality and homogeneity of variance (Levene’s test p &gt; .05).</w:t>
      </w:r>
    </w:p>
    <w:p w14:paraId="0881C544" w14:textId="77777777" w:rsidR="005E4CBC" w:rsidRPr="00FF5F86" w:rsidRDefault="005E4CBC" w:rsidP="005E4CBC">
      <w:pPr>
        <w:rPr>
          <w:color w:val="auto"/>
          <w:lang w:val="en-GM"/>
        </w:rPr>
      </w:pPr>
    </w:p>
    <w:p w14:paraId="4B06213A" w14:textId="77777777" w:rsidR="00076984" w:rsidRPr="00FF5F86" w:rsidRDefault="001604E0">
      <w:pPr>
        <w:spacing w:after="36" w:line="259" w:lineRule="auto"/>
        <w:ind w:left="-5"/>
        <w:jc w:val="both"/>
        <w:rPr>
          <w:color w:val="auto"/>
        </w:rPr>
      </w:pPr>
      <w:r w:rsidRPr="00FF5F86">
        <w:rPr>
          <w:b/>
          <w:color w:val="auto"/>
          <w:sz w:val="18"/>
        </w:rPr>
        <w:t xml:space="preserve">Table 1: Independent Samples t-test Results for Student Achievement Scores by Class Size </w:t>
      </w:r>
    </w:p>
    <w:tbl>
      <w:tblPr>
        <w:tblStyle w:val="TableGrid"/>
        <w:tblW w:w="9300" w:type="dxa"/>
        <w:tblInd w:w="10" w:type="dxa"/>
        <w:tblCellMar>
          <w:top w:w="56" w:type="dxa"/>
          <w:left w:w="5" w:type="dxa"/>
        </w:tblCellMar>
        <w:tblLook w:val="04A0" w:firstRow="1" w:lastRow="0" w:firstColumn="1" w:lastColumn="0" w:noHBand="0" w:noVBand="1"/>
      </w:tblPr>
      <w:tblGrid>
        <w:gridCol w:w="1110"/>
        <w:gridCol w:w="965"/>
        <w:gridCol w:w="1037"/>
        <w:gridCol w:w="1038"/>
        <w:gridCol w:w="1018"/>
        <w:gridCol w:w="1038"/>
        <w:gridCol w:w="1037"/>
        <w:gridCol w:w="1038"/>
        <w:gridCol w:w="1019"/>
      </w:tblGrid>
      <w:tr w:rsidR="00076984" w:rsidRPr="00FF5F86" w14:paraId="60687356" w14:textId="77777777" w:rsidTr="007C2E5E">
        <w:trPr>
          <w:trHeight w:val="540"/>
        </w:trPr>
        <w:tc>
          <w:tcPr>
            <w:tcW w:w="1110" w:type="dxa"/>
            <w:tcBorders>
              <w:top w:val="single" w:sz="8" w:space="0" w:color="000000"/>
              <w:left w:val="single" w:sz="8" w:space="0" w:color="000000"/>
              <w:bottom w:val="single" w:sz="8" w:space="0" w:color="000000"/>
              <w:right w:val="single" w:sz="8" w:space="0" w:color="000000"/>
            </w:tcBorders>
          </w:tcPr>
          <w:p w14:paraId="45359C84" w14:textId="77777777" w:rsidR="00076984" w:rsidRPr="00FF5F86" w:rsidRDefault="001604E0">
            <w:pPr>
              <w:spacing w:after="0" w:line="259" w:lineRule="auto"/>
              <w:ind w:left="0" w:firstLine="0"/>
              <w:jc w:val="both"/>
              <w:rPr>
                <w:color w:val="auto"/>
              </w:rPr>
            </w:pPr>
            <w:proofErr w:type="spellStart"/>
            <w:r w:rsidRPr="00FF5F86">
              <w:rPr>
                <w:color w:val="auto"/>
              </w:rPr>
              <w:t>Assessme</w:t>
            </w:r>
            <w:proofErr w:type="spellEnd"/>
          </w:p>
          <w:p w14:paraId="34C243C1" w14:textId="77777777" w:rsidR="00076984" w:rsidRPr="00FF5F86" w:rsidRDefault="001604E0">
            <w:pPr>
              <w:spacing w:after="0" w:line="259" w:lineRule="auto"/>
              <w:ind w:left="0" w:firstLine="0"/>
              <w:jc w:val="both"/>
              <w:rPr>
                <w:color w:val="auto"/>
              </w:rPr>
            </w:pPr>
            <w:r w:rsidRPr="00FF5F86">
              <w:rPr>
                <w:color w:val="auto"/>
              </w:rPr>
              <w:t xml:space="preserve">nt Metric </w:t>
            </w:r>
          </w:p>
        </w:tc>
        <w:tc>
          <w:tcPr>
            <w:tcW w:w="965" w:type="dxa"/>
            <w:tcBorders>
              <w:top w:val="single" w:sz="8" w:space="0" w:color="000000"/>
              <w:left w:val="single" w:sz="8" w:space="0" w:color="000000"/>
              <w:bottom w:val="single" w:sz="8" w:space="0" w:color="000000"/>
              <w:right w:val="single" w:sz="8" w:space="0" w:color="000000"/>
            </w:tcBorders>
          </w:tcPr>
          <w:p w14:paraId="1BAE07C0" w14:textId="77777777" w:rsidR="00076984" w:rsidRPr="00FF5F86" w:rsidRDefault="001604E0">
            <w:pPr>
              <w:spacing w:after="0" w:line="259" w:lineRule="auto"/>
              <w:ind w:left="15" w:firstLine="0"/>
              <w:jc w:val="both"/>
              <w:rPr>
                <w:color w:val="auto"/>
              </w:rPr>
            </w:pPr>
            <w:r w:rsidRPr="00FF5F86">
              <w:rPr>
                <w:color w:val="auto"/>
              </w:rPr>
              <w:t xml:space="preserve">Class </w:t>
            </w:r>
          </w:p>
          <w:p w14:paraId="7E6C12E8" w14:textId="77777777" w:rsidR="00076984" w:rsidRPr="00FF5F86" w:rsidRDefault="001604E0">
            <w:pPr>
              <w:spacing w:after="0" w:line="259" w:lineRule="auto"/>
              <w:ind w:left="15" w:firstLine="0"/>
              <w:jc w:val="both"/>
              <w:rPr>
                <w:color w:val="auto"/>
              </w:rPr>
            </w:pPr>
            <w:r w:rsidRPr="00FF5F86">
              <w:rPr>
                <w:color w:val="auto"/>
              </w:rPr>
              <w:t xml:space="preserve">Condition </w:t>
            </w:r>
          </w:p>
        </w:tc>
        <w:tc>
          <w:tcPr>
            <w:tcW w:w="1037" w:type="dxa"/>
            <w:tcBorders>
              <w:top w:val="single" w:sz="8" w:space="0" w:color="000000"/>
              <w:left w:val="single" w:sz="8" w:space="0" w:color="000000"/>
              <w:bottom w:val="single" w:sz="8" w:space="0" w:color="000000"/>
              <w:right w:val="single" w:sz="8" w:space="0" w:color="000000"/>
            </w:tcBorders>
          </w:tcPr>
          <w:p w14:paraId="131E5D66" w14:textId="77777777" w:rsidR="00076984" w:rsidRPr="00FF5F86" w:rsidRDefault="001604E0">
            <w:pPr>
              <w:spacing w:after="0" w:line="259" w:lineRule="auto"/>
              <w:ind w:firstLine="0"/>
              <w:jc w:val="both"/>
              <w:rPr>
                <w:color w:val="auto"/>
              </w:rPr>
            </w:pPr>
            <w:r w:rsidRPr="00FF5F86">
              <w:rPr>
                <w:color w:val="auto"/>
              </w:rPr>
              <w:t xml:space="preserve">N </w:t>
            </w:r>
          </w:p>
        </w:tc>
        <w:tc>
          <w:tcPr>
            <w:tcW w:w="1038" w:type="dxa"/>
            <w:tcBorders>
              <w:top w:val="single" w:sz="8" w:space="0" w:color="000000"/>
              <w:left w:val="single" w:sz="8" w:space="0" w:color="000000"/>
              <w:bottom w:val="single" w:sz="8" w:space="0" w:color="000000"/>
              <w:right w:val="single" w:sz="8" w:space="0" w:color="000000"/>
            </w:tcBorders>
          </w:tcPr>
          <w:p w14:paraId="0EF1C323" w14:textId="77777777" w:rsidR="00076984" w:rsidRPr="00FF5F86" w:rsidRDefault="001604E0">
            <w:pPr>
              <w:spacing w:after="0" w:line="259" w:lineRule="auto"/>
              <w:ind w:left="5" w:firstLine="0"/>
              <w:jc w:val="both"/>
              <w:rPr>
                <w:color w:val="auto"/>
              </w:rPr>
            </w:pPr>
            <w:r w:rsidRPr="00FF5F86">
              <w:rPr>
                <w:color w:val="auto"/>
              </w:rPr>
              <w:t xml:space="preserve">Mean </w:t>
            </w:r>
          </w:p>
          <w:p w14:paraId="6BD7C837" w14:textId="77777777" w:rsidR="00076984" w:rsidRPr="00FF5F86" w:rsidRDefault="001604E0">
            <w:pPr>
              <w:spacing w:after="0" w:line="259" w:lineRule="auto"/>
              <w:ind w:left="5" w:firstLine="0"/>
              <w:jc w:val="both"/>
              <w:rPr>
                <w:color w:val="auto"/>
              </w:rPr>
            </w:pPr>
            <w:r w:rsidRPr="00FF5F86">
              <w:rPr>
                <w:color w:val="auto"/>
              </w:rPr>
              <w:t xml:space="preserve">Score (%) </w:t>
            </w:r>
          </w:p>
        </w:tc>
        <w:tc>
          <w:tcPr>
            <w:tcW w:w="1018" w:type="dxa"/>
            <w:tcBorders>
              <w:top w:val="single" w:sz="8" w:space="0" w:color="000000"/>
              <w:left w:val="single" w:sz="8" w:space="0" w:color="000000"/>
              <w:bottom w:val="single" w:sz="8" w:space="0" w:color="000000"/>
              <w:right w:val="single" w:sz="8" w:space="0" w:color="000000"/>
            </w:tcBorders>
          </w:tcPr>
          <w:p w14:paraId="5028D027" w14:textId="77777777" w:rsidR="00076984" w:rsidRPr="00FF5F86" w:rsidRDefault="001604E0">
            <w:pPr>
              <w:spacing w:after="0" w:line="259" w:lineRule="auto"/>
              <w:ind w:left="0" w:firstLine="0"/>
              <w:jc w:val="both"/>
              <w:rPr>
                <w:color w:val="auto"/>
              </w:rPr>
            </w:pPr>
            <w:r w:rsidRPr="00FF5F86">
              <w:rPr>
                <w:color w:val="auto"/>
              </w:rPr>
              <w:t xml:space="preserve">SD </w:t>
            </w:r>
          </w:p>
        </w:tc>
        <w:tc>
          <w:tcPr>
            <w:tcW w:w="1038" w:type="dxa"/>
            <w:tcBorders>
              <w:top w:val="single" w:sz="8" w:space="0" w:color="000000"/>
              <w:left w:val="single" w:sz="8" w:space="0" w:color="000000"/>
              <w:bottom w:val="single" w:sz="8" w:space="0" w:color="000000"/>
              <w:right w:val="single" w:sz="8" w:space="0" w:color="000000"/>
            </w:tcBorders>
          </w:tcPr>
          <w:p w14:paraId="48C650D8" w14:textId="77777777" w:rsidR="00076984" w:rsidRPr="00FF5F86" w:rsidRDefault="001604E0">
            <w:pPr>
              <w:spacing w:after="0" w:line="259" w:lineRule="auto"/>
              <w:ind w:left="15" w:firstLine="0"/>
              <w:jc w:val="both"/>
              <w:rPr>
                <w:color w:val="auto"/>
              </w:rPr>
            </w:pPr>
            <w:r w:rsidRPr="00FF5F86">
              <w:rPr>
                <w:color w:val="auto"/>
              </w:rPr>
              <w:t xml:space="preserve">t-value </w:t>
            </w:r>
          </w:p>
        </w:tc>
        <w:tc>
          <w:tcPr>
            <w:tcW w:w="1037" w:type="dxa"/>
            <w:tcBorders>
              <w:top w:val="single" w:sz="8" w:space="0" w:color="000000"/>
              <w:left w:val="single" w:sz="8" w:space="0" w:color="000000"/>
              <w:bottom w:val="single" w:sz="8" w:space="0" w:color="000000"/>
              <w:right w:val="single" w:sz="8" w:space="0" w:color="000000"/>
            </w:tcBorders>
          </w:tcPr>
          <w:p w14:paraId="7B183ECA" w14:textId="77777777" w:rsidR="00076984" w:rsidRPr="00FF5F86" w:rsidRDefault="001604E0">
            <w:pPr>
              <w:spacing w:after="0" w:line="259" w:lineRule="auto"/>
              <w:ind w:firstLine="0"/>
              <w:jc w:val="both"/>
              <w:rPr>
                <w:color w:val="auto"/>
              </w:rPr>
            </w:pPr>
            <w:r w:rsidRPr="00FF5F86">
              <w:rPr>
                <w:color w:val="auto"/>
              </w:rPr>
              <w:t xml:space="preserve">df </w:t>
            </w:r>
          </w:p>
        </w:tc>
        <w:tc>
          <w:tcPr>
            <w:tcW w:w="1038" w:type="dxa"/>
            <w:tcBorders>
              <w:top w:val="single" w:sz="8" w:space="0" w:color="000000"/>
              <w:left w:val="single" w:sz="8" w:space="0" w:color="000000"/>
              <w:bottom w:val="single" w:sz="8" w:space="0" w:color="000000"/>
              <w:right w:val="single" w:sz="8" w:space="0" w:color="000000"/>
            </w:tcBorders>
          </w:tcPr>
          <w:p w14:paraId="6C2DC0CB" w14:textId="77777777" w:rsidR="00076984" w:rsidRPr="00FF5F86" w:rsidRDefault="001604E0">
            <w:pPr>
              <w:spacing w:after="0" w:line="259" w:lineRule="auto"/>
              <w:ind w:left="5" w:firstLine="0"/>
              <w:jc w:val="both"/>
              <w:rPr>
                <w:color w:val="auto"/>
              </w:rPr>
            </w:pPr>
            <w:r w:rsidRPr="00FF5F86">
              <w:rPr>
                <w:color w:val="auto"/>
              </w:rPr>
              <w:t xml:space="preserve">p-value </w:t>
            </w:r>
          </w:p>
        </w:tc>
        <w:tc>
          <w:tcPr>
            <w:tcW w:w="1019" w:type="dxa"/>
            <w:tcBorders>
              <w:top w:val="single" w:sz="8" w:space="0" w:color="000000"/>
              <w:left w:val="single" w:sz="8" w:space="0" w:color="000000"/>
              <w:bottom w:val="single" w:sz="8" w:space="0" w:color="000000"/>
              <w:right w:val="single" w:sz="8" w:space="0" w:color="000000"/>
            </w:tcBorders>
          </w:tcPr>
          <w:p w14:paraId="324A1DDD" w14:textId="77777777" w:rsidR="00076984" w:rsidRPr="00FF5F86" w:rsidRDefault="001604E0">
            <w:pPr>
              <w:spacing w:after="0" w:line="259" w:lineRule="auto"/>
              <w:ind w:left="0" w:firstLine="0"/>
              <w:jc w:val="both"/>
              <w:rPr>
                <w:color w:val="auto"/>
              </w:rPr>
            </w:pPr>
            <w:r w:rsidRPr="00FF5F86">
              <w:rPr>
                <w:color w:val="auto"/>
              </w:rPr>
              <w:t>Cohen’s d</w:t>
            </w:r>
          </w:p>
        </w:tc>
      </w:tr>
      <w:tr w:rsidR="00076984" w:rsidRPr="00FF5F86" w14:paraId="1D8738D4" w14:textId="77777777" w:rsidTr="007C2E5E">
        <w:trPr>
          <w:trHeight w:val="560"/>
        </w:trPr>
        <w:tc>
          <w:tcPr>
            <w:tcW w:w="1110" w:type="dxa"/>
            <w:tcBorders>
              <w:top w:val="single" w:sz="8" w:space="0" w:color="000000"/>
              <w:left w:val="single" w:sz="8" w:space="0" w:color="000000"/>
              <w:bottom w:val="single" w:sz="8" w:space="0" w:color="000000"/>
              <w:right w:val="single" w:sz="8" w:space="0" w:color="000000"/>
            </w:tcBorders>
          </w:tcPr>
          <w:p w14:paraId="221D9218" w14:textId="77777777" w:rsidR="00076984" w:rsidRPr="00FF5F86" w:rsidRDefault="001604E0">
            <w:pPr>
              <w:spacing w:after="0" w:line="259" w:lineRule="auto"/>
              <w:ind w:left="0" w:firstLine="0"/>
              <w:jc w:val="both"/>
              <w:rPr>
                <w:color w:val="auto"/>
              </w:rPr>
            </w:pPr>
            <w:r w:rsidRPr="00FF5F86">
              <w:rPr>
                <w:b/>
                <w:color w:val="auto"/>
              </w:rPr>
              <w:t xml:space="preserve">Physics </w:t>
            </w:r>
          </w:p>
          <w:p w14:paraId="637A731D" w14:textId="77777777" w:rsidR="00076984" w:rsidRPr="00FF5F86" w:rsidRDefault="001604E0">
            <w:pPr>
              <w:spacing w:after="0" w:line="259" w:lineRule="auto"/>
              <w:ind w:left="0" w:firstLine="0"/>
              <w:jc w:val="both"/>
              <w:rPr>
                <w:color w:val="auto"/>
              </w:rPr>
            </w:pPr>
            <w:r w:rsidRPr="00FF5F86">
              <w:rPr>
                <w:b/>
                <w:color w:val="auto"/>
              </w:rPr>
              <w:t xml:space="preserve">Score </w:t>
            </w:r>
          </w:p>
        </w:tc>
        <w:tc>
          <w:tcPr>
            <w:tcW w:w="965" w:type="dxa"/>
            <w:tcBorders>
              <w:top w:val="single" w:sz="8" w:space="0" w:color="000000"/>
              <w:left w:val="single" w:sz="8" w:space="0" w:color="000000"/>
              <w:bottom w:val="single" w:sz="8" w:space="0" w:color="000000"/>
              <w:right w:val="single" w:sz="8" w:space="0" w:color="000000"/>
            </w:tcBorders>
          </w:tcPr>
          <w:p w14:paraId="6B9F1BEA" w14:textId="77777777" w:rsidR="00076984" w:rsidRPr="00FF5F86" w:rsidRDefault="001604E0">
            <w:pPr>
              <w:spacing w:after="0" w:line="259" w:lineRule="auto"/>
              <w:ind w:left="15" w:firstLine="0"/>
              <w:jc w:val="both"/>
              <w:rPr>
                <w:color w:val="auto"/>
              </w:rPr>
            </w:pPr>
            <w:r w:rsidRPr="00FF5F86">
              <w:rPr>
                <w:color w:val="auto"/>
              </w:rPr>
              <w:t xml:space="preserve">Reduced </w:t>
            </w:r>
          </w:p>
          <w:p w14:paraId="51FECDED" w14:textId="77777777" w:rsidR="00076984" w:rsidRPr="00FF5F86" w:rsidRDefault="001604E0">
            <w:pPr>
              <w:spacing w:after="0" w:line="259" w:lineRule="auto"/>
              <w:ind w:left="15" w:firstLine="0"/>
              <w:jc w:val="both"/>
              <w:rPr>
                <w:color w:val="auto"/>
              </w:rPr>
            </w:pPr>
            <w:r w:rsidRPr="00FF5F86">
              <w:rPr>
                <w:color w:val="auto"/>
              </w:rPr>
              <w:t xml:space="preserve">(\le 35) </w:t>
            </w:r>
          </w:p>
        </w:tc>
        <w:tc>
          <w:tcPr>
            <w:tcW w:w="1037" w:type="dxa"/>
            <w:tcBorders>
              <w:top w:val="single" w:sz="8" w:space="0" w:color="000000"/>
              <w:left w:val="single" w:sz="8" w:space="0" w:color="000000"/>
              <w:bottom w:val="single" w:sz="8" w:space="0" w:color="000000"/>
              <w:right w:val="single" w:sz="8" w:space="0" w:color="000000"/>
            </w:tcBorders>
          </w:tcPr>
          <w:p w14:paraId="372EE8EC" w14:textId="77777777" w:rsidR="00076984" w:rsidRPr="00FF5F86" w:rsidRDefault="001604E0">
            <w:pPr>
              <w:spacing w:after="0" w:line="259" w:lineRule="auto"/>
              <w:ind w:firstLine="0"/>
              <w:jc w:val="both"/>
              <w:rPr>
                <w:color w:val="auto"/>
              </w:rPr>
            </w:pPr>
            <w:r w:rsidRPr="00FF5F86">
              <w:rPr>
                <w:color w:val="auto"/>
              </w:rPr>
              <w:t xml:space="preserve">180 </w:t>
            </w:r>
          </w:p>
        </w:tc>
        <w:tc>
          <w:tcPr>
            <w:tcW w:w="1038" w:type="dxa"/>
            <w:tcBorders>
              <w:top w:val="single" w:sz="8" w:space="0" w:color="000000"/>
              <w:left w:val="single" w:sz="8" w:space="0" w:color="000000"/>
              <w:bottom w:val="single" w:sz="8" w:space="0" w:color="000000"/>
              <w:right w:val="single" w:sz="8" w:space="0" w:color="000000"/>
            </w:tcBorders>
          </w:tcPr>
          <w:p w14:paraId="1DAA67D3" w14:textId="77777777" w:rsidR="00076984" w:rsidRPr="00FF5F86" w:rsidRDefault="001604E0">
            <w:pPr>
              <w:spacing w:after="0" w:line="259" w:lineRule="auto"/>
              <w:ind w:left="5" w:firstLine="0"/>
              <w:jc w:val="both"/>
              <w:rPr>
                <w:color w:val="auto"/>
              </w:rPr>
            </w:pPr>
            <w:r w:rsidRPr="00FF5F86">
              <w:rPr>
                <w:color w:val="auto"/>
              </w:rPr>
              <w:t xml:space="preserve">68.42 </w:t>
            </w:r>
          </w:p>
        </w:tc>
        <w:tc>
          <w:tcPr>
            <w:tcW w:w="1018" w:type="dxa"/>
            <w:tcBorders>
              <w:top w:val="single" w:sz="8" w:space="0" w:color="000000"/>
              <w:left w:val="single" w:sz="8" w:space="0" w:color="000000"/>
              <w:bottom w:val="single" w:sz="8" w:space="0" w:color="000000"/>
              <w:right w:val="single" w:sz="8" w:space="0" w:color="000000"/>
            </w:tcBorders>
          </w:tcPr>
          <w:p w14:paraId="2D5DC512" w14:textId="77777777" w:rsidR="00076984" w:rsidRPr="00FF5F86" w:rsidRDefault="001604E0">
            <w:pPr>
              <w:spacing w:after="0" w:line="259" w:lineRule="auto"/>
              <w:ind w:left="0" w:firstLine="0"/>
              <w:jc w:val="both"/>
              <w:rPr>
                <w:color w:val="auto"/>
              </w:rPr>
            </w:pPr>
            <w:r w:rsidRPr="00FF5F86">
              <w:rPr>
                <w:color w:val="auto"/>
              </w:rPr>
              <w:t xml:space="preserve">11.23 </w:t>
            </w:r>
          </w:p>
        </w:tc>
        <w:tc>
          <w:tcPr>
            <w:tcW w:w="1038" w:type="dxa"/>
            <w:tcBorders>
              <w:top w:val="single" w:sz="8" w:space="0" w:color="000000"/>
              <w:left w:val="single" w:sz="8" w:space="0" w:color="000000"/>
              <w:bottom w:val="single" w:sz="8" w:space="0" w:color="000000"/>
              <w:right w:val="single" w:sz="8" w:space="0" w:color="000000"/>
            </w:tcBorders>
          </w:tcPr>
          <w:p w14:paraId="015E1EF5" w14:textId="77777777" w:rsidR="00076984" w:rsidRPr="00FF5F86" w:rsidRDefault="001604E0">
            <w:pPr>
              <w:spacing w:after="0" w:line="259" w:lineRule="auto"/>
              <w:ind w:left="15" w:firstLine="0"/>
              <w:jc w:val="both"/>
              <w:rPr>
                <w:color w:val="auto"/>
              </w:rPr>
            </w:pPr>
            <w:r w:rsidRPr="00FF5F86">
              <w:rPr>
                <w:color w:val="auto"/>
              </w:rPr>
              <w:t xml:space="preserve">8.41 </w:t>
            </w:r>
          </w:p>
        </w:tc>
        <w:tc>
          <w:tcPr>
            <w:tcW w:w="1037" w:type="dxa"/>
            <w:tcBorders>
              <w:top w:val="single" w:sz="8" w:space="0" w:color="000000"/>
              <w:left w:val="single" w:sz="8" w:space="0" w:color="000000"/>
              <w:bottom w:val="single" w:sz="8" w:space="0" w:color="000000"/>
              <w:right w:val="single" w:sz="8" w:space="0" w:color="000000"/>
            </w:tcBorders>
          </w:tcPr>
          <w:p w14:paraId="12D64133" w14:textId="77777777" w:rsidR="00076984" w:rsidRPr="00FF5F86" w:rsidRDefault="001604E0">
            <w:pPr>
              <w:spacing w:after="0" w:line="259" w:lineRule="auto"/>
              <w:ind w:firstLine="0"/>
              <w:jc w:val="both"/>
              <w:rPr>
                <w:color w:val="auto"/>
              </w:rPr>
            </w:pPr>
            <w:r w:rsidRPr="00FF5F86">
              <w:rPr>
                <w:color w:val="auto"/>
              </w:rPr>
              <w:t xml:space="preserve">358 </w:t>
            </w:r>
          </w:p>
        </w:tc>
        <w:tc>
          <w:tcPr>
            <w:tcW w:w="1038" w:type="dxa"/>
            <w:tcBorders>
              <w:top w:val="single" w:sz="8" w:space="0" w:color="000000"/>
              <w:left w:val="single" w:sz="8" w:space="0" w:color="000000"/>
              <w:bottom w:val="single" w:sz="8" w:space="0" w:color="000000"/>
              <w:right w:val="single" w:sz="8" w:space="0" w:color="000000"/>
            </w:tcBorders>
          </w:tcPr>
          <w:p w14:paraId="408FEABD" w14:textId="77777777" w:rsidR="00076984" w:rsidRPr="00FF5F86" w:rsidRDefault="001604E0">
            <w:pPr>
              <w:spacing w:after="0" w:line="259" w:lineRule="auto"/>
              <w:ind w:left="5" w:firstLine="0"/>
              <w:jc w:val="both"/>
              <w:rPr>
                <w:color w:val="auto"/>
              </w:rPr>
            </w:pPr>
            <w:r w:rsidRPr="00FF5F86">
              <w:rPr>
                <w:color w:val="auto"/>
              </w:rPr>
              <w:t xml:space="preserve">&lt; .001 </w:t>
            </w:r>
          </w:p>
        </w:tc>
        <w:tc>
          <w:tcPr>
            <w:tcW w:w="1019" w:type="dxa"/>
            <w:tcBorders>
              <w:top w:val="single" w:sz="8" w:space="0" w:color="000000"/>
              <w:left w:val="single" w:sz="8" w:space="0" w:color="000000"/>
              <w:bottom w:val="single" w:sz="8" w:space="0" w:color="000000"/>
              <w:right w:val="single" w:sz="8" w:space="0" w:color="000000"/>
            </w:tcBorders>
          </w:tcPr>
          <w:p w14:paraId="6C2D3640" w14:textId="77777777" w:rsidR="00076984" w:rsidRPr="00FF5F86" w:rsidRDefault="001604E0">
            <w:pPr>
              <w:spacing w:after="0" w:line="259" w:lineRule="auto"/>
              <w:ind w:left="0" w:firstLine="0"/>
              <w:jc w:val="both"/>
              <w:rPr>
                <w:color w:val="auto"/>
              </w:rPr>
            </w:pPr>
            <w:r w:rsidRPr="00FF5F86">
              <w:rPr>
                <w:color w:val="auto"/>
              </w:rPr>
              <w:t xml:space="preserve">0.89 </w:t>
            </w:r>
          </w:p>
        </w:tc>
      </w:tr>
      <w:tr w:rsidR="00076984" w:rsidRPr="00FF5F86" w14:paraId="7625AD2D" w14:textId="77777777" w:rsidTr="007C2E5E">
        <w:trPr>
          <w:trHeight w:val="560"/>
        </w:trPr>
        <w:tc>
          <w:tcPr>
            <w:tcW w:w="1110" w:type="dxa"/>
            <w:tcBorders>
              <w:top w:val="single" w:sz="8" w:space="0" w:color="000000"/>
              <w:left w:val="single" w:sz="8" w:space="0" w:color="000000"/>
              <w:bottom w:val="single" w:sz="8" w:space="0" w:color="000000"/>
              <w:right w:val="single" w:sz="8" w:space="0" w:color="000000"/>
            </w:tcBorders>
          </w:tcPr>
          <w:p w14:paraId="679BCEFE" w14:textId="77777777" w:rsidR="00076984" w:rsidRPr="00FF5F86" w:rsidRDefault="001604E0">
            <w:pPr>
              <w:spacing w:after="0" w:line="259" w:lineRule="auto"/>
              <w:ind w:left="0" w:firstLine="0"/>
              <w:jc w:val="both"/>
              <w:rPr>
                <w:color w:val="auto"/>
              </w:rPr>
            </w:pPr>
            <w:r w:rsidRPr="00FF5F86">
              <w:rPr>
                <w:color w:val="auto"/>
              </w:rPr>
              <w:t xml:space="preserve"> </w:t>
            </w:r>
          </w:p>
        </w:tc>
        <w:tc>
          <w:tcPr>
            <w:tcW w:w="965" w:type="dxa"/>
            <w:tcBorders>
              <w:top w:val="single" w:sz="8" w:space="0" w:color="000000"/>
              <w:left w:val="single" w:sz="8" w:space="0" w:color="000000"/>
              <w:bottom w:val="single" w:sz="8" w:space="0" w:color="000000"/>
              <w:right w:val="single" w:sz="8" w:space="0" w:color="000000"/>
            </w:tcBorders>
          </w:tcPr>
          <w:p w14:paraId="5F60C608" w14:textId="77777777" w:rsidR="00076984" w:rsidRPr="00FF5F86" w:rsidRDefault="001604E0">
            <w:pPr>
              <w:spacing w:after="0" w:line="259" w:lineRule="auto"/>
              <w:ind w:left="15" w:firstLine="0"/>
              <w:jc w:val="both"/>
              <w:rPr>
                <w:color w:val="auto"/>
              </w:rPr>
            </w:pPr>
            <w:r w:rsidRPr="00FF5F86">
              <w:rPr>
                <w:color w:val="auto"/>
              </w:rPr>
              <w:t xml:space="preserve">Large (&gt; </w:t>
            </w:r>
          </w:p>
          <w:p w14:paraId="1E99FFFE" w14:textId="77777777" w:rsidR="00076984" w:rsidRPr="00FF5F86" w:rsidRDefault="001604E0">
            <w:pPr>
              <w:spacing w:after="0" w:line="259" w:lineRule="auto"/>
              <w:ind w:left="15" w:firstLine="0"/>
              <w:jc w:val="both"/>
              <w:rPr>
                <w:color w:val="auto"/>
              </w:rPr>
            </w:pPr>
            <w:r w:rsidRPr="00FF5F86">
              <w:rPr>
                <w:color w:val="auto"/>
              </w:rPr>
              <w:t xml:space="preserve">55) </w:t>
            </w:r>
          </w:p>
        </w:tc>
        <w:tc>
          <w:tcPr>
            <w:tcW w:w="1037" w:type="dxa"/>
            <w:tcBorders>
              <w:top w:val="single" w:sz="8" w:space="0" w:color="000000"/>
              <w:left w:val="single" w:sz="8" w:space="0" w:color="000000"/>
              <w:bottom w:val="single" w:sz="8" w:space="0" w:color="000000"/>
              <w:right w:val="single" w:sz="8" w:space="0" w:color="000000"/>
            </w:tcBorders>
          </w:tcPr>
          <w:p w14:paraId="14FE7A02" w14:textId="77777777" w:rsidR="00076984" w:rsidRPr="00FF5F86" w:rsidRDefault="001604E0">
            <w:pPr>
              <w:spacing w:after="0" w:line="259" w:lineRule="auto"/>
              <w:ind w:firstLine="0"/>
              <w:jc w:val="both"/>
              <w:rPr>
                <w:color w:val="auto"/>
              </w:rPr>
            </w:pPr>
            <w:r w:rsidRPr="00FF5F86">
              <w:rPr>
                <w:color w:val="auto"/>
              </w:rPr>
              <w:t xml:space="preserve">180 </w:t>
            </w:r>
          </w:p>
        </w:tc>
        <w:tc>
          <w:tcPr>
            <w:tcW w:w="1038" w:type="dxa"/>
            <w:tcBorders>
              <w:top w:val="single" w:sz="8" w:space="0" w:color="000000"/>
              <w:left w:val="single" w:sz="8" w:space="0" w:color="000000"/>
              <w:bottom w:val="single" w:sz="8" w:space="0" w:color="000000"/>
              <w:right w:val="single" w:sz="8" w:space="0" w:color="000000"/>
            </w:tcBorders>
          </w:tcPr>
          <w:p w14:paraId="019B6430" w14:textId="77777777" w:rsidR="00076984" w:rsidRPr="00FF5F86" w:rsidRDefault="001604E0">
            <w:pPr>
              <w:spacing w:after="0" w:line="259" w:lineRule="auto"/>
              <w:ind w:left="5" w:firstLine="0"/>
              <w:jc w:val="both"/>
              <w:rPr>
                <w:color w:val="auto"/>
              </w:rPr>
            </w:pPr>
            <w:r w:rsidRPr="00FF5F86">
              <w:rPr>
                <w:color w:val="auto"/>
              </w:rPr>
              <w:t xml:space="preserve">51.15 </w:t>
            </w:r>
          </w:p>
        </w:tc>
        <w:tc>
          <w:tcPr>
            <w:tcW w:w="1018" w:type="dxa"/>
            <w:tcBorders>
              <w:top w:val="single" w:sz="8" w:space="0" w:color="000000"/>
              <w:left w:val="single" w:sz="8" w:space="0" w:color="000000"/>
              <w:bottom w:val="single" w:sz="8" w:space="0" w:color="000000"/>
              <w:right w:val="single" w:sz="8" w:space="0" w:color="000000"/>
            </w:tcBorders>
          </w:tcPr>
          <w:p w14:paraId="415F4786" w14:textId="77777777" w:rsidR="00076984" w:rsidRPr="00FF5F86" w:rsidRDefault="001604E0">
            <w:pPr>
              <w:spacing w:after="0" w:line="259" w:lineRule="auto"/>
              <w:ind w:left="0" w:firstLine="0"/>
              <w:jc w:val="both"/>
              <w:rPr>
                <w:color w:val="auto"/>
              </w:rPr>
            </w:pPr>
            <w:r w:rsidRPr="00FF5F86">
              <w:rPr>
                <w:color w:val="auto"/>
              </w:rPr>
              <w:t xml:space="preserve">13.45 </w:t>
            </w:r>
          </w:p>
        </w:tc>
        <w:tc>
          <w:tcPr>
            <w:tcW w:w="1038" w:type="dxa"/>
            <w:tcBorders>
              <w:top w:val="single" w:sz="8" w:space="0" w:color="000000"/>
              <w:left w:val="single" w:sz="8" w:space="0" w:color="000000"/>
              <w:bottom w:val="single" w:sz="8" w:space="0" w:color="000000"/>
              <w:right w:val="single" w:sz="8" w:space="0" w:color="000000"/>
            </w:tcBorders>
          </w:tcPr>
          <w:p w14:paraId="7F47C175" w14:textId="77777777" w:rsidR="00076984" w:rsidRPr="00FF5F86" w:rsidRDefault="001604E0">
            <w:pPr>
              <w:spacing w:after="0" w:line="259" w:lineRule="auto"/>
              <w:ind w:left="15" w:firstLine="0"/>
              <w:jc w:val="both"/>
              <w:rPr>
                <w:color w:val="auto"/>
              </w:rPr>
            </w:pPr>
            <w:r w:rsidRPr="00FF5F86">
              <w:rPr>
                <w:color w:val="auto"/>
              </w:rPr>
              <w:t xml:space="preserve"> </w:t>
            </w:r>
          </w:p>
        </w:tc>
        <w:tc>
          <w:tcPr>
            <w:tcW w:w="1037" w:type="dxa"/>
            <w:tcBorders>
              <w:top w:val="single" w:sz="8" w:space="0" w:color="000000"/>
              <w:left w:val="single" w:sz="8" w:space="0" w:color="000000"/>
              <w:bottom w:val="single" w:sz="8" w:space="0" w:color="000000"/>
              <w:right w:val="single" w:sz="8" w:space="0" w:color="000000"/>
            </w:tcBorders>
          </w:tcPr>
          <w:p w14:paraId="7ED5B2BD" w14:textId="77777777" w:rsidR="00076984" w:rsidRPr="00FF5F86" w:rsidRDefault="001604E0">
            <w:pPr>
              <w:spacing w:after="0" w:line="259" w:lineRule="auto"/>
              <w:ind w:firstLine="0"/>
              <w:jc w:val="both"/>
              <w:rPr>
                <w:color w:val="auto"/>
              </w:rPr>
            </w:pPr>
            <w:r w:rsidRPr="00FF5F86">
              <w:rPr>
                <w:color w:val="auto"/>
              </w:rPr>
              <w:t xml:space="preserve"> </w:t>
            </w:r>
          </w:p>
        </w:tc>
        <w:tc>
          <w:tcPr>
            <w:tcW w:w="1038" w:type="dxa"/>
            <w:tcBorders>
              <w:top w:val="single" w:sz="8" w:space="0" w:color="000000"/>
              <w:left w:val="single" w:sz="8" w:space="0" w:color="000000"/>
              <w:bottom w:val="single" w:sz="8" w:space="0" w:color="000000"/>
              <w:right w:val="single" w:sz="8" w:space="0" w:color="000000"/>
            </w:tcBorders>
          </w:tcPr>
          <w:p w14:paraId="67370BFF" w14:textId="77777777" w:rsidR="00076984" w:rsidRPr="00FF5F86" w:rsidRDefault="001604E0">
            <w:pPr>
              <w:spacing w:after="0" w:line="259" w:lineRule="auto"/>
              <w:ind w:left="5" w:firstLine="0"/>
              <w:jc w:val="both"/>
              <w:rPr>
                <w:color w:val="auto"/>
              </w:rPr>
            </w:pPr>
            <w:r w:rsidRPr="00FF5F86">
              <w:rPr>
                <w:color w:val="auto"/>
              </w:rPr>
              <w:t xml:space="preserve"> </w:t>
            </w:r>
          </w:p>
        </w:tc>
        <w:tc>
          <w:tcPr>
            <w:tcW w:w="1019" w:type="dxa"/>
            <w:tcBorders>
              <w:top w:val="single" w:sz="8" w:space="0" w:color="000000"/>
              <w:left w:val="single" w:sz="8" w:space="0" w:color="000000"/>
              <w:bottom w:val="single" w:sz="8" w:space="0" w:color="000000"/>
              <w:right w:val="single" w:sz="8" w:space="0" w:color="000000"/>
            </w:tcBorders>
          </w:tcPr>
          <w:p w14:paraId="45D421E8" w14:textId="77777777" w:rsidR="00076984" w:rsidRPr="00FF5F86" w:rsidRDefault="001604E0">
            <w:pPr>
              <w:spacing w:after="0" w:line="259" w:lineRule="auto"/>
              <w:ind w:left="0" w:firstLine="0"/>
              <w:jc w:val="both"/>
              <w:rPr>
                <w:color w:val="auto"/>
              </w:rPr>
            </w:pPr>
            <w:r w:rsidRPr="00FF5F86">
              <w:rPr>
                <w:color w:val="auto"/>
              </w:rPr>
              <w:t xml:space="preserve"> </w:t>
            </w:r>
          </w:p>
        </w:tc>
      </w:tr>
      <w:tr w:rsidR="00076984" w:rsidRPr="00FF5F86" w14:paraId="481C4620" w14:textId="77777777" w:rsidTr="007C2E5E">
        <w:trPr>
          <w:trHeight w:val="560"/>
        </w:trPr>
        <w:tc>
          <w:tcPr>
            <w:tcW w:w="1110" w:type="dxa"/>
            <w:tcBorders>
              <w:top w:val="single" w:sz="8" w:space="0" w:color="000000"/>
              <w:left w:val="single" w:sz="8" w:space="0" w:color="000000"/>
              <w:bottom w:val="single" w:sz="8" w:space="0" w:color="000000"/>
              <w:right w:val="single" w:sz="8" w:space="0" w:color="000000"/>
            </w:tcBorders>
          </w:tcPr>
          <w:p w14:paraId="1E7186C5" w14:textId="77777777" w:rsidR="00076984" w:rsidRPr="00FF5F86" w:rsidRDefault="001604E0">
            <w:pPr>
              <w:spacing w:after="0" w:line="259" w:lineRule="auto"/>
              <w:ind w:left="0" w:firstLine="0"/>
              <w:jc w:val="both"/>
              <w:rPr>
                <w:color w:val="auto"/>
              </w:rPr>
            </w:pPr>
            <w:r w:rsidRPr="00FF5F86">
              <w:rPr>
                <w:b/>
                <w:color w:val="auto"/>
              </w:rPr>
              <w:t xml:space="preserve">Chemistr y Score </w:t>
            </w:r>
          </w:p>
        </w:tc>
        <w:tc>
          <w:tcPr>
            <w:tcW w:w="965" w:type="dxa"/>
            <w:tcBorders>
              <w:top w:val="single" w:sz="8" w:space="0" w:color="000000"/>
              <w:left w:val="single" w:sz="8" w:space="0" w:color="000000"/>
              <w:bottom w:val="single" w:sz="8" w:space="0" w:color="000000"/>
              <w:right w:val="single" w:sz="8" w:space="0" w:color="000000"/>
            </w:tcBorders>
          </w:tcPr>
          <w:p w14:paraId="044BEAF1" w14:textId="77777777" w:rsidR="00076984" w:rsidRPr="00FF5F86" w:rsidRDefault="001604E0">
            <w:pPr>
              <w:spacing w:after="0" w:line="259" w:lineRule="auto"/>
              <w:ind w:left="15" w:firstLine="0"/>
              <w:jc w:val="both"/>
              <w:rPr>
                <w:color w:val="auto"/>
              </w:rPr>
            </w:pPr>
            <w:r w:rsidRPr="00FF5F86">
              <w:rPr>
                <w:color w:val="auto"/>
              </w:rPr>
              <w:t xml:space="preserve">Reduced </w:t>
            </w:r>
          </w:p>
          <w:p w14:paraId="6F80DBF1" w14:textId="77777777" w:rsidR="00076984" w:rsidRPr="00FF5F86" w:rsidRDefault="001604E0">
            <w:pPr>
              <w:spacing w:after="0" w:line="259" w:lineRule="auto"/>
              <w:ind w:left="15" w:firstLine="0"/>
              <w:jc w:val="both"/>
              <w:rPr>
                <w:color w:val="auto"/>
              </w:rPr>
            </w:pPr>
            <w:r w:rsidRPr="00FF5F86">
              <w:rPr>
                <w:color w:val="auto"/>
              </w:rPr>
              <w:t xml:space="preserve">(\le 35) </w:t>
            </w:r>
          </w:p>
        </w:tc>
        <w:tc>
          <w:tcPr>
            <w:tcW w:w="1037" w:type="dxa"/>
            <w:tcBorders>
              <w:top w:val="single" w:sz="8" w:space="0" w:color="000000"/>
              <w:left w:val="single" w:sz="8" w:space="0" w:color="000000"/>
              <w:bottom w:val="single" w:sz="8" w:space="0" w:color="000000"/>
              <w:right w:val="single" w:sz="8" w:space="0" w:color="000000"/>
            </w:tcBorders>
          </w:tcPr>
          <w:p w14:paraId="3D8295D3" w14:textId="77777777" w:rsidR="00076984" w:rsidRPr="00FF5F86" w:rsidRDefault="001604E0">
            <w:pPr>
              <w:spacing w:after="0" w:line="259" w:lineRule="auto"/>
              <w:ind w:firstLine="0"/>
              <w:jc w:val="both"/>
              <w:rPr>
                <w:color w:val="auto"/>
              </w:rPr>
            </w:pPr>
            <w:r w:rsidRPr="00FF5F86">
              <w:rPr>
                <w:color w:val="auto"/>
              </w:rPr>
              <w:t xml:space="preserve">180 </w:t>
            </w:r>
          </w:p>
        </w:tc>
        <w:tc>
          <w:tcPr>
            <w:tcW w:w="1038" w:type="dxa"/>
            <w:tcBorders>
              <w:top w:val="single" w:sz="8" w:space="0" w:color="000000"/>
              <w:left w:val="single" w:sz="8" w:space="0" w:color="000000"/>
              <w:bottom w:val="single" w:sz="8" w:space="0" w:color="000000"/>
              <w:right w:val="single" w:sz="8" w:space="0" w:color="000000"/>
            </w:tcBorders>
          </w:tcPr>
          <w:p w14:paraId="55BAA16F" w14:textId="77777777" w:rsidR="00076984" w:rsidRPr="00FF5F86" w:rsidRDefault="001604E0">
            <w:pPr>
              <w:spacing w:after="0" w:line="259" w:lineRule="auto"/>
              <w:ind w:left="5" w:firstLine="0"/>
              <w:jc w:val="both"/>
              <w:rPr>
                <w:color w:val="auto"/>
              </w:rPr>
            </w:pPr>
            <w:r w:rsidRPr="00FF5F86">
              <w:rPr>
                <w:color w:val="auto"/>
              </w:rPr>
              <w:t xml:space="preserve">65.18 </w:t>
            </w:r>
          </w:p>
        </w:tc>
        <w:tc>
          <w:tcPr>
            <w:tcW w:w="1018" w:type="dxa"/>
            <w:tcBorders>
              <w:top w:val="single" w:sz="8" w:space="0" w:color="000000"/>
              <w:left w:val="single" w:sz="8" w:space="0" w:color="000000"/>
              <w:bottom w:val="single" w:sz="8" w:space="0" w:color="000000"/>
              <w:right w:val="single" w:sz="8" w:space="0" w:color="000000"/>
            </w:tcBorders>
          </w:tcPr>
          <w:p w14:paraId="73CFFABC" w14:textId="77777777" w:rsidR="00076984" w:rsidRPr="00FF5F86" w:rsidRDefault="001604E0">
            <w:pPr>
              <w:spacing w:after="0" w:line="259" w:lineRule="auto"/>
              <w:ind w:left="0" w:firstLine="0"/>
              <w:jc w:val="both"/>
              <w:rPr>
                <w:color w:val="auto"/>
              </w:rPr>
            </w:pPr>
            <w:r w:rsidRPr="00FF5F86">
              <w:rPr>
                <w:color w:val="auto"/>
              </w:rPr>
              <w:t xml:space="preserve">10.54 </w:t>
            </w:r>
          </w:p>
        </w:tc>
        <w:tc>
          <w:tcPr>
            <w:tcW w:w="1038" w:type="dxa"/>
            <w:tcBorders>
              <w:top w:val="single" w:sz="8" w:space="0" w:color="000000"/>
              <w:left w:val="single" w:sz="8" w:space="0" w:color="000000"/>
              <w:bottom w:val="single" w:sz="8" w:space="0" w:color="000000"/>
              <w:right w:val="single" w:sz="8" w:space="0" w:color="000000"/>
            </w:tcBorders>
          </w:tcPr>
          <w:p w14:paraId="0CD2EF38" w14:textId="77777777" w:rsidR="00076984" w:rsidRPr="00FF5F86" w:rsidRDefault="001604E0">
            <w:pPr>
              <w:spacing w:after="0" w:line="259" w:lineRule="auto"/>
              <w:ind w:left="15" w:firstLine="0"/>
              <w:jc w:val="both"/>
              <w:rPr>
                <w:color w:val="auto"/>
              </w:rPr>
            </w:pPr>
            <w:r w:rsidRPr="00FF5F86">
              <w:rPr>
                <w:color w:val="auto"/>
              </w:rPr>
              <w:t xml:space="preserve">7.92 </w:t>
            </w:r>
          </w:p>
        </w:tc>
        <w:tc>
          <w:tcPr>
            <w:tcW w:w="1037" w:type="dxa"/>
            <w:tcBorders>
              <w:top w:val="single" w:sz="8" w:space="0" w:color="000000"/>
              <w:left w:val="single" w:sz="8" w:space="0" w:color="000000"/>
              <w:bottom w:val="single" w:sz="8" w:space="0" w:color="000000"/>
              <w:right w:val="single" w:sz="8" w:space="0" w:color="000000"/>
            </w:tcBorders>
          </w:tcPr>
          <w:p w14:paraId="132FE0A2" w14:textId="77777777" w:rsidR="00076984" w:rsidRPr="00FF5F86" w:rsidRDefault="001604E0">
            <w:pPr>
              <w:spacing w:after="0" w:line="259" w:lineRule="auto"/>
              <w:ind w:firstLine="0"/>
              <w:jc w:val="both"/>
              <w:rPr>
                <w:color w:val="auto"/>
              </w:rPr>
            </w:pPr>
            <w:r w:rsidRPr="00FF5F86">
              <w:rPr>
                <w:color w:val="auto"/>
              </w:rPr>
              <w:t xml:space="preserve">358 </w:t>
            </w:r>
          </w:p>
        </w:tc>
        <w:tc>
          <w:tcPr>
            <w:tcW w:w="1038" w:type="dxa"/>
            <w:tcBorders>
              <w:top w:val="single" w:sz="8" w:space="0" w:color="000000"/>
              <w:left w:val="single" w:sz="8" w:space="0" w:color="000000"/>
              <w:bottom w:val="single" w:sz="8" w:space="0" w:color="000000"/>
              <w:right w:val="single" w:sz="8" w:space="0" w:color="000000"/>
            </w:tcBorders>
          </w:tcPr>
          <w:p w14:paraId="2EC95D8D" w14:textId="77777777" w:rsidR="00076984" w:rsidRPr="00FF5F86" w:rsidRDefault="001604E0">
            <w:pPr>
              <w:spacing w:after="0" w:line="259" w:lineRule="auto"/>
              <w:ind w:left="5" w:firstLine="0"/>
              <w:jc w:val="both"/>
              <w:rPr>
                <w:color w:val="auto"/>
              </w:rPr>
            </w:pPr>
            <w:r w:rsidRPr="00FF5F86">
              <w:rPr>
                <w:color w:val="auto"/>
              </w:rPr>
              <w:t xml:space="preserve">&lt; .001 </w:t>
            </w:r>
          </w:p>
        </w:tc>
        <w:tc>
          <w:tcPr>
            <w:tcW w:w="1019" w:type="dxa"/>
            <w:tcBorders>
              <w:top w:val="single" w:sz="8" w:space="0" w:color="000000"/>
              <w:left w:val="single" w:sz="8" w:space="0" w:color="000000"/>
              <w:bottom w:val="single" w:sz="8" w:space="0" w:color="000000"/>
              <w:right w:val="single" w:sz="8" w:space="0" w:color="000000"/>
            </w:tcBorders>
          </w:tcPr>
          <w:p w14:paraId="7E16B49F" w14:textId="77777777" w:rsidR="00076984" w:rsidRPr="00FF5F86" w:rsidRDefault="001604E0">
            <w:pPr>
              <w:spacing w:after="0" w:line="259" w:lineRule="auto"/>
              <w:ind w:left="0" w:firstLine="0"/>
              <w:jc w:val="both"/>
              <w:rPr>
                <w:color w:val="auto"/>
              </w:rPr>
            </w:pPr>
            <w:r w:rsidRPr="00FF5F86">
              <w:rPr>
                <w:color w:val="auto"/>
              </w:rPr>
              <w:t xml:space="preserve">0.83 </w:t>
            </w:r>
          </w:p>
        </w:tc>
      </w:tr>
      <w:tr w:rsidR="00076984" w:rsidRPr="00FF5F86" w14:paraId="4DB8B41F" w14:textId="77777777" w:rsidTr="007C2E5E">
        <w:trPr>
          <w:trHeight w:val="540"/>
        </w:trPr>
        <w:tc>
          <w:tcPr>
            <w:tcW w:w="1110" w:type="dxa"/>
            <w:tcBorders>
              <w:top w:val="single" w:sz="8" w:space="0" w:color="000000"/>
              <w:left w:val="single" w:sz="8" w:space="0" w:color="000000"/>
              <w:bottom w:val="single" w:sz="8" w:space="0" w:color="000000"/>
              <w:right w:val="single" w:sz="8" w:space="0" w:color="000000"/>
            </w:tcBorders>
          </w:tcPr>
          <w:p w14:paraId="7FBB17F5" w14:textId="77777777" w:rsidR="00076984" w:rsidRPr="00FF5F86" w:rsidRDefault="001604E0">
            <w:pPr>
              <w:spacing w:after="0" w:line="259" w:lineRule="auto"/>
              <w:ind w:left="0" w:firstLine="0"/>
              <w:jc w:val="both"/>
              <w:rPr>
                <w:color w:val="auto"/>
              </w:rPr>
            </w:pPr>
            <w:r w:rsidRPr="00FF5F86">
              <w:rPr>
                <w:color w:val="auto"/>
              </w:rPr>
              <w:t xml:space="preserve"> </w:t>
            </w:r>
          </w:p>
        </w:tc>
        <w:tc>
          <w:tcPr>
            <w:tcW w:w="965" w:type="dxa"/>
            <w:tcBorders>
              <w:top w:val="single" w:sz="8" w:space="0" w:color="000000"/>
              <w:left w:val="single" w:sz="8" w:space="0" w:color="000000"/>
              <w:bottom w:val="single" w:sz="8" w:space="0" w:color="000000"/>
              <w:right w:val="single" w:sz="8" w:space="0" w:color="000000"/>
            </w:tcBorders>
          </w:tcPr>
          <w:p w14:paraId="47930625" w14:textId="77777777" w:rsidR="00076984" w:rsidRPr="00FF5F86" w:rsidRDefault="001604E0">
            <w:pPr>
              <w:spacing w:after="0" w:line="259" w:lineRule="auto"/>
              <w:ind w:left="15" w:firstLine="0"/>
              <w:jc w:val="both"/>
              <w:rPr>
                <w:color w:val="auto"/>
              </w:rPr>
            </w:pPr>
            <w:r w:rsidRPr="00FF5F86">
              <w:rPr>
                <w:color w:val="auto"/>
              </w:rPr>
              <w:t xml:space="preserve">Large (&gt; </w:t>
            </w:r>
          </w:p>
          <w:p w14:paraId="6E5F81E5" w14:textId="77777777" w:rsidR="00076984" w:rsidRPr="00FF5F86" w:rsidRDefault="001604E0">
            <w:pPr>
              <w:spacing w:after="0" w:line="259" w:lineRule="auto"/>
              <w:ind w:left="15" w:firstLine="0"/>
              <w:jc w:val="both"/>
              <w:rPr>
                <w:color w:val="auto"/>
              </w:rPr>
            </w:pPr>
            <w:r w:rsidRPr="00FF5F86">
              <w:rPr>
                <w:color w:val="auto"/>
              </w:rPr>
              <w:t xml:space="preserve">55) </w:t>
            </w:r>
          </w:p>
        </w:tc>
        <w:tc>
          <w:tcPr>
            <w:tcW w:w="1037" w:type="dxa"/>
            <w:tcBorders>
              <w:top w:val="single" w:sz="8" w:space="0" w:color="000000"/>
              <w:left w:val="single" w:sz="8" w:space="0" w:color="000000"/>
              <w:bottom w:val="single" w:sz="8" w:space="0" w:color="000000"/>
              <w:right w:val="single" w:sz="8" w:space="0" w:color="000000"/>
            </w:tcBorders>
          </w:tcPr>
          <w:p w14:paraId="610720D4" w14:textId="77777777" w:rsidR="00076984" w:rsidRPr="00FF5F86" w:rsidRDefault="001604E0">
            <w:pPr>
              <w:spacing w:after="0" w:line="259" w:lineRule="auto"/>
              <w:ind w:firstLine="0"/>
              <w:jc w:val="both"/>
              <w:rPr>
                <w:color w:val="auto"/>
              </w:rPr>
            </w:pPr>
            <w:r w:rsidRPr="00FF5F86">
              <w:rPr>
                <w:color w:val="auto"/>
              </w:rPr>
              <w:t xml:space="preserve">180 </w:t>
            </w:r>
          </w:p>
        </w:tc>
        <w:tc>
          <w:tcPr>
            <w:tcW w:w="1038" w:type="dxa"/>
            <w:tcBorders>
              <w:top w:val="single" w:sz="8" w:space="0" w:color="000000"/>
              <w:left w:val="single" w:sz="8" w:space="0" w:color="000000"/>
              <w:bottom w:val="single" w:sz="8" w:space="0" w:color="000000"/>
              <w:right w:val="single" w:sz="8" w:space="0" w:color="000000"/>
            </w:tcBorders>
          </w:tcPr>
          <w:p w14:paraId="698361EB" w14:textId="77777777" w:rsidR="00076984" w:rsidRPr="00FF5F86" w:rsidRDefault="001604E0">
            <w:pPr>
              <w:spacing w:after="0" w:line="259" w:lineRule="auto"/>
              <w:ind w:left="5" w:firstLine="0"/>
              <w:jc w:val="both"/>
              <w:rPr>
                <w:color w:val="auto"/>
              </w:rPr>
            </w:pPr>
            <w:r w:rsidRPr="00FF5F86">
              <w:rPr>
                <w:color w:val="auto"/>
              </w:rPr>
              <w:t xml:space="preserve">49.32 </w:t>
            </w:r>
          </w:p>
        </w:tc>
        <w:tc>
          <w:tcPr>
            <w:tcW w:w="1018" w:type="dxa"/>
            <w:tcBorders>
              <w:top w:val="single" w:sz="8" w:space="0" w:color="000000"/>
              <w:left w:val="single" w:sz="8" w:space="0" w:color="000000"/>
              <w:bottom w:val="single" w:sz="8" w:space="0" w:color="000000"/>
              <w:right w:val="single" w:sz="8" w:space="0" w:color="000000"/>
            </w:tcBorders>
          </w:tcPr>
          <w:p w14:paraId="70506CB4" w14:textId="77777777" w:rsidR="00076984" w:rsidRPr="00FF5F86" w:rsidRDefault="001604E0">
            <w:pPr>
              <w:spacing w:after="0" w:line="259" w:lineRule="auto"/>
              <w:ind w:left="0" w:firstLine="0"/>
              <w:jc w:val="both"/>
              <w:rPr>
                <w:color w:val="auto"/>
              </w:rPr>
            </w:pPr>
            <w:r w:rsidRPr="00FF5F86">
              <w:rPr>
                <w:color w:val="auto"/>
              </w:rPr>
              <w:t xml:space="preserve">12.11 </w:t>
            </w:r>
          </w:p>
        </w:tc>
        <w:tc>
          <w:tcPr>
            <w:tcW w:w="1038" w:type="dxa"/>
            <w:tcBorders>
              <w:top w:val="single" w:sz="8" w:space="0" w:color="000000"/>
              <w:left w:val="single" w:sz="8" w:space="0" w:color="000000"/>
              <w:bottom w:val="single" w:sz="8" w:space="0" w:color="000000"/>
              <w:right w:val="single" w:sz="8" w:space="0" w:color="000000"/>
            </w:tcBorders>
          </w:tcPr>
          <w:p w14:paraId="58672AA7" w14:textId="77777777" w:rsidR="00076984" w:rsidRPr="00FF5F86" w:rsidRDefault="001604E0">
            <w:pPr>
              <w:spacing w:after="0" w:line="259" w:lineRule="auto"/>
              <w:ind w:left="15" w:firstLine="0"/>
              <w:jc w:val="both"/>
              <w:rPr>
                <w:color w:val="auto"/>
              </w:rPr>
            </w:pPr>
            <w:r w:rsidRPr="00FF5F86">
              <w:rPr>
                <w:color w:val="auto"/>
              </w:rPr>
              <w:t xml:space="preserve"> </w:t>
            </w:r>
          </w:p>
        </w:tc>
        <w:tc>
          <w:tcPr>
            <w:tcW w:w="1037" w:type="dxa"/>
            <w:tcBorders>
              <w:top w:val="single" w:sz="8" w:space="0" w:color="000000"/>
              <w:left w:val="single" w:sz="8" w:space="0" w:color="000000"/>
              <w:bottom w:val="single" w:sz="8" w:space="0" w:color="000000"/>
              <w:right w:val="single" w:sz="8" w:space="0" w:color="000000"/>
            </w:tcBorders>
          </w:tcPr>
          <w:p w14:paraId="08DC2CDA" w14:textId="77777777" w:rsidR="00076984" w:rsidRPr="00FF5F86" w:rsidRDefault="001604E0">
            <w:pPr>
              <w:spacing w:after="0" w:line="259" w:lineRule="auto"/>
              <w:ind w:firstLine="0"/>
              <w:jc w:val="both"/>
              <w:rPr>
                <w:color w:val="auto"/>
              </w:rPr>
            </w:pPr>
            <w:r w:rsidRPr="00FF5F86">
              <w:rPr>
                <w:color w:val="auto"/>
              </w:rPr>
              <w:t xml:space="preserve"> </w:t>
            </w:r>
          </w:p>
        </w:tc>
        <w:tc>
          <w:tcPr>
            <w:tcW w:w="1038" w:type="dxa"/>
            <w:tcBorders>
              <w:top w:val="single" w:sz="8" w:space="0" w:color="000000"/>
              <w:left w:val="single" w:sz="8" w:space="0" w:color="000000"/>
              <w:bottom w:val="single" w:sz="8" w:space="0" w:color="000000"/>
              <w:right w:val="single" w:sz="8" w:space="0" w:color="000000"/>
            </w:tcBorders>
          </w:tcPr>
          <w:p w14:paraId="01B1550E" w14:textId="77777777" w:rsidR="00076984" w:rsidRPr="00FF5F86" w:rsidRDefault="001604E0">
            <w:pPr>
              <w:spacing w:after="0" w:line="259" w:lineRule="auto"/>
              <w:ind w:left="5" w:firstLine="0"/>
              <w:jc w:val="both"/>
              <w:rPr>
                <w:color w:val="auto"/>
              </w:rPr>
            </w:pPr>
            <w:r w:rsidRPr="00FF5F86">
              <w:rPr>
                <w:color w:val="auto"/>
              </w:rPr>
              <w:t xml:space="preserve"> </w:t>
            </w:r>
          </w:p>
        </w:tc>
        <w:tc>
          <w:tcPr>
            <w:tcW w:w="1019" w:type="dxa"/>
            <w:tcBorders>
              <w:top w:val="single" w:sz="8" w:space="0" w:color="000000"/>
              <w:left w:val="single" w:sz="8" w:space="0" w:color="000000"/>
              <w:bottom w:val="single" w:sz="8" w:space="0" w:color="000000"/>
              <w:right w:val="single" w:sz="8" w:space="0" w:color="000000"/>
            </w:tcBorders>
          </w:tcPr>
          <w:p w14:paraId="0B18B3DC" w14:textId="77777777" w:rsidR="00076984" w:rsidRPr="00FF5F86" w:rsidRDefault="001604E0">
            <w:pPr>
              <w:spacing w:after="0" w:line="259" w:lineRule="auto"/>
              <w:ind w:left="0" w:firstLine="0"/>
              <w:jc w:val="both"/>
              <w:rPr>
                <w:color w:val="auto"/>
              </w:rPr>
            </w:pPr>
            <w:r w:rsidRPr="00FF5F86">
              <w:rPr>
                <w:color w:val="auto"/>
              </w:rPr>
              <w:t xml:space="preserve"> </w:t>
            </w:r>
          </w:p>
        </w:tc>
      </w:tr>
      <w:tr w:rsidR="00076984" w:rsidRPr="00FF5F86" w14:paraId="49C7557F" w14:textId="77777777" w:rsidTr="007C2E5E">
        <w:trPr>
          <w:trHeight w:val="540"/>
        </w:trPr>
        <w:tc>
          <w:tcPr>
            <w:tcW w:w="1110" w:type="dxa"/>
            <w:tcBorders>
              <w:top w:val="single" w:sz="8" w:space="0" w:color="000000"/>
              <w:left w:val="single" w:sz="8" w:space="0" w:color="000000"/>
              <w:bottom w:val="single" w:sz="8" w:space="0" w:color="000000"/>
              <w:right w:val="single" w:sz="8" w:space="0" w:color="000000"/>
            </w:tcBorders>
          </w:tcPr>
          <w:p w14:paraId="41E2F8BF" w14:textId="77777777" w:rsidR="00076984" w:rsidRPr="00FF5F86" w:rsidRDefault="001604E0">
            <w:pPr>
              <w:spacing w:after="0" w:line="259" w:lineRule="auto"/>
              <w:ind w:left="0" w:firstLine="0"/>
              <w:jc w:val="both"/>
              <w:rPr>
                <w:color w:val="auto"/>
              </w:rPr>
            </w:pPr>
            <w:r w:rsidRPr="00FF5F86">
              <w:rPr>
                <w:color w:val="auto"/>
              </w:rPr>
              <w:t>Assessme</w:t>
            </w:r>
          </w:p>
          <w:p w14:paraId="3B6D8CBB" w14:textId="77777777" w:rsidR="00076984" w:rsidRPr="00FF5F86" w:rsidRDefault="001604E0">
            <w:pPr>
              <w:spacing w:after="0" w:line="259" w:lineRule="auto"/>
              <w:ind w:left="0" w:firstLine="0"/>
              <w:jc w:val="both"/>
              <w:rPr>
                <w:color w:val="auto"/>
              </w:rPr>
            </w:pPr>
            <w:r w:rsidRPr="00FF5F86">
              <w:rPr>
                <w:color w:val="auto"/>
              </w:rPr>
              <w:t xml:space="preserve">nt Metric </w:t>
            </w:r>
          </w:p>
        </w:tc>
        <w:tc>
          <w:tcPr>
            <w:tcW w:w="965" w:type="dxa"/>
            <w:tcBorders>
              <w:top w:val="single" w:sz="8" w:space="0" w:color="000000"/>
              <w:left w:val="single" w:sz="8" w:space="0" w:color="000000"/>
              <w:bottom w:val="single" w:sz="8" w:space="0" w:color="000000"/>
              <w:right w:val="single" w:sz="8" w:space="0" w:color="000000"/>
            </w:tcBorders>
          </w:tcPr>
          <w:p w14:paraId="74BCB780" w14:textId="77777777" w:rsidR="00076984" w:rsidRPr="00FF5F86" w:rsidRDefault="001604E0">
            <w:pPr>
              <w:spacing w:after="0" w:line="259" w:lineRule="auto"/>
              <w:ind w:left="15" w:firstLine="0"/>
              <w:jc w:val="both"/>
              <w:rPr>
                <w:color w:val="auto"/>
              </w:rPr>
            </w:pPr>
            <w:r w:rsidRPr="00FF5F86">
              <w:rPr>
                <w:color w:val="auto"/>
              </w:rPr>
              <w:t xml:space="preserve">Class </w:t>
            </w:r>
          </w:p>
          <w:p w14:paraId="06D893FA" w14:textId="77777777" w:rsidR="00076984" w:rsidRPr="00FF5F86" w:rsidRDefault="001604E0">
            <w:pPr>
              <w:spacing w:after="0" w:line="259" w:lineRule="auto"/>
              <w:ind w:left="15" w:firstLine="0"/>
              <w:jc w:val="both"/>
              <w:rPr>
                <w:color w:val="auto"/>
              </w:rPr>
            </w:pPr>
            <w:r w:rsidRPr="00FF5F86">
              <w:rPr>
                <w:color w:val="auto"/>
              </w:rPr>
              <w:t xml:space="preserve">Condition </w:t>
            </w:r>
          </w:p>
        </w:tc>
        <w:tc>
          <w:tcPr>
            <w:tcW w:w="1037" w:type="dxa"/>
            <w:tcBorders>
              <w:top w:val="single" w:sz="8" w:space="0" w:color="000000"/>
              <w:left w:val="single" w:sz="8" w:space="0" w:color="000000"/>
              <w:bottom w:val="single" w:sz="8" w:space="0" w:color="000000"/>
              <w:right w:val="single" w:sz="8" w:space="0" w:color="000000"/>
            </w:tcBorders>
          </w:tcPr>
          <w:p w14:paraId="3DB195A4" w14:textId="77777777" w:rsidR="00076984" w:rsidRPr="00FF5F86" w:rsidRDefault="001604E0">
            <w:pPr>
              <w:spacing w:after="0" w:line="259" w:lineRule="auto"/>
              <w:ind w:firstLine="0"/>
              <w:jc w:val="both"/>
              <w:rPr>
                <w:color w:val="auto"/>
              </w:rPr>
            </w:pPr>
            <w:r w:rsidRPr="00FF5F86">
              <w:rPr>
                <w:color w:val="auto"/>
              </w:rPr>
              <w:t xml:space="preserve">N </w:t>
            </w:r>
          </w:p>
        </w:tc>
        <w:tc>
          <w:tcPr>
            <w:tcW w:w="1038" w:type="dxa"/>
            <w:tcBorders>
              <w:top w:val="single" w:sz="8" w:space="0" w:color="000000"/>
              <w:left w:val="single" w:sz="8" w:space="0" w:color="000000"/>
              <w:bottom w:val="single" w:sz="8" w:space="0" w:color="000000"/>
              <w:right w:val="single" w:sz="8" w:space="0" w:color="000000"/>
            </w:tcBorders>
          </w:tcPr>
          <w:p w14:paraId="60C69AC7" w14:textId="77777777" w:rsidR="00076984" w:rsidRPr="00FF5F86" w:rsidRDefault="001604E0">
            <w:pPr>
              <w:spacing w:after="0" w:line="259" w:lineRule="auto"/>
              <w:ind w:left="5" w:firstLine="0"/>
              <w:jc w:val="both"/>
              <w:rPr>
                <w:color w:val="auto"/>
              </w:rPr>
            </w:pPr>
            <w:r w:rsidRPr="00FF5F86">
              <w:rPr>
                <w:color w:val="auto"/>
              </w:rPr>
              <w:t xml:space="preserve">Mean </w:t>
            </w:r>
          </w:p>
          <w:p w14:paraId="3E2CBB34" w14:textId="77777777" w:rsidR="00076984" w:rsidRPr="00FF5F86" w:rsidRDefault="001604E0">
            <w:pPr>
              <w:spacing w:after="0" w:line="259" w:lineRule="auto"/>
              <w:ind w:left="5" w:firstLine="0"/>
              <w:jc w:val="both"/>
              <w:rPr>
                <w:color w:val="auto"/>
              </w:rPr>
            </w:pPr>
            <w:r w:rsidRPr="00FF5F86">
              <w:rPr>
                <w:color w:val="auto"/>
              </w:rPr>
              <w:t xml:space="preserve">Score (%) </w:t>
            </w:r>
          </w:p>
        </w:tc>
        <w:tc>
          <w:tcPr>
            <w:tcW w:w="1018" w:type="dxa"/>
            <w:tcBorders>
              <w:top w:val="single" w:sz="8" w:space="0" w:color="000000"/>
              <w:left w:val="single" w:sz="8" w:space="0" w:color="000000"/>
              <w:bottom w:val="single" w:sz="8" w:space="0" w:color="000000"/>
              <w:right w:val="single" w:sz="8" w:space="0" w:color="000000"/>
            </w:tcBorders>
          </w:tcPr>
          <w:p w14:paraId="55169DD8" w14:textId="77777777" w:rsidR="00076984" w:rsidRPr="00FF5F86" w:rsidRDefault="001604E0">
            <w:pPr>
              <w:spacing w:after="0" w:line="259" w:lineRule="auto"/>
              <w:ind w:left="0" w:firstLine="0"/>
              <w:jc w:val="both"/>
              <w:rPr>
                <w:color w:val="auto"/>
              </w:rPr>
            </w:pPr>
            <w:r w:rsidRPr="00FF5F86">
              <w:rPr>
                <w:color w:val="auto"/>
              </w:rPr>
              <w:t xml:space="preserve">SD </w:t>
            </w:r>
          </w:p>
        </w:tc>
        <w:tc>
          <w:tcPr>
            <w:tcW w:w="1038" w:type="dxa"/>
            <w:tcBorders>
              <w:top w:val="single" w:sz="8" w:space="0" w:color="000000"/>
              <w:left w:val="single" w:sz="8" w:space="0" w:color="000000"/>
              <w:bottom w:val="single" w:sz="8" w:space="0" w:color="000000"/>
              <w:right w:val="single" w:sz="8" w:space="0" w:color="000000"/>
            </w:tcBorders>
          </w:tcPr>
          <w:p w14:paraId="5FB24D25" w14:textId="77777777" w:rsidR="00076984" w:rsidRPr="00FF5F86" w:rsidRDefault="001604E0">
            <w:pPr>
              <w:spacing w:after="0" w:line="259" w:lineRule="auto"/>
              <w:ind w:left="15" w:firstLine="0"/>
              <w:jc w:val="both"/>
              <w:rPr>
                <w:color w:val="auto"/>
              </w:rPr>
            </w:pPr>
            <w:r w:rsidRPr="00FF5F86">
              <w:rPr>
                <w:color w:val="auto"/>
              </w:rPr>
              <w:t xml:space="preserve">t-value </w:t>
            </w:r>
          </w:p>
        </w:tc>
        <w:tc>
          <w:tcPr>
            <w:tcW w:w="1037" w:type="dxa"/>
            <w:tcBorders>
              <w:top w:val="single" w:sz="8" w:space="0" w:color="000000"/>
              <w:left w:val="single" w:sz="8" w:space="0" w:color="000000"/>
              <w:bottom w:val="single" w:sz="8" w:space="0" w:color="000000"/>
              <w:right w:val="single" w:sz="8" w:space="0" w:color="000000"/>
            </w:tcBorders>
          </w:tcPr>
          <w:p w14:paraId="564670F0" w14:textId="77777777" w:rsidR="00076984" w:rsidRPr="00FF5F86" w:rsidRDefault="001604E0">
            <w:pPr>
              <w:spacing w:after="0" w:line="259" w:lineRule="auto"/>
              <w:ind w:firstLine="0"/>
              <w:jc w:val="both"/>
              <w:rPr>
                <w:color w:val="auto"/>
              </w:rPr>
            </w:pPr>
            <w:r w:rsidRPr="00FF5F86">
              <w:rPr>
                <w:color w:val="auto"/>
              </w:rPr>
              <w:t xml:space="preserve">df </w:t>
            </w:r>
          </w:p>
        </w:tc>
        <w:tc>
          <w:tcPr>
            <w:tcW w:w="1038" w:type="dxa"/>
            <w:tcBorders>
              <w:top w:val="single" w:sz="8" w:space="0" w:color="000000"/>
              <w:left w:val="single" w:sz="8" w:space="0" w:color="000000"/>
              <w:bottom w:val="single" w:sz="8" w:space="0" w:color="000000"/>
              <w:right w:val="single" w:sz="8" w:space="0" w:color="000000"/>
            </w:tcBorders>
          </w:tcPr>
          <w:p w14:paraId="676781A0" w14:textId="77777777" w:rsidR="00076984" w:rsidRPr="00FF5F86" w:rsidRDefault="001604E0">
            <w:pPr>
              <w:spacing w:after="0" w:line="259" w:lineRule="auto"/>
              <w:ind w:left="5" w:firstLine="0"/>
              <w:jc w:val="both"/>
              <w:rPr>
                <w:color w:val="auto"/>
              </w:rPr>
            </w:pPr>
            <w:r w:rsidRPr="00FF5F86">
              <w:rPr>
                <w:color w:val="auto"/>
              </w:rPr>
              <w:t xml:space="preserve">p-value </w:t>
            </w:r>
          </w:p>
        </w:tc>
        <w:tc>
          <w:tcPr>
            <w:tcW w:w="1019" w:type="dxa"/>
            <w:tcBorders>
              <w:top w:val="single" w:sz="8" w:space="0" w:color="000000"/>
              <w:left w:val="single" w:sz="8" w:space="0" w:color="000000"/>
              <w:bottom w:val="single" w:sz="8" w:space="0" w:color="000000"/>
              <w:right w:val="single" w:sz="8" w:space="0" w:color="000000"/>
            </w:tcBorders>
          </w:tcPr>
          <w:p w14:paraId="08E4BA2F" w14:textId="77777777" w:rsidR="00076984" w:rsidRPr="00FF5F86" w:rsidRDefault="001604E0">
            <w:pPr>
              <w:spacing w:after="0" w:line="259" w:lineRule="auto"/>
              <w:ind w:left="0" w:firstLine="0"/>
              <w:jc w:val="both"/>
              <w:rPr>
                <w:color w:val="auto"/>
              </w:rPr>
            </w:pPr>
            <w:r w:rsidRPr="00FF5F86">
              <w:rPr>
                <w:color w:val="auto"/>
              </w:rPr>
              <w:t>Cohen’s d</w:t>
            </w:r>
          </w:p>
        </w:tc>
      </w:tr>
      <w:tr w:rsidR="00076984" w:rsidRPr="00FF5F86" w14:paraId="71AA7478" w14:textId="77777777" w:rsidTr="007C2E5E">
        <w:trPr>
          <w:trHeight w:val="560"/>
        </w:trPr>
        <w:tc>
          <w:tcPr>
            <w:tcW w:w="1110" w:type="dxa"/>
            <w:tcBorders>
              <w:top w:val="single" w:sz="8" w:space="0" w:color="000000"/>
              <w:left w:val="single" w:sz="8" w:space="0" w:color="000000"/>
              <w:bottom w:val="single" w:sz="8" w:space="0" w:color="000000"/>
              <w:right w:val="single" w:sz="8" w:space="0" w:color="000000"/>
            </w:tcBorders>
          </w:tcPr>
          <w:p w14:paraId="7F27BA5B" w14:textId="77777777" w:rsidR="00076984" w:rsidRPr="00FF5F86" w:rsidRDefault="001604E0">
            <w:pPr>
              <w:spacing w:after="0" w:line="259" w:lineRule="auto"/>
              <w:ind w:left="0" w:firstLine="0"/>
              <w:jc w:val="both"/>
              <w:rPr>
                <w:color w:val="auto"/>
              </w:rPr>
            </w:pPr>
            <w:r w:rsidRPr="00FF5F86">
              <w:rPr>
                <w:b/>
                <w:color w:val="auto"/>
              </w:rPr>
              <w:t xml:space="preserve">Biology </w:t>
            </w:r>
          </w:p>
          <w:p w14:paraId="3225315E" w14:textId="77777777" w:rsidR="00076984" w:rsidRPr="00FF5F86" w:rsidRDefault="001604E0">
            <w:pPr>
              <w:spacing w:after="0" w:line="259" w:lineRule="auto"/>
              <w:ind w:left="0" w:firstLine="0"/>
              <w:jc w:val="both"/>
              <w:rPr>
                <w:color w:val="auto"/>
              </w:rPr>
            </w:pPr>
            <w:r w:rsidRPr="00FF5F86">
              <w:rPr>
                <w:b/>
                <w:color w:val="auto"/>
              </w:rPr>
              <w:t xml:space="preserve">Score </w:t>
            </w:r>
          </w:p>
        </w:tc>
        <w:tc>
          <w:tcPr>
            <w:tcW w:w="965" w:type="dxa"/>
            <w:tcBorders>
              <w:top w:val="single" w:sz="8" w:space="0" w:color="000000"/>
              <w:left w:val="single" w:sz="8" w:space="0" w:color="000000"/>
              <w:bottom w:val="single" w:sz="8" w:space="0" w:color="000000"/>
              <w:right w:val="single" w:sz="8" w:space="0" w:color="000000"/>
            </w:tcBorders>
          </w:tcPr>
          <w:p w14:paraId="57E3A3CF" w14:textId="77777777" w:rsidR="00076984" w:rsidRPr="00FF5F86" w:rsidRDefault="001604E0">
            <w:pPr>
              <w:spacing w:after="0" w:line="259" w:lineRule="auto"/>
              <w:ind w:left="15" w:firstLine="0"/>
              <w:jc w:val="both"/>
              <w:rPr>
                <w:color w:val="auto"/>
              </w:rPr>
            </w:pPr>
            <w:r w:rsidRPr="00FF5F86">
              <w:rPr>
                <w:color w:val="auto"/>
              </w:rPr>
              <w:t xml:space="preserve">Reduced </w:t>
            </w:r>
          </w:p>
          <w:p w14:paraId="53103309" w14:textId="77777777" w:rsidR="00076984" w:rsidRPr="00FF5F86" w:rsidRDefault="001604E0">
            <w:pPr>
              <w:spacing w:after="0" w:line="259" w:lineRule="auto"/>
              <w:ind w:left="15" w:firstLine="0"/>
              <w:jc w:val="both"/>
              <w:rPr>
                <w:color w:val="auto"/>
              </w:rPr>
            </w:pPr>
            <w:r w:rsidRPr="00FF5F86">
              <w:rPr>
                <w:color w:val="auto"/>
              </w:rPr>
              <w:t xml:space="preserve">(\le 35) </w:t>
            </w:r>
          </w:p>
        </w:tc>
        <w:tc>
          <w:tcPr>
            <w:tcW w:w="1037" w:type="dxa"/>
            <w:tcBorders>
              <w:top w:val="single" w:sz="8" w:space="0" w:color="000000"/>
              <w:left w:val="single" w:sz="8" w:space="0" w:color="000000"/>
              <w:bottom w:val="single" w:sz="8" w:space="0" w:color="000000"/>
              <w:right w:val="single" w:sz="8" w:space="0" w:color="000000"/>
            </w:tcBorders>
          </w:tcPr>
          <w:p w14:paraId="2F82BD42" w14:textId="77777777" w:rsidR="00076984" w:rsidRPr="00FF5F86" w:rsidRDefault="001604E0">
            <w:pPr>
              <w:spacing w:after="0" w:line="259" w:lineRule="auto"/>
              <w:ind w:firstLine="0"/>
              <w:jc w:val="both"/>
              <w:rPr>
                <w:color w:val="auto"/>
              </w:rPr>
            </w:pPr>
            <w:r w:rsidRPr="00FF5F86">
              <w:rPr>
                <w:color w:val="auto"/>
              </w:rPr>
              <w:t xml:space="preserve">180 </w:t>
            </w:r>
          </w:p>
        </w:tc>
        <w:tc>
          <w:tcPr>
            <w:tcW w:w="1038" w:type="dxa"/>
            <w:tcBorders>
              <w:top w:val="single" w:sz="8" w:space="0" w:color="000000"/>
              <w:left w:val="single" w:sz="8" w:space="0" w:color="000000"/>
              <w:bottom w:val="single" w:sz="8" w:space="0" w:color="000000"/>
              <w:right w:val="single" w:sz="8" w:space="0" w:color="000000"/>
            </w:tcBorders>
          </w:tcPr>
          <w:p w14:paraId="45A35069" w14:textId="77777777" w:rsidR="00076984" w:rsidRPr="00FF5F86" w:rsidRDefault="001604E0">
            <w:pPr>
              <w:spacing w:after="0" w:line="259" w:lineRule="auto"/>
              <w:ind w:left="5" w:firstLine="0"/>
              <w:jc w:val="both"/>
              <w:rPr>
                <w:color w:val="auto"/>
              </w:rPr>
            </w:pPr>
            <w:r w:rsidRPr="00FF5F86">
              <w:rPr>
                <w:color w:val="auto"/>
              </w:rPr>
              <w:t xml:space="preserve">72.35 </w:t>
            </w:r>
          </w:p>
        </w:tc>
        <w:tc>
          <w:tcPr>
            <w:tcW w:w="1018" w:type="dxa"/>
            <w:tcBorders>
              <w:top w:val="single" w:sz="8" w:space="0" w:color="000000"/>
              <w:left w:val="single" w:sz="8" w:space="0" w:color="000000"/>
              <w:bottom w:val="single" w:sz="8" w:space="0" w:color="000000"/>
              <w:right w:val="single" w:sz="8" w:space="0" w:color="000000"/>
            </w:tcBorders>
          </w:tcPr>
          <w:p w14:paraId="2550B845" w14:textId="77777777" w:rsidR="00076984" w:rsidRPr="00FF5F86" w:rsidRDefault="001604E0">
            <w:pPr>
              <w:spacing w:after="0" w:line="259" w:lineRule="auto"/>
              <w:ind w:left="0" w:firstLine="0"/>
              <w:jc w:val="both"/>
              <w:rPr>
                <w:color w:val="auto"/>
              </w:rPr>
            </w:pPr>
            <w:r w:rsidRPr="00FF5F86">
              <w:rPr>
                <w:color w:val="auto"/>
              </w:rPr>
              <w:t xml:space="preserve">9.88 </w:t>
            </w:r>
          </w:p>
        </w:tc>
        <w:tc>
          <w:tcPr>
            <w:tcW w:w="1038" w:type="dxa"/>
            <w:tcBorders>
              <w:top w:val="single" w:sz="8" w:space="0" w:color="000000"/>
              <w:left w:val="single" w:sz="8" w:space="0" w:color="000000"/>
              <w:bottom w:val="single" w:sz="8" w:space="0" w:color="000000"/>
              <w:right w:val="single" w:sz="8" w:space="0" w:color="000000"/>
            </w:tcBorders>
          </w:tcPr>
          <w:p w14:paraId="24B9E6AA" w14:textId="77777777" w:rsidR="00076984" w:rsidRPr="00FF5F86" w:rsidRDefault="001604E0">
            <w:pPr>
              <w:spacing w:after="0" w:line="259" w:lineRule="auto"/>
              <w:ind w:left="15" w:firstLine="0"/>
              <w:jc w:val="both"/>
              <w:rPr>
                <w:color w:val="auto"/>
              </w:rPr>
            </w:pPr>
            <w:r w:rsidRPr="00FF5F86">
              <w:rPr>
                <w:color w:val="auto"/>
              </w:rPr>
              <w:t xml:space="preserve">9.14 </w:t>
            </w:r>
          </w:p>
        </w:tc>
        <w:tc>
          <w:tcPr>
            <w:tcW w:w="1037" w:type="dxa"/>
            <w:tcBorders>
              <w:top w:val="single" w:sz="8" w:space="0" w:color="000000"/>
              <w:left w:val="single" w:sz="8" w:space="0" w:color="000000"/>
              <w:bottom w:val="single" w:sz="8" w:space="0" w:color="000000"/>
              <w:right w:val="single" w:sz="8" w:space="0" w:color="000000"/>
            </w:tcBorders>
          </w:tcPr>
          <w:p w14:paraId="0AD2D90F" w14:textId="77777777" w:rsidR="00076984" w:rsidRPr="00FF5F86" w:rsidRDefault="001604E0">
            <w:pPr>
              <w:spacing w:after="0" w:line="259" w:lineRule="auto"/>
              <w:ind w:firstLine="0"/>
              <w:jc w:val="both"/>
              <w:rPr>
                <w:color w:val="auto"/>
              </w:rPr>
            </w:pPr>
            <w:r w:rsidRPr="00FF5F86">
              <w:rPr>
                <w:color w:val="auto"/>
              </w:rPr>
              <w:t xml:space="preserve">358 </w:t>
            </w:r>
          </w:p>
        </w:tc>
        <w:tc>
          <w:tcPr>
            <w:tcW w:w="1038" w:type="dxa"/>
            <w:tcBorders>
              <w:top w:val="single" w:sz="8" w:space="0" w:color="000000"/>
              <w:left w:val="single" w:sz="8" w:space="0" w:color="000000"/>
              <w:bottom w:val="single" w:sz="8" w:space="0" w:color="000000"/>
              <w:right w:val="single" w:sz="8" w:space="0" w:color="000000"/>
            </w:tcBorders>
          </w:tcPr>
          <w:p w14:paraId="55DDCAFF" w14:textId="77777777" w:rsidR="00076984" w:rsidRPr="00FF5F86" w:rsidRDefault="001604E0">
            <w:pPr>
              <w:spacing w:after="0" w:line="259" w:lineRule="auto"/>
              <w:ind w:left="5" w:firstLine="0"/>
              <w:jc w:val="both"/>
              <w:rPr>
                <w:color w:val="auto"/>
              </w:rPr>
            </w:pPr>
            <w:r w:rsidRPr="00FF5F86">
              <w:rPr>
                <w:color w:val="auto"/>
              </w:rPr>
              <w:t xml:space="preserve">&lt; .001 </w:t>
            </w:r>
          </w:p>
        </w:tc>
        <w:tc>
          <w:tcPr>
            <w:tcW w:w="1019" w:type="dxa"/>
            <w:tcBorders>
              <w:top w:val="single" w:sz="8" w:space="0" w:color="000000"/>
              <w:left w:val="single" w:sz="8" w:space="0" w:color="000000"/>
              <w:bottom w:val="single" w:sz="8" w:space="0" w:color="000000"/>
              <w:right w:val="single" w:sz="8" w:space="0" w:color="000000"/>
            </w:tcBorders>
          </w:tcPr>
          <w:p w14:paraId="38C17B78" w14:textId="77777777" w:rsidR="00076984" w:rsidRPr="00FF5F86" w:rsidRDefault="001604E0">
            <w:pPr>
              <w:spacing w:after="0" w:line="259" w:lineRule="auto"/>
              <w:ind w:left="0" w:firstLine="0"/>
              <w:jc w:val="both"/>
              <w:rPr>
                <w:color w:val="auto"/>
              </w:rPr>
            </w:pPr>
            <w:r w:rsidRPr="00FF5F86">
              <w:rPr>
                <w:color w:val="auto"/>
              </w:rPr>
              <w:t xml:space="preserve">0.96 </w:t>
            </w:r>
          </w:p>
        </w:tc>
      </w:tr>
      <w:tr w:rsidR="00076984" w:rsidRPr="00FF5F86" w14:paraId="1B62E809" w14:textId="77777777" w:rsidTr="007C2E5E">
        <w:trPr>
          <w:trHeight w:val="560"/>
        </w:trPr>
        <w:tc>
          <w:tcPr>
            <w:tcW w:w="1110" w:type="dxa"/>
            <w:tcBorders>
              <w:top w:val="single" w:sz="8" w:space="0" w:color="000000"/>
              <w:left w:val="single" w:sz="8" w:space="0" w:color="000000"/>
              <w:bottom w:val="single" w:sz="8" w:space="0" w:color="000000"/>
              <w:right w:val="single" w:sz="8" w:space="0" w:color="000000"/>
            </w:tcBorders>
          </w:tcPr>
          <w:p w14:paraId="3343238B" w14:textId="77777777" w:rsidR="00076984" w:rsidRPr="00FF5F86" w:rsidRDefault="001604E0">
            <w:pPr>
              <w:spacing w:after="0" w:line="259" w:lineRule="auto"/>
              <w:ind w:left="0" w:firstLine="0"/>
              <w:jc w:val="both"/>
              <w:rPr>
                <w:color w:val="auto"/>
              </w:rPr>
            </w:pPr>
            <w:r w:rsidRPr="00FF5F86">
              <w:rPr>
                <w:color w:val="auto"/>
              </w:rPr>
              <w:t xml:space="preserve"> </w:t>
            </w:r>
          </w:p>
        </w:tc>
        <w:tc>
          <w:tcPr>
            <w:tcW w:w="965" w:type="dxa"/>
            <w:tcBorders>
              <w:top w:val="single" w:sz="8" w:space="0" w:color="000000"/>
              <w:left w:val="single" w:sz="8" w:space="0" w:color="000000"/>
              <w:bottom w:val="single" w:sz="8" w:space="0" w:color="000000"/>
              <w:right w:val="single" w:sz="8" w:space="0" w:color="000000"/>
            </w:tcBorders>
          </w:tcPr>
          <w:p w14:paraId="31B76064" w14:textId="77777777" w:rsidR="00076984" w:rsidRPr="00FF5F86" w:rsidRDefault="001604E0">
            <w:pPr>
              <w:spacing w:after="0" w:line="259" w:lineRule="auto"/>
              <w:ind w:left="15" w:firstLine="0"/>
              <w:jc w:val="both"/>
              <w:rPr>
                <w:color w:val="auto"/>
              </w:rPr>
            </w:pPr>
            <w:r w:rsidRPr="00FF5F86">
              <w:rPr>
                <w:color w:val="auto"/>
              </w:rPr>
              <w:t xml:space="preserve">Large (&gt; </w:t>
            </w:r>
          </w:p>
          <w:p w14:paraId="62F9AE73" w14:textId="77777777" w:rsidR="00076984" w:rsidRPr="00FF5F86" w:rsidRDefault="001604E0">
            <w:pPr>
              <w:spacing w:after="0" w:line="259" w:lineRule="auto"/>
              <w:ind w:left="15" w:firstLine="0"/>
              <w:jc w:val="both"/>
              <w:rPr>
                <w:color w:val="auto"/>
              </w:rPr>
            </w:pPr>
            <w:r w:rsidRPr="00FF5F86">
              <w:rPr>
                <w:color w:val="auto"/>
              </w:rPr>
              <w:t xml:space="preserve">55) </w:t>
            </w:r>
          </w:p>
        </w:tc>
        <w:tc>
          <w:tcPr>
            <w:tcW w:w="1037" w:type="dxa"/>
            <w:tcBorders>
              <w:top w:val="single" w:sz="8" w:space="0" w:color="000000"/>
              <w:left w:val="single" w:sz="8" w:space="0" w:color="000000"/>
              <w:bottom w:val="single" w:sz="8" w:space="0" w:color="000000"/>
              <w:right w:val="single" w:sz="8" w:space="0" w:color="000000"/>
            </w:tcBorders>
          </w:tcPr>
          <w:p w14:paraId="1FA64E9E" w14:textId="77777777" w:rsidR="00076984" w:rsidRPr="00FF5F86" w:rsidRDefault="001604E0">
            <w:pPr>
              <w:spacing w:after="0" w:line="259" w:lineRule="auto"/>
              <w:ind w:firstLine="0"/>
              <w:jc w:val="both"/>
              <w:rPr>
                <w:color w:val="auto"/>
              </w:rPr>
            </w:pPr>
            <w:r w:rsidRPr="00FF5F86">
              <w:rPr>
                <w:color w:val="auto"/>
              </w:rPr>
              <w:t xml:space="preserve">180 </w:t>
            </w:r>
          </w:p>
        </w:tc>
        <w:tc>
          <w:tcPr>
            <w:tcW w:w="1038" w:type="dxa"/>
            <w:tcBorders>
              <w:top w:val="single" w:sz="8" w:space="0" w:color="000000"/>
              <w:left w:val="single" w:sz="8" w:space="0" w:color="000000"/>
              <w:bottom w:val="single" w:sz="8" w:space="0" w:color="000000"/>
              <w:right w:val="single" w:sz="8" w:space="0" w:color="000000"/>
            </w:tcBorders>
          </w:tcPr>
          <w:p w14:paraId="4A22B8E6" w14:textId="77777777" w:rsidR="00076984" w:rsidRPr="00FF5F86" w:rsidRDefault="001604E0">
            <w:pPr>
              <w:spacing w:after="0" w:line="259" w:lineRule="auto"/>
              <w:ind w:left="5" w:firstLine="0"/>
              <w:jc w:val="both"/>
              <w:rPr>
                <w:color w:val="auto"/>
              </w:rPr>
            </w:pPr>
            <w:r w:rsidRPr="00FF5F86">
              <w:rPr>
                <w:color w:val="auto"/>
              </w:rPr>
              <w:t xml:space="preserve">55.47 </w:t>
            </w:r>
          </w:p>
        </w:tc>
        <w:tc>
          <w:tcPr>
            <w:tcW w:w="1018" w:type="dxa"/>
            <w:tcBorders>
              <w:top w:val="single" w:sz="8" w:space="0" w:color="000000"/>
              <w:left w:val="single" w:sz="8" w:space="0" w:color="000000"/>
              <w:bottom w:val="single" w:sz="8" w:space="0" w:color="000000"/>
              <w:right w:val="single" w:sz="8" w:space="0" w:color="000000"/>
            </w:tcBorders>
          </w:tcPr>
          <w:p w14:paraId="311C1D8E" w14:textId="77777777" w:rsidR="00076984" w:rsidRPr="00FF5F86" w:rsidRDefault="001604E0">
            <w:pPr>
              <w:spacing w:after="0" w:line="259" w:lineRule="auto"/>
              <w:ind w:left="0" w:firstLine="0"/>
              <w:jc w:val="both"/>
              <w:rPr>
                <w:color w:val="auto"/>
              </w:rPr>
            </w:pPr>
            <w:r w:rsidRPr="00FF5F86">
              <w:rPr>
                <w:color w:val="auto"/>
              </w:rPr>
              <w:t xml:space="preserve">11.36 </w:t>
            </w:r>
          </w:p>
        </w:tc>
        <w:tc>
          <w:tcPr>
            <w:tcW w:w="1038" w:type="dxa"/>
            <w:tcBorders>
              <w:top w:val="single" w:sz="8" w:space="0" w:color="000000"/>
              <w:left w:val="single" w:sz="8" w:space="0" w:color="000000"/>
              <w:bottom w:val="single" w:sz="8" w:space="0" w:color="000000"/>
              <w:right w:val="single" w:sz="8" w:space="0" w:color="000000"/>
            </w:tcBorders>
          </w:tcPr>
          <w:p w14:paraId="1EA6ADCD" w14:textId="77777777" w:rsidR="00076984" w:rsidRPr="00FF5F86" w:rsidRDefault="001604E0">
            <w:pPr>
              <w:spacing w:after="0" w:line="259" w:lineRule="auto"/>
              <w:ind w:left="15" w:firstLine="0"/>
              <w:jc w:val="both"/>
              <w:rPr>
                <w:color w:val="auto"/>
              </w:rPr>
            </w:pPr>
            <w:r w:rsidRPr="00FF5F86">
              <w:rPr>
                <w:color w:val="auto"/>
              </w:rPr>
              <w:t xml:space="preserve"> </w:t>
            </w:r>
          </w:p>
        </w:tc>
        <w:tc>
          <w:tcPr>
            <w:tcW w:w="1037" w:type="dxa"/>
            <w:tcBorders>
              <w:top w:val="single" w:sz="8" w:space="0" w:color="000000"/>
              <w:left w:val="single" w:sz="8" w:space="0" w:color="000000"/>
              <w:bottom w:val="single" w:sz="8" w:space="0" w:color="000000"/>
              <w:right w:val="single" w:sz="8" w:space="0" w:color="000000"/>
            </w:tcBorders>
          </w:tcPr>
          <w:p w14:paraId="7B664372" w14:textId="77777777" w:rsidR="00076984" w:rsidRPr="00FF5F86" w:rsidRDefault="001604E0">
            <w:pPr>
              <w:spacing w:after="0" w:line="259" w:lineRule="auto"/>
              <w:ind w:firstLine="0"/>
              <w:jc w:val="both"/>
              <w:rPr>
                <w:color w:val="auto"/>
              </w:rPr>
            </w:pPr>
            <w:r w:rsidRPr="00FF5F86">
              <w:rPr>
                <w:color w:val="auto"/>
              </w:rPr>
              <w:t xml:space="preserve"> </w:t>
            </w:r>
          </w:p>
        </w:tc>
        <w:tc>
          <w:tcPr>
            <w:tcW w:w="1038" w:type="dxa"/>
            <w:tcBorders>
              <w:top w:val="single" w:sz="8" w:space="0" w:color="000000"/>
              <w:left w:val="single" w:sz="8" w:space="0" w:color="000000"/>
              <w:bottom w:val="single" w:sz="8" w:space="0" w:color="000000"/>
              <w:right w:val="single" w:sz="8" w:space="0" w:color="000000"/>
            </w:tcBorders>
          </w:tcPr>
          <w:p w14:paraId="1D36728A" w14:textId="77777777" w:rsidR="00076984" w:rsidRPr="00FF5F86" w:rsidRDefault="001604E0">
            <w:pPr>
              <w:spacing w:after="0" w:line="259" w:lineRule="auto"/>
              <w:ind w:left="5" w:firstLine="0"/>
              <w:jc w:val="both"/>
              <w:rPr>
                <w:color w:val="auto"/>
              </w:rPr>
            </w:pPr>
            <w:r w:rsidRPr="00FF5F86">
              <w:rPr>
                <w:color w:val="auto"/>
              </w:rPr>
              <w:t xml:space="preserve"> </w:t>
            </w:r>
          </w:p>
        </w:tc>
        <w:tc>
          <w:tcPr>
            <w:tcW w:w="1019" w:type="dxa"/>
            <w:tcBorders>
              <w:top w:val="single" w:sz="8" w:space="0" w:color="000000"/>
              <w:left w:val="single" w:sz="8" w:space="0" w:color="000000"/>
              <w:bottom w:val="single" w:sz="8" w:space="0" w:color="000000"/>
              <w:right w:val="single" w:sz="8" w:space="0" w:color="000000"/>
            </w:tcBorders>
          </w:tcPr>
          <w:p w14:paraId="4CD4D101" w14:textId="77777777" w:rsidR="00076984" w:rsidRPr="00FF5F86" w:rsidRDefault="001604E0">
            <w:pPr>
              <w:spacing w:after="0" w:line="259" w:lineRule="auto"/>
              <w:ind w:left="0" w:firstLine="0"/>
              <w:jc w:val="both"/>
              <w:rPr>
                <w:color w:val="auto"/>
              </w:rPr>
            </w:pPr>
            <w:r w:rsidRPr="00FF5F86">
              <w:rPr>
                <w:color w:val="auto"/>
              </w:rPr>
              <w:t xml:space="preserve"> </w:t>
            </w:r>
          </w:p>
        </w:tc>
      </w:tr>
      <w:tr w:rsidR="00076984" w:rsidRPr="00FF5F86" w14:paraId="6DEA3F11" w14:textId="77777777" w:rsidTr="007C2E5E">
        <w:trPr>
          <w:trHeight w:val="820"/>
        </w:trPr>
        <w:tc>
          <w:tcPr>
            <w:tcW w:w="1110" w:type="dxa"/>
            <w:tcBorders>
              <w:top w:val="single" w:sz="8" w:space="0" w:color="000000"/>
              <w:left w:val="single" w:sz="8" w:space="0" w:color="000000"/>
              <w:bottom w:val="single" w:sz="8" w:space="0" w:color="000000"/>
              <w:right w:val="single" w:sz="8" w:space="0" w:color="000000"/>
            </w:tcBorders>
          </w:tcPr>
          <w:p w14:paraId="3C6C5E7D" w14:textId="77777777" w:rsidR="00076984" w:rsidRPr="00FF5F86" w:rsidRDefault="001604E0">
            <w:pPr>
              <w:spacing w:after="0" w:line="259" w:lineRule="auto"/>
              <w:ind w:left="0" w:firstLine="0"/>
              <w:jc w:val="both"/>
              <w:rPr>
                <w:color w:val="auto"/>
              </w:rPr>
            </w:pPr>
            <w:r w:rsidRPr="00FF5F86">
              <w:rPr>
                <w:b/>
                <w:color w:val="auto"/>
              </w:rPr>
              <w:t xml:space="preserve">Total </w:t>
            </w:r>
          </w:p>
          <w:p w14:paraId="2471A440" w14:textId="77777777" w:rsidR="00076984" w:rsidRPr="00FF5F86" w:rsidRDefault="001604E0">
            <w:pPr>
              <w:spacing w:after="0" w:line="259" w:lineRule="auto"/>
              <w:ind w:left="0" w:firstLine="0"/>
              <w:jc w:val="both"/>
              <w:rPr>
                <w:color w:val="auto"/>
              </w:rPr>
            </w:pPr>
            <w:r w:rsidRPr="00FF5F86">
              <w:rPr>
                <w:b/>
                <w:color w:val="auto"/>
              </w:rPr>
              <w:t xml:space="preserve">ISAT </w:t>
            </w:r>
          </w:p>
          <w:p w14:paraId="36B6DFA0" w14:textId="77777777" w:rsidR="00076984" w:rsidRPr="00FF5F86" w:rsidRDefault="001604E0">
            <w:pPr>
              <w:spacing w:after="0" w:line="259" w:lineRule="auto"/>
              <w:ind w:left="0" w:firstLine="0"/>
              <w:jc w:val="both"/>
              <w:rPr>
                <w:color w:val="auto"/>
              </w:rPr>
            </w:pPr>
            <w:r w:rsidRPr="00FF5F86">
              <w:rPr>
                <w:b/>
                <w:color w:val="auto"/>
              </w:rPr>
              <w:t xml:space="preserve">Score </w:t>
            </w:r>
          </w:p>
        </w:tc>
        <w:tc>
          <w:tcPr>
            <w:tcW w:w="965" w:type="dxa"/>
            <w:tcBorders>
              <w:top w:val="single" w:sz="8" w:space="0" w:color="000000"/>
              <w:left w:val="single" w:sz="8" w:space="0" w:color="000000"/>
              <w:bottom w:val="single" w:sz="8" w:space="0" w:color="000000"/>
              <w:right w:val="single" w:sz="8" w:space="0" w:color="000000"/>
            </w:tcBorders>
          </w:tcPr>
          <w:p w14:paraId="20ADD5B1" w14:textId="77777777" w:rsidR="00076984" w:rsidRPr="00FF5F86" w:rsidRDefault="001604E0">
            <w:pPr>
              <w:spacing w:after="0" w:line="259" w:lineRule="auto"/>
              <w:ind w:left="15" w:firstLine="0"/>
              <w:jc w:val="both"/>
              <w:rPr>
                <w:color w:val="auto"/>
              </w:rPr>
            </w:pPr>
            <w:r w:rsidRPr="00FF5F86">
              <w:rPr>
                <w:color w:val="auto"/>
              </w:rPr>
              <w:t xml:space="preserve">Reduced </w:t>
            </w:r>
          </w:p>
          <w:p w14:paraId="47EBB59A" w14:textId="77777777" w:rsidR="00076984" w:rsidRPr="00FF5F86" w:rsidRDefault="001604E0">
            <w:pPr>
              <w:spacing w:after="0" w:line="259" w:lineRule="auto"/>
              <w:ind w:left="15" w:firstLine="0"/>
              <w:jc w:val="both"/>
              <w:rPr>
                <w:color w:val="auto"/>
              </w:rPr>
            </w:pPr>
            <w:r w:rsidRPr="00FF5F86">
              <w:rPr>
                <w:color w:val="auto"/>
              </w:rPr>
              <w:t xml:space="preserve">(\le 35) </w:t>
            </w:r>
          </w:p>
        </w:tc>
        <w:tc>
          <w:tcPr>
            <w:tcW w:w="1037" w:type="dxa"/>
            <w:tcBorders>
              <w:top w:val="single" w:sz="8" w:space="0" w:color="000000"/>
              <w:left w:val="single" w:sz="8" w:space="0" w:color="000000"/>
              <w:bottom w:val="single" w:sz="8" w:space="0" w:color="000000"/>
              <w:right w:val="single" w:sz="8" w:space="0" w:color="000000"/>
            </w:tcBorders>
          </w:tcPr>
          <w:p w14:paraId="38A2A7AB" w14:textId="77777777" w:rsidR="00076984" w:rsidRPr="00FF5F86" w:rsidRDefault="001604E0">
            <w:pPr>
              <w:spacing w:after="0" w:line="259" w:lineRule="auto"/>
              <w:ind w:firstLine="0"/>
              <w:jc w:val="both"/>
              <w:rPr>
                <w:color w:val="auto"/>
              </w:rPr>
            </w:pPr>
            <w:r w:rsidRPr="00FF5F86">
              <w:rPr>
                <w:color w:val="auto"/>
              </w:rPr>
              <w:t xml:space="preserve">180 </w:t>
            </w:r>
          </w:p>
        </w:tc>
        <w:tc>
          <w:tcPr>
            <w:tcW w:w="1038" w:type="dxa"/>
            <w:tcBorders>
              <w:top w:val="single" w:sz="8" w:space="0" w:color="000000"/>
              <w:left w:val="single" w:sz="8" w:space="0" w:color="000000"/>
              <w:bottom w:val="single" w:sz="8" w:space="0" w:color="000000"/>
              <w:right w:val="single" w:sz="8" w:space="0" w:color="000000"/>
            </w:tcBorders>
          </w:tcPr>
          <w:p w14:paraId="530712FA" w14:textId="77777777" w:rsidR="00076984" w:rsidRPr="00FF5F86" w:rsidRDefault="001604E0">
            <w:pPr>
              <w:spacing w:after="0" w:line="259" w:lineRule="auto"/>
              <w:ind w:left="5" w:firstLine="0"/>
              <w:jc w:val="both"/>
              <w:rPr>
                <w:color w:val="auto"/>
              </w:rPr>
            </w:pPr>
            <w:r w:rsidRPr="00FF5F86">
              <w:rPr>
                <w:color w:val="auto"/>
              </w:rPr>
              <w:t xml:space="preserve">68.65 </w:t>
            </w:r>
          </w:p>
        </w:tc>
        <w:tc>
          <w:tcPr>
            <w:tcW w:w="1018" w:type="dxa"/>
            <w:tcBorders>
              <w:top w:val="single" w:sz="8" w:space="0" w:color="000000"/>
              <w:left w:val="single" w:sz="8" w:space="0" w:color="000000"/>
              <w:bottom w:val="single" w:sz="8" w:space="0" w:color="000000"/>
              <w:right w:val="single" w:sz="8" w:space="0" w:color="000000"/>
            </w:tcBorders>
          </w:tcPr>
          <w:p w14:paraId="516FE214" w14:textId="77777777" w:rsidR="00076984" w:rsidRPr="00FF5F86" w:rsidRDefault="001604E0">
            <w:pPr>
              <w:spacing w:after="0" w:line="259" w:lineRule="auto"/>
              <w:ind w:left="0" w:firstLine="0"/>
              <w:jc w:val="both"/>
              <w:rPr>
                <w:color w:val="auto"/>
              </w:rPr>
            </w:pPr>
            <w:r w:rsidRPr="00FF5F86">
              <w:rPr>
                <w:color w:val="auto"/>
              </w:rPr>
              <w:t xml:space="preserve">10.55 </w:t>
            </w:r>
          </w:p>
        </w:tc>
        <w:tc>
          <w:tcPr>
            <w:tcW w:w="1038" w:type="dxa"/>
            <w:tcBorders>
              <w:top w:val="single" w:sz="8" w:space="0" w:color="000000"/>
              <w:left w:val="single" w:sz="8" w:space="0" w:color="000000"/>
              <w:bottom w:val="single" w:sz="8" w:space="0" w:color="000000"/>
              <w:right w:val="single" w:sz="8" w:space="0" w:color="000000"/>
            </w:tcBorders>
          </w:tcPr>
          <w:p w14:paraId="4C40EA43" w14:textId="77777777" w:rsidR="00076984" w:rsidRPr="00FF5F86" w:rsidRDefault="001604E0">
            <w:pPr>
              <w:spacing w:after="0" w:line="259" w:lineRule="auto"/>
              <w:ind w:left="15" w:firstLine="0"/>
              <w:jc w:val="both"/>
              <w:rPr>
                <w:color w:val="auto"/>
              </w:rPr>
            </w:pPr>
            <w:r w:rsidRPr="00FF5F86">
              <w:rPr>
                <w:color w:val="auto"/>
              </w:rPr>
              <w:t xml:space="preserve">9.85 </w:t>
            </w:r>
          </w:p>
        </w:tc>
        <w:tc>
          <w:tcPr>
            <w:tcW w:w="1037" w:type="dxa"/>
            <w:tcBorders>
              <w:top w:val="single" w:sz="8" w:space="0" w:color="000000"/>
              <w:left w:val="single" w:sz="8" w:space="0" w:color="000000"/>
              <w:bottom w:val="single" w:sz="8" w:space="0" w:color="000000"/>
              <w:right w:val="single" w:sz="8" w:space="0" w:color="000000"/>
            </w:tcBorders>
          </w:tcPr>
          <w:p w14:paraId="7167F3BD" w14:textId="77777777" w:rsidR="00076984" w:rsidRPr="00FF5F86" w:rsidRDefault="001604E0">
            <w:pPr>
              <w:spacing w:after="0" w:line="259" w:lineRule="auto"/>
              <w:ind w:firstLine="0"/>
              <w:jc w:val="both"/>
              <w:rPr>
                <w:color w:val="auto"/>
              </w:rPr>
            </w:pPr>
            <w:r w:rsidRPr="00FF5F86">
              <w:rPr>
                <w:color w:val="auto"/>
              </w:rPr>
              <w:t xml:space="preserve">358 </w:t>
            </w:r>
          </w:p>
        </w:tc>
        <w:tc>
          <w:tcPr>
            <w:tcW w:w="1038" w:type="dxa"/>
            <w:tcBorders>
              <w:top w:val="single" w:sz="8" w:space="0" w:color="000000"/>
              <w:left w:val="single" w:sz="8" w:space="0" w:color="000000"/>
              <w:bottom w:val="single" w:sz="8" w:space="0" w:color="000000"/>
              <w:right w:val="single" w:sz="8" w:space="0" w:color="000000"/>
            </w:tcBorders>
          </w:tcPr>
          <w:p w14:paraId="3BFE8CFA" w14:textId="77777777" w:rsidR="00076984" w:rsidRPr="00FF5F86" w:rsidRDefault="001604E0">
            <w:pPr>
              <w:spacing w:after="0" w:line="259" w:lineRule="auto"/>
              <w:ind w:left="5" w:firstLine="0"/>
              <w:jc w:val="both"/>
              <w:rPr>
                <w:color w:val="auto"/>
              </w:rPr>
            </w:pPr>
            <w:r w:rsidRPr="00FF5F86">
              <w:rPr>
                <w:color w:val="auto"/>
              </w:rPr>
              <w:t xml:space="preserve">&lt; .001 </w:t>
            </w:r>
          </w:p>
        </w:tc>
        <w:tc>
          <w:tcPr>
            <w:tcW w:w="1019" w:type="dxa"/>
            <w:tcBorders>
              <w:top w:val="single" w:sz="8" w:space="0" w:color="000000"/>
              <w:left w:val="single" w:sz="8" w:space="0" w:color="000000"/>
              <w:bottom w:val="single" w:sz="8" w:space="0" w:color="000000"/>
              <w:right w:val="single" w:sz="8" w:space="0" w:color="000000"/>
            </w:tcBorders>
          </w:tcPr>
          <w:p w14:paraId="2F731B47" w14:textId="77777777" w:rsidR="00076984" w:rsidRPr="00FF5F86" w:rsidRDefault="001604E0">
            <w:pPr>
              <w:spacing w:after="0" w:line="259" w:lineRule="auto"/>
              <w:ind w:left="0" w:firstLine="0"/>
              <w:jc w:val="both"/>
              <w:rPr>
                <w:color w:val="auto"/>
              </w:rPr>
            </w:pPr>
            <w:r w:rsidRPr="00FF5F86">
              <w:rPr>
                <w:color w:val="auto"/>
              </w:rPr>
              <w:t xml:space="preserve">1.04 </w:t>
            </w:r>
          </w:p>
        </w:tc>
      </w:tr>
      <w:tr w:rsidR="00076984" w:rsidRPr="00FF5F86" w14:paraId="3490DDE0" w14:textId="77777777" w:rsidTr="007C2E5E">
        <w:trPr>
          <w:trHeight w:val="560"/>
        </w:trPr>
        <w:tc>
          <w:tcPr>
            <w:tcW w:w="1110" w:type="dxa"/>
            <w:tcBorders>
              <w:top w:val="single" w:sz="8" w:space="0" w:color="000000"/>
              <w:left w:val="single" w:sz="8" w:space="0" w:color="000000"/>
              <w:bottom w:val="single" w:sz="8" w:space="0" w:color="000000"/>
              <w:right w:val="single" w:sz="8" w:space="0" w:color="000000"/>
            </w:tcBorders>
          </w:tcPr>
          <w:p w14:paraId="4E826BEE" w14:textId="77777777" w:rsidR="00076984" w:rsidRPr="00FF5F86" w:rsidRDefault="001604E0">
            <w:pPr>
              <w:spacing w:after="0" w:line="259" w:lineRule="auto"/>
              <w:ind w:left="0" w:firstLine="0"/>
              <w:jc w:val="both"/>
              <w:rPr>
                <w:color w:val="auto"/>
              </w:rPr>
            </w:pPr>
            <w:r w:rsidRPr="00FF5F86">
              <w:rPr>
                <w:color w:val="auto"/>
              </w:rPr>
              <w:t xml:space="preserve"> </w:t>
            </w:r>
          </w:p>
        </w:tc>
        <w:tc>
          <w:tcPr>
            <w:tcW w:w="965" w:type="dxa"/>
            <w:tcBorders>
              <w:top w:val="single" w:sz="8" w:space="0" w:color="000000"/>
              <w:left w:val="single" w:sz="8" w:space="0" w:color="000000"/>
              <w:bottom w:val="single" w:sz="8" w:space="0" w:color="000000"/>
              <w:right w:val="single" w:sz="8" w:space="0" w:color="000000"/>
            </w:tcBorders>
          </w:tcPr>
          <w:p w14:paraId="7C7373EE" w14:textId="77777777" w:rsidR="00076984" w:rsidRPr="00FF5F86" w:rsidRDefault="001604E0">
            <w:pPr>
              <w:spacing w:after="0" w:line="259" w:lineRule="auto"/>
              <w:ind w:left="15" w:firstLine="0"/>
              <w:jc w:val="both"/>
              <w:rPr>
                <w:color w:val="auto"/>
              </w:rPr>
            </w:pPr>
            <w:r w:rsidRPr="00FF5F86">
              <w:rPr>
                <w:color w:val="auto"/>
              </w:rPr>
              <w:t xml:space="preserve">Large (&gt; </w:t>
            </w:r>
          </w:p>
          <w:p w14:paraId="743375EE" w14:textId="77777777" w:rsidR="00076984" w:rsidRPr="00FF5F86" w:rsidRDefault="001604E0">
            <w:pPr>
              <w:spacing w:after="0" w:line="259" w:lineRule="auto"/>
              <w:ind w:left="15" w:firstLine="0"/>
              <w:jc w:val="both"/>
              <w:rPr>
                <w:color w:val="auto"/>
              </w:rPr>
            </w:pPr>
            <w:r w:rsidRPr="00FF5F86">
              <w:rPr>
                <w:color w:val="auto"/>
              </w:rPr>
              <w:t xml:space="preserve">55) </w:t>
            </w:r>
          </w:p>
        </w:tc>
        <w:tc>
          <w:tcPr>
            <w:tcW w:w="1037" w:type="dxa"/>
            <w:tcBorders>
              <w:top w:val="single" w:sz="8" w:space="0" w:color="000000"/>
              <w:left w:val="single" w:sz="8" w:space="0" w:color="000000"/>
              <w:bottom w:val="single" w:sz="8" w:space="0" w:color="000000"/>
              <w:right w:val="single" w:sz="8" w:space="0" w:color="000000"/>
            </w:tcBorders>
          </w:tcPr>
          <w:p w14:paraId="7540310E" w14:textId="77777777" w:rsidR="00076984" w:rsidRPr="00FF5F86" w:rsidRDefault="001604E0">
            <w:pPr>
              <w:spacing w:after="0" w:line="259" w:lineRule="auto"/>
              <w:ind w:firstLine="0"/>
              <w:jc w:val="both"/>
              <w:rPr>
                <w:color w:val="auto"/>
              </w:rPr>
            </w:pPr>
            <w:r w:rsidRPr="00FF5F86">
              <w:rPr>
                <w:color w:val="auto"/>
              </w:rPr>
              <w:t xml:space="preserve">180 </w:t>
            </w:r>
          </w:p>
        </w:tc>
        <w:tc>
          <w:tcPr>
            <w:tcW w:w="1038" w:type="dxa"/>
            <w:tcBorders>
              <w:top w:val="single" w:sz="8" w:space="0" w:color="000000"/>
              <w:left w:val="single" w:sz="8" w:space="0" w:color="000000"/>
              <w:bottom w:val="single" w:sz="8" w:space="0" w:color="000000"/>
              <w:right w:val="single" w:sz="8" w:space="0" w:color="000000"/>
            </w:tcBorders>
          </w:tcPr>
          <w:p w14:paraId="3AA6E132" w14:textId="77777777" w:rsidR="00076984" w:rsidRPr="00FF5F86" w:rsidRDefault="001604E0">
            <w:pPr>
              <w:spacing w:after="0" w:line="259" w:lineRule="auto"/>
              <w:ind w:left="5" w:firstLine="0"/>
              <w:jc w:val="both"/>
              <w:rPr>
                <w:color w:val="auto"/>
              </w:rPr>
            </w:pPr>
            <w:r w:rsidRPr="00FF5F86">
              <w:rPr>
                <w:color w:val="auto"/>
              </w:rPr>
              <w:t xml:space="preserve">51.98 </w:t>
            </w:r>
          </w:p>
        </w:tc>
        <w:tc>
          <w:tcPr>
            <w:tcW w:w="1018" w:type="dxa"/>
            <w:tcBorders>
              <w:top w:val="single" w:sz="8" w:space="0" w:color="000000"/>
              <w:left w:val="single" w:sz="8" w:space="0" w:color="000000"/>
              <w:bottom w:val="single" w:sz="8" w:space="0" w:color="000000"/>
              <w:right w:val="single" w:sz="8" w:space="0" w:color="000000"/>
            </w:tcBorders>
          </w:tcPr>
          <w:p w14:paraId="2F19FF6D" w14:textId="77777777" w:rsidR="00076984" w:rsidRPr="00FF5F86" w:rsidRDefault="001604E0">
            <w:pPr>
              <w:spacing w:after="0" w:line="259" w:lineRule="auto"/>
              <w:ind w:left="0" w:firstLine="0"/>
              <w:jc w:val="both"/>
              <w:rPr>
                <w:color w:val="auto"/>
              </w:rPr>
            </w:pPr>
            <w:r w:rsidRPr="00FF5F86">
              <w:rPr>
                <w:color w:val="auto"/>
              </w:rPr>
              <w:t xml:space="preserve">12.31 </w:t>
            </w:r>
          </w:p>
        </w:tc>
        <w:tc>
          <w:tcPr>
            <w:tcW w:w="1038" w:type="dxa"/>
            <w:tcBorders>
              <w:top w:val="single" w:sz="8" w:space="0" w:color="000000"/>
              <w:left w:val="single" w:sz="8" w:space="0" w:color="000000"/>
              <w:bottom w:val="single" w:sz="8" w:space="0" w:color="000000"/>
              <w:right w:val="single" w:sz="8" w:space="0" w:color="000000"/>
            </w:tcBorders>
          </w:tcPr>
          <w:p w14:paraId="1368BE49" w14:textId="77777777" w:rsidR="00076984" w:rsidRPr="00FF5F86" w:rsidRDefault="001604E0">
            <w:pPr>
              <w:spacing w:after="0" w:line="259" w:lineRule="auto"/>
              <w:ind w:left="15" w:firstLine="0"/>
              <w:jc w:val="both"/>
              <w:rPr>
                <w:color w:val="auto"/>
              </w:rPr>
            </w:pPr>
            <w:r w:rsidRPr="00FF5F86">
              <w:rPr>
                <w:color w:val="auto"/>
              </w:rPr>
              <w:t xml:space="preserve"> </w:t>
            </w:r>
          </w:p>
        </w:tc>
        <w:tc>
          <w:tcPr>
            <w:tcW w:w="1037" w:type="dxa"/>
            <w:tcBorders>
              <w:top w:val="single" w:sz="8" w:space="0" w:color="000000"/>
              <w:left w:val="single" w:sz="8" w:space="0" w:color="000000"/>
              <w:bottom w:val="single" w:sz="8" w:space="0" w:color="000000"/>
              <w:right w:val="single" w:sz="8" w:space="0" w:color="000000"/>
            </w:tcBorders>
          </w:tcPr>
          <w:p w14:paraId="3458A726" w14:textId="77777777" w:rsidR="00076984" w:rsidRPr="00FF5F86" w:rsidRDefault="001604E0">
            <w:pPr>
              <w:spacing w:after="0" w:line="259" w:lineRule="auto"/>
              <w:ind w:firstLine="0"/>
              <w:jc w:val="both"/>
              <w:rPr>
                <w:color w:val="auto"/>
              </w:rPr>
            </w:pPr>
            <w:r w:rsidRPr="00FF5F86">
              <w:rPr>
                <w:color w:val="auto"/>
              </w:rPr>
              <w:t xml:space="preserve"> </w:t>
            </w:r>
          </w:p>
        </w:tc>
        <w:tc>
          <w:tcPr>
            <w:tcW w:w="1038" w:type="dxa"/>
            <w:tcBorders>
              <w:top w:val="single" w:sz="8" w:space="0" w:color="000000"/>
              <w:left w:val="single" w:sz="8" w:space="0" w:color="000000"/>
              <w:bottom w:val="single" w:sz="8" w:space="0" w:color="000000"/>
              <w:right w:val="single" w:sz="8" w:space="0" w:color="000000"/>
            </w:tcBorders>
          </w:tcPr>
          <w:p w14:paraId="48113239" w14:textId="77777777" w:rsidR="00076984" w:rsidRPr="00FF5F86" w:rsidRDefault="001604E0">
            <w:pPr>
              <w:spacing w:after="0" w:line="259" w:lineRule="auto"/>
              <w:ind w:left="5" w:firstLine="0"/>
              <w:jc w:val="both"/>
              <w:rPr>
                <w:color w:val="auto"/>
              </w:rPr>
            </w:pPr>
            <w:r w:rsidRPr="00FF5F86">
              <w:rPr>
                <w:color w:val="auto"/>
              </w:rPr>
              <w:t xml:space="preserve"> </w:t>
            </w:r>
          </w:p>
        </w:tc>
        <w:tc>
          <w:tcPr>
            <w:tcW w:w="1019" w:type="dxa"/>
            <w:tcBorders>
              <w:top w:val="single" w:sz="8" w:space="0" w:color="000000"/>
              <w:left w:val="single" w:sz="8" w:space="0" w:color="000000"/>
              <w:bottom w:val="single" w:sz="8" w:space="0" w:color="000000"/>
              <w:right w:val="single" w:sz="8" w:space="0" w:color="000000"/>
            </w:tcBorders>
          </w:tcPr>
          <w:p w14:paraId="56C0913E" w14:textId="77777777" w:rsidR="00076984" w:rsidRPr="00FF5F86" w:rsidRDefault="001604E0">
            <w:pPr>
              <w:spacing w:after="0" w:line="259" w:lineRule="auto"/>
              <w:ind w:left="0" w:firstLine="0"/>
              <w:jc w:val="both"/>
              <w:rPr>
                <w:color w:val="auto"/>
              </w:rPr>
            </w:pPr>
            <w:r w:rsidRPr="00FF5F86">
              <w:rPr>
                <w:color w:val="auto"/>
              </w:rPr>
              <w:t xml:space="preserve"> </w:t>
            </w:r>
          </w:p>
        </w:tc>
      </w:tr>
    </w:tbl>
    <w:p w14:paraId="49AB2F21" w14:textId="77777777" w:rsidR="00185D68" w:rsidRPr="00FF5F86" w:rsidRDefault="00185D68" w:rsidP="00185D68">
      <w:pPr>
        <w:spacing w:before="100" w:beforeAutospacing="1" w:after="100" w:afterAutospacing="1" w:line="240" w:lineRule="auto"/>
        <w:ind w:left="0" w:firstLine="0"/>
        <w:rPr>
          <w:rFonts w:ascii="Times New Roman" w:eastAsia="Times New Roman" w:hAnsi="Times New Roman" w:cs="Times New Roman"/>
          <w:color w:val="auto"/>
          <w:kern w:val="0"/>
          <w:sz w:val="24"/>
          <w:lang w:val="en-GM" w:eastAsia="zh-CN"/>
          <w14:ligatures w14:val="none"/>
        </w:rPr>
      </w:pPr>
      <w:r w:rsidRPr="00FF5F86">
        <w:rPr>
          <w:rFonts w:ascii="Times New Roman" w:eastAsia="Times New Roman" w:hAnsi="Times New Roman" w:cs="Times New Roman"/>
          <w:color w:val="auto"/>
          <w:kern w:val="0"/>
          <w:sz w:val="24"/>
          <w:lang w:val="en-GM" w:eastAsia="zh-CN"/>
          <w14:ligatures w14:val="none"/>
        </w:rPr>
        <w:t>The statistical results in Table 1 reveal a highly significant difference across all performance markers. The total mean ISAT score for students within reduced classes (M = 68.65\%, SD = 10.55\%) was substantially higher than the mean score of peers situated in large, overcrowded classes (M = 51.98\%, SD = 12.31\%). This difference was statistically significant (</w:t>
      </w:r>
      <w:proofErr w:type="gramStart"/>
      <w:r w:rsidRPr="00FF5F86">
        <w:rPr>
          <w:rFonts w:ascii="Times New Roman" w:eastAsia="Times New Roman" w:hAnsi="Times New Roman" w:cs="Times New Roman"/>
          <w:color w:val="auto"/>
          <w:kern w:val="0"/>
          <w:sz w:val="24"/>
          <w:lang w:val="en-GM" w:eastAsia="zh-CN"/>
          <w14:ligatures w14:val="none"/>
        </w:rPr>
        <w:t>t(</w:t>
      </w:r>
      <w:proofErr w:type="gramEnd"/>
      <w:r w:rsidRPr="00FF5F86">
        <w:rPr>
          <w:rFonts w:ascii="Times New Roman" w:eastAsia="Times New Roman" w:hAnsi="Times New Roman" w:cs="Times New Roman"/>
          <w:color w:val="auto"/>
          <w:kern w:val="0"/>
          <w:sz w:val="24"/>
          <w:lang w:val="en-GM" w:eastAsia="zh-CN"/>
          <w14:ligatures w14:val="none"/>
        </w:rPr>
        <w:t xml:space="preserve">358) = 9.85, p &lt; .001). The calculated Cohen’s d coefficient of 1.04 indicates a massive educational effect size, meaning the average student in a reduced class outperformed their counterpart in an </w:t>
      </w:r>
      <w:r w:rsidRPr="00FF5F86">
        <w:rPr>
          <w:rFonts w:ascii="Times New Roman" w:eastAsia="Times New Roman" w:hAnsi="Times New Roman" w:cs="Times New Roman"/>
          <w:color w:val="auto"/>
          <w:kern w:val="0"/>
          <w:sz w:val="24"/>
          <w:lang w:val="en-GM" w:eastAsia="zh-CN"/>
          <w14:ligatures w14:val="none"/>
        </w:rPr>
        <w:lastRenderedPageBreak/>
        <w:t>overcrowded section by more than one full standard deviation. Consequently, the null hypothesis (H_01) was rejected.</w:t>
      </w:r>
    </w:p>
    <w:p w14:paraId="473BDE61" w14:textId="77777777" w:rsidR="00185D68" w:rsidRPr="00FF5F86" w:rsidRDefault="00185D68" w:rsidP="00185D68">
      <w:pPr>
        <w:spacing w:before="100" w:beforeAutospacing="1" w:after="100" w:afterAutospacing="1" w:line="240" w:lineRule="auto"/>
        <w:ind w:left="0" w:firstLine="0"/>
        <w:outlineLvl w:val="1"/>
        <w:rPr>
          <w:rFonts w:ascii="Times New Roman" w:eastAsia="Times New Roman" w:hAnsi="Times New Roman" w:cs="Times New Roman"/>
          <w:b/>
          <w:bCs/>
          <w:color w:val="auto"/>
          <w:kern w:val="0"/>
          <w:sz w:val="36"/>
          <w:szCs w:val="36"/>
          <w:lang w:val="en-GM" w:eastAsia="zh-CN"/>
          <w14:ligatures w14:val="none"/>
        </w:rPr>
      </w:pPr>
      <w:r w:rsidRPr="00FF5F86">
        <w:rPr>
          <w:rFonts w:ascii="Times New Roman" w:eastAsia="Times New Roman" w:hAnsi="Times New Roman" w:cs="Times New Roman"/>
          <w:b/>
          <w:bCs/>
          <w:color w:val="auto"/>
          <w:kern w:val="0"/>
          <w:sz w:val="36"/>
          <w:szCs w:val="36"/>
          <w:lang w:val="en-GM" w:eastAsia="zh-CN"/>
          <w14:ligatures w14:val="none"/>
        </w:rPr>
        <w:t>Research Question 2: Class Size and Teacher Morale</w:t>
      </w:r>
    </w:p>
    <w:p w14:paraId="5ECEFD76" w14:textId="77777777" w:rsidR="00185D68" w:rsidRPr="00FF5F86" w:rsidRDefault="00185D68" w:rsidP="00185D68">
      <w:pPr>
        <w:spacing w:before="100" w:beforeAutospacing="1" w:after="100" w:afterAutospacing="1" w:line="240" w:lineRule="auto"/>
        <w:ind w:left="0" w:firstLine="0"/>
        <w:rPr>
          <w:rFonts w:ascii="Times New Roman" w:eastAsia="Times New Roman" w:hAnsi="Times New Roman" w:cs="Times New Roman"/>
          <w:color w:val="auto"/>
          <w:kern w:val="0"/>
          <w:sz w:val="24"/>
          <w:lang w:val="en-GM" w:eastAsia="zh-CN"/>
          <w14:ligatures w14:val="none"/>
        </w:rPr>
      </w:pPr>
      <w:r w:rsidRPr="00FF5F86">
        <w:rPr>
          <w:rFonts w:ascii="Times New Roman" w:eastAsia="Times New Roman" w:hAnsi="Times New Roman" w:cs="Times New Roman"/>
          <w:color w:val="auto"/>
          <w:kern w:val="0"/>
          <w:sz w:val="24"/>
          <w:lang w:val="en-GM" w:eastAsia="zh-CN"/>
          <w14:ligatures w14:val="none"/>
        </w:rPr>
        <w:t>To assess the predictive relationship between class size and the distinct dimensions of science teacher morale, three separate ordinary least squares (OLS) multiple regression models were constructed. In each model, the specific assignment of class sizes to teachers (treated as a continuous numerical variable based on their average teaching load) served as the primary independent predictor. Control covariates included the teacher's gender, years of teaching experience, and weekly instructional hours.</w:t>
      </w:r>
    </w:p>
    <w:p w14:paraId="33D82552" w14:textId="77777777" w:rsidR="00076984" w:rsidRPr="00FF5F86" w:rsidRDefault="001604E0">
      <w:pPr>
        <w:spacing w:after="36" w:line="259" w:lineRule="auto"/>
        <w:ind w:left="-5"/>
        <w:jc w:val="both"/>
        <w:rPr>
          <w:color w:val="auto"/>
        </w:rPr>
      </w:pPr>
      <w:r w:rsidRPr="00FF5F86">
        <w:rPr>
          <w:b/>
          <w:color w:val="auto"/>
          <w:sz w:val="18"/>
        </w:rPr>
        <w:t xml:space="preserve">Table 2: Multiple Regression Models Predicting Dimensions of Teacher Morale </w:t>
      </w:r>
    </w:p>
    <w:tbl>
      <w:tblPr>
        <w:tblStyle w:val="TableGrid"/>
        <w:tblW w:w="9300" w:type="dxa"/>
        <w:tblInd w:w="10" w:type="dxa"/>
        <w:tblCellMar>
          <w:top w:w="56" w:type="dxa"/>
        </w:tblCellMar>
        <w:tblLook w:val="04A0" w:firstRow="1" w:lastRow="0" w:firstColumn="1" w:lastColumn="0" w:noHBand="0" w:noVBand="1"/>
      </w:tblPr>
      <w:tblGrid>
        <w:gridCol w:w="1042"/>
        <w:gridCol w:w="1038"/>
        <w:gridCol w:w="1051"/>
        <w:gridCol w:w="1034"/>
        <w:gridCol w:w="1019"/>
        <w:gridCol w:w="1034"/>
        <w:gridCol w:w="1033"/>
        <w:gridCol w:w="1034"/>
        <w:gridCol w:w="1015"/>
      </w:tblGrid>
      <w:tr w:rsidR="00076984" w:rsidRPr="00FF5F86" w14:paraId="2FD922A9" w14:textId="77777777" w:rsidTr="00AA0CDD">
        <w:trPr>
          <w:trHeight w:val="1640"/>
        </w:trPr>
        <w:tc>
          <w:tcPr>
            <w:tcW w:w="1042" w:type="dxa"/>
            <w:tcBorders>
              <w:top w:val="single" w:sz="8" w:space="0" w:color="000000"/>
              <w:left w:val="single" w:sz="8" w:space="0" w:color="000000"/>
              <w:bottom w:val="single" w:sz="8" w:space="0" w:color="000000"/>
              <w:right w:val="single" w:sz="8" w:space="0" w:color="000000"/>
            </w:tcBorders>
          </w:tcPr>
          <w:p w14:paraId="061C995A" w14:textId="77777777" w:rsidR="00076984" w:rsidRPr="00FF5F86" w:rsidRDefault="001604E0">
            <w:pPr>
              <w:spacing w:after="0" w:line="259" w:lineRule="auto"/>
              <w:ind w:left="5" w:firstLine="0"/>
              <w:jc w:val="both"/>
              <w:rPr>
                <w:color w:val="auto"/>
              </w:rPr>
            </w:pPr>
            <w:proofErr w:type="spellStart"/>
            <w:r w:rsidRPr="00FF5F86">
              <w:rPr>
                <w:color w:val="auto"/>
              </w:rPr>
              <w:t>Dependen</w:t>
            </w:r>
            <w:proofErr w:type="spellEnd"/>
          </w:p>
          <w:p w14:paraId="1233CE04" w14:textId="77777777" w:rsidR="00076984" w:rsidRPr="00FF5F86" w:rsidRDefault="001604E0">
            <w:pPr>
              <w:spacing w:after="0" w:line="259" w:lineRule="auto"/>
              <w:ind w:left="5" w:firstLine="0"/>
              <w:jc w:val="both"/>
              <w:rPr>
                <w:color w:val="auto"/>
              </w:rPr>
            </w:pPr>
            <w:r w:rsidRPr="00FF5F86">
              <w:rPr>
                <w:color w:val="auto"/>
              </w:rPr>
              <w:t xml:space="preserve">t </w:t>
            </w:r>
          </w:p>
          <w:p w14:paraId="68732B65" w14:textId="77777777" w:rsidR="00076984" w:rsidRPr="00FF5F86" w:rsidRDefault="001604E0">
            <w:pPr>
              <w:spacing w:after="0" w:line="259" w:lineRule="auto"/>
              <w:ind w:left="5" w:firstLine="0"/>
              <w:jc w:val="both"/>
              <w:rPr>
                <w:color w:val="auto"/>
              </w:rPr>
            </w:pPr>
            <w:r w:rsidRPr="00FF5F86">
              <w:rPr>
                <w:color w:val="auto"/>
              </w:rPr>
              <w:t xml:space="preserve">Variables </w:t>
            </w:r>
          </w:p>
          <w:p w14:paraId="2554A785" w14:textId="77777777" w:rsidR="00076984" w:rsidRPr="00FF5F86" w:rsidRDefault="001604E0">
            <w:pPr>
              <w:spacing w:after="0" w:line="259" w:lineRule="auto"/>
              <w:ind w:left="5" w:firstLine="0"/>
              <w:jc w:val="both"/>
              <w:rPr>
                <w:color w:val="auto"/>
              </w:rPr>
            </w:pPr>
            <w:r w:rsidRPr="00FF5F86">
              <w:rPr>
                <w:color w:val="auto"/>
              </w:rPr>
              <w:t xml:space="preserve">(Morale Dimensio ns) </w:t>
            </w:r>
          </w:p>
        </w:tc>
        <w:tc>
          <w:tcPr>
            <w:tcW w:w="1038" w:type="dxa"/>
            <w:tcBorders>
              <w:top w:val="single" w:sz="8" w:space="0" w:color="000000"/>
              <w:left w:val="single" w:sz="8" w:space="0" w:color="000000"/>
              <w:bottom w:val="single" w:sz="8" w:space="0" w:color="000000"/>
              <w:right w:val="single" w:sz="8" w:space="0" w:color="000000"/>
            </w:tcBorders>
          </w:tcPr>
          <w:p w14:paraId="3BAB6D63" w14:textId="77777777" w:rsidR="00076984" w:rsidRPr="00FF5F86" w:rsidRDefault="001604E0">
            <w:pPr>
              <w:spacing w:after="0" w:line="259" w:lineRule="auto"/>
              <w:ind w:left="20" w:firstLine="0"/>
              <w:jc w:val="both"/>
              <w:rPr>
                <w:color w:val="auto"/>
              </w:rPr>
            </w:pPr>
            <w:r w:rsidRPr="00FF5F86">
              <w:rPr>
                <w:color w:val="auto"/>
              </w:rPr>
              <w:t xml:space="preserve">Predictor </w:t>
            </w:r>
          </w:p>
          <w:p w14:paraId="3A904129" w14:textId="77777777" w:rsidR="00076984" w:rsidRPr="00FF5F86" w:rsidRDefault="001604E0">
            <w:pPr>
              <w:spacing w:after="0" w:line="259" w:lineRule="auto"/>
              <w:ind w:left="20" w:firstLine="0"/>
              <w:jc w:val="both"/>
              <w:rPr>
                <w:color w:val="auto"/>
              </w:rPr>
            </w:pPr>
            <w:r w:rsidRPr="00FF5F86">
              <w:rPr>
                <w:color w:val="auto"/>
              </w:rPr>
              <w:t xml:space="preserve">Variable </w:t>
            </w:r>
          </w:p>
        </w:tc>
        <w:tc>
          <w:tcPr>
            <w:tcW w:w="1051" w:type="dxa"/>
            <w:tcBorders>
              <w:top w:val="single" w:sz="8" w:space="0" w:color="000000"/>
              <w:left w:val="single" w:sz="8" w:space="0" w:color="000000"/>
              <w:bottom w:val="single" w:sz="8" w:space="0" w:color="000000"/>
              <w:right w:val="single" w:sz="8" w:space="0" w:color="000000"/>
            </w:tcBorders>
          </w:tcPr>
          <w:p w14:paraId="4B20A5B3" w14:textId="77777777" w:rsidR="00076984" w:rsidRPr="00FF5F86" w:rsidRDefault="001604E0">
            <w:pPr>
              <w:spacing w:after="0" w:line="259" w:lineRule="auto"/>
              <w:ind w:left="15" w:firstLine="0"/>
              <w:jc w:val="both"/>
              <w:rPr>
                <w:color w:val="auto"/>
              </w:rPr>
            </w:pPr>
            <w:r w:rsidRPr="00FF5F86">
              <w:rPr>
                <w:color w:val="auto"/>
              </w:rPr>
              <w:t xml:space="preserve">Unstandar dized B </w:t>
            </w:r>
          </w:p>
        </w:tc>
        <w:tc>
          <w:tcPr>
            <w:tcW w:w="1034" w:type="dxa"/>
            <w:tcBorders>
              <w:top w:val="single" w:sz="8" w:space="0" w:color="000000"/>
              <w:left w:val="single" w:sz="8" w:space="0" w:color="000000"/>
              <w:bottom w:val="single" w:sz="8" w:space="0" w:color="000000"/>
              <w:right w:val="single" w:sz="8" w:space="0" w:color="000000"/>
            </w:tcBorders>
          </w:tcPr>
          <w:p w14:paraId="3E819BC5" w14:textId="77777777" w:rsidR="00076984" w:rsidRPr="00FF5F86" w:rsidRDefault="001604E0">
            <w:pPr>
              <w:spacing w:after="0" w:line="259" w:lineRule="auto"/>
              <w:ind w:firstLine="0"/>
              <w:jc w:val="both"/>
              <w:rPr>
                <w:color w:val="auto"/>
              </w:rPr>
            </w:pPr>
            <w:r w:rsidRPr="00FF5F86">
              <w:rPr>
                <w:color w:val="auto"/>
              </w:rPr>
              <w:t xml:space="preserve">Std. Error </w:t>
            </w:r>
          </w:p>
        </w:tc>
        <w:tc>
          <w:tcPr>
            <w:tcW w:w="1019" w:type="dxa"/>
            <w:tcBorders>
              <w:top w:val="single" w:sz="8" w:space="0" w:color="000000"/>
              <w:left w:val="single" w:sz="8" w:space="0" w:color="000000"/>
              <w:bottom w:val="single" w:sz="8" w:space="0" w:color="000000"/>
              <w:right w:val="single" w:sz="8" w:space="0" w:color="000000"/>
            </w:tcBorders>
          </w:tcPr>
          <w:p w14:paraId="0D41A2F2" w14:textId="77777777" w:rsidR="00076984" w:rsidRPr="00FF5F86" w:rsidRDefault="001604E0">
            <w:pPr>
              <w:spacing w:after="0" w:line="259" w:lineRule="auto"/>
              <w:ind w:left="5" w:firstLine="0"/>
              <w:jc w:val="both"/>
              <w:rPr>
                <w:color w:val="auto"/>
              </w:rPr>
            </w:pPr>
            <w:r w:rsidRPr="00FF5F86">
              <w:rPr>
                <w:color w:val="auto"/>
              </w:rPr>
              <w:t xml:space="preserve">Standardi zed \beta </w:t>
            </w:r>
          </w:p>
        </w:tc>
        <w:tc>
          <w:tcPr>
            <w:tcW w:w="1034" w:type="dxa"/>
            <w:tcBorders>
              <w:top w:val="single" w:sz="8" w:space="0" w:color="000000"/>
              <w:left w:val="single" w:sz="8" w:space="0" w:color="000000"/>
              <w:bottom w:val="single" w:sz="8" w:space="0" w:color="000000"/>
              <w:right w:val="single" w:sz="8" w:space="0" w:color="000000"/>
            </w:tcBorders>
          </w:tcPr>
          <w:p w14:paraId="2A14D13E" w14:textId="77777777" w:rsidR="00076984" w:rsidRPr="00FF5F86" w:rsidRDefault="001604E0">
            <w:pPr>
              <w:spacing w:after="0" w:line="259" w:lineRule="auto"/>
              <w:ind w:left="20" w:firstLine="0"/>
              <w:jc w:val="both"/>
              <w:rPr>
                <w:color w:val="auto"/>
              </w:rPr>
            </w:pPr>
            <w:r w:rsidRPr="00FF5F86">
              <w:rPr>
                <w:color w:val="auto"/>
              </w:rPr>
              <w:t xml:space="preserve">t-value </w:t>
            </w:r>
          </w:p>
        </w:tc>
        <w:tc>
          <w:tcPr>
            <w:tcW w:w="1033" w:type="dxa"/>
            <w:tcBorders>
              <w:top w:val="single" w:sz="8" w:space="0" w:color="000000"/>
              <w:left w:val="single" w:sz="8" w:space="0" w:color="000000"/>
              <w:bottom w:val="single" w:sz="8" w:space="0" w:color="000000"/>
              <w:right w:val="single" w:sz="8" w:space="0" w:color="000000"/>
            </w:tcBorders>
          </w:tcPr>
          <w:p w14:paraId="7BABFB41" w14:textId="77777777" w:rsidR="00076984" w:rsidRPr="00FF5F86" w:rsidRDefault="001604E0">
            <w:pPr>
              <w:spacing w:after="0" w:line="259" w:lineRule="auto"/>
              <w:ind w:left="15" w:firstLine="0"/>
              <w:jc w:val="both"/>
              <w:rPr>
                <w:color w:val="auto"/>
              </w:rPr>
            </w:pPr>
            <w:r w:rsidRPr="00FF5F86">
              <w:rPr>
                <w:color w:val="auto"/>
              </w:rPr>
              <w:t xml:space="preserve">p-value </w:t>
            </w:r>
          </w:p>
        </w:tc>
        <w:tc>
          <w:tcPr>
            <w:tcW w:w="1034" w:type="dxa"/>
            <w:tcBorders>
              <w:top w:val="single" w:sz="8" w:space="0" w:color="000000"/>
              <w:left w:val="single" w:sz="8" w:space="0" w:color="000000"/>
              <w:bottom w:val="single" w:sz="8" w:space="0" w:color="000000"/>
              <w:right w:val="single" w:sz="8" w:space="0" w:color="000000"/>
            </w:tcBorders>
          </w:tcPr>
          <w:p w14:paraId="0FD2F49D" w14:textId="77777777" w:rsidR="00076984" w:rsidRPr="00FF5F86" w:rsidRDefault="001604E0">
            <w:pPr>
              <w:spacing w:after="0" w:line="259" w:lineRule="auto"/>
              <w:ind w:firstLine="0"/>
              <w:jc w:val="both"/>
              <w:rPr>
                <w:color w:val="auto"/>
              </w:rPr>
            </w:pPr>
            <w:r w:rsidRPr="00FF5F86">
              <w:rPr>
                <w:color w:val="auto"/>
              </w:rPr>
              <w:t xml:space="preserve">Model </w:t>
            </w:r>
          </w:p>
          <w:p w14:paraId="2AFED239" w14:textId="77777777" w:rsidR="00076984" w:rsidRPr="00FF5F86" w:rsidRDefault="001604E0">
            <w:pPr>
              <w:spacing w:after="0" w:line="259" w:lineRule="auto"/>
              <w:ind w:firstLine="0"/>
              <w:jc w:val="both"/>
              <w:rPr>
                <w:color w:val="auto"/>
              </w:rPr>
            </w:pPr>
            <w:r w:rsidRPr="00FF5F86">
              <w:rPr>
                <w:color w:val="auto"/>
              </w:rPr>
              <w:t xml:space="preserve">R^2 </w:t>
            </w:r>
          </w:p>
        </w:tc>
        <w:tc>
          <w:tcPr>
            <w:tcW w:w="1015" w:type="dxa"/>
            <w:tcBorders>
              <w:top w:val="single" w:sz="8" w:space="0" w:color="000000"/>
              <w:left w:val="single" w:sz="8" w:space="0" w:color="000000"/>
              <w:bottom w:val="single" w:sz="8" w:space="0" w:color="000000"/>
              <w:right w:val="single" w:sz="8" w:space="0" w:color="000000"/>
            </w:tcBorders>
          </w:tcPr>
          <w:p w14:paraId="0CD3AE79" w14:textId="77777777" w:rsidR="00076984" w:rsidRPr="00FF5F86" w:rsidRDefault="001604E0">
            <w:pPr>
              <w:spacing w:after="0" w:line="259" w:lineRule="auto"/>
              <w:ind w:left="5" w:firstLine="0"/>
              <w:jc w:val="both"/>
              <w:rPr>
                <w:color w:val="auto"/>
              </w:rPr>
            </w:pPr>
            <w:r w:rsidRPr="00FF5F86">
              <w:rPr>
                <w:color w:val="auto"/>
              </w:rPr>
              <w:t xml:space="preserve">Model F </w:t>
            </w:r>
          </w:p>
        </w:tc>
      </w:tr>
      <w:tr w:rsidR="00076984" w:rsidRPr="00FF5F86" w14:paraId="5613907E" w14:textId="77777777" w:rsidTr="00AA0CDD">
        <w:trPr>
          <w:trHeight w:val="1100"/>
        </w:trPr>
        <w:tc>
          <w:tcPr>
            <w:tcW w:w="1042" w:type="dxa"/>
            <w:tcBorders>
              <w:top w:val="single" w:sz="8" w:space="0" w:color="000000"/>
              <w:left w:val="single" w:sz="8" w:space="0" w:color="000000"/>
              <w:bottom w:val="single" w:sz="8" w:space="0" w:color="000000"/>
              <w:right w:val="single" w:sz="8" w:space="0" w:color="000000"/>
            </w:tcBorders>
          </w:tcPr>
          <w:p w14:paraId="38138AE8" w14:textId="77777777" w:rsidR="00076984" w:rsidRPr="00FF5F86" w:rsidRDefault="001604E0">
            <w:pPr>
              <w:spacing w:after="0" w:line="259" w:lineRule="auto"/>
              <w:ind w:left="5" w:firstLine="0"/>
              <w:jc w:val="both"/>
              <w:rPr>
                <w:color w:val="auto"/>
              </w:rPr>
            </w:pPr>
            <w:r w:rsidRPr="00FF5F86">
              <w:rPr>
                <w:b/>
                <w:color w:val="auto"/>
              </w:rPr>
              <w:t xml:space="preserve">Model A: Instructio nal Efficacy </w:t>
            </w:r>
          </w:p>
        </w:tc>
        <w:tc>
          <w:tcPr>
            <w:tcW w:w="1038" w:type="dxa"/>
            <w:tcBorders>
              <w:top w:val="single" w:sz="8" w:space="0" w:color="000000"/>
              <w:left w:val="single" w:sz="8" w:space="0" w:color="000000"/>
              <w:bottom w:val="single" w:sz="8" w:space="0" w:color="000000"/>
              <w:right w:val="single" w:sz="8" w:space="0" w:color="000000"/>
            </w:tcBorders>
          </w:tcPr>
          <w:p w14:paraId="60C4B421" w14:textId="77777777" w:rsidR="00076984" w:rsidRPr="00FF5F86" w:rsidRDefault="001604E0">
            <w:pPr>
              <w:spacing w:after="0" w:line="259" w:lineRule="auto"/>
              <w:ind w:left="20" w:firstLine="0"/>
              <w:jc w:val="both"/>
              <w:rPr>
                <w:color w:val="auto"/>
              </w:rPr>
            </w:pPr>
            <w:r w:rsidRPr="00FF5F86">
              <w:rPr>
                <w:color w:val="auto"/>
              </w:rPr>
              <w:t xml:space="preserve">Constant </w:t>
            </w:r>
          </w:p>
        </w:tc>
        <w:tc>
          <w:tcPr>
            <w:tcW w:w="1051" w:type="dxa"/>
            <w:tcBorders>
              <w:top w:val="single" w:sz="8" w:space="0" w:color="000000"/>
              <w:left w:val="single" w:sz="8" w:space="0" w:color="000000"/>
              <w:bottom w:val="single" w:sz="8" w:space="0" w:color="000000"/>
              <w:right w:val="single" w:sz="8" w:space="0" w:color="000000"/>
            </w:tcBorders>
          </w:tcPr>
          <w:p w14:paraId="753F4B9F" w14:textId="77777777" w:rsidR="00076984" w:rsidRPr="00FF5F86" w:rsidRDefault="001604E0">
            <w:pPr>
              <w:spacing w:after="0" w:line="259" w:lineRule="auto"/>
              <w:ind w:left="15" w:firstLine="0"/>
              <w:jc w:val="both"/>
              <w:rPr>
                <w:color w:val="auto"/>
              </w:rPr>
            </w:pPr>
            <w:r w:rsidRPr="00FF5F86">
              <w:rPr>
                <w:color w:val="auto"/>
              </w:rPr>
              <w:t xml:space="preserve">4.621 </w:t>
            </w:r>
          </w:p>
        </w:tc>
        <w:tc>
          <w:tcPr>
            <w:tcW w:w="1034" w:type="dxa"/>
            <w:tcBorders>
              <w:top w:val="single" w:sz="8" w:space="0" w:color="000000"/>
              <w:left w:val="single" w:sz="8" w:space="0" w:color="000000"/>
              <w:bottom w:val="single" w:sz="8" w:space="0" w:color="000000"/>
              <w:right w:val="single" w:sz="8" w:space="0" w:color="000000"/>
            </w:tcBorders>
          </w:tcPr>
          <w:p w14:paraId="184519B6" w14:textId="77777777" w:rsidR="00076984" w:rsidRPr="00FF5F86" w:rsidRDefault="001604E0">
            <w:pPr>
              <w:spacing w:after="0" w:line="259" w:lineRule="auto"/>
              <w:ind w:firstLine="0"/>
              <w:jc w:val="both"/>
              <w:rPr>
                <w:color w:val="auto"/>
              </w:rPr>
            </w:pPr>
            <w:r w:rsidRPr="00FF5F86">
              <w:rPr>
                <w:color w:val="auto"/>
              </w:rPr>
              <w:t xml:space="preserve">0.312 </w:t>
            </w:r>
          </w:p>
        </w:tc>
        <w:tc>
          <w:tcPr>
            <w:tcW w:w="1019" w:type="dxa"/>
            <w:tcBorders>
              <w:top w:val="single" w:sz="8" w:space="0" w:color="000000"/>
              <w:left w:val="single" w:sz="8" w:space="0" w:color="000000"/>
              <w:bottom w:val="single" w:sz="8" w:space="0" w:color="000000"/>
              <w:right w:val="single" w:sz="8" w:space="0" w:color="000000"/>
            </w:tcBorders>
          </w:tcPr>
          <w:p w14:paraId="2DF813D7" w14:textId="77777777" w:rsidR="00076984" w:rsidRPr="00FF5F86" w:rsidRDefault="001604E0">
            <w:pPr>
              <w:spacing w:after="0" w:line="259" w:lineRule="auto"/>
              <w:ind w:left="5" w:firstLine="0"/>
              <w:jc w:val="both"/>
              <w:rPr>
                <w:color w:val="auto"/>
              </w:rPr>
            </w:pPr>
            <w:r w:rsidRPr="00FF5F86">
              <w:rPr>
                <w:color w:val="auto"/>
              </w:rPr>
              <w:t xml:space="preserve"> </w:t>
            </w:r>
          </w:p>
        </w:tc>
        <w:tc>
          <w:tcPr>
            <w:tcW w:w="1034" w:type="dxa"/>
            <w:tcBorders>
              <w:top w:val="single" w:sz="8" w:space="0" w:color="000000"/>
              <w:left w:val="single" w:sz="8" w:space="0" w:color="000000"/>
              <w:bottom w:val="single" w:sz="8" w:space="0" w:color="000000"/>
              <w:right w:val="single" w:sz="8" w:space="0" w:color="000000"/>
            </w:tcBorders>
          </w:tcPr>
          <w:p w14:paraId="211DE5D7" w14:textId="77777777" w:rsidR="00076984" w:rsidRPr="00FF5F86" w:rsidRDefault="001604E0">
            <w:pPr>
              <w:spacing w:after="0" w:line="259" w:lineRule="auto"/>
              <w:ind w:left="20" w:firstLine="0"/>
              <w:jc w:val="both"/>
              <w:rPr>
                <w:color w:val="auto"/>
              </w:rPr>
            </w:pPr>
            <w:r w:rsidRPr="00FF5F86">
              <w:rPr>
                <w:color w:val="auto"/>
              </w:rPr>
              <w:t xml:space="preserve">14.81 </w:t>
            </w:r>
          </w:p>
        </w:tc>
        <w:tc>
          <w:tcPr>
            <w:tcW w:w="1033" w:type="dxa"/>
            <w:tcBorders>
              <w:top w:val="single" w:sz="8" w:space="0" w:color="000000"/>
              <w:left w:val="single" w:sz="8" w:space="0" w:color="000000"/>
              <w:bottom w:val="single" w:sz="8" w:space="0" w:color="000000"/>
              <w:right w:val="single" w:sz="8" w:space="0" w:color="000000"/>
            </w:tcBorders>
          </w:tcPr>
          <w:p w14:paraId="13072E91" w14:textId="77777777" w:rsidR="00076984" w:rsidRPr="00FF5F86" w:rsidRDefault="001604E0">
            <w:pPr>
              <w:spacing w:after="0" w:line="259" w:lineRule="auto"/>
              <w:ind w:left="15" w:firstLine="0"/>
              <w:jc w:val="both"/>
              <w:rPr>
                <w:color w:val="auto"/>
              </w:rPr>
            </w:pPr>
            <w:r w:rsidRPr="00FF5F86">
              <w:rPr>
                <w:color w:val="auto"/>
              </w:rPr>
              <w:t xml:space="preserve">&lt; .001 </w:t>
            </w:r>
          </w:p>
        </w:tc>
        <w:tc>
          <w:tcPr>
            <w:tcW w:w="1034" w:type="dxa"/>
            <w:tcBorders>
              <w:top w:val="single" w:sz="8" w:space="0" w:color="000000"/>
              <w:left w:val="single" w:sz="8" w:space="0" w:color="000000"/>
              <w:bottom w:val="single" w:sz="8" w:space="0" w:color="000000"/>
              <w:right w:val="single" w:sz="8" w:space="0" w:color="000000"/>
            </w:tcBorders>
          </w:tcPr>
          <w:p w14:paraId="159232C4" w14:textId="77777777" w:rsidR="00076984" w:rsidRPr="00FF5F86" w:rsidRDefault="001604E0">
            <w:pPr>
              <w:spacing w:after="0" w:line="259" w:lineRule="auto"/>
              <w:ind w:firstLine="0"/>
              <w:jc w:val="both"/>
              <w:rPr>
                <w:color w:val="auto"/>
              </w:rPr>
            </w:pPr>
            <w:r w:rsidRPr="00FF5F86">
              <w:rPr>
                <w:color w:val="auto"/>
              </w:rPr>
              <w:t xml:space="preserve">0.385 </w:t>
            </w:r>
          </w:p>
        </w:tc>
        <w:tc>
          <w:tcPr>
            <w:tcW w:w="1015" w:type="dxa"/>
            <w:tcBorders>
              <w:top w:val="single" w:sz="8" w:space="0" w:color="000000"/>
              <w:left w:val="single" w:sz="8" w:space="0" w:color="000000"/>
              <w:bottom w:val="single" w:sz="8" w:space="0" w:color="000000"/>
              <w:right w:val="single" w:sz="8" w:space="0" w:color="000000"/>
            </w:tcBorders>
          </w:tcPr>
          <w:p w14:paraId="24B244A0" w14:textId="77777777" w:rsidR="00076984" w:rsidRPr="00FF5F86" w:rsidRDefault="001604E0">
            <w:pPr>
              <w:spacing w:after="0" w:line="259" w:lineRule="auto"/>
              <w:ind w:left="5" w:firstLine="0"/>
              <w:jc w:val="both"/>
              <w:rPr>
                <w:color w:val="auto"/>
              </w:rPr>
            </w:pPr>
            <w:proofErr w:type="gramStart"/>
            <w:r w:rsidRPr="00FF5F86">
              <w:rPr>
                <w:color w:val="auto"/>
              </w:rPr>
              <w:t>F(</w:t>
            </w:r>
            <w:proofErr w:type="gramEnd"/>
            <w:r w:rsidRPr="00FF5F86">
              <w:rPr>
                <w:color w:val="auto"/>
              </w:rPr>
              <w:t xml:space="preserve">4, 75) = </w:t>
            </w:r>
          </w:p>
          <w:p w14:paraId="65FF632C" w14:textId="77777777" w:rsidR="00076984" w:rsidRPr="00FF5F86" w:rsidRDefault="001604E0">
            <w:pPr>
              <w:spacing w:after="0" w:line="259" w:lineRule="auto"/>
              <w:ind w:left="5" w:firstLine="0"/>
              <w:jc w:val="both"/>
              <w:rPr>
                <w:color w:val="auto"/>
              </w:rPr>
            </w:pPr>
            <w:r w:rsidRPr="00FF5F86">
              <w:rPr>
                <w:color w:val="auto"/>
              </w:rPr>
              <w:t>11.75, p &lt;</w:t>
            </w:r>
          </w:p>
          <w:p w14:paraId="118C7FE8" w14:textId="77777777" w:rsidR="00076984" w:rsidRPr="00FF5F86" w:rsidRDefault="001604E0">
            <w:pPr>
              <w:spacing w:after="0" w:line="259" w:lineRule="auto"/>
              <w:ind w:left="5" w:firstLine="0"/>
              <w:jc w:val="both"/>
              <w:rPr>
                <w:color w:val="auto"/>
              </w:rPr>
            </w:pPr>
            <w:r w:rsidRPr="00FF5F86">
              <w:rPr>
                <w:color w:val="auto"/>
              </w:rPr>
              <w:t xml:space="preserve">.001 </w:t>
            </w:r>
          </w:p>
        </w:tc>
      </w:tr>
      <w:tr w:rsidR="00076984" w:rsidRPr="00FF5F86" w14:paraId="5F71B2EC" w14:textId="77777777" w:rsidTr="00AA0CDD">
        <w:trPr>
          <w:trHeight w:val="540"/>
        </w:trPr>
        <w:tc>
          <w:tcPr>
            <w:tcW w:w="1042" w:type="dxa"/>
            <w:tcBorders>
              <w:top w:val="single" w:sz="8" w:space="0" w:color="000000"/>
              <w:left w:val="single" w:sz="8" w:space="0" w:color="000000"/>
              <w:bottom w:val="single" w:sz="8" w:space="0" w:color="000000"/>
              <w:right w:val="single" w:sz="8" w:space="0" w:color="000000"/>
            </w:tcBorders>
          </w:tcPr>
          <w:p w14:paraId="479B07DE" w14:textId="77777777" w:rsidR="00076984" w:rsidRPr="00FF5F86" w:rsidRDefault="001604E0">
            <w:pPr>
              <w:spacing w:after="0" w:line="259" w:lineRule="auto"/>
              <w:ind w:left="5" w:firstLine="0"/>
              <w:jc w:val="both"/>
              <w:rPr>
                <w:color w:val="auto"/>
              </w:rPr>
            </w:pPr>
            <w:r w:rsidRPr="00FF5F86">
              <w:rPr>
                <w:color w:val="auto"/>
              </w:rPr>
              <w:t xml:space="preserve"> </w:t>
            </w:r>
          </w:p>
        </w:tc>
        <w:tc>
          <w:tcPr>
            <w:tcW w:w="1038" w:type="dxa"/>
            <w:tcBorders>
              <w:top w:val="single" w:sz="8" w:space="0" w:color="000000"/>
              <w:left w:val="single" w:sz="8" w:space="0" w:color="000000"/>
              <w:bottom w:val="single" w:sz="8" w:space="0" w:color="000000"/>
              <w:right w:val="single" w:sz="8" w:space="0" w:color="000000"/>
            </w:tcBorders>
          </w:tcPr>
          <w:p w14:paraId="21899E2D" w14:textId="77777777" w:rsidR="00076984" w:rsidRPr="00FF5F86" w:rsidRDefault="001604E0">
            <w:pPr>
              <w:spacing w:after="0" w:line="259" w:lineRule="auto"/>
              <w:ind w:left="20" w:firstLine="0"/>
              <w:jc w:val="both"/>
              <w:rPr>
                <w:color w:val="auto"/>
              </w:rPr>
            </w:pPr>
            <w:r w:rsidRPr="00FF5F86">
              <w:rPr>
                <w:color w:val="auto"/>
              </w:rPr>
              <w:t xml:space="preserve">Class </w:t>
            </w:r>
          </w:p>
          <w:p w14:paraId="3785E59C" w14:textId="77777777" w:rsidR="00076984" w:rsidRPr="00FF5F86" w:rsidRDefault="001604E0">
            <w:pPr>
              <w:spacing w:after="0" w:line="259" w:lineRule="auto"/>
              <w:ind w:left="20" w:firstLine="0"/>
              <w:jc w:val="both"/>
              <w:rPr>
                <w:color w:val="auto"/>
              </w:rPr>
            </w:pPr>
            <w:r w:rsidRPr="00FF5F86">
              <w:rPr>
                <w:color w:val="auto"/>
              </w:rPr>
              <w:t xml:space="preserve">Size </w:t>
            </w:r>
          </w:p>
        </w:tc>
        <w:tc>
          <w:tcPr>
            <w:tcW w:w="1051" w:type="dxa"/>
            <w:tcBorders>
              <w:top w:val="single" w:sz="8" w:space="0" w:color="000000"/>
              <w:left w:val="single" w:sz="8" w:space="0" w:color="000000"/>
              <w:bottom w:val="single" w:sz="8" w:space="0" w:color="000000"/>
              <w:right w:val="single" w:sz="8" w:space="0" w:color="000000"/>
            </w:tcBorders>
          </w:tcPr>
          <w:p w14:paraId="26C67388" w14:textId="77777777" w:rsidR="00076984" w:rsidRPr="00FF5F86" w:rsidRDefault="001604E0">
            <w:pPr>
              <w:spacing w:after="0" w:line="259" w:lineRule="auto"/>
              <w:ind w:left="15" w:firstLine="0"/>
              <w:jc w:val="both"/>
              <w:rPr>
                <w:color w:val="auto"/>
              </w:rPr>
            </w:pPr>
            <w:r w:rsidRPr="00FF5F86">
              <w:rPr>
                <w:color w:val="auto"/>
              </w:rPr>
              <w:t xml:space="preserve">-0.038 </w:t>
            </w:r>
          </w:p>
        </w:tc>
        <w:tc>
          <w:tcPr>
            <w:tcW w:w="1034" w:type="dxa"/>
            <w:tcBorders>
              <w:top w:val="single" w:sz="8" w:space="0" w:color="000000"/>
              <w:left w:val="single" w:sz="8" w:space="0" w:color="000000"/>
              <w:bottom w:val="single" w:sz="8" w:space="0" w:color="000000"/>
              <w:right w:val="single" w:sz="8" w:space="0" w:color="000000"/>
            </w:tcBorders>
          </w:tcPr>
          <w:p w14:paraId="264AE46D" w14:textId="77777777" w:rsidR="00076984" w:rsidRPr="00FF5F86" w:rsidRDefault="001604E0">
            <w:pPr>
              <w:spacing w:after="0" w:line="259" w:lineRule="auto"/>
              <w:ind w:firstLine="0"/>
              <w:jc w:val="both"/>
              <w:rPr>
                <w:color w:val="auto"/>
              </w:rPr>
            </w:pPr>
            <w:r w:rsidRPr="00FF5F86">
              <w:rPr>
                <w:color w:val="auto"/>
              </w:rPr>
              <w:t xml:space="preserve">0.007 </w:t>
            </w:r>
          </w:p>
        </w:tc>
        <w:tc>
          <w:tcPr>
            <w:tcW w:w="1019" w:type="dxa"/>
            <w:tcBorders>
              <w:top w:val="single" w:sz="8" w:space="0" w:color="000000"/>
              <w:left w:val="single" w:sz="8" w:space="0" w:color="000000"/>
              <w:bottom w:val="single" w:sz="8" w:space="0" w:color="000000"/>
              <w:right w:val="single" w:sz="8" w:space="0" w:color="000000"/>
            </w:tcBorders>
          </w:tcPr>
          <w:p w14:paraId="2229F008" w14:textId="77777777" w:rsidR="00076984" w:rsidRPr="00FF5F86" w:rsidRDefault="001604E0">
            <w:pPr>
              <w:spacing w:after="0" w:line="259" w:lineRule="auto"/>
              <w:ind w:left="5" w:firstLine="0"/>
              <w:jc w:val="both"/>
              <w:rPr>
                <w:color w:val="auto"/>
              </w:rPr>
            </w:pPr>
            <w:r w:rsidRPr="00FF5F86">
              <w:rPr>
                <w:color w:val="auto"/>
              </w:rPr>
              <w:t xml:space="preserve">-0.492 </w:t>
            </w:r>
          </w:p>
        </w:tc>
        <w:tc>
          <w:tcPr>
            <w:tcW w:w="1034" w:type="dxa"/>
            <w:tcBorders>
              <w:top w:val="single" w:sz="8" w:space="0" w:color="000000"/>
              <w:left w:val="single" w:sz="8" w:space="0" w:color="000000"/>
              <w:bottom w:val="single" w:sz="8" w:space="0" w:color="000000"/>
              <w:right w:val="single" w:sz="8" w:space="0" w:color="000000"/>
            </w:tcBorders>
          </w:tcPr>
          <w:p w14:paraId="3DEA32DB" w14:textId="77777777" w:rsidR="00076984" w:rsidRPr="00FF5F86" w:rsidRDefault="001604E0">
            <w:pPr>
              <w:spacing w:after="0" w:line="259" w:lineRule="auto"/>
              <w:ind w:left="20" w:firstLine="0"/>
              <w:jc w:val="both"/>
              <w:rPr>
                <w:color w:val="auto"/>
              </w:rPr>
            </w:pPr>
            <w:r w:rsidRPr="00FF5F86">
              <w:rPr>
                <w:color w:val="auto"/>
              </w:rPr>
              <w:t xml:space="preserve">-5.43 </w:t>
            </w:r>
          </w:p>
        </w:tc>
        <w:tc>
          <w:tcPr>
            <w:tcW w:w="1033" w:type="dxa"/>
            <w:tcBorders>
              <w:top w:val="single" w:sz="8" w:space="0" w:color="000000"/>
              <w:left w:val="single" w:sz="8" w:space="0" w:color="000000"/>
              <w:bottom w:val="single" w:sz="8" w:space="0" w:color="000000"/>
              <w:right w:val="single" w:sz="8" w:space="0" w:color="000000"/>
            </w:tcBorders>
          </w:tcPr>
          <w:p w14:paraId="5CADCE21" w14:textId="77777777" w:rsidR="00076984" w:rsidRPr="00FF5F86" w:rsidRDefault="001604E0">
            <w:pPr>
              <w:spacing w:after="0" w:line="259" w:lineRule="auto"/>
              <w:ind w:left="15" w:firstLine="0"/>
              <w:jc w:val="both"/>
              <w:rPr>
                <w:color w:val="auto"/>
              </w:rPr>
            </w:pPr>
            <w:r w:rsidRPr="00FF5F86">
              <w:rPr>
                <w:color w:val="auto"/>
              </w:rPr>
              <w:t xml:space="preserve">&lt; .001 </w:t>
            </w:r>
          </w:p>
        </w:tc>
        <w:tc>
          <w:tcPr>
            <w:tcW w:w="1034" w:type="dxa"/>
            <w:tcBorders>
              <w:top w:val="single" w:sz="8" w:space="0" w:color="000000"/>
              <w:left w:val="single" w:sz="8" w:space="0" w:color="000000"/>
              <w:bottom w:val="single" w:sz="8" w:space="0" w:color="000000"/>
              <w:right w:val="single" w:sz="8" w:space="0" w:color="000000"/>
            </w:tcBorders>
          </w:tcPr>
          <w:p w14:paraId="12C9A846" w14:textId="77777777" w:rsidR="00076984" w:rsidRPr="00FF5F86" w:rsidRDefault="001604E0">
            <w:pPr>
              <w:spacing w:after="0" w:line="259" w:lineRule="auto"/>
              <w:ind w:firstLine="0"/>
              <w:jc w:val="both"/>
              <w:rPr>
                <w:color w:val="auto"/>
              </w:rPr>
            </w:pPr>
            <w:r w:rsidRPr="00FF5F86">
              <w:rPr>
                <w:color w:val="auto"/>
              </w:rPr>
              <w:t xml:space="preserve"> </w:t>
            </w:r>
          </w:p>
        </w:tc>
        <w:tc>
          <w:tcPr>
            <w:tcW w:w="1015" w:type="dxa"/>
            <w:tcBorders>
              <w:top w:val="single" w:sz="8" w:space="0" w:color="000000"/>
              <w:left w:val="single" w:sz="8" w:space="0" w:color="000000"/>
              <w:bottom w:val="single" w:sz="8" w:space="0" w:color="000000"/>
              <w:right w:val="single" w:sz="8" w:space="0" w:color="000000"/>
            </w:tcBorders>
          </w:tcPr>
          <w:p w14:paraId="5D494890" w14:textId="77777777" w:rsidR="00076984" w:rsidRPr="00FF5F86" w:rsidRDefault="001604E0">
            <w:pPr>
              <w:spacing w:after="0" w:line="259" w:lineRule="auto"/>
              <w:ind w:left="5" w:firstLine="0"/>
              <w:jc w:val="both"/>
              <w:rPr>
                <w:color w:val="auto"/>
              </w:rPr>
            </w:pPr>
            <w:r w:rsidRPr="00FF5F86">
              <w:rPr>
                <w:color w:val="auto"/>
              </w:rPr>
              <w:t xml:space="preserve"> </w:t>
            </w:r>
          </w:p>
        </w:tc>
      </w:tr>
      <w:tr w:rsidR="00076984" w:rsidRPr="00FF5F86" w14:paraId="5F9B14FD" w14:textId="77777777" w:rsidTr="00AA0CDD">
        <w:trPr>
          <w:trHeight w:val="560"/>
        </w:trPr>
        <w:tc>
          <w:tcPr>
            <w:tcW w:w="1042" w:type="dxa"/>
            <w:tcBorders>
              <w:top w:val="single" w:sz="8" w:space="0" w:color="000000"/>
              <w:left w:val="single" w:sz="8" w:space="0" w:color="000000"/>
              <w:bottom w:val="single" w:sz="8" w:space="0" w:color="000000"/>
              <w:right w:val="single" w:sz="8" w:space="0" w:color="000000"/>
            </w:tcBorders>
          </w:tcPr>
          <w:p w14:paraId="27E9F62E" w14:textId="77777777" w:rsidR="00076984" w:rsidRPr="00FF5F86" w:rsidRDefault="001604E0">
            <w:pPr>
              <w:spacing w:after="0" w:line="259" w:lineRule="auto"/>
              <w:ind w:left="5" w:firstLine="0"/>
              <w:jc w:val="both"/>
              <w:rPr>
                <w:color w:val="auto"/>
              </w:rPr>
            </w:pPr>
            <w:r w:rsidRPr="00FF5F86">
              <w:rPr>
                <w:color w:val="auto"/>
              </w:rPr>
              <w:t xml:space="preserve"> </w:t>
            </w:r>
          </w:p>
        </w:tc>
        <w:tc>
          <w:tcPr>
            <w:tcW w:w="1038" w:type="dxa"/>
            <w:tcBorders>
              <w:top w:val="single" w:sz="8" w:space="0" w:color="000000"/>
              <w:left w:val="single" w:sz="8" w:space="0" w:color="000000"/>
              <w:bottom w:val="single" w:sz="8" w:space="0" w:color="000000"/>
              <w:right w:val="single" w:sz="8" w:space="0" w:color="000000"/>
            </w:tcBorders>
          </w:tcPr>
          <w:p w14:paraId="55961282" w14:textId="77777777" w:rsidR="00076984" w:rsidRPr="00FF5F86" w:rsidRDefault="001604E0">
            <w:pPr>
              <w:spacing w:after="0" w:line="259" w:lineRule="auto"/>
              <w:ind w:left="20" w:firstLine="0"/>
              <w:jc w:val="both"/>
              <w:rPr>
                <w:color w:val="auto"/>
              </w:rPr>
            </w:pPr>
            <w:r w:rsidRPr="00FF5F86">
              <w:rPr>
                <w:color w:val="auto"/>
              </w:rPr>
              <w:t xml:space="preserve">Years Exp. </w:t>
            </w:r>
          </w:p>
        </w:tc>
        <w:tc>
          <w:tcPr>
            <w:tcW w:w="1051" w:type="dxa"/>
            <w:tcBorders>
              <w:top w:val="single" w:sz="8" w:space="0" w:color="000000"/>
              <w:left w:val="single" w:sz="8" w:space="0" w:color="000000"/>
              <w:bottom w:val="single" w:sz="8" w:space="0" w:color="000000"/>
              <w:right w:val="single" w:sz="8" w:space="0" w:color="000000"/>
            </w:tcBorders>
          </w:tcPr>
          <w:p w14:paraId="7950F039" w14:textId="77777777" w:rsidR="00076984" w:rsidRPr="00FF5F86" w:rsidRDefault="001604E0">
            <w:pPr>
              <w:spacing w:after="0" w:line="259" w:lineRule="auto"/>
              <w:ind w:left="15" w:firstLine="0"/>
              <w:jc w:val="both"/>
              <w:rPr>
                <w:color w:val="auto"/>
              </w:rPr>
            </w:pPr>
            <w:r w:rsidRPr="00FF5F86">
              <w:rPr>
                <w:color w:val="auto"/>
              </w:rPr>
              <w:t xml:space="preserve">0.021 </w:t>
            </w:r>
          </w:p>
        </w:tc>
        <w:tc>
          <w:tcPr>
            <w:tcW w:w="1034" w:type="dxa"/>
            <w:tcBorders>
              <w:top w:val="single" w:sz="8" w:space="0" w:color="000000"/>
              <w:left w:val="single" w:sz="8" w:space="0" w:color="000000"/>
              <w:bottom w:val="single" w:sz="8" w:space="0" w:color="000000"/>
              <w:right w:val="single" w:sz="8" w:space="0" w:color="000000"/>
            </w:tcBorders>
          </w:tcPr>
          <w:p w14:paraId="311CA33C" w14:textId="77777777" w:rsidR="00076984" w:rsidRPr="00FF5F86" w:rsidRDefault="001604E0">
            <w:pPr>
              <w:spacing w:after="0" w:line="259" w:lineRule="auto"/>
              <w:ind w:firstLine="0"/>
              <w:jc w:val="both"/>
              <w:rPr>
                <w:color w:val="auto"/>
              </w:rPr>
            </w:pPr>
            <w:r w:rsidRPr="00FF5F86">
              <w:rPr>
                <w:color w:val="auto"/>
              </w:rPr>
              <w:t xml:space="preserve">0.009 </w:t>
            </w:r>
          </w:p>
        </w:tc>
        <w:tc>
          <w:tcPr>
            <w:tcW w:w="1019" w:type="dxa"/>
            <w:tcBorders>
              <w:top w:val="single" w:sz="8" w:space="0" w:color="000000"/>
              <w:left w:val="single" w:sz="8" w:space="0" w:color="000000"/>
              <w:bottom w:val="single" w:sz="8" w:space="0" w:color="000000"/>
              <w:right w:val="single" w:sz="8" w:space="0" w:color="000000"/>
            </w:tcBorders>
          </w:tcPr>
          <w:p w14:paraId="32AEF742" w14:textId="77777777" w:rsidR="00076984" w:rsidRPr="00FF5F86" w:rsidRDefault="001604E0">
            <w:pPr>
              <w:spacing w:after="0" w:line="259" w:lineRule="auto"/>
              <w:ind w:left="5" w:firstLine="0"/>
              <w:jc w:val="both"/>
              <w:rPr>
                <w:color w:val="auto"/>
              </w:rPr>
            </w:pPr>
            <w:r w:rsidRPr="00FF5F86">
              <w:rPr>
                <w:color w:val="auto"/>
              </w:rPr>
              <w:t xml:space="preserve">0.185 </w:t>
            </w:r>
          </w:p>
        </w:tc>
        <w:tc>
          <w:tcPr>
            <w:tcW w:w="1034" w:type="dxa"/>
            <w:tcBorders>
              <w:top w:val="single" w:sz="8" w:space="0" w:color="000000"/>
              <w:left w:val="single" w:sz="8" w:space="0" w:color="000000"/>
              <w:bottom w:val="single" w:sz="8" w:space="0" w:color="000000"/>
              <w:right w:val="single" w:sz="8" w:space="0" w:color="000000"/>
            </w:tcBorders>
          </w:tcPr>
          <w:p w14:paraId="7D507D3C" w14:textId="77777777" w:rsidR="00076984" w:rsidRPr="00FF5F86" w:rsidRDefault="001604E0">
            <w:pPr>
              <w:spacing w:after="0" w:line="259" w:lineRule="auto"/>
              <w:ind w:left="20" w:firstLine="0"/>
              <w:jc w:val="both"/>
              <w:rPr>
                <w:color w:val="auto"/>
              </w:rPr>
            </w:pPr>
            <w:r w:rsidRPr="00FF5F86">
              <w:rPr>
                <w:color w:val="auto"/>
              </w:rPr>
              <w:t xml:space="preserve">2.33 </w:t>
            </w:r>
          </w:p>
        </w:tc>
        <w:tc>
          <w:tcPr>
            <w:tcW w:w="1033" w:type="dxa"/>
            <w:tcBorders>
              <w:top w:val="single" w:sz="8" w:space="0" w:color="000000"/>
              <w:left w:val="single" w:sz="8" w:space="0" w:color="000000"/>
              <w:bottom w:val="single" w:sz="8" w:space="0" w:color="000000"/>
              <w:right w:val="single" w:sz="8" w:space="0" w:color="000000"/>
            </w:tcBorders>
          </w:tcPr>
          <w:p w14:paraId="13E153F8" w14:textId="77777777" w:rsidR="00076984" w:rsidRPr="00FF5F86" w:rsidRDefault="001604E0">
            <w:pPr>
              <w:spacing w:after="0" w:line="259" w:lineRule="auto"/>
              <w:ind w:left="15" w:firstLine="0"/>
              <w:jc w:val="both"/>
              <w:rPr>
                <w:color w:val="auto"/>
              </w:rPr>
            </w:pPr>
            <w:r w:rsidRPr="00FF5F86">
              <w:rPr>
                <w:color w:val="auto"/>
              </w:rPr>
              <w:t xml:space="preserve">.022 </w:t>
            </w:r>
          </w:p>
        </w:tc>
        <w:tc>
          <w:tcPr>
            <w:tcW w:w="1034" w:type="dxa"/>
            <w:tcBorders>
              <w:top w:val="single" w:sz="8" w:space="0" w:color="000000"/>
              <w:left w:val="single" w:sz="8" w:space="0" w:color="000000"/>
              <w:bottom w:val="single" w:sz="8" w:space="0" w:color="000000"/>
              <w:right w:val="single" w:sz="8" w:space="0" w:color="000000"/>
            </w:tcBorders>
          </w:tcPr>
          <w:p w14:paraId="465F1D98" w14:textId="77777777" w:rsidR="00076984" w:rsidRPr="00FF5F86" w:rsidRDefault="001604E0">
            <w:pPr>
              <w:spacing w:after="0" w:line="259" w:lineRule="auto"/>
              <w:ind w:firstLine="0"/>
              <w:jc w:val="both"/>
              <w:rPr>
                <w:color w:val="auto"/>
              </w:rPr>
            </w:pPr>
            <w:r w:rsidRPr="00FF5F86">
              <w:rPr>
                <w:color w:val="auto"/>
              </w:rPr>
              <w:t xml:space="preserve"> </w:t>
            </w:r>
          </w:p>
        </w:tc>
        <w:tc>
          <w:tcPr>
            <w:tcW w:w="1015" w:type="dxa"/>
            <w:tcBorders>
              <w:top w:val="single" w:sz="8" w:space="0" w:color="000000"/>
              <w:left w:val="single" w:sz="8" w:space="0" w:color="000000"/>
              <w:bottom w:val="single" w:sz="8" w:space="0" w:color="000000"/>
              <w:right w:val="single" w:sz="8" w:space="0" w:color="000000"/>
            </w:tcBorders>
          </w:tcPr>
          <w:p w14:paraId="49FF3B84" w14:textId="77777777" w:rsidR="00076984" w:rsidRPr="00FF5F86" w:rsidRDefault="001604E0">
            <w:pPr>
              <w:spacing w:after="0" w:line="259" w:lineRule="auto"/>
              <w:ind w:left="5" w:firstLine="0"/>
              <w:jc w:val="both"/>
              <w:rPr>
                <w:color w:val="auto"/>
              </w:rPr>
            </w:pPr>
            <w:r w:rsidRPr="00FF5F86">
              <w:rPr>
                <w:color w:val="auto"/>
              </w:rPr>
              <w:t xml:space="preserve"> </w:t>
            </w:r>
          </w:p>
        </w:tc>
      </w:tr>
      <w:tr w:rsidR="00076984" w:rsidRPr="00FF5F86" w14:paraId="6F76FBA4" w14:textId="77777777" w:rsidTr="00AA0CDD">
        <w:trPr>
          <w:trHeight w:val="560"/>
        </w:trPr>
        <w:tc>
          <w:tcPr>
            <w:tcW w:w="1042" w:type="dxa"/>
            <w:tcBorders>
              <w:top w:val="single" w:sz="8" w:space="0" w:color="000000"/>
              <w:left w:val="single" w:sz="8" w:space="0" w:color="000000"/>
              <w:bottom w:val="single" w:sz="8" w:space="0" w:color="000000"/>
              <w:right w:val="single" w:sz="8" w:space="0" w:color="000000"/>
            </w:tcBorders>
          </w:tcPr>
          <w:p w14:paraId="5B81062D" w14:textId="77777777" w:rsidR="00076984" w:rsidRPr="00FF5F86" w:rsidRDefault="001604E0">
            <w:pPr>
              <w:spacing w:after="0" w:line="259" w:lineRule="auto"/>
              <w:ind w:left="5" w:firstLine="0"/>
              <w:jc w:val="both"/>
              <w:rPr>
                <w:color w:val="auto"/>
              </w:rPr>
            </w:pPr>
            <w:r w:rsidRPr="00FF5F86">
              <w:rPr>
                <w:b/>
                <w:color w:val="auto"/>
              </w:rPr>
              <w:t xml:space="preserve">Model B: </w:t>
            </w:r>
          </w:p>
          <w:p w14:paraId="7FD6C522" w14:textId="77777777" w:rsidR="00076984" w:rsidRPr="00FF5F86" w:rsidRDefault="001604E0">
            <w:pPr>
              <w:spacing w:after="0" w:line="259" w:lineRule="auto"/>
              <w:ind w:left="5" w:firstLine="0"/>
              <w:jc w:val="both"/>
              <w:rPr>
                <w:color w:val="auto"/>
              </w:rPr>
            </w:pPr>
            <w:r w:rsidRPr="00FF5F86">
              <w:rPr>
                <w:b/>
                <w:color w:val="auto"/>
              </w:rPr>
              <w:t>Workload</w:t>
            </w:r>
          </w:p>
        </w:tc>
        <w:tc>
          <w:tcPr>
            <w:tcW w:w="1038" w:type="dxa"/>
            <w:tcBorders>
              <w:top w:val="single" w:sz="8" w:space="0" w:color="000000"/>
              <w:left w:val="single" w:sz="8" w:space="0" w:color="000000"/>
              <w:bottom w:val="single" w:sz="8" w:space="0" w:color="000000"/>
              <w:right w:val="single" w:sz="8" w:space="0" w:color="000000"/>
            </w:tcBorders>
          </w:tcPr>
          <w:p w14:paraId="6D55B2EB" w14:textId="77777777" w:rsidR="00076984" w:rsidRPr="00FF5F86" w:rsidRDefault="001604E0">
            <w:pPr>
              <w:spacing w:after="0" w:line="259" w:lineRule="auto"/>
              <w:ind w:left="20" w:firstLine="0"/>
              <w:jc w:val="both"/>
              <w:rPr>
                <w:color w:val="auto"/>
              </w:rPr>
            </w:pPr>
            <w:r w:rsidRPr="00FF5F86">
              <w:rPr>
                <w:color w:val="auto"/>
              </w:rPr>
              <w:t xml:space="preserve">Constant </w:t>
            </w:r>
          </w:p>
          <w:p w14:paraId="0BBDCE18" w14:textId="77777777" w:rsidR="00076984" w:rsidRPr="00FF5F86" w:rsidRDefault="001604E0">
            <w:pPr>
              <w:spacing w:after="0" w:line="259" w:lineRule="auto"/>
              <w:ind w:left="-17" w:firstLine="0"/>
              <w:jc w:val="both"/>
              <w:rPr>
                <w:color w:val="auto"/>
              </w:rPr>
            </w:pPr>
            <w:r w:rsidRPr="00FF5F86">
              <w:rPr>
                <w:b/>
                <w:color w:val="auto"/>
              </w:rPr>
              <w:t xml:space="preserve"> </w:t>
            </w:r>
          </w:p>
        </w:tc>
        <w:tc>
          <w:tcPr>
            <w:tcW w:w="1051" w:type="dxa"/>
            <w:tcBorders>
              <w:top w:val="single" w:sz="8" w:space="0" w:color="000000"/>
              <w:left w:val="single" w:sz="8" w:space="0" w:color="000000"/>
              <w:bottom w:val="single" w:sz="8" w:space="0" w:color="000000"/>
              <w:right w:val="single" w:sz="8" w:space="0" w:color="000000"/>
            </w:tcBorders>
          </w:tcPr>
          <w:p w14:paraId="0B9837C7" w14:textId="77777777" w:rsidR="00076984" w:rsidRPr="00FF5F86" w:rsidRDefault="001604E0">
            <w:pPr>
              <w:spacing w:after="0" w:line="259" w:lineRule="auto"/>
              <w:ind w:left="15" w:firstLine="0"/>
              <w:jc w:val="both"/>
              <w:rPr>
                <w:color w:val="auto"/>
              </w:rPr>
            </w:pPr>
            <w:r w:rsidRPr="00FF5F86">
              <w:rPr>
                <w:color w:val="auto"/>
              </w:rPr>
              <w:t xml:space="preserve">4.895 </w:t>
            </w:r>
          </w:p>
        </w:tc>
        <w:tc>
          <w:tcPr>
            <w:tcW w:w="1034" w:type="dxa"/>
            <w:tcBorders>
              <w:top w:val="single" w:sz="8" w:space="0" w:color="000000"/>
              <w:left w:val="single" w:sz="8" w:space="0" w:color="000000"/>
              <w:bottom w:val="single" w:sz="8" w:space="0" w:color="000000"/>
              <w:right w:val="single" w:sz="8" w:space="0" w:color="000000"/>
            </w:tcBorders>
          </w:tcPr>
          <w:p w14:paraId="69A08496" w14:textId="77777777" w:rsidR="00076984" w:rsidRPr="00FF5F86" w:rsidRDefault="001604E0">
            <w:pPr>
              <w:spacing w:after="0" w:line="259" w:lineRule="auto"/>
              <w:ind w:firstLine="0"/>
              <w:jc w:val="both"/>
              <w:rPr>
                <w:color w:val="auto"/>
              </w:rPr>
            </w:pPr>
            <w:r w:rsidRPr="00FF5F86">
              <w:rPr>
                <w:color w:val="auto"/>
              </w:rPr>
              <w:t xml:space="preserve">0.284 </w:t>
            </w:r>
          </w:p>
        </w:tc>
        <w:tc>
          <w:tcPr>
            <w:tcW w:w="1019" w:type="dxa"/>
            <w:tcBorders>
              <w:top w:val="single" w:sz="8" w:space="0" w:color="000000"/>
              <w:left w:val="single" w:sz="8" w:space="0" w:color="000000"/>
              <w:bottom w:val="single" w:sz="8" w:space="0" w:color="000000"/>
              <w:right w:val="single" w:sz="8" w:space="0" w:color="000000"/>
            </w:tcBorders>
          </w:tcPr>
          <w:p w14:paraId="4E0B70A4" w14:textId="77777777" w:rsidR="00076984" w:rsidRPr="00FF5F86" w:rsidRDefault="001604E0">
            <w:pPr>
              <w:spacing w:after="0" w:line="259" w:lineRule="auto"/>
              <w:ind w:left="5" w:firstLine="0"/>
              <w:jc w:val="both"/>
              <w:rPr>
                <w:color w:val="auto"/>
              </w:rPr>
            </w:pPr>
            <w:r w:rsidRPr="00FF5F86">
              <w:rPr>
                <w:color w:val="auto"/>
              </w:rPr>
              <w:t xml:space="preserve"> </w:t>
            </w:r>
          </w:p>
        </w:tc>
        <w:tc>
          <w:tcPr>
            <w:tcW w:w="1034" w:type="dxa"/>
            <w:tcBorders>
              <w:top w:val="single" w:sz="8" w:space="0" w:color="000000"/>
              <w:left w:val="single" w:sz="8" w:space="0" w:color="000000"/>
              <w:bottom w:val="single" w:sz="8" w:space="0" w:color="000000"/>
              <w:right w:val="single" w:sz="8" w:space="0" w:color="000000"/>
            </w:tcBorders>
          </w:tcPr>
          <w:p w14:paraId="27ED30FA" w14:textId="77777777" w:rsidR="00076984" w:rsidRPr="00FF5F86" w:rsidRDefault="001604E0">
            <w:pPr>
              <w:spacing w:after="0" w:line="259" w:lineRule="auto"/>
              <w:ind w:left="20" w:firstLine="0"/>
              <w:jc w:val="both"/>
              <w:rPr>
                <w:color w:val="auto"/>
              </w:rPr>
            </w:pPr>
            <w:r w:rsidRPr="00FF5F86">
              <w:rPr>
                <w:color w:val="auto"/>
              </w:rPr>
              <w:t xml:space="preserve">17.24 </w:t>
            </w:r>
          </w:p>
        </w:tc>
        <w:tc>
          <w:tcPr>
            <w:tcW w:w="1033" w:type="dxa"/>
            <w:tcBorders>
              <w:top w:val="single" w:sz="8" w:space="0" w:color="000000"/>
              <w:left w:val="single" w:sz="8" w:space="0" w:color="000000"/>
              <w:bottom w:val="single" w:sz="8" w:space="0" w:color="000000"/>
              <w:right w:val="single" w:sz="8" w:space="0" w:color="000000"/>
            </w:tcBorders>
          </w:tcPr>
          <w:p w14:paraId="517CA1CA" w14:textId="77777777" w:rsidR="00076984" w:rsidRPr="00FF5F86" w:rsidRDefault="001604E0">
            <w:pPr>
              <w:spacing w:after="0" w:line="259" w:lineRule="auto"/>
              <w:ind w:left="15" w:firstLine="0"/>
              <w:jc w:val="both"/>
              <w:rPr>
                <w:color w:val="auto"/>
              </w:rPr>
            </w:pPr>
            <w:r w:rsidRPr="00FF5F86">
              <w:rPr>
                <w:color w:val="auto"/>
              </w:rPr>
              <w:t xml:space="preserve">&lt; .001 </w:t>
            </w:r>
          </w:p>
        </w:tc>
        <w:tc>
          <w:tcPr>
            <w:tcW w:w="1034" w:type="dxa"/>
            <w:tcBorders>
              <w:top w:val="single" w:sz="8" w:space="0" w:color="000000"/>
              <w:left w:val="single" w:sz="8" w:space="0" w:color="000000"/>
              <w:bottom w:val="single" w:sz="8" w:space="0" w:color="000000"/>
              <w:right w:val="single" w:sz="8" w:space="0" w:color="000000"/>
            </w:tcBorders>
          </w:tcPr>
          <w:p w14:paraId="35579A59" w14:textId="77777777" w:rsidR="00076984" w:rsidRPr="00FF5F86" w:rsidRDefault="001604E0">
            <w:pPr>
              <w:spacing w:after="0" w:line="259" w:lineRule="auto"/>
              <w:ind w:firstLine="0"/>
              <w:jc w:val="both"/>
              <w:rPr>
                <w:color w:val="auto"/>
              </w:rPr>
            </w:pPr>
            <w:r w:rsidRPr="00FF5F86">
              <w:rPr>
                <w:color w:val="auto"/>
              </w:rPr>
              <w:t xml:space="preserve">0.512 </w:t>
            </w:r>
          </w:p>
        </w:tc>
        <w:tc>
          <w:tcPr>
            <w:tcW w:w="1015" w:type="dxa"/>
            <w:tcBorders>
              <w:top w:val="single" w:sz="8" w:space="0" w:color="000000"/>
              <w:left w:val="single" w:sz="8" w:space="0" w:color="000000"/>
              <w:bottom w:val="single" w:sz="8" w:space="0" w:color="000000"/>
              <w:right w:val="single" w:sz="8" w:space="0" w:color="000000"/>
            </w:tcBorders>
          </w:tcPr>
          <w:p w14:paraId="7CC92B9C" w14:textId="77777777" w:rsidR="00076984" w:rsidRPr="00FF5F86" w:rsidRDefault="001604E0">
            <w:pPr>
              <w:spacing w:after="0" w:line="259" w:lineRule="auto"/>
              <w:ind w:left="5" w:firstLine="0"/>
              <w:jc w:val="both"/>
              <w:rPr>
                <w:color w:val="auto"/>
              </w:rPr>
            </w:pPr>
            <w:proofErr w:type="gramStart"/>
            <w:r w:rsidRPr="00FF5F86">
              <w:rPr>
                <w:color w:val="auto"/>
              </w:rPr>
              <w:t>F(</w:t>
            </w:r>
            <w:proofErr w:type="gramEnd"/>
            <w:r w:rsidRPr="00FF5F86">
              <w:rPr>
                <w:color w:val="auto"/>
              </w:rPr>
              <w:t xml:space="preserve">4, 75) = </w:t>
            </w:r>
          </w:p>
          <w:p w14:paraId="4C9AF35C" w14:textId="77777777" w:rsidR="00076984" w:rsidRPr="00FF5F86" w:rsidRDefault="001604E0">
            <w:pPr>
              <w:spacing w:after="0" w:line="259" w:lineRule="auto"/>
              <w:ind w:left="5" w:firstLine="0"/>
              <w:jc w:val="both"/>
              <w:rPr>
                <w:color w:val="auto"/>
              </w:rPr>
            </w:pPr>
            <w:r w:rsidRPr="00FF5F86">
              <w:rPr>
                <w:color w:val="auto"/>
              </w:rPr>
              <w:t>19.64, p &lt;</w:t>
            </w:r>
          </w:p>
        </w:tc>
      </w:tr>
      <w:tr w:rsidR="00076984" w:rsidRPr="00FF5F86" w14:paraId="7DE4F297" w14:textId="77777777" w:rsidTr="00AA0CDD">
        <w:trPr>
          <w:trHeight w:val="1620"/>
        </w:trPr>
        <w:tc>
          <w:tcPr>
            <w:tcW w:w="1042" w:type="dxa"/>
            <w:tcBorders>
              <w:top w:val="single" w:sz="8" w:space="0" w:color="000000"/>
              <w:left w:val="single" w:sz="8" w:space="0" w:color="000000"/>
              <w:bottom w:val="single" w:sz="8" w:space="0" w:color="000000"/>
              <w:right w:val="single" w:sz="8" w:space="0" w:color="000000"/>
            </w:tcBorders>
          </w:tcPr>
          <w:p w14:paraId="42A0C002" w14:textId="77777777" w:rsidR="00076984" w:rsidRPr="00FF5F86" w:rsidRDefault="001604E0">
            <w:pPr>
              <w:spacing w:after="0" w:line="259" w:lineRule="auto"/>
              <w:ind w:left="0" w:firstLine="0"/>
              <w:jc w:val="both"/>
              <w:rPr>
                <w:color w:val="auto"/>
              </w:rPr>
            </w:pPr>
            <w:r w:rsidRPr="00FF5F86">
              <w:rPr>
                <w:color w:val="auto"/>
              </w:rPr>
              <w:t>Dependen</w:t>
            </w:r>
          </w:p>
          <w:p w14:paraId="2BF2E944" w14:textId="77777777" w:rsidR="00076984" w:rsidRPr="00FF5F86" w:rsidRDefault="001604E0">
            <w:pPr>
              <w:spacing w:after="0" w:line="259" w:lineRule="auto"/>
              <w:ind w:left="0" w:firstLine="0"/>
              <w:jc w:val="both"/>
              <w:rPr>
                <w:color w:val="auto"/>
              </w:rPr>
            </w:pPr>
            <w:r w:rsidRPr="00FF5F86">
              <w:rPr>
                <w:color w:val="auto"/>
              </w:rPr>
              <w:t xml:space="preserve">t </w:t>
            </w:r>
          </w:p>
          <w:p w14:paraId="20EB95B2" w14:textId="77777777" w:rsidR="00076984" w:rsidRPr="00FF5F86" w:rsidRDefault="001604E0">
            <w:pPr>
              <w:spacing w:after="0" w:line="259" w:lineRule="auto"/>
              <w:ind w:left="0" w:firstLine="0"/>
              <w:jc w:val="both"/>
              <w:rPr>
                <w:color w:val="auto"/>
              </w:rPr>
            </w:pPr>
            <w:r w:rsidRPr="00FF5F86">
              <w:rPr>
                <w:color w:val="auto"/>
              </w:rPr>
              <w:t xml:space="preserve">Variables </w:t>
            </w:r>
          </w:p>
          <w:p w14:paraId="08DA85CA" w14:textId="77777777" w:rsidR="00076984" w:rsidRPr="00FF5F86" w:rsidRDefault="001604E0">
            <w:pPr>
              <w:spacing w:after="0" w:line="259" w:lineRule="auto"/>
              <w:ind w:left="0" w:firstLine="0"/>
              <w:jc w:val="both"/>
              <w:rPr>
                <w:color w:val="auto"/>
              </w:rPr>
            </w:pPr>
            <w:r w:rsidRPr="00FF5F86">
              <w:rPr>
                <w:color w:val="auto"/>
              </w:rPr>
              <w:t xml:space="preserve">(Morale Dimensio ns) </w:t>
            </w:r>
          </w:p>
        </w:tc>
        <w:tc>
          <w:tcPr>
            <w:tcW w:w="1038" w:type="dxa"/>
            <w:tcBorders>
              <w:top w:val="single" w:sz="8" w:space="0" w:color="000000"/>
              <w:left w:val="single" w:sz="8" w:space="0" w:color="000000"/>
              <w:bottom w:val="single" w:sz="8" w:space="0" w:color="000000"/>
              <w:right w:val="single" w:sz="8" w:space="0" w:color="000000"/>
            </w:tcBorders>
          </w:tcPr>
          <w:p w14:paraId="424B4BBB" w14:textId="77777777" w:rsidR="00076984" w:rsidRPr="00FF5F86" w:rsidRDefault="001604E0">
            <w:pPr>
              <w:spacing w:after="0" w:line="259" w:lineRule="auto"/>
              <w:ind w:left="15" w:firstLine="0"/>
              <w:jc w:val="both"/>
              <w:rPr>
                <w:color w:val="auto"/>
              </w:rPr>
            </w:pPr>
            <w:r w:rsidRPr="00FF5F86">
              <w:rPr>
                <w:color w:val="auto"/>
              </w:rPr>
              <w:t xml:space="preserve">Predictor </w:t>
            </w:r>
          </w:p>
          <w:p w14:paraId="5DA52B5C" w14:textId="77777777" w:rsidR="00076984" w:rsidRPr="00FF5F86" w:rsidRDefault="001604E0">
            <w:pPr>
              <w:spacing w:after="0" w:line="259" w:lineRule="auto"/>
              <w:ind w:left="15" w:firstLine="0"/>
              <w:jc w:val="both"/>
              <w:rPr>
                <w:color w:val="auto"/>
              </w:rPr>
            </w:pPr>
            <w:r w:rsidRPr="00FF5F86">
              <w:rPr>
                <w:color w:val="auto"/>
              </w:rPr>
              <w:t xml:space="preserve">Variable </w:t>
            </w:r>
          </w:p>
        </w:tc>
        <w:tc>
          <w:tcPr>
            <w:tcW w:w="1051" w:type="dxa"/>
            <w:tcBorders>
              <w:top w:val="single" w:sz="8" w:space="0" w:color="000000"/>
              <w:left w:val="single" w:sz="8" w:space="0" w:color="000000"/>
              <w:bottom w:val="single" w:sz="8" w:space="0" w:color="000000"/>
              <w:right w:val="single" w:sz="8" w:space="0" w:color="000000"/>
            </w:tcBorders>
          </w:tcPr>
          <w:p w14:paraId="247D4DE0" w14:textId="77777777" w:rsidR="00076984" w:rsidRPr="00FF5F86" w:rsidRDefault="001604E0">
            <w:pPr>
              <w:spacing w:after="0" w:line="259" w:lineRule="auto"/>
              <w:ind w:firstLine="0"/>
              <w:jc w:val="both"/>
              <w:rPr>
                <w:color w:val="auto"/>
              </w:rPr>
            </w:pPr>
            <w:r w:rsidRPr="00FF5F86">
              <w:rPr>
                <w:color w:val="auto"/>
              </w:rPr>
              <w:t xml:space="preserve">Unstandar dized B </w:t>
            </w:r>
          </w:p>
        </w:tc>
        <w:tc>
          <w:tcPr>
            <w:tcW w:w="1034" w:type="dxa"/>
            <w:tcBorders>
              <w:top w:val="single" w:sz="8" w:space="0" w:color="000000"/>
              <w:left w:val="single" w:sz="8" w:space="0" w:color="000000"/>
              <w:bottom w:val="single" w:sz="8" w:space="0" w:color="000000"/>
              <w:right w:val="single" w:sz="8" w:space="0" w:color="000000"/>
            </w:tcBorders>
          </w:tcPr>
          <w:p w14:paraId="762161F7" w14:textId="77777777" w:rsidR="00076984" w:rsidRPr="00FF5F86" w:rsidRDefault="001604E0">
            <w:pPr>
              <w:spacing w:after="0" w:line="259" w:lineRule="auto"/>
              <w:ind w:left="5" w:firstLine="0"/>
              <w:jc w:val="both"/>
              <w:rPr>
                <w:color w:val="auto"/>
              </w:rPr>
            </w:pPr>
            <w:r w:rsidRPr="00FF5F86">
              <w:rPr>
                <w:color w:val="auto"/>
              </w:rPr>
              <w:t xml:space="preserve">Std. Error </w:t>
            </w:r>
          </w:p>
        </w:tc>
        <w:tc>
          <w:tcPr>
            <w:tcW w:w="1019" w:type="dxa"/>
            <w:tcBorders>
              <w:top w:val="single" w:sz="8" w:space="0" w:color="000000"/>
              <w:left w:val="single" w:sz="8" w:space="0" w:color="000000"/>
              <w:bottom w:val="single" w:sz="8" w:space="0" w:color="000000"/>
              <w:right w:val="single" w:sz="8" w:space="0" w:color="000000"/>
            </w:tcBorders>
          </w:tcPr>
          <w:p w14:paraId="79B82787" w14:textId="77777777" w:rsidR="00076984" w:rsidRPr="00FF5F86" w:rsidRDefault="001604E0">
            <w:pPr>
              <w:spacing w:after="0" w:line="259" w:lineRule="auto"/>
              <w:ind w:left="0" w:firstLine="0"/>
              <w:jc w:val="both"/>
              <w:rPr>
                <w:color w:val="auto"/>
              </w:rPr>
            </w:pPr>
            <w:r w:rsidRPr="00FF5F86">
              <w:rPr>
                <w:color w:val="auto"/>
              </w:rPr>
              <w:t xml:space="preserve">Standardi zed \beta </w:t>
            </w:r>
          </w:p>
        </w:tc>
        <w:tc>
          <w:tcPr>
            <w:tcW w:w="1034" w:type="dxa"/>
            <w:tcBorders>
              <w:top w:val="single" w:sz="8" w:space="0" w:color="000000"/>
              <w:left w:val="single" w:sz="8" w:space="0" w:color="000000"/>
              <w:bottom w:val="single" w:sz="8" w:space="0" w:color="000000"/>
              <w:right w:val="single" w:sz="8" w:space="0" w:color="000000"/>
            </w:tcBorders>
          </w:tcPr>
          <w:p w14:paraId="28D16E57" w14:textId="77777777" w:rsidR="00076984" w:rsidRPr="00FF5F86" w:rsidRDefault="001604E0">
            <w:pPr>
              <w:spacing w:after="0" w:line="259" w:lineRule="auto"/>
              <w:ind w:left="15" w:firstLine="0"/>
              <w:jc w:val="both"/>
              <w:rPr>
                <w:color w:val="auto"/>
              </w:rPr>
            </w:pPr>
            <w:r w:rsidRPr="00FF5F86">
              <w:rPr>
                <w:color w:val="auto"/>
              </w:rPr>
              <w:t xml:space="preserve">t-value </w:t>
            </w:r>
          </w:p>
        </w:tc>
        <w:tc>
          <w:tcPr>
            <w:tcW w:w="1033" w:type="dxa"/>
            <w:tcBorders>
              <w:top w:val="single" w:sz="8" w:space="0" w:color="000000"/>
              <w:left w:val="single" w:sz="8" w:space="0" w:color="000000"/>
              <w:bottom w:val="single" w:sz="8" w:space="0" w:color="000000"/>
              <w:right w:val="single" w:sz="8" w:space="0" w:color="000000"/>
            </w:tcBorders>
          </w:tcPr>
          <w:p w14:paraId="0582C2AC" w14:textId="77777777" w:rsidR="00076984" w:rsidRPr="00FF5F86" w:rsidRDefault="001604E0">
            <w:pPr>
              <w:spacing w:after="0" w:line="259" w:lineRule="auto"/>
              <w:ind w:firstLine="0"/>
              <w:jc w:val="both"/>
              <w:rPr>
                <w:color w:val="auto"/>
              </w:rPr>
            </w:pPr>
            <w:r w:rsidRPr="00FF5F86">
              <w:rPr>
                <w:color w:val="auto"/>
              </w:rPr>
              <w:t xml:space="preserve">p-value </w:t>
            </w:r>
          </w:p>
        </w:tc>
        <w:tc>
          <w:tcPr>
            <w:tcW w:w="1034" w:type="dxa"/>
            <w:tcBorders>
              <w:top w:val="single" w:sz="8" w:space="0" w:color="000000"/>
              <w:left w:val="single" w:sz="8" w:space="0" w:color="000000"/>
              <w:bottom w:val="single" w:sz="8" w:space="0" w:color="000000"/>
              <w:right w:val="single" w:sz="8" w:space="0" w:color="000000"/>
            </w:tcBorders>
          </w:tcPr>
          <w:p w14:paraId="0472E368" w14:textId="77777777" w:rsidR="00076984" w:rsidRPr="00FF5F86" w:rsidRDefault="001604E0">
            <w:pPr>
              <w:spacing w:after="0" w:line="259" w:lineRule="auto"/>
              <w:ind w:left="5" w:firstLine="0"/>
              <w:jc w:val="both"/>
              <w:rPr>
                <w:color w:val="auto"/>
              </w:rPr>
            </w:pPr>
            <w:r w:rsidRPr="00FF5F86">
              <w:rPr>
                <w:color w:val="auto"/>
              </w:rPr>
              <w:t xml:space="preserve">Model </w:t>
            </w:r>
          </w:p>
          <w:p w14:paraId="468AB29F" w14:textId="77777777" w:rsidR="00076984" w:rsidRPr="00FF5F86" w:rsidRDefault="001604E0">
            <w:pPr>
              <w:spacing w:after="0" w:line="259" w:lineRule="auto"/>
              <w:ind w:left="5" w:firstLine="0"/>
              <w:jc w:val="both"/>
              <w:rPr>
                <w:color w:val="auto"/>
              </w:rPr>
            </w:pPr>
            <w:r w:rsidRPr="00FF5F86">
              <w:rPr>
                <w:color w:val="auto"/>
              </w:rPr>
              <w:t xml:space="preserve">R^2 </w:t>
            </w:r>
          </w:p>
        </w:tc>
        <w:tc>
          <w:tcPr>
            <w:tcW w:w="1015" w:type="dxa"/>
            <w:tcBorders>
              <w:top w:val="single" w:sz="8" w:space="0" w:color="000000"/>
              <w:left w:val="single" w:sz="8" w:space="0" w:color="000000"/>
              <w:bottom w:val="single" w:sz="8" w:space="0" w:color="000000"/>
              <w:right w:val="single" w:sz="8" w:space="0" w:color="000000"/>
            </w:tcBorders>
          </w:tcPr>
          <w:p w14:paraId="51F34D2F" w14:textId="77777777" w:rsidR="00076984" w:rsidRPr="00FF5F86" w:rsidRDefault="001604E0">
            <w:pPr>
              <w:spacing w:after="0" w:line="259" w:lineRule="auto"/>
              <w:ind w:left="0" w:firstLine="0"/>
              <w:jc w:val="both"/>
              <w:rPr>
                <w:color w:val="auto"/>
              </w:rPr>
            </w:pPr>
            <w:r w:rsidRPr="00FF5F86">
              <w:rPr>
                <w:color w:val="auto"/>
              </w:rPr>
              <w:t xml:space="preserve">Model F </w:t>
            </w:r>
          </w:p>
        </w:tc>
      </w:tr>
      <w:tr w:rsidR="00076984" w:rsidRPr="00FF5F86" w14:paraId="17BA030A" w14:textId="77777777" w:rsidTr="00AA0CDD">
        <w:trPr>
          <w:trHeight w:val="560"/>
        </w:trPr>
        <w:tc>
          <w:tcPr>
            <w:tcW w:w="1042" w:type="dxa"/>
            <w:tcBorders>
              <w:top w:val="single" w:sz="8" w:space="0" w:color="000000"/>
              <w:left w:val="single" w:sz="8" w:space="0" w:color="000000"/>
              <w:bottom w:val="single" w:sz="8" w:space="0" w:color="000000"/>
              <w:right w:val="single" w:sz="8" w:space="0" w:color="000000"/>
            </w:tcBorders>
          </w:tcPr>
          <w:p w14:paraId="533B87FC" w14:textId="77777777" w:rsidR="00076984" w:rsidRPr="00FF5F86" w:rsidRDefault="001604E0">
            <w:pPr>
              <w:spacing w:after="0" w:line="259" w:lineRule="auto"/>
              <w:ind w:left="0" w:firstLine="0"/>
              <w:jc w:val="both"/>
              <w:rPr>
                <w:color w:val="auto"/>
              </w:rPr>
            </w:pPr>
            <w:r w:rsidRPr="00FF5F86">
              <w:rPr>
                <w:b/>
                <w:color w:val="auto"/>
              </w:rPr>
              <w:t xml:space="preserve">Satisfacti on </w:t>
            </w:r>
          </w:p>
        </w:tc>
        <w:tc>
          <w:tcPr>
            <w:tcW w:w="1038" w:type="dxa"/>
            <w:tcBorders>
              <w:top w:val="single" w:sz="8" w:space="0" w:color="000000"/>
              <w:left w:val="single" w:sz="8" w:space="0" w:color="000000"/>
              <w:bottom w:val="single" w:sz="8" w:space="0" w:color="000000"/>
              <w:right w:val="single" w:sz="8" w:space="0" w:color="000000"/>
            </w:tcBorders>
          </w:tcPr>
          <w:p w14:paraId="2DDCB593" w14:textId="77777777" w:rsidR="00076984" w:rsidRPr="00FF5F86" w:rsidRDefault="00076984">
            <w:pPr>
              <w:spacing w:after="160" w:line="259" w:lineRule="auto"/>
              <w:ind w:left="0" w:firstLine="0"/>
              <w:jc w:val="both"/>
              <w:rPr>
                <w:color w:val="auto"/>
              </w:rPr>
            </w:pPr>
          </w:p>
        </w:tc>
        <w:tc>
          <w:tcPr>
            <w:tcW w:w="1051" w:type="dxa"/>
            <w:tcBorders>
              <w:top w:val="single" w:sz="8" w:space="0" w:color="000000"/>
              <w:left w:val="single" w:sz="8" w:space="0" w:color="000000"/>
              <w:bottom w:val="single" w:sz="8" w:space="0" w:color="000000"/>
              <w:right w:val="single" w:sz="8" w:space="0" w:color="000000"/>
            </w:tcBorders>
          </w:tcPr>
          <w:p w14:paraId="072E98E1" w14:textId="77777777" w:rsidR="00076984" w:rsidRPr="00FF5F86" w:rsidRDefault="00076984">
            <w:pPr>
              <w:spacing w:after="160" w:line="259" w:lineRule="auto"/>
              <w:ind w:left="0" w:firstLine="0"/>
              <w:jc w:val="both"/>
              <w:rPr>
                <w:color w:val="auto"/>
              </w:rPr>
            </w:pPr>
          </w:p>
        </w:tc>
        <w:tc>
          <w:tcPr>
            <w:tcW w:w="1034" w:type="dxa"/>
            <w:tcBorders>
              <w:top w:val="single" w:sz="8" w:space="0" w:color="000000"/>
              <w:left w:val="single" w:sz="8" w:space="0" w:color="000000"/>
              <w:bottom w:val="single" w:sz="8" w:space="0" w:color="000000"/>
              <w:right w:val="single" w:sz="8" w:space="0" w:color="000000"/>
            </w:tcBorders>
          </w:tcPr>
          <w:p w14:paraId="21ABA65D" w14:textId="77777777" w:rsidR="00076984" w:rsidRPr="00FF5F86" w:rsidRDefault="00076984">
            <w:pPr>
              <w:spacing w:after="160" w:line="259" w:lineRule="auto"/>
              <w:ind w:left="0" w:firstLine="0"/>
              <w:jc w:val="both"/>
              <w:rPr>
                <w:color w:val="auto"/>
              </w:rPr>
            </w:pPr>
          </w:p>
        </w:tc>
        <w:tc>
          <w:tcPr>
            <w:tcW w:w="1019" w:type="dxa"/>
            <w:tcBorders>
              <w:top w:val="single" w:sz="8" w:space="0" w:color="000000"/>
              <w:left w:val="single" w:sz="8" w:space="0" w:color="000000"/>
              <w:bottom w:val="single" w:sz="8" w:space="0" w:color="000000"/>
              <w:right w:val="single" w:sz="8" w:space="0" w:color="000000"/>
            </w:tcBorders>
          </w:tcPr>
          <w:p w14:paraId="511A0138" w14:textId="77777777" w:rsidR="00076984" w:rsidRPr="00FF5F86" w:rsidRDefault="00076984">
            <w:pPr>
              <w:spacing w:after="160" w:line="259" w:lineRule="auto"/>
              <w:ind w:left="0" w:firstLine="0"/>
              <w:jc w:val="both"/>
              <w:rPr>
                <w:color w:val="auto"/>
              </w:rPr>
            </w:pPr>
          </w:p>
        </w:tc>
        <w:tc>
          <w:tcPr>
            <w:tcW w:w="1034" w:type="dxa"/>
            <w:tcBorders>
              <w:top w:val="single" w:sz="8" w:space="0" w:color="000000"/>
              <w:left w:val="single" w:sz="8" w:space="0" w:color="000000"/>
              <w:bottom w:val="single" w:sz="8" w:space="0" w:color="000000"/>
              <w:right w:val="single" w:sz="8" w:space="0" w:color="000000"/>
            </w:tcBorders>
          </w:tcPr>
          <w:p w14:paraId="6DADAD76" w14:textId="77777777" w:rsidR="00076984" w:rsidRPr="00FF5F86" w:rsidRDefault="00076984">
            <w:pPr>
              <w:spacing w:after="160" w:line="259" w:lineRule="auto"/>
              <w:ind w:left="0" w:firstLine="0"/>
              <w:jc w:val="both"/>
              <w:rPr>
                <w:color w:val="auto"/>
              </w:rPr>
            </w:pPr>
          </w:p>
        </w:tc>
        <w:tc>
          <w:tcPr>
            <w:tcW w:w="1033" w:type="dxa"/>
            <w:tcBorders>
              <w:top w:val="single" w:sz="8" w:space="0" w:color="000000"/>
              <w:left w:val="single" w:sz="8" w:space="0" w:color="000000"/>
              <w:bottom w:val="single" w:sz="8" w:space="0" w:color="000000"/>
              <w:right w:val="single" w:sz="8" w:space="0" w:color="000000"/>
            </w:tcBorders>
          </w:tcPr>
          <w:p w14:paraId="3AE48C31" w14:textId="77777777" w:rsidR="00076984" w:rsidRPr="00FF5F86" w:rsidRDefault="00076984">
            <w:pPr>
              <w:spacing w:after="160" w:line="259" w:lineRule="auto"/>
              <w:ind w:left="0" w:firstLine="0"/>
              <w:jc w:val="both"/>
              <w:rPr>
                <w:color w:val="auto"/>
              </w:rPr>
            </w:pPr>
          </w:p>
        </w:tc>
        <w:tc>
          <w:tcPr>
            <w:tcW w:w="1034" w:type="dxa"/>
            <w:tcBorders>
              <w:top w:val="single" w:sz="8" w:space="0" w:color="000000"/>
              <w:left w:val="single" w:sz="8" w:space="0" w:color="000000"/>
              <w:bottom w:val="single" w:sz="8" w:space="0" w:color="000000"/>
              <w:right w:val="single" w:sz="8" w:space="0" w:color="000000"/>
            </w:tcBorders>
          </w:tcPr>
          <w:p w14:paraId="6CE3053F" w14:textId="77777777" w:rsidR="00076984" w:rsidRPr="00FF5F86" w:rsidRDefault="00076984">
            <w:pPr>
              <w:spacing w:after="160" w:line="259" w:lineRule="auto"/>
              <w:ind w:left="0" w:firstLine="0"/>
              <w:jc w:val="both"/>
              <w:rPr>
                <w:color w:val="auto"/>
              </w:rPr>
            </w:pPr>
          </w:p>
        </w:tc>
        <w:tc>
          <w:tcPr>
            <w:tcW w:w="1015" w:type="dxa"/>
            <w:tcBorders>
              <w:top w:val="single" w:sz="8" w:space="0" w:color="000000"/>
              <w:left w:val="single" w:sz="8" w:space="0" w:color="000000"/>
              <w:bottom w:val="single" w:sz="8" w:space="0" w:color="000000"/>
              <w:right w:val="single" w:sz="8" w:space="0" w:color="000000"/>
            </w:tcBorders>
          </w:tcPr>
          <w:p w14:paraId="5C4D2CBC" w14:textId="77777777" w:rsidR="00076984" w:rsidRPr="00FF5F86" w:rsidRDefault="001604E0">
            <w:pPr>
              <w:spacing w:after="0" w:line="259" w:lineRule="auto"/>
              <w:ind w:left="0" w:firstLine="0"/>
              <w:jc w:val="both"/>
              <w:rPr>
                <w:color w:val="auto"/>
              </w:rPr>
            </w:pPr>
            <w:r w:rsidRPr="00FF5F86">
              <w:rPr>
                <w:color w:val="auto"/>
              </w:rPr>
              <w:t xml:space="preserve">.001 </w:t>
            </w:r>
          </w:p>
        </w:tc>
      </w:tr>
      <w:tr w:rsidR="00076984" w:rsidRPr="00FF5F86" w14:paraId="64221AF5" w14:textId="77777777" w:rsidTr="00AA0CDD">
        <w:trPr>
          <w:trHeight w:val="560"/>
        </w:trPr>
        <w:tc>
          <w:tcPr>
            <w:tcW w:w="1042" w:type="dxa"/>
            <w:tcBorders>
              <w:top w:val="single" w:sz="8" w:space="0" w:color="000000"/>
              <w:left w:val="single" w:sz="8" w:space="0" w:color="000000"/>
              <w:bottom w:val="single" w:sz="8" w:space="0" w:color="000000"/>
              <w:right w:val="single" w:sz="8" w:space="0" w:color="000000"/>
            </w:tcBorders>
          </w:tcPr>
          <w:p w14:paraId="561348D5" w14:textId="77777777" w:rsidR="00076984" w:rsidRPr="00FF5F86" w:rsidRDefault="001604E0">
            <w:pPr>
              <w:spacing w:after="0" w:line="259" w:lineRule="auto"/>
              <w:ind w:left="0" w:firstLine="0"/>
              <w:jc w:val="both"/>
              <w:rPr>
                <w:color w:val="auto"/>
              </w:rPr>
            </w:pPr>
            <w:r w:rsidRPr="00FF5F86">
              <w:rPr>
                <w:color w:val="auto"/>
              </w:rPr>
              <w:t xml:space="preserve"> </w:t>
            </w:r>
          </w:p>
        </w:tc>
        <w:tc>
          <w:tcPr>
            <w:tcW w:w="1038" w:type="dxa"/>
            <w:tcBorders>
              <w:top w:val="single" w:sz="8" w:space="0" w:color="000000"/>
              <w:left w:val="single" w:sz="8" w:space="0" w:color="000000"/>
              <w:bottom w:val="single" w:sz="8" w:space="0" w:color="000000"/>
              <w:right w:val="single" w:sz="8" w:space="0" w:color="000000"/>
            </w:tcBorders>
          </w:tcPr>
          <w:p w14:paraId="3CDE080B" w14:textId="77777777" w:rsidR="00076984" w:rsidRPr="00FF5F86" w:rsidRDefault="001604E0">
            <w:pPr>
              <w:spacing w:after="0" w:line="259" w:lineRule="auto"/>
              <w:ind w:left="15" w:firstLine="0"/>
              <w:jc w:val="both"/>
              <w:rPr>
                <w:color w:val="auto"/>
              </w:rPr>
            </w:pPr>
            <w:r w:rsidRPr="00FF5F86">
              <w:rPr>
                <w:color w:val="auto"/>
              </w:rPr>
              <w:t xml:space="preserve">Class </w:t>
            </w:r>
          </w:p>
          <w:p w14:paraId="2CE760B8" w14:textId="77777777" w:rsidR="00076984" w:rsidRPr="00FF5F86" w:rsidRDefault="001604E0">
            <w:pPr>
              <w:spacing w:after="0" w:line="259" w:lineRule="auto"/>
              <w:ind w:left="15" w:firstLine="0"/>
              <w:jc w:val="both"/>
              <w:rPr>
                <w:color w:val="auto"/>
              </w:rPr>
            </w:pPr>
            <w:r w:rsidRPr="00FF5F86">
              <w:rPr>
                <w:color w:val="auto"/>
              </w:rPr>
              <w:t xml:space="preserve">Size </w:t>
            </w:r>
          </w:p>
        </w:tc>
        <w:tc>
          <w:tcPr>
            <w:tcW w:w="1051" w:type="dxa"/>
            <w:tcBorders>
              <w:top w:val="single" w:sz="8" w:space="0" w:color="000000"/>
              <w:left w:val="single" w:sz="8" w:space="0" w:color="000000"/>
              <w:bottom w:val="single" w:sz="8" w:space="0" w:color="000000"/>
              <w:right w:val="single" w:sz="8" w:space="0" w:color="000000"/>
            </w:tcBorders>
          </w:tcPr>
          <w:p w14:paraId="43763AB3" w14:textId="77777777" w:rsidR="00076984" w:rsidRPr="00FF5F86" w:rsidRDefault="001604E0">
            <w:pPr>
              <w:spacing w:after="0" w:line="259" w:lineRule="auto"/>
              <w:ind w:firstLine="0"/>
              <w:jc w:val="both"/>
              <w:rPr>
                <w:color w:val="auto"/>
              </w:rPr>
            </w:pPr>
            <w:r w:rsidRPr="00FF5F86">
              <w:rPr>
                <w:color w:val="auto"/>
              </w:rPr>
              <w:t xml:space="preserve">-0.052 </w:t>
            </w:r>
          </w:p>
        </w:tc>
        <w:tc>
          <w:tcPr>
            <w:tcW w:w="1034" w:type="dxa"/>
            <w:tcBorders>
              <w:top w:val="single" w:sz="8" w:space="0" w:color="000000"/>
              <w:left w:val="single" w:sz="8" w:space="0" w:color="000000"/>
              <w:bottom w:val="single" w:sz="8" w:space="0" w:color="000000"/>
              <w:right w:val="single" w:sz="8" w:space="0" w:color="000000"/>
            </w:tcBorders>
          </w:tcPr>
          <w:p w14:paraId="29B6C649" w14:textId="77777777" w:rsidR="00076984" w:rsidRPr="00FF5F86" w:rsidRDefault="001604E0">
            <w:pPr>
              <w:spacing w:after="0" w:line="259" w:lineRule="auto"/>
              <w:ind w:left="5" w:firstLine="0"/>
              <w:jc w:val="both"/>
              <w:rPr>
                <w:color w:val="auto"/>
              </w:rPr>
            </w:pPr>
            <w:r w:rsidRPr="00FF5F86">
              <w:rPr>
                <w:color w:val="auto"/>
              </w:rPr>
              <w:t xml:space="preserve">0.006 </w:t>
            </w:r>
          </w:p>
        </w:tc>
        <w:tc>
          <w:tcPr>
            <w:tcW w:w="1019" w:type="dxa"/>
            <w:tcBorders>
              <w:top w:val="single" w:sz="8" w:space="0" w:color="000000"/>
              <w:left w:val="single" w:sz="8" w:space="0" w:color="000000"/>
              <w:bottom w:val="single" w:sz="8" w:space="0" w:color="000000"/>
              <w:right w:val="single" w:sz="8" w:space="0" w:color="000000"/>
            </w:tcBorders>
          </w:tcPr>
          <w:p w14:paraId="63E1AF84" w14:textId="77777777" w:rsidR="00076984" w:rsidRPr="00FF5F86" w:rsidRDefault="001604E0">
            <w:pPr>
              <w:spacing w:after="0" w:line="259" w:lineRule="auto"/>
              <w:ind w:left="0" w:firstLine="0"/>
              <w:jc w:val="both"/>
              <w:rPr>
                <w:color w:val="auto"/>
              </w:rPr>
            </w:pPr>
            <w:r w:rsidRPr="00FF5F86">
              <w:rPr>
                <w:color w:val="auto"/>
              </w:rPr>
              <w:t xml:space="preserve">-0.614 </w:t>
            </w:r>
          </w:p>
        </w:tc>
        <w:tc>
          <w:tcPr>
            <w:tcW w:w="1034" w:type="dxa"/>
            <w:tcBorders>
              <w:top w:val="single" w:sz="8" w:space="0" w:color="000000"/>
              <w:left w:val="single" w:sz="8" w:space="0" w:color="000000"/>
              <w:bottom w:val="single" w:sz="8" w:space="0" w:color="000000"/>
              <w:right w:val="single" w:sz="8" w:space="0" w:color="000000"/>
            </w:tcBorders>
          </w:tcPr>
          <w:p w14:paraId="6417425A" w14:textId="77777777" w:rsidR="00076984" w:rsidRPr="00FF5F86" w:rsidRDefault="001604E0">
            <w:pPr>
              <w:spacing w:after="0" w:line="259" w:lineRule="auto"/>
              <w:ind w:left="15" w:firstLine="0"/>
              <w:jc w:val="both"/>
              <w:rPr>
                <w:color w:val="auto"/>
              </w:rPr>
            </w:pPr>
            <w:r w:rsidRPr="00FF5F86">
              <w:rPr>
                <w:color w:val="auto"/>
              </w:rPr>
              <w:t xml:space="preserve">-8.67 </w:t>
            </w:r>
          </w:p>
        </w:tc>
        <w:tc>
          <w:tcPr>
            <w:tcW w:w="1033" w:type="dxa"/>
            <w:tcBorders>
              <w:top w:val="single" w:sz="8" w:space="0" w:color="000000"/>
              <w:left w:val="single" w:sz="8" w:space="0" w:color="000000"/>
              <w:bottom w:val="single" w:sz="8" w:space="0" w:color="000000"/>
              <w:right w:val="single" w:sz="8" w:space="0" w:color="000000"/>
            </w:tcBorders>
          </w:tcPr>
          <w:p w14:paraId="6B596A02" w14:textId="77777777" w:rsidR="00076984" w:rsidRPr="00FF5F86" w:rsidRDefault="001604E0">
            <w:pPr>
              <w:spacing w:after="0" w:line="259" w:lineRule="auto"/>
              <w:ind w:firstLine="0"/>
              <w:jc w:val="both"/>
              <w:rPr>
                <w:color w:val="auto"/>
              </w:rPr>
            </w:pPr>
            <w:r w:rsidRPr="00FF5F86">
              <w:rPr>
                <w:color w:val="auto"/>
              </w:rPr>
              <w:t xml:space="preserve">&lt; .001 </w:t>
            </w:r>
          </w:p>
        </w:tc>
        <w:tc>
          <w:tcPr>
            <w:tcW w:w="1034" w:type="dxa"/>
            <w:tcBorders>
              <w:top w:val="single" w:sz="8" w:space="0" w:color="000000"/>
              <w:left w:val="single" w:sz="8" w:space="0" w:color="000000"/>
              <w:bottom w:val="single" w:sz="8" w:space="0" w:color="000000"/>
              <w:right w:val="single" w:sz="8" w:space="0" w:color="000000"/>
            </w:tcBorders>
          </w:tcPr>
          <w:p w14:paraId="6044BD78" w14:textId="77777777" w:rsidR="00076984" w:rsidRPr="00FF5F86" w:rsidRDefault="001604E0">
            <w:pPr>
              <w:spacing w:after="0" w:line="259" w:lineRule="auto"/>
              <w:ind w:left="5" w:firstLine="0"/>
              <w:jc w:val="both"/>
              <w:rPr>
                <w:color w:val="auto"/>
              </w:rPr>
            </w:pPr>
            <w:r w:rsidRPr="00FF5F86">
              <w:rPr>
                <w:color w:val="auto"/>
              </w:rPr>
              <w:t xml:space="preserve"> </w:t>
            </w:r>
          </w:p>
        </w:tc>
        <w:tc>
          <w:tcPr>
            <w:tcW w:w="1015" w:type="dxa"/>
            <w:tcBorders>
              <w:top w:val="single" w:sz="8" w:space="0" w:color="000000"/>
              <w:left w:val="single" w:sz="8" w:space="0" w:color="000000"/>
              <w:bottom w:val="single" w:sz="8" w:space="0" w:color="000000"/>
              <w:right w:val="single" w:sz="8" w:space="0" w:color="000000"/>
            </w:tcBorders>
          </w:tcPr>
          <w:p w14:paraId="4825906A" w14:textId="77777777" w:rsidR="00076984" w:rsidRPr="00FF5F86" w:rsidRDefault="001604E0">
            <w:pPr>
              <w:spacing w:after="0" w:line="259" w:lineRule="auto"/>
              <w:ind w:left="0" w:firstLine="0"/>
              <w:jc w:val="both"/>
              <w:rPr>
                <w:color w:val="auto"/>
              </w:rPr>
            </w:pPr>
            <w:r w:rsidRPr="00FF5F86">
              <w:rPr>
                <w:color w:val="auto"/>
              </w:rPr>
              <w:t xml:space="preserve"> </w:t>
            </w:r>
          </w:p>
        </w:tc>
      </w:tr>
      <w:tr w:rsidR="00076984" w:rsidRPr="00FF5F86" w14:paraId="27335815" w14:textId="77777777" w:rsidTr="00AA0CDD">
        <w:trPr>
          <w:trHeight w:val="560"/>
        </w:trPr>
        <w:tc>
          <w:tcPr>
            <w:tcW w:w="1042" w:type="dxa"/>
            <w:tcBorders>
              <w:top w:val="single" w:sz="8" w:space="0" w:color="000000"/>
              <w:left w:val="single" w:sz="8" w:space="0" w:color="000000"/>
              <w:bottom w:val="single" w:sz="8" w:space="0" w:color="000000"/>
              <w:right w:val="single" w:sz="8" w:space="0" w:color="000000"/>
            </w:tcBorders>
          </w:tcPr>
          <w:p w14:paraId="0B710ACA" w14:textId="77777777" w:rsidR="00076984" w:rsidRPr="00FF5F86" w:rsidRDefault="001604E0">
            <w:pPr>
              <w:spacing w:after="0" w:line="259" w:lineRule="auto"/>
              <w:ind w:left="0" w:firstLine="0"/>
              <w:jc w:val="both"/>
              <w:rPr>
                <w:color w:val="auto"/>
              </w:rPr>
            </w:pPr>
            <w:r w:rsidRPr="00FF5F86">
              <w:rPr>
                <w:color w:val="auto"/>
              </w:rPr>
              <w:t xml:space="preserve"> </w:t>
            </w:r>
          </w:p>
        </w:tc>
        <w:tc>
          <w:tcPr>
            <w:tcW w:w="1038" w:type="dxa"/>
            <w:tcBorders>
              <w:top w:val="single" w:sz="8" w:space="0" w:color="000000"/>
              <w:left w:val="single" w:sz="8" w:space="0" w:color="000000"/>
              <w:bottom w:val="single" w:sz="8" w:space="0" w:color="000000"/>
              <w:right w:val="single" w:sz="8" w:space="0" w:color="000000"/>
            </w:tcBorders>
          </w:tcPr>
          <w:p w14:paraId="0AB79C70" w14:textId="77777777" w:rsidR="00076984" w:rsidRPr="00FF5F86" w:rsidRDefault="001604E0">
            <w:pPr>
              <w:spacing w:after="0" w:line="259" w:lineRule="auto"/>
              <w:ind w:left="15" w:firstLine="0"/>
              <w:jc w:val="both"/>
              <w:rPr>
                <w:color w:val="auto"/>
              </w:rPr>
            </w:pPr>
            <w:r w:rsidRPr="00FF5F86">
              <w:rPr>
                <w:color w:val="auto"/>
              </w:rPr>
              <w:t xml:space="preserve">Weekly </w:t>
            </w:r>
          </w:p>
          <w:p w14:paraId="40F918E1" w14:textId="77777777" w:rsidR="00076984" w:rsidRPr="00FF5F86" w:rsidRDefault="001604E0">
            <w:pPr>
              <w:spacing w:after="0" w:line="259" w:lineRule="auto"/>
              <w:ind w:left="15" w:firstLine="0"/>
              <w:jc w:val="both"/>
              <w:rPr>
                <w:color w:val="auto"/>
              </w:rPr>
            </w:pPr>
            <w:r w:rsidRPr="00FF5F86">
              <w:rPr>
                <w:color w:val="auto"/>
              </w:rPr>
              <w:t xml:space="preserve">Hrs </w:t>
            </w:r>
          </w:p>
        </w:tc>
        <w:tc>
          <w:tcPr>
            <w:tcW w:w="1051" w:type="dxa"/>
            <w:tcBorders>
              <w:top w:val="single" w:sz="8" w:space="0" w:color="000000"/>
              <w:left w:val="single" w:sz="8" w:space="0" w:color="000000"/>
              <w:bottom w:val="single" w:sz="8" w:space="0" w:color="000000"/>
              <w:right w:val="single" w:sz="8" w:space="0" w:color="000000"/>
            </w:tcBorders>
          </w:tcPr>
          <w:p w14:paraId="2F3C3F50" w14:textId="77777777" w:rsidR="00076984" w:rsidRPr="00FF5F86" w:rsidRDefault="001604E0">
            <w:pPr>
              <w:spacing w:after="0" w:line="259" w:lineRule="auto"/>
              <w:ind w:firstLine="0"/>
              <w:jc w:val="both"/>
              <w:rPr>
                <w:color w:val="auto"/>
              </w:rPr>
            </w:pPr>
            <w:r w:rsidRPr="00FF5F86">
              <w:rPr>
                <w:color w:val="auto"/>
              </w:rPr>
              <w:t xml:space="preserve">-0.014 </w:t>
            </w:r>
          </w:p>
        </w:tc>
        <w:tc>
          <w:tcPr>
            <w:tcW w:w="1034" w:type="dxa"/>
            <w:tcBorders>
              <w:top w:val="single" w:sz="8" w:space="0" w:color="000000"/>
              <w:left w:val="single" w:sz="8" w:space="0" w:color="000000"/>
              <w:bottom w:val="single" w:sz="8" w:space="0" w:color="000000"/>
              <w:right w:val="single" w:sz="8" w:space="0" w:color="000000"/>
            </w:tcBorders>
          </w:tcPr>
          <w:p w14:paraId="3555B628" w14:textId="77777777" w:rsidR="00076984" w:rsidRPr="00FF5F86" w:rsidRDefault="001604E0">
            <w:pPr>
              <w:spacing w:after="0" w:line="259" w:lineRule="auto"/>
              <w:ind w:left="5" w:firstLine="0"/>
              <w:jc w:val="both"/>
              <w:rPr>
                <w:color w:val="auto"/>
              </w:rPr>
            </w:pPr>
            <w:r w:rsidRPr="00FF5F86">
              <w:rPr>
                <w:color w:val="auto"/>
              </w:rPr>
              <w:t xml:space="preserve">0.005 </w:t>
            </w:r>
          </w:p>
        </w:tc>
        <w:tc>
          <w:tcPr>
            <w:tcW w:w="1019" w:type="dxa"/>
            <w:tcBorders>
              <w:top w:val="single" w:sz="8" w:space="0" w:color="000000"/>
              <w:left w:val="single" w:sz="8" w:space="0" w:color="000000"/>
              <w:bottom w:val="single" w:sz="8" w:space="0" w:color="000000"/>
              <w:right w:val="single" w:sz="8" w:space="0" w:color="000000"/>
            </w:tcBorders>
          </w:tcPr>
          <w:p w14:paraId="3439EB0F" w14:textId="77777777" w:rsidR="00076984" w:rsidRPr="00FF5F86" w:rsidRDefault="001604E0">
            <w:pPr>
              <w:spacing w:after="0" w:line="259" w:lineRule="auto"/>
              <w:ind w:left="0" w:firstLine="0"/>
              <w:jc w:val="both"/>
              <w:rPr>
                <w:color w:val="auto"/>
              </w:rPr>
            </w:pPr>
            <w:r w:rsidRPr="00FF5F86">
              <w:rPr>
                <w:color w:val="auto"/>
              </w:rPr>
              <w:t xml:space="preserve">-0.198 </w:t>
            </w:r>
          </w:p>
        </w:tc>
        <w:tc>
          <w:tcPr>
            <w:tcW w:w="1034" w:type="dxa"/>
            <w:tcBorders>
              <w:top w:val="single" w:sz="8" w:space="0" w:color="000000"/>
              <w:left w:val="single" w:sz="8" w:space="0" w:color="000000"/>
              <w:bottom w:val="single" w:sz="8" w:space="0" w:color="000000"/>
              <w:right w:val="single" w:sz="8" w:space="0" w:color="000000"/>
            </w:tcBorders>
          </w:tcPr>
          <w:p w14:paraId="2CFB5FB7" w14:textId="77777777" w:rsidR="00076984" w:rsidRPr="00FF5F86" w:rsidRDefault="001604E0">
            <w:pPr>
              <w:spacing w:after="0" w:line="259" w:lineRule="auto"/>
              <w:ind w:left="15" w:firstLine="0"/>
              <w:jc w:val="both"/>
              <w:rPr>
                <w:color w:val="auto"/>
              </w:rPr>
            </w:pPr>
            <w:r w:rsidRPr="00FF5F86">
              <w:rPr>
                <w:color w:val="auto"/>
              </w:rPr>
              <w:t xml:space="preserve">-2.80 </w:t>
            </w:r>
          </w:p>
        </w:tc>
        <w:tc>
          <w:tcPr>
            <w:tcW w:w="1033" w:type="dxa"/>
            <w:tcBorders>
              <w:top w:val="single" w:sz="8" w:space="0" w:color="000000"/>
              <w:left w:val="single" w:sz="8" w:space="0" w:color="000000"/>
              <w:bottom w:val="single" w:sz="8" w:space="0" w:color="000000"/>
              <w:right w:val="single" w:sz="8" w:space="0" w:color="000000"/>
            </w:tcBorders>
          </w:tcPr>
          <w:p w14:paraId="4293AAF9" w14:textId="77777777" w:rsidR="00076984" w:rsidRPr="00FF5F86" w:rsidRDefault="001604E0">
            <w:pPr>
              <w:spacing w:after="0" w:line="259" w:lineRule="auto"/>
              <w:ind w:firstLine="0"/>
              <w:jc w:val="both"/>
              <w:rPr>
                <w:color w:val="auto"/>
              </w:rPr>
            </w:pPr>
            <w:r w:rsidRPr="00FF5F86">
              <w:rPr>
                <w:color w:val="auto"/>
              </w:rPr>
              <w:t xml:space="preserve">.007 </w:t>
            </w:r>
          </w:p>
        </w:tc>
        <w:tc>
          <w:tcPr>
            <w:tcW w:w="1034" w:type="dxa"/>
            <w:tcBorders>
              <w:top w:val="single" w:sz="8" w:space="0" w:color="000000"/>
              <w:left w:val="single" w:sz="8" w:space="0" w:color="000000"/>
              <w:bottom w:val="single" w:sz="8" w:space="0" w:color="000000"/>
              <w:right w:val="single" w:sz="8" w:space="0" w:color="000000"/>
            </w:tcBorders>
          </w:tcPr>
          <w:p w14:paraId="3612F4D7" w14:textId="77777777" w:rsidR="00076984" w:rsidRPr="00FF5F86" w:rsidRDefault="001604E0">
            <w:pPr>
              <w:spacing w:after="0" w:line="259" w:lineRule="auto"/>
              <w:ind w:left="5" w:firstLine="0"/>
              <w:jc w:val="both"/>
              <w:rPr>
                <w:color w:val="auto"/>
              </w:rPr>
            </w:pPr>
            <w:r w:rsidRPr="00FF5F86">
              <w:rPr>
                <w:color w:val="auto"/>
              </w:rPr>
              <w:t xml:space="preserve"> </w:t>
            </w:r>
          </w:p>
        </w:tc>
        <w:tc>
          <w:tcPr>
            <w:tcW w:w="1015" w:type="dxa"/>
            <w:tcBorders>
              <w:top w:val="single" w:sz="8" w:space="0" w:color="000000"/>
              <w:left w:val="single" w:sz="8" w:space="0" w:color="000000"/>
              <w:bottom w:val="single" w:sz="8" w:space="0" w:color="000000"/>
              <w:right w:val="single" w:sz="8" w:space="0" w:color="000000"/>
            </w:tcBorders>
          </w:tcPr>
          <w:p w14:paraId="1047A28B" w14:textId="77777777" w:rsidR="00076984" w:rsidRPr="00FF5F86" w:rsidRDefault="001604E0">
            <w:pPr>
              <w:spacing w:after="0" w:line="259" w:lineRule="auto"/>
              <w:ind w:left="0" w:firstLine="0"/>
              <w:jc w:val="both"/>
              <w:rPr>
                <w:color w:val="auto"/>
              </w:rPr>
            </w:pPr>
            <w:r w:rsidRPr="00FF5F86">
              <w:rPr>
                <w:color w:val="auto"/>
              </w:rPr>
              <w:t xml:space="preserve"> </w:t>
            </w:r>
          </w:p>
        </w:tc>
      </w:tr>
      <w:tr w:rsidR="00076984" w:rsidRPr="00FF5F86" w14:paraId="2DF341EA" w14:textId="77777777" w:rsidTr="00AA0CDD">
        <w:trPr>
          <w:trHeight w:val="1080"/>
        </w:trPr>
        <w:tc>
          <w:tcPr>
            <w:tcW w:w="1042" w:type="dxa"/>
            <w:tcBorders>
              <w:top w:val="single" w:sz="8" w:space="0" w:color="000000"/>
              <w:left w:val="single" w:sz="8" w:space="0" w:color="000000"/>
              <w:bottom w:val="single" w:sz="8" w:space="0" w:color="000000"/>
              <w:right w:val="single" w:sz="8" w:space="0" w:color="000000"/>
            </w:tcBorders>
          </w:tcPr>
          <w:p w14:paraId="77C6F032" w14:textId="77777777" w:rsidR="00076984" w:rsidRPr="00FF5F86" w:rsidRDefault="001604E0">
            <w:pPr>
              <w:spacing w:after="0" w:line="256" w:lineRule="auto"/>
              <w:ind w:left="0" w:firstLine="0"/>
              <w:jc w:val="both"/>
              <w:rPr>
                <w:color w:val="auto"/>
              </w:rPr>
            </w:pPr>
            <w:r w:rsidRPr="00FF5F86">
              <w:rPr>
                <w:b/>
                <w:color w:val="auto"/>
              </w:rPr>
              <w:lastRenderedPageBreak/>
              <w:t xml:space="preserve">Model C: Professio nal </w:t>
            </w:r>
          </w:p>
          <w:p w14:paraId="25F9B4D0" w14:textId="77777777" w:rsidR="00076984" w:rsidRPr="00FF5F86" w:rsidRDefault="001604E0">
            <w:pPr>
              <w:spacing w:after="0" w:line="259" w:lineRule="auto"/>
              <w:ind w:left="0" w:firstLine="0"/>
              <w:jc w:val="both"/>
              <w:rPr>
                <w:color w:val="auto"/>
              </w:rPr>
            </w:pPr>
            <w:r w:rsidRPr="00FF5F86">
              <w:rPr>
                <w:b/>
                <w:color w:val="auto"/>
              </w:rPr>
              <w:t xml:space="preserve">Burnout </w:t>
            </w:r>
          </w:p>
        </w:tc>
        <w:tc>
          <w:tcPr>
            <w:tcW w:w="1038" w:type="dxa"/>
            <w:tcBorders>
              <w:top w:val="single" w:sz="8" w:space="0" w:color="000000"/>
              <w:left w:val="single" w:sz="8" w:space="0" w:color="000000"/>
              <w:bottom w:val="single" w:sz="8" w:space="0" w:color="000000"/>
              <w:right w:val="single" w:sz="8" w:space="0" w:color="000000"/>
            </w:tcBorders>
          </w:tcPr>
          <w:p w14:paraId="779A52C5" w14:textId="77777777" w:rsidR="00076984" w:rsidRPr="00FF5F86" w:rsidRDefault="001604E0">
            <w:pPr>
              <w:spacing w:after="0" w:line="259" w:lineRule="auto"/>
              <w:ind w:left="15" w:firstLine="0"/>
              <w:jc w:val="both"/>
              <w:rPr>
                <w:color w:val="auto"/>
              </w:rPr>
            </w:pPr>
            <w:r w:rsidRPr="00FF5F86">
              <w:rPr>
                <w:color w:val="auto"/>
              </w:rPr>
              <w:t xml:space="preserve">Constant </w:t>
            </w:r>
          </w:p>
        </w:tc>
        <w:tc>
          <w:tcPr>
            <w:tcW w:w="1051" w:type="dxa"/>
            <w:tcBorders>
              <w:top w:val="single" w:sz="8" w:space="0" w:color="000000"/>
              <w:left w:val="single" w:sz="8" w:space="0" w:color="000000"/>
              <w:bottom w:val="single" w:sz="8" w:space="0" w:color="000000"/>
              <w:right w:val="single" w:sz="8" w:space="0" w:color="000000"/>
            </w:tcBorders>
          </w:tcPr>
          <w:p w14:paraId="76664D25" w14:textId="77777777" w:rsidR="00076984" w:rsidRPr="00FF5F86" w:rsidRDefault="001604E0">
            <w:pPr>
              <w:spacing w:after="0" w:line="259" w:lineRule="auto"/>
              <w:ind w:firstLine="0"/>
              <w:jc w:val="both"/>
              <w:rPr>
                <w:color w:val="auto"/>
              </w:rPr>
            </w:pPr>
            <w:r w:rsidRPr="00FF5F86">
              <w:rPr>
                <w:color w:val="auto"/>
              </w:rPr>
              <w:t xml:space="preserve">1.120 </w:t>
            </w:r>
          </w:p>
        </w:tc>
        <w:tc>
          <w:tcPr>
            <w:tcW w:w="1034" w:type="dxa"/>
            <w:tcBorders>
              <w:top w:val="single" w:sz="8" w:space="0" w:color="000000"/>
              <w:left w:val="single" w:sz="8" w:space="0" w:color="000000"/>
              <w:bottom w:val="single" w:sz="8" w:space="0" w:color="000000"/>
              <w:right w:val="single" w:sz="8" w:space="0" w:color="000000"/>
            </w:tcBorders>
          </w:tcPr>
          <w:p w14:paraId="4DAA6EC4" w14:textId="77777777" w:rsidR="00076984" w:rsidRPr="00FF5F86" w:rsidRDefault="001604E0">
            <w:pPr>
              <w:spacing w:after="0" w:line="259" w:lineRule="auto"/>
              <w:ind w:left="5" w:firstLine="0"/>
              <w:jc w:val="both"/>
              <w:rPr>
                <w:color w:val="auto"/>
              </w:rPr>
            </w:pPr>
            <w:r w:rsidRPr="00FF5F86">
              <w:rPr>
                <w:color w:val="auto"/>
              </w:rPr>
              <w:t xml:space="preserve">0.415 </w:t>
            </w:r>
          </w:p>
        </w:tc>
        <w:tc>
          <w:tcPr>
            <w:tcW w:w="1019" w:type="dxa"/>
            <w:tcBorders>
              <w:top w:val="single" w:sz="8" w:space="0" w:color="000000"/>
              <w:left w:val="single" w:sz="8" w:space="0" w:color="000000"/>
              <w:bottom w:val="single" w:sz="8" w:space="0" w:color="000000"/>
              <w:right w:val="single" w:sz="8" w:space="0" w:color="000000"/>
            </w:tcBorders>
          </w:tcPr>
          <w:p w14:paraId="1E682574" w14:textId="77777777" w:rsidR="00076984" w:rsidRPr="00FF5F86" w:rsidRDefault="001604E0">
            <w:pPr>
              <w:spacing w:after="0" w:line="259" w:lineRule="auto"/>
              <w:ind w:left="0" w:firstLine="0"/>
              <w:jc w:val="both"/>
              <w:rPr>
                <w:color w:val="auto"/>
              </w:rPr>
            </w:pPr>
            <w:r w:rsidRPr="00FF5F86">
              <w:rPr>
                <w:color w:val="auto"/>
              </w:rPr>
              <w:t xml:space="preserve"> </w:t>
            </w:r>
          </w:p>
        </w:tc>
        <w:tc>
          <w:tcPr>
            <w:tcW w:w="1034" w:type="dxa"/>
            <w:tcBorders>
              <w:top w:val="single" w:sz="8" w:space="0" w:color="000000"/>
              <w:left w:val="single" w:sz="8" w:space="0" w:color="000000"/>
              <w:bottom w:val="single" w:sz="8" w:space="0" w:color="000000"/>
              <w:right w:val="single" w:sz="8" w:space="0" w:color="000000"/>
            </w:tcBorders>
          </w:tcPr>
          <w:p w14:paraId="1C719B39" w14:textId="77777777" w:rsidR="00076984" w:rsidRPr="00FF5F86" w:rsidRDefault="001604E0">
            <w:pPr>
              <w:spacing w:after="0" w:line="259" w:lineRule="auto"/>
              <w:ind w:left="15" w:firstLine="0"/>
              <w:jc w:val="both"/>
              <w:rPr>
                <w:color w:val="auto"/>
              </w:rPr>
            </w:pPr>
            <w:r w:rsidRPr="00FF5F86">
              <w:rPr>
                <w:color w:val="auto"/>
              </w:rPr>
              <w:t xml:space="preserve">2.70 </w:t>
            </w:r>
          </w:p>
        </w:tc>
        <w:tc>
          <w:tcPr>
            <w:tcW w:w="1033" w:type="dxa"/>
            <w:tcBorders>
              <w:top w:val="single" w:sz="8" w:space="0" w:color="000000"/>
              <w:left w:val="single" w:sz="8" w:space="0" w:color="000000"/>
              <w:bottom w:val="single" w:sz="8" w:space="0" w:color="000000"/>
              <w:right w:val="single" w:sz="8" w:space="0" w:color="000000"/>
            </w:tcBorders>
          </w:tcPr>
          <w:p w14:paraId="4D5CA981" w14:textId="77777777" w:rsidR="00076984" w:rsidRPr="00FF5F86" w:rsidRDefault="001604E0">
            <w:pPr>
              <w:spacing w:after="0" w:line="259" w:lineRule="auto"/>
              <w:ind w:firstLine="0"/>
              <w:jc w:val="both"/>
              <w:rPr>
                <w:color w:val="auto"/>
              </w:rPr>
            </w:pPr>
            <w:r w:rsidRPr="00FF5F86">
              <w:rPr>
                <w:color w:val="auto"/>
              </w:rPr>
              <w:t xml:space="preserve">.009 </w:t>
            </w:r>
          </w:p>
        </w:tc>
        <w:tc>
          <w:tcPr>
            <w:tcW w:w="1034" w:type="dxa"/>
            <w:tcBorders>
              <w:top w:val="single" w:sz="8" w:space="0" w:color="000000"/>
              <w:left w:val="single" w:sz="8" w:space="0" w:color="000000"/>
              <w:bottom w:val="single" w:sz="8" w:space="0" w:color="000000"/>
              <w:right w:val="single" w:sz="8" w:space="0" w:color="000000"/>
            </w:tcBorders>
          </w:tcPr>
          <w:p w14:paraId="76DFA4DC" w14:textId="77777777" w:rsidR="00076984" w:rsidRPr="00FF5F86" w:rsidRDefault="001604E0">
            <w:pPr>
              <w:spacing w:after="0" w:line="259" w:lineRule="auto"/>
              <w:ind w:left="5" w:firstLine="0"/>
              <w:jc w:val="both"/>
              <w:rPr>
                <w:color w:val="auto"/>
              </w:rPr>
            </w:pPr>
            <w:r w:rsidRPr="00FF5F86">
              <w:rPr>
                <w:color w:val="auto"/>
              </w:rPr>
              <w:t xml:space="preserve">0.564 </w:t>
            </w:r>
          </w:p>
        </w:tc>
        <w:tc>
          <w:tcPr>
            <w:tcW w:w="1015" w:type="dxa"/>
            <w:tcBorders>
              <w:top w:val="single" w:sz="8" w:space="0" w:color="000000"/>
              <w:left w:val="single" w:sz="8" w:space="0" w:color="000000"/>
              <w:bottom w:val="single" w:sz="8" w:space="0" w:color="000000"/>
              <w:right w:val="single" w:sz="8" w:space="0" w:color="000000"/>
            </w:tcBorders>
          </w:tcPr>
          <w:p w14:paraId="7CC47472" w14:textId="77777777" w:rsidR="00076984" w:rsidRPr="00FF5F86" w:rsidRDefault="001604E0">
            <w:pPr>
              <w:spacing w:after="0" w:line="259" w:lineRule="auto"/>
              <w:ind w:left="0" w:firstLine="0"/>
              <w:jc w:val="both"/>
              <w:rPr>
                <w:color w:val="auto"/>
              </w:rPr>
            </w:pPr>
            <w:proofErr w:type="gramStart"/>
            <w:r w:rsidRPr="00FF5F86">
              <w:rPr>
                <w:color w:val="auto"/>
              </w:rPr>
              <w:t>F(</w:t>
            </w:r>
            <w:proofErr w:type="gramEnd"/>
            <w:r w:rsidRPr="00FF5F86">
              <w:rPr>
                <w:color w:val="auto"/>
              </w:rPr>
              <w:t xml:space="preserve">4, 75) = </w:t>
            </w:r>
          </w:p>
          <w:p w14:paraId="17B4223E" w14:textId="77777777" w:rsidR="00076984" w:rsidRPr="00FF5F86" w:rsidRDefault="001604E0">
            <w:pPr>
              <w:spacing w:after="0" w:line="259" w:lineRule="auto"/>
              <w:ind w:left="0" w:firstLine="0"/>
              <w:jc w:val="both"/>
              <w:rPr>
                <w:color w:val="auto"/>
              </w:rPr>
            </w:pPr>
            <w:r w:rsidRPr="00FF5F86">
              <w:rPr>
                <w:color w:val="auto"/>
              </w:rPr>
              <w:t>24.28, p &lt;</w:t>
            </w:r>
          </w:p>
          <w:p w14:paraId="74925C7E" w14:textId="77777777" w:rsidR="00076984" w:rsidRPr="00FF5F86" w:rsidRDefault="001604E0">
            <w:pPr>
              <w:spacing w:after="0" w:line="259" w:lineRule="auto"/>
              <w:ind w:left="0" w:firstLine="0"/>
              <w:jc w:val="both"/>
              <w:rPr>
                <w:color w:val="auto"/>
              </w:rPr>
            </w:pPr>
            <w:r w:rsidRPr="00FF5F86">
              <w:rPr>
                <w:color w:val="auto"/>
              </w:rPr>
              <w:t xml:space="preserve">.001 </w:t>
            </w:r>
          </w:p>
        </w:tc>
      </w:tr>
      <w:tr w:rsidR="00076984" w:rsidRPr="00FF5F86" w14:paraId="3871546B" w14:textId="77777777" w:rsidTr="00AA0CDD">
        <w:trPr>
          <w:trHeight w:val="560"/>
        </w:trPr>
        <w:tc>
          <w:tcPr>
            <w:tcW w:w="1042" w:type="dxa"/>
            <w:tcBorders>
              <w:top w:val="single" w:sz="8" w:space="0" w:color="000000"/>
              <w:left w:val="single" w:sz="8" w:space="0" w:color="000000"/>
              <w:bottom w:val="single" w:sz="8" w:space="0" w:color="000000"/>
              <w:right w:val="single" w:sz="8" w:space="0" w:color="000000"/>
            </w:tcBorders>
          </w:tcPr>
          <w:p w14:paraId="68347676" w14:textId="77777777" w:rsidR="00076984" w:rsidRPr="00FF5F86" w:rsidRDefault="001604E0">
            <w:pPr>
              <w:spacing w:after="0" w:line="259" w:lineRule="auto"/>
              <w:ind w:left="0" w:firstLine="0"/>
              <w:jc w:val="both"/>
              <w:rPr>
                <w:color w:val="auto"/>
              </w:rPr>
            </w:pPr>
            <w:r w:rsidRPr="00FF5F86">
              <w:rPr>
                <w:color w:val="auto"/>
              </w:rPr>
              <w:t xml:space="preserve"> </w:t>
            </w:r>
          </w:p>
        </w:tc>
        <w:tc>
          <w:tcPr>
            <w:tcW w:w="1038" w:type="dxa"/>
            <w:tcBorders>
              <w:top w:val="single" w:sz="8" w:space="0" w:color="000000"/>
              <w:left w:val="single" w:sz="8" w:space="0" w:color="000000"/>
              <w:bottom w:val="single" w:sz="8" w:space="0" w:color="000000"/>
              <w:right w:val="single" w:sz="8" w:space="0" w:color="000000"/>
            </w:tcBorders>
          </w:tcPr>
          <w:p w14:paraId="3FB17F82" w14:textId="77777777" w:rsidR="00076984" w:rsidRPr="00FF5F86" w:rsidRDefault="001604E0">
            <w:pPr>
              <w:spacing w:after="0" w:line="259" w:lineRule="auto"/>
              <w:ind w:left="15" w:firstLine="0"/>
              <w:jc w:val="both"/>
              <w:rPr>
                <w:color w:val="auto"/>
              </w:rPr>
            </w:pPr>
            <w:r w:rsidRPr="00FF5F86">
              <w:rPr>
                <w:color w:val="auto"/>
              </w:rPr>
              <w:t xml:space="preserve">Class </w:t>
            </w:r>
          </w:p>
          <w:p w14:paraId="1775749F" w14:textId="77777777" w:rsidR="00076984" w:rsidRPr="00FF5F86" w:rsidRDefault="001604E0">
            <w:pPr>
              <w:spacing w:after="0" w:line="259" w:lineRule="auto"/>
              <w:ind w:left="15" w:firstLine="0"/>
              <w:jc w:val="both"/>
              <w:rPr>
                <w:color w:val="auto"/>
              </w:rPr>
            </w:pPr>
            <w:r w:rsidRPr="00FF5F86">
              <w:rPr>
                <w:color w:val="auto"/>
              </w:rPr>
              <w:t xml:space="preserve">Size </w:t>
            </w:r>
          </w:p>
        </w:tc>
        <w:tc>
          <w:tcPr>
            <w:tcW w:w="1051" w:type="dxa"/>
            <w:tcBorders>
              <w:top w:val="single" w:sz="8" w:space="0" w:color="000000"/>
              <w:left w:val="single" w:sz="8" w:space="0" w:color="000000"/>
              <w:bottom w:val="single" w:sz="8" w:space="0" w:color="000000"/>
              <w:right w:val="single" w:sz="8" w:space="0" w:color="000000"/>
            </w:tcBorders>
          </w:tcPr>
          <w:p w14:paraId="1007BBCD" w14:textId="77777777" w:rsidR="00076984" w:rsidRPr="00FF5F86" w:rsidRDefault="001604E0">
            <w:pPr>
              <w:spacing w:after="0" w:line="259" w:lineRule="auto"/>
              <w:ind w:firstLine="0"/>
              <w:jc w:val="both"/>
              <w:rPr>
                <w:color w:val="auto"/>
              </w:rPr>
            </w:pPr>
            <w:r w:rsidRPr="00FF5F86">
              <w:rPr>
                <w:color w:val="auto"/>
              </w:rPr>
              <w:t xml:space="preserve">0.061 </w:t>
            </w:r>
          </w:p>
        </w:tc>
        <w:tc>
          <w:tcPr>
            <w:tcW w:w="1034" w:type="dxa"/>
            <w:tcBorders>
              <w:top w:val="single" w:sz="8" w:space="0" w:color="000000"/>
              <w:left w:val="single" w:sz="8" w:space="0" w:color="000000"/>
              <w:bottom w:val="single" w:sz="8" w:space="0" w:color="000000"/>
              <w:right w:val="single" w:sz="8" w:space="0" w:color="000000"/>
            </w:tcBorders>
          </w:tcPr>
          <w:p w14:paraId="13BC5841" w14:textId="77777777" w:rsidR="00076984" w:rsidRPr="00FF5F86" w:rsidRDefault="001604E0">
            <w:pPr>
              <w:spacing w:after="0" w:line="259" w:lineRule="auto"/>
              <w:ind w:left="5" w:firstLine="0"/>
              <w:jc w:val="both"/>
              <w:rPr>
                <w:color w:val="auto"/>
              </w:rPr>
            </w:pPr>
            <w:r w:rsidRPr="00FF5F86">
              <w:rPr>
                <w:color w:val="auto"/>
              </w:rPr>
              <w:t xml:space="preserve">0.008 </w:t>
            </w:r>
          </w:p>
        </w:tc>
        <w:tc>
          <w:tcPr>
            <w:tcW w:w="1019" w:type="dxa"/>
            <w:tcBorders>
              <w:top w:val="single" w:sz="8" w:space="0" w:color="000000"/>
              <w:left w:val="single" w:sz="8" w:space="0" w:color="000000"/>
              <w:bottom w:val="single" w:sz="8" w:space="0" w:color="000000"/>
              <w:right w:val="single" w:sz="8" w:space="0" w:color="000000"/>
            </w:tcBorders>
          </w:tcPr>
          <w:p w14:paraId="3B92729B" w14:textId="77777777" w:rsidR="00076984" w:rsidRPr="00FF5F86" w:rsidRDefault="001604E0">
            <w:pPr>
              <w:spacing w:after="0" w:line="259" w:lineRule="auto"/>
              <w:ind w:left="0" w:firstLine="0"/>
              <w:jc w:val="both"/>
              <w:rPr>
                <w:color w:val="auto"/>
              </w:rPr>
            </w:pPr>
            <w:r w:rsidRPr="00FF5F86">
              <w:rPr>
                <w:color w:val="auto"/>
              </w:rPr>
              <w:t xml:space="preserve">0.685 </w:t>
            </w:r>
          </w:p>
        </w:tc>
        <w:tc>
          <w:tcPr>
            <w:tcW w:w="1034" w:type="dxa"/>
            <w:tcBorders>
              <w:top w:val="single" w:sz="8" w:space="0" w:color="000000"/>
              <w:left w:val="single" w:sz="8" w:space="0" w:color="000000"/>
              <w:bottom w:val="single" w:sz="8" w:space="0" w:color="000000"/>
              <w:right w:val="single" w:sz="8" w:space="0" w:color="000000"/>
            </w:tcBorders>
          </w:tcPr>
          <w:p w14:paraId="7C437899" w14:textId="77777777" w:rsidR="00076984" w:rsidRPr="00FF5F86" w:rsidRDefault="001604E0">
            <w:pPr>
              <w:spacing w:after="0" w:line="259" w:lineRule="auto"/>
              <w:ind w:left="15" w:firstLine="0"/>
              <w:jc w:val="both"/>
              <w:rPr>
                <w:color w:val="auto"/>
              </w:rPr>
            </w:pPr>
            <w:r w:rsidRPr="00FF5F86">
              <w:rPr>
                <w:color w:val="auto"/>
              </w:rPr>
              <w:t xml:space="preserve">7.63 </w:t>
            </w:r>
          </w:p>
        </w:tc>
        <w:tc>
          <w:tcPr>
            <w:tcW w:w="1033" w:type="dxa"/>
            <w:tcBorders>
              <w:top w:val="single" w:sz="8" w:space="0" w:color="000000"/>
              <w:left w:val="single" w:sz="8" w:space="0" w:color="000000"/>
              <w:bottom w:val="single" w:sz="8" w:space="0" w:color="000000"/>
              <w:right w:val="single" w:sz="8" w:space="0" w:color="000000"/>
            </w:tcBorders>
          </w:tcPr>
          <w:p w14:paraId="4376930C" w14:textId="77777777" w:rsidR="00076984" w:rsidRPr="00FF5F86" w:rsidRDefault="001604E0">
            <w:pPr>
              <w:spacing w:after="0" w:line="259" w:lineRule="auto"/>
              <w:ind w:firstLine="0"/>
              <w:jc w:val="both"/>
              <w:rPr>
                <w:color w:val="auto"/>
              </w:rPr>
            </w:pPr>
            <w:r w:rsidRPr="00FF5F86">
              <w:rPr>
                <w:color w:val="auto"/>
              </w:rPr>
              <w:t xml:space="preserve">&lt; .001 </w:t>
            </w:r>
          </w:p>
        </w:tc>
        <w:tc>
          <w:tcPr>
            <w:tcW w:w="1034" w:type="dxa"/>
            <w:tcBorders>
              <w:top w:val="single" w:sz="8" w:space="0" w:color="000000"/>
              <w:left w:val="single" w:sz="8" w:space="0" w:color="000000"/>
              <w:bottom w:val="single" w:sz="8" w:space="0" w:color="000000"/>
              <w:right w:val="single" w:sz="8" w:space="0" w:color="000000"/>
            </w:tcBorders>
          </w:tcPr>
          <w:p w14:paraId="36F40ACD" w14:textId="77777777" w:rsidR="00076984" w:rsidRPr="00FF5F86" w:rsidRDefault="001604E0">
            <w:pPr>
              <w:spacing w:after="0" w:line="259" w:lineRule="auto"/>
              <w:ind w:left="5" w:firstLine="0"/>
              <w:jc w:val="both"/>
              <w:rPr>
                <w:color w:val="auto"/>
              </w:rPr>
            </w:pPr>
            <w:r w:rsidRPr="00FF5F86">
              <w:rPr>
                <w:color w:val="auto"/>
              </w:rPr>
              <w:t xml:space="preserve"> </w:t>
            </w:r>
          </w:p>
        </w:tc>
        <w:tc>
          <w:tcPr>
            <w:tcW w:w="1015" w:type="dxa"/>
            <w:tcBorders>
              <w:top w:val="single" w:sz="8" w:space="0" w:color="000000"/>
              <w:left w:val="single" w:sz="8" w:space="0" w:color="000000"/>
              <w:bottom w:val="single" w:sz="8" w:space="0" w:color="000000"/>
              <w:right w:val="single" w:sz="8" w:space="0" w:color="000000"/>
            </w:tcBorders>
          </w:tcPr>
          <w:p w14:paraId="4B4F3356" w14:textId="77777777" w:rsidR="00076984" w:rsidRPr="00FF5F86" w:rsidRDefault="001604E0">
            <w:pPr>
              <w:spacing w:after="0" w:line="259" w:lineRule="auto"/>
              <w:ind w:left="0" w:firstLine="0"/>
              <w:jc w:val="both"/>
              <w:rPr>
                <w:color w:val="auto"/>
              </w:rPr>
            </w:pPr>
            <w:r w:rsidRPr="00FF5F86">
              <w:rPr>
                <w:color w:val="auto"/>
              </w:rPr>
              <w:t xml:space="preserve"> </w:t>
            </w:r>
          </w:p>
        </w:tc>
      </w:tr>
      <w:tr w:rsidR="00076984" w:rsidRPr="00FF5F86" w14:paraId="2CE6C649" w14:textId="77777777" w:rsidTr="00AA0CDD">
        <w:trPr>
          <w:trHeight w:val="560"/>
        </w:trPr>
        <w:tc>
          <w:tcPr>
            <w:tcW w:w="1042" w:type="dxa"/>
            <w:tcBorders>
              <w:top w:val="single" w:sz="8" w:space="0" w:color="000000"/>
              <w:left w:val="single" w:sz="8" w:space="0" w:color="000000"/>
              <w:bottom w:val="single" w:sz="8" w:space="0" w:color="000000"/>
              <w:right w:val="single" w:sz="8" w:space="0" w:color="000000"/>
            </w:tcBorders>
          </w:tcPr>
          <w:p w14:paraId="6EC04F1B" w14:textId="77777777" w:rsidR="00076984" w:rsidRPr="00FF5F86" w:rsidRDefault="001604E0">
            <w:pPr>
              <w:spacing w:after="0" w:line="259" w:lineRule="auto"/>
              <w:ind w:left="0" w:firstLine="0"/>
              <w:jc w:val="both"/>
              <w:rPr>
                <w:color w:val="auto"/>
              </w:rPr>
            </w:pPr>
            <w:r w:rsidRPr="00FF5F86">
              <w:rPr>
                <w:color w:val="auto"/>
              </w:rPr>
              <w:t xml:space="preserve"> </w:t>
            </w:r>
          </w:p>
        </w:tc>
        <w:tc>
          <w:tcPr>
            <w:tcW w:w="1038" w:type="dxa"/>
            <w:tcBorders>
              <w:top w:val="single" w:sz="8" w:space="0" w:color="000000"/>
              <w:left w:val="single" w:sz="8" w:space="0" w:color="000000"/>
              <w:bottom w:val="single" w:sz="8" w:space="0" w:color="000000"/>
              <w:right w:val="single" w:sz="8" w:space="0" w:color="000000"/>
            </w:tcBorders>
          </w:tcPr>
          <w:p w14:paraId="62A7AE86" w14:textId="77777777" w:rsidR="00076984" w:rsidRPr="00FF5F86" w:rsidRDefault="001604E0">
            <w:pPr>
              <w:spacing w:after="0" w:line="259" w:lineRule="auto"/>
              <w:ind w:left="15" w:firstLine="0"/>
              <w:jc w:val="both"/>
              <w:rPr>
                <w:color w:val="auto"/>
              </w:rPr>
            </w:pPr>
            <w:r w:rsidRPr="00FF5F86">
              <w:rPr>
                <w:color w:val="auto"/>
              </w:rPr>
              <w:t xml:space="preserve">Years Exp. </w:t>
            </w:r>
          </w:p>
        </w:tc>
        <w:tc>
          <w:tcPr>
            <w:tcW w:w="1051" w:type="dxa"/>
            <w:tcBorders>
              <w:top w:val="single" w:sz="8" w:space="0" w:color="000000"/>
              <w:left w:val="single" w:sz="8" w:space="0" w:color="000000"/>
              <w:bottom w:val="single" w:sz="8" w:space="0" w:color="000000"/>
              <w:right w:val="single" w:sz="8" w:space="0" w:color="000000"/>
            </w:tcBorders>
          </w:tcPr>
          <w:p w14:paraId="55DF444A" w14:textId="77777777" w:rsidR="00076984" w:rsidRPr="00FF5F86" w:rsidRDefault="001604E0">
            <w:pPr>
              <w:spacing w:after="0" w:line="259" w:lineRule="auto"/>
              <w:ind w:firstLine="0"/>
              <w:jc w:val="both"/>
              <w:rPr>
                <w:color w:val="auto"/>
              </w:rPr>
            </w:pPr>
            <w:r w:rsidRPr="00FF5F86">
              <w:rPr>
                <w:color w:val="auto"/>
              </w:rPr>
              <w:t xml:space="preserve">-0.018 </w:t>
            </w:r>
          </w:p>
        </w:tc>
        <w:tc>
          <w:tcPr>
            <w:tcW w:w="1034" w:type="dxa"/>
            <w:tcBorders>
              <w:top w:val="single" w:sz="8" w:space="0" w:color="000000"/>
              <w:left w:val="single" w:sz="8" w:space="0" w:color="000000"/>
              <w:bottom w:val="single" w:sz="8" w:space="0" w:color="000000"/>
              <w:right w:val="single" w:sz="8" w:space="0" w:color="000000"/>
            </w:tcBorders>
          </w:tcPr>
          <w:p w14:paraId="714B9D27" w14:textId="77777777" w:rsidR="00076984" w:rsidRPr="00FF5F86" w:rsidRDefault="001604E0">
            <w:pPr>
              <w:spacing w:after="0" w:line="259" w:lineRule="auto"/>
              <w:ind w:left="5" w:firstLine="0"/>
              <w:jc w:val="both"/>
              <w:rPr>
                <w:color w:val="auto"/>
              </w:rPr>
            </w:pPr>
            <w:r w:rsidRPr="00FF5F86">
              <w:rPr>
                <w:color w:val="auto"/>
              </w:rPr>
              <w:t xml:space="preserve">0.007 </w:t>
            </w:r>
          </w:p>
        </w:tc>
        <w:tc>
          <w:tcPr>
            <w:tcW w:w="1019" w:type="dxa"/>
            <w:tcBorders>
              <w:top w:val="single" w:sz="8" w:space="0" w:color="000000"/>
              <w:left w:val="single" w:sz="8" w:space="0" w:color="000000"/>
              <w:bottom w:val="single" w:sz="8" w:space="0" w:color="000000"/>
              <w:right w:val="single" w:sz="8" w:space="0" w:color="000000"/>
            </w:tcBorders>
          </w:tcPr>
          <w:p w14:paraId="7CD8CBF0" w14:textId="77777777" w:rsidR="00076984" w:rsidRPr="00FF5F86" w:rsidRDefault="001604E0">
            <w:pPr>
              <w:spacing w:after="0" w:line="259" w:lineRule="auto"/>
              <w:ind w:left="0" w:firstLine="0"/>
              <w:jc w:val="both"/>
              <w:rPr>
                <w:color w:val="auto"/>
              </w:rPr>
            </w:pPr>
            <w:r w:rsidRPr="00FF5F86">
              <w:rPr>
                <w:color w:val="auto"/>
              </w:rPr>
              <w:t xml:space="preserve">-0.154 </w:t>
            </w:r>
          </w:p>
        </w:tc>
        <w:tc>
          <w:tcPr>
            <w:tcW w:w="1034" w:type="dxa"/>
            <w:tcBorders>
              <w:top w:val="single" w:sz="8" w:space="0" w:color="000000"/>
              <w:left w:val="single" w:sz="8" w:space="0" w:color="000000"/>
              <w:bottom w:val="single" w:sz="8" w:space="0" w:color="000000"/>
              <w:right w:val="single" w:sz="8" w:space="0" w:color="000000"/>
            </w:tcBorders>
          </w:tcPr>
          <w:p w14:paraId="2414B03F" w14:textId="77777777" w:rsidR="00076984" w:rsidRPr="00FF5F86" w:rsidRDefault="001604E0">
            <w:pPr>
              <w:spacing w:after="0" w:line="259" w:lineRule="auto"/>
              <w:ind w:left="15" w:firstLine="0"/>
              <w:jc w:val="both"/>
              <w:rPr>
                <w:color w:val="auto"/>
              </w:rPr>
            </w:pPr>
            <w:r w:rsidRPr="00FF5F86">
              <w:rPr>
                <w:color w:val="auto"/>
              </w:rPr>
              <w:t xml:space="preserve">-2.57 </w:t>
            </w:r>
          </w:p>
        </w:tc>
        <w:tc>
          <w:tcPr>
            <w:tcW w:w="1033" w:type="dxa"/>
            <w:tcBorders>
              <w:top w:val="single" w:sz="8" w:space="0" w:color="000000"/>
              <w:left w:val="single" w:sz="8" w:space="0" w:color="000000"/>
              <w:bottom w:val="single" w:sz="8" w:space="0" w:color="000000"/>
              <w:right w:val="single" w:sz="8" w:space="0" w:color="000000"/>
            </w:tcBorders>
          </w:tcPr>
          <w:p w14:paraId="48BA36AE" w14:textId="77777777" w:rsidR="00076984" w:rsidRPr="00FF5F86" w:rsidRDefault="001604E0">
            <w:pPr>
              <w:spacing w:after="0" w:line="259" w:lineRule="auto"/>
              <w:ind w:firstLine="0"/>
              <w:jc w:val="both"/>
              <w:rPr>
                <w:color w:val="auto"/>
              </w:rPr>
            </w:pPr>
            <w:r w:rsidRPr="00FF5F86">
              <w:rPr>
                <w:color w:val="auto"/>
              </w:rPr>
              <w:t xml:space="preserve">.012 </w:t>
            </w:r>
          </w:p>
        </w:tc>
        <w:tc>
          <w:tcPr>
            <w:tcW w:w="1034" w:type="dxa"/>
            <w:tcBorders>
              <w:top w:val="single" w:sz="8" w:space="0" w:color="000000"/>
              <w:left w:val="single" w:sz="8" w:space="0" w:color="000000"/>
              <w:bottom w:val="single" w:sz="8" w:space="0" w:color="000000"/>
              <w:right w:val="single" w:sz="8" w:space="0" w:color="000000"/>
            </w:tcBorders>
          </w:tcPr>
          <w:p w14:paraId="2AD08A3A" w14:textId="77777777" w:rsidR="00076984" w:rsidRPr="00FF5F86" w:rsidRDefault="001604E0">
            <w:pPr>
              <w:spacing w:after="0" w:line="259" w:lineRule="auto"/>
              <w:ind w:left="5" w:firstLine="0"/>
              <w:jc w:val="both"/>
              <w:rPr>
                <w:color w:val="auto"/>
              </w:rPr>
            </w:pPr>
            <w:r w:rsidRPr="00FF5F86">
              <w:rPr>
                <w:color w:val="auto"/>
              </w:rPr>
              <w:t xml:space="preserve"> </w:t>
            </w:r>
          </w:p>
        </w:tc>
        <w:tc>
          <w:tcPr>
            <w:tcW w:w="1015" w:type="dxa"/>
            <w:tcBorders>
              <w:top w:val="single" w:sz="8" w:space="0" w:color="000000"/>
              <w:left w:val="single" w:sz="8" w:space="0" w:color="000000"/>
              <w:bottom w:val="single" w:sz="8" w:space="0" w:color="000000"/>
              <w:right w:val="single" w:sz="8" w:space="0" w:color="000000"/>
            </w:tcBorders>
          </w:tcPr>
          <w:p w14:paraId="1D53A4D2" w14:textId="77777777" w:rsidR="00076984" w:rsidRPr="00FF5F86" w:rsidRDefault="001604E0">
            <w:pPr>
              <w:spacing w:after="0" w:line="259" w:lineRule="auto"/>
              <w:ind w:left="0" w:firstLine="0"/>
              <w:jc w:val="both"/>
              <w:rPr>
                <w:color w:val="auto"/>
              </w:rPr>
            </w:pPr>
            <w:r w:rsidRPr="00FF5F86">
              <w:rPr>
                <w:color w:val="auto"/>
              </w:rPr>
              <w:t xml:space="preserve"> </w:t>
            </w:r>
          </w:p>
        </w:tc>
      </w:tr>
    </w:tbl>
    <w:p w14:paraId="52F9533D" w14:textId="16C9F0BC" w:rsidR="00AA0CDD" w:rsidRPr="00FF5F86" w:rsidRDefault="00AA0CDD" w:rsidP="00AA0CDD">
      <w:pPr>
        <w:pStyle w:val="NormalWeb"/>
      </w:pPr>
      <w:r w:rsidRPr="00FF5F86">
        <w:t xml:space="preserve">The regression metrics reported in Table 2 demonstrate that class size is a powerful, statistically significant predictor of all dimensions of science teacher morale, leading to the rejection of the second null hypothesis (H02). ● The finding of Model A showed that class size was strongly and negatively related with Instructional Efficacy (\beta = -0.492, t = -5.43, p &lt; .001). That is, the more students there are in a classroom, the less competent a teacher feels about his/her instructional ability. ● Class size had a very strong negative effect on Workload Satisfaction in Model B (β = -0.614, t = -8.67, p &lt; .001). </w:t>
      </w:r>
      <w:r w:rsidRPr="00FF5F86">
        <w:br/>
      </w:r>
      <w:r w:rsidRPr="00FF5F86">
        <w:br/>
        <w:t xml:space="preserve">● Conversely, Model C demonstrated that class size was a significant positive predictor of Professional Burnout (β = 0.685, t = 7.63, p &lt; .001). This corroborates the finding that larger classes directly contribute to emotional exhaustion and occupational fatigue among Gambian science educators. </w:t>
      </w:r>
      <w:r w:rsidRPr="00FF5F86">
        <w:br/>
        <w:t xml:space="preserve">Research Question 3: Lived Experiences of Science Teachers (Qualitative) </w:t>
      </w:r>
      <w:r w:rsidRPr="00FF5F86">
        <w:br/>
        <w:t xml:space="preserve">The semi-structured interview transcripts and observation notes were thematically </w:t>
      </w:r>
      <w:r w:rsidR="005215F5" w:rsidRPr="00FF5F86">
        <w:t>analysed</w:t>
      </w:r>
      <w:r w:rsidRPr="00FF5F86">
        <w:t xml:space="preserve"> and three major analytical themes were identified that explained the quantitative findings. </w:t>
      </w:r>
      <w:r w:rsidRPr="00FF5F86">
        <w:br/>
        <w:t xml:space="preserve">Theme 1: The Death of Constructivist Inquiry and Laboratory Practical Work </w:t>
      </w:r>
      <w:r w:rsidRPr="00FF5F86">
        <w:br/>
        <w:t xml:space="preserve">Teachers with large sections say explicitly that high </w:t>
      </w:r>
      <w:r w:rsidR="005215F5" w:rsidRPr="00FF5F86">
        <w:t>enrolment</w:t>
      </w:r>
      <w:r w:rsidRPr="00FF5F86">
        <w:t xml:space="preserve"> means they have to abandon student-led laboratory experiments. As one experienced Chemistry teacher said:</w:t>
      </w:r>
      <w:r w:rsidRPr="00FF5F86">
        <w:br/>
        <w:t xml:space="preserve">When I have 67 students in one lab period, I cannot run a proper titration practical. There aren't enough bottles of reagents and, more importantly, I cannot guarantee safety. But if a group spills concentrated acid because they’re overcrowded, it’s a disaster.” </w:t>
      </w:r>
      <w:r w:rsidR="00B07339" w:rsidRPr="00FF5F86">
        <w:t>So,</w:t>
      </w:r>
      <w:r w:rsidRPr="00FF5F86">
        <w:t xml:space="preserve"> I make it a teacher demonstration or just write the steps on the blackboard. They copy it but they don't understand the chemistry. </w:t>
      </w:r>
      <w:r w:rsidRPr="00FF5F86">
        <w:br/>
        <w:t xml:space="preserve">Classroom observations confirmed this statement, revealing that 85% of the instructional time in large sections was spent on passive lecturing and overcoming physical space constraints. Students were often crammed together on benches and were unable to write on their own or to pay attention. </w:t>
      </w:r>
      <w:r w:rsidRPr="00FF5F86">
        <w:br/>
      </w:r>
      <w:r w:rsidRPr="00FF5F86">
        <w:rPr>
          <w:b/>
          <w:bCs/>
        </w:rPr>
        <w:t>Theme 2: The burden of continuous assessment</w:t>
      </w:r>
      <w:r w:rsidRPr="00FF5F86">
        <w:t xml:space="preserve"> </w:t>
      </w:r>
      <w:r w:rsidRPr="00FF5F86">
        <w:br/>
        <w:t>Continuous assessment was recognized as a key contributor to occupational fatigue, with its weight. Under the MoBSE system, teachers are expected to have multiple formative assessment scores for each student every term. “A biology teacher explained the math of their burnout:</w:t>
      </w:r>
      <w:r w:rsidRPr="00FF5F86">
        <w:br/>
        <w:t xml:space="preserve">"I teach four sections of Grade 11 Biology and each section has a minimum of 60 students. That’s 240 lab reports or scripts to check each week. If I spend only three minutes marking each paper, that adds up to 12 hours of extra marking out of normal school hours. I am always sleepy. “I have stopped asking complex, analytical essay questions and now ask simple true/false questions just to manage through the workload.” </w:t>
      </w:r>
      <w:r w:rsidRPr="00FF5F86">
        <w:br/>
      </w:r>
      <w:r w:rsidRPr="00FF5F86">
        <w:lastRenderedPageBreak/>
        <w:t xml:space="preserve">Such a change in assessment strategy is the direct explanation for the decline in student performance on the ISAT, which specifically targets higher-order analytical reasoning. Overcrowding unintentionally discourages teachers from increasing the cognitive depth of their formative assessment to keep grading manageable. </w:t>
      </w:r>
      <w:r w:rsidRPr="00FF5F86">
        <w:br/>
        <w:t xml:space="preserve">Theme 3: Chronic Discipline Problems and Low Instructional Self-Efficacy </w:t>
      </w:r>
      <w:r w:rsidRPr="00FF5F86">
        <w:br/>
        <w:t>Teachers told of feelings of professional isolation and diminished efficacy in large classes, where they are unable to build meaningful instructional relationships with students. A Physics teacher said:</w:t>
      </w:r>
      <w:r w:rsidRPr="00FF5F86">
        <w:br/>
        <w:t xml:space="preserve">"I know exactly who is struggling with vector resolution or kinematics in a class of 30. I can stop and coach them.” But in a class of 65, students at the back are invisible. They talk. They turn off. They sleep. Half the lesson I'm yelling to get them back in order. At the end of the day, my voice is gone, my morale is down and I feel like a policeman instead of a science teacher. </w:t>
      </w:r>
      <w:r w:rsidRPr="00FF5F86">
        <w:br/>
        <w:t xml:space="preserve">6. Discussion Contextual Integration and Comparative Synthesis </w:t>
      </w:r>
      <w:r w:rsidRPr="00FF5F86">
        <w:br/>
        <w:t xml:space="preserve">Empirical findings of this study show that Class Size Reduction (CSR) has a significant effect on both students’ cognitive achievement and teachers’ morale in Gambian senior secondary schools. This quantitative finding that students in reduced classes significantly outperformed students in large classes (d = 1.04) is contrary to the claims of Western researchers such as Hattie (2005), who claimed that class size reductions provide only marginal, structurally minor academic benefits. </w:t>
      </w:r>
      <w:r w:rsidRPr="00FF5F86">
        <w:br/>
        <w:t xml:space="preserve">The fundamental contextual differences in the definition of “large classes” explain this divergence. Class size interventions in high-resource global settings tend to compare differences between 18 and 25 students with little change to the pedagogical model. However, in the case of developing education systems such as that of The Gambia, this transition from an overcrowded classroom (&gt;55 students) to a reduced class (\le 35 students) is a fundamental qualitative change in the learning environment, from one of extreme structural constraint to a functional space for real learning to take place. </w:t>
      </w:r>
      <w:r w:rsidRPr="00FF5F86">
        <w:br/>
        <w:t xml:space="preserve">These findings strongly corroborate Zyngier’s (2014) synthesis that smaller learning environments yield significant returns for historically marginalized, lower socioeconomic student demographics. The FQSE policy attracted a large number of first-generation secondary students to public schools by removing financial barriers. These students require intensive, highly individualized instructional support and immediate formative feedback to close baseline learning gaps. </w:t>
      </w:r>
      <w:r w:rsidRPr="00FF5F86">
        <w:br/>
        <w:t xml:space="preserve">The smaller class size allows the teacher the structural bandwidth to provide this individualized scaffolding, which meets the core requirements of Vygotsky’s Social Constructivist paradigm. In contrast, when these vulnerable students are placed in overcrowded classrooms, they are effectively cut off from instructional support, resulting in the depressed academic scores seen in the large-class cohort. </w:t>
      </w:r>
      <w:r w:rsidRPr="00FF5F86">
        <w:br/>
        <w:t xml:space="preserve">The robust empirical validation of the Job Demands-Resources (JD-R) theory is demonstrated by the strong predictive relationships established between class size expansion and the degradation of teacher morale (regression models). Overcrowded classrooms in Gambian SSS institutions are a serious job demand that depletes teachers’ psychological and emotional energy. </w:t>
      </w:r>
      <w:r w:rsidRPr="00FF5F86">
        <w:br/>
        <w:t xml:space="preserve">The high professional burnout scores (\beta = 0.685) found in the quantitative phase are explained by the qualitative accounts of grading burnout, constraints of the physical laboratory, and stress from </w:t>
      </w:r>
      <w:r w:rsidR="00484758" w:rsidRPr="00FF5F86">
        <w:t>behavioural</w:t>
      </w:r>
      <w:r w:rsidRPr="00FF5F86">
        <w:t xml:space="preserve"> management. The internal motivation of a teacher decreases when their instructional effectiveness gets worse because they are compelled to stop doing practical laboratory work and interactive teaching. This finding highlights the significance of class size </w:t>
      </w:r>
      <w:r w:rsidRPr="00FF5F86">
        <w:lastRenderedPageBreak/>
        <w:t xml:space="preserve">not just as an administrative measure but as an important structural feature that affects teacher well-being and, therefore, the retention of qualified science teachers nationwide. </w:t>
      </w:r>
      <w:r w:rsidRPr="00FF5F86">
        <w:br/>
      </w:r>
      <w:r w:rsidRPr="00FF5F86">
        <w:rPr>
          <w:b/>
          <w:bCs/>
        </w:rPr>
        <w:t>7. Summary</w:t>
      </w:r>
      <w:r w:rsidRPr="00FF5F86">
        <w:t xml:space="preserve"> </w:t>
      </w:r>
      <w:r w:rsidRPr="00FF5F86">
        <w:br/>
        <w:t xml:space="preserve">The study provides conclusive empirical evidence that classroom overcrowding is a critical structural bottleneck that is undermining secondary science education in The Gambia. The country’s access-oriented policies, such as the Free Quality School Education (FQSE) initiative, have democratized access to senior secondary schools but the lack of parallel investments in physical infrastructure has led to acute classroom overcrowding. </w:t>
      </w:r>
      <w:r w:rsidRPr="00FF5F86">
        <w:br/>
        <w:t xml:space="preserve">The resultant high student-to-teacher ratios have serious consequences on the academic performance of students in core science subjects and accelerate professional burnout among teachers. The mixed-methods evaluation indicates that smaller learning groups (≤ 35 students) result in significantly greater conceptual understanding and scientific analytical skills, while also protecting teacher mental health and feelings of instructional efficacy. </w:t>
      </w:r>
      <w:r w:rsidRPr="00FF5F86">
        <w:br/>
        <w:t xml:space="preserve">In the end, reducing class sizes is not an alternative to improving teacher quality but a necessary structural requirement for teachers to be able to effectively implement modern, inquiry-based scientific pedagogies. </w:t>
      </w:r>
      <w:r w:rsidRPr="00FF5F86">
        <w:br/>
        <w:t xml:space="preserve">8. Suggestions </w:t>
      </w:r>
      <w:r w:rsidRPr="00FF5F86">
        <w:br/>
      </w:r>
      <w:r w:rsidRPr="00FF5F86">
        <w:rPr>
          <w:b/>
          <w:bCs/>
        </w:rPr>
        <w:t>1</w:t>
      </w:r>
      <w:r w:rsidRPr="00FF5F86">
        <w:t xml:space="preserve">. Strategic Infrastructural Expansion: The Ministry of Basic and Secondary Education (MoBSE) should prioritize capital funding for the construction of dedicated science wings, additional classrooms and modern laboratories in existing senior secondary schools, with a heavy focus on high-density urban areas within </w:t>
      </w:r>
      <w:r w:rsidR="00484758" w:rsidRPr="00FF5F86">
        <w:t>region</w:t>
      </w:r>
      <w:r w:rsidRPr="00FF5F86">
        <w:t xml:space="preserve"> 2. </w:t>
      </w:r>
      <w:r w:rsidRPr="00FF5F86">
        <w:br/>
      </w:r>
      <w:r w:rsidRPr="00FF5F86">
        <w:rPr>
          <w:b/>
          <w:bCs/>
        </w:rPr>
        <w:t>2</w:t>
      </w:r>
      <w:r w:rsidRPr="00FF5F86">
        <w:t xml:space="preserve">. Strict </w:t>
      </w:r>
      <w:r w:rsidR="00484758" w:rsidRPr="00FF5F86">
        <w:t>Enrolment</w:t>
      </w:r>
      <w:r w:rsidRPr="00FF5F86">
        <w:t xml:space="preserve"> Caps: School management boards and regional educational directories should strictly enforce a cap of no more than 40 students per section for core laboratory science courses, ensuring a safe and manageable environment for scientific inquiry. </w:t>
      </w:r>
      <w:r w:rsidRPr="00FF5F86">
        <w:br/>
      </w:r>
      <w:r w:rsidRPr="00FF5F86">
        <w:rPr>
          <w:b/>
          <w:bCs/>
        </w:rPr>
        <w:t>3.</w:t>
      </w:r>
      <w:r w:rsidRPr="00FF5F86">
        <w:t xml:space="preserve"> Differentiated Teaching Assignments and Support: SSS administrators should modify teacher assignments to reduce the number of instructional sections or to provide grading assistants to teachers who are responsible for large student cohorts to alleviate professional burnout. </w:t>
      </w:r>
      <w:r w:rsidRPr="00FF5F86">
        <w:br/>
      </w:r>
      <w:r w:rsidRPr="00FF5F86">
        <w:rPr>
          <w:b/>
          <w:bCs/>
        </w:rPr>
        <w:t>4</w:t>
      </w:r>
      <w:r w:rsidRPr="00FF5F86">
        <w:t xml:space="preserve">. Focused Professional Development: MoBSE should design and roll out specialized professional development modules on “large class pedagogy." Such workshops should offer group work, peer-assessment and micro-scale laboratory techniques to deliver the maximum learning quality even under sub-optimal teaching conditions at a low cost. </w:t>
      </w:r>
      <w:r w:rsidRPr="00FF5F86">
        <w:br/>
      </w:r>
      <w:r w:rsidRPr="00FF5F86">
        <w:rPr>
          <w:b/>
          <w:bCs/>
        </w:rPr>
        <w:t>9. Practice and Policy Implications</w:t>
      </w:r>
      <w:r w:rsidRPr="00FF5F86">
        <w:t xml:space="preserve"> </w:t>
      </w:r>
      <w:r w:rsidRPr="00FF5F86">
        <w:br/>
        <w:t xml:space="preserve">The findings of this study have direct implications for educational policy and instructional practice. At the macro policy level, it highlights the limitations of access-centric educational planning that focuses on student </w:t>
      </w:r>
      <w:r w:rsidR="00484758" w:rsidRPr="00FF5F86">
        <w:t>enrolment</w:t>
      </w:r>
      <w:r w:rsidRPr="00FF5F86">
        <w:t xml:space="preserve"> with no assurance of corresponding investments in infrastructure. For policies such as FQSE to lead to real and sustainable human capital development in STEM disciplines, national planning frameworks need to ensure that access initiatives are balanced with rigorous quality-assurance benchmarks, especially in terms of class size and classroom density. </w:t>
      </w:r>
      <w:r w:rsidRPr="00FF5F86">
        <w:br/>
        <w:t xml:space="preserve">This study calls for a redesign of continuous assessment protocols at the school level. Curriculum bodies such as WAEC and MoBSE should revisit the volume of formative assessment scores that should be required per term, as the current model inadvertently promotes mechanical, lower-order testing when applied to large classes. Finally, this study underscores the need for the University of The Gambia and Gambia College, as pre-service teacher training institutions, to train their future educators explicitly on how to manage large classrooms, thereby providing them with the pedagogical tools to cope with the realities of today’s West African </w:t>
      </w:r>
      <w:r w:rsidRPr="00FF5F86">
        <w:lastRenderedPageBreak/>
        <w:t xml:space="preserve">classrooms. </w:t>
      </w:r>
      <w:r w:rsidRPr="00FF5F86">
        <w:rPr>
          <w:b/>
          <w:bCs/>
        </w:rPr>
        <w:br/>
        <w:t>10. Limitations and Directions for Future Research</w:t>
      </w:r>
      <w:r w:rsidRPr="00FF5F86">
        <w:t xml:space="preserve"> </w:t>
      </w:r>
      <w:r w:rsidRPr="00FF5F86">
        <w:br/>
        <w:t xml:space="preserve">While a rigorous mixed-methods approach was used in this study, several limitations should be noted. First, the sample was taken only from Senior Secondary Schools located in MoBSE Educational Regions 1 and 2. These regions have the highest overcrowding rates. However, the exclusion of rural schools in </w:t>
      </w:r>
      <w:r w:rsidR="00B07339" w:rsidRPr="00FF5F86">
        <w:t>regions</w:t>
      </w:r>
      <w:r w:rsidRPr="00FF5F86">
        <w:t xml:space="preserve"> 3 through 6 limits the generalizability of the findings nationwide. Second, the study was a cross-sectional study, measuring the academic performance and teacher morale at one time. </w:t>
      </w:r>
      <w:r w:rsidRPr="00FF5F86">
        <w:br/>
        <w:t>Longitudinal studies can be done to see if the benefits of smaller class size continue once students progress to higher-level education or the workforce. Research should also examine the cost-effectiveness of structural class size reductions in financial terms relative to other interventions such as digital learning tools or the hiring of specialized laboratory assistants for large classrooms.</w:t>
      </w:r>
    </w:p>
    <w:p w14:paraId="5ED01DB4" w14:textId="77777777" w:rsidR="005C7DAA" w:rsidRPr="00FF5F86" w:rsidRDefault="005C7DAA">
      <w:pPr>
        <w:ind w:left="-5"/>
        <w:jc w:val="both"/>
        <w:rPr>
          <w:color w:val="auto"/>
          <w:lang w:val="en-GM"/>
        </w:rPr>
      </w:pPr>
    </w:p>
    <w:p w14:paraId="740C0375" w14:textId="15697498" w:rsidR="008877D7" w:rsidRPr="00FF5F86" w:rsidRDefault="001604E0" w:rsidP="00B07339">
      <w:pPr>
        <w:pStyle w:val="Heading1"/>
        <w:ind w:left="-5"/>
        <w:jc w:val="both"/>
        <w:rPr>
          <w:color w:val="auto"/>
        </w:rPr>
      </w:pPr>
      <w:r w:rsidRPr="00FF5F86">
        <w:rPr>
          <w:color w:val="auto"/>
        </w:rPr>
        <w:t xml:space="preserve">References </w:t>
      </w:r>
    </w:p>
    <w:p w14:paraId="460B4399" w14:textId="77777777" w:rsidR="008877D7" w:rsidRPr="00FF5F86" w:rsidRDefault="008877D7" w:rsidP="008877D7">
      <w:pPr>
        <w:pStyle w:val="ds-markdown-paragraph"/>
        <w:shd w:val="clear" w:color="auto" w:fill="FFFFFF"/>
        <w:spacing w:before="240" w:beforeAutospacing="0" w:after="240" w:afterAutospacing="0" w:line="420" w:lineRule="atLeast"/>
        <w:rPr>
          <w:rFonts w:ascii="Segoe UI" w:hAnsi="Segoe UI" w:cs="Segoe UI"/>
        </w:rPr>
      </w:pPr>
      <w:r w:rsidRPr="00FF5F86">
        <w:rPr>
          <w:rFonts w:ascii="Segoe UI" w:hAnsi="Segoe UI" w:cs="Segoe UI"/>
        </w:rPr>
        <w:t>Achilles, C. M. (1999). </w:t>
      </w:r>
      <w:r w:rsidRPr="00FF5F86">
        <w:rPr>
          <w:rStyle w:val="Emphasis"/>
          <w:rFonts w:ascii="Segoe UI" w:hAnsi="Segoe UI" w:cs="Segoe UI"/>
        </w:rPr>
        <w:t>Let’s make a difference: What we know about class size and school outcomes</w:t>
      </w:r>
      <w:r w:rsidRPr="00FF5F86">
        <w:rPr>
          <w:rFonts w:ascii="Segoe UI" w:hAnsi="Segoe UI" w:cs="Segoe UI"/>
        </w:rPr>
        <w:t>. Corwin Press.</w:t>
      </w:r>
    </w:p>
    <w:p w14:paraId="392D0CAA" w14:textId="77777777" w:rsidR="008877D7" w:rsidRPr="00FF5F86" w:rsidRDefault="008877D7" w:rsidP="008877D7">
      <w:pPr>
        <w:pStyle w:val="ds-markdown-paragraph"/>
        <w:shd w:val="clear" w:color="auto" w:fill="FFFFFF"/>
        <w:spacing w:before="240" w:beforeAutospacing="0" w:after="240" w:afterAutospacing="0" w:line="420" w:lineRule="atLeast"/>
        <w:rPr>
          <w:rFonts w:ascii="Segoe UI" w:hAnsi="Segoe UI" w:cs="Segoe UI"/>
        </w:rPr>
      </w:pPr>
      <w:proofErr w:type="spellStart"/>
      <w:r w:rsidRPr="00FF5F86">
        <w:rPr>
          <w:rFonts w:ascii="Segoe UI" w:hAnsi="Segoe UI" w:cs="Segoe UI"/>
        </w:rPr>
        <w:t>Altinok</w:t>
      </w:r>
      <w:proofErr w:type="spellEnd"/>
      <w:r w:rsidRPr="00FF5F86">
        <w:rPr>
          <w:rFonts w:ascii="Segoe UI" w:hAnsi="Segoe UI" w:cs="Segoe UI"/>
        </w:rPr>
        <w:t>, N., &amp; Kingdon, G. (2012). New evidence on class size effects: A difference-in-differences approach. </w:t>
      </w:r>
      <w:r w:rsidRPr="00FF5F86">
        <w:rPr>
          <w:rStyle w:val="Emphasis"/>
          <w:rFonts w:ascii="Segoe UI" w:hAnsi="Segoe UI" w:cs="Segoe UI"/>
        </w:rPr>
        <w:t>Economics of Education Review, 31</w:t>
      </w:r>
      <w:r w:rsidRPr="00FF5F86">
        <w:rPr>
          <w:rFonts w:ascii="Segoe UI" w:hAnsi="Segoe UI" w:cs="Segoe UI"/>
        </w:rPr>
        <w:t>(5), 517–530. </w:t>
      </w:r>
      <w:hyperlink r:id="rId6" w:tgtFrame="_blank" w:history="1">
        <w:r w:rsidRPr="00FF5F86">
          <w:rPr>
            <w:rStyle w:val="Hyperlink"/>
            <w:rFonts w:ascii="Segoe UI" w:hAnsi="Segoe UI" w:cs="Segoe UI"/>
            <w:color w:val="auto"/>
            <w:u w:val="none"/>
            <w:bdr w:val="single" w:sz="12" w:space="0" w:color="auto" w:frame="1"/>
          </w:rPr>
          <w:t>https://doi.org/10.1016/j.econedurev.2012.02.003</w:t>
        </w:r>
      </w:hyperlink>
    </w:p>
    <w:p w14:paraId="104BA58F" w14:textId="77777777" w:rsidR="008877D7" w:rsidRPr="00FF5F86" w:rsidRDefault="008877D7" w:rsidP="008877D7">
      <w:pPr>
        <w:pStyle w:val="ds-markdown-paragraph"/>
        <w:shd w:val="clear" w:color="auto" w:fill="FFFFFF"/>
        <w:spacing w:before="240" w:beforeAutospacing="0" w:after="240" w:afterAutospacing="0" w:line="420" w:lineRule="atLeast"/>
        <w:rPr>
          <w:rFonts w:ascii="Segoe UI" w:hAnsi="Segoe UI" w:cs="Segoe UI"/>
        </w:rPr>
      </w:pPr>
      <w:r w:rsidRPr="00FF5F86">
        <w:rPr>
          <w:rFonts w:ascii="Segoe UI" w:hAnsi="Segoe UI" w:cs="Segoe UI"/>
        </w:rPr>
        <w:t>Bakker, A. B., &amp; Demerouti, E. (2007). The Job Demands-Resources model: State of the art. </w:t>
      </w:r>
      <w:r w:rsidRPr="00FF5F86">
        <w:rPr>
          <w:rStyle w:val="Emphasis"/>
          <w:rFonts w:ascii="Segoe UI" w:hAnsi="Segoe UI" w:cs="Segoe UI"/>
        </w:rPr>
        <w:t>Journal of Managerial Psychology, 22</w:t>
      </w:r>
      <w:r w:rsidRPr="00FF5F86">
        <w:rPr>
          <w:rFonts w:ascii="Segoe UI" w:hAnsi="Segoe UI" w:cs="Segoe UI"/>
        </w:rPr>
        <w:t>(3), 309–328. </w:t>
      </w:r>
      <w:hyperlink r:id="rId7" w:tgtFrame="_blank" w:history="1">
        <w:r w:rsidRPr="00FF5F86">
          <w:rPr>
            <w:rStyle w:val="Hyperlink"/>
            <w:rFonts w:ascii="Segoe UI" w:hAnsi="Segoe UI" w:cs="Segoe UI"/>
            <w:color w:val="auto"/>
            <w:u w:val="none"/>
            <w:bdr w:val="single" w:sz="12" w:space="0" w:color="auto" w:frame="1"/>
          </w:rPr>
          <w:t>https://doi.org/10.1108/02683940710733115</w:t>
        </w:r>
      </w:hyperlink>
    </w:p>
    <w:p w14:paraId="411B2395" w14:textId="77777777" w:rsidR="008877D7" w:rsidRPr="00FF5F86" w:rsidRDefault="008877D7" w:rsidP="008877D7">
      <w:pPr>
        <w:pStyle w:val="ds-markdown-paragraph"/>
        <w:shd w:val="clear" w:color="auto" w:fill="FFFFFF"/>
        <w:spacing w:before="240" w:beforeAutospacing="0" w:after="240" w:afterAutospacing="0" w:line="420" w:lineRule="atLeast"/>
        <w:rPr>
          <w:rFonts w:ascii="Segoe UI" w:hAnsi="Segoe UI" w:cs="Segoe UI"/>
        </w:rPr>
      </w:pPr>
      <w:proofErr w:type="spellStart"/>
      <w:r w:rsidRPr="00FF5F86">
        <w:rPr>
          <w:rFonts w:ascii="Segoe UI" w:hAnsi="Segoe UI" w:cs="Segoe UI"/>
        </w:rPr>
        <w:t>Bascia</w:t>
      </w:r>
      <w:proofErr w:type="spellEnd"/>
      <w:r w:rsidRPr="00FF5F86">
        <w:rPr>
          <w:rFonts w:ascii="Segoe UI" w:hAnsi="Segoe UI" w:cs="Segoe UI"/>
        </w:rPr>
        <w:t>, N., &amp; Faubert, B. (2012). Primary class size reduction: Policy context, implementation, and classroom outcomes. </w:t>
      </w:r>
      <w:r w:rsidRPr="00FF5F86">
        <w:rPr>
          <w:rStyle w:val="Emphasis"/>
          <w:rFonts w:ascii="Segoe UI" w:hAnsi="Segoe UI" w:cs="Segoe UI"/>
        </w:rPr>
        <w:t>Canadian Journal of Education, 35</w:t>
      </w:r>
      <w:r w:rsidRPr="00FF5F86">
        <w:rPr>
          <w:rFonts w:ascii="Segoe UI" w:hAnsi="Segoe UI" w:cs="Segoe UI"/>
        </w:rPr>
        <w:t>(1), 30–55.</w:t>
      </w:r>
    </w:p>
    <w:p w14:paraId="4930F3A7" w14:textId="77777777" w:rsidR="008877D7" w:rsidRPr="00FF5F86" w:rsidRDefault="008877D7" w:rsidP="008877D7">
      <w:pPr>
        <w:pStyle w:val="ds-markdown-paragraph"/>
        <w:shd w:val="clear" w:color="auto" w:fill="FFFFFF"/>
        <w:spacing w:before="240" w:beforeAutospacing="0" w:after="240" w:afterAutospacing="0" w:line="420" w:lineRule="atLeast"/>
        <w:rPr>
          <w:rFonts w:ascii="Segoe UI" w:hAnsi="Segoe UI" w:cs="Segoe UI"/>
        </w:rPr>
      </w:pPr>
      <w:r w:rsidRPr="00FF5F86">
        <w:rPr>
          <w:rFonts w:ascii="Segoe UI" w:hAnsi="Segoe UI" w:cs="Segoe UI"/>
        </w:rPr>
        <w:t>Blatchford, P. (2012). </w:t>
      </w:r>
      <w:r w:rsidRPr="00FF5F86">
        <w:rPr>
          <w:rStyle w:val="Emphasis"/>
          <w:rFonts w:ascii="Segoe UI" w:hAnsi="Segoe UI" w:cs="Segoe UI"/>
        </w:rPr>
        <w:t>Three approaches to understanding class size effects</w:t>
      </w:r>
      <w:r w:rsidRPr="00FF5F86">
        <w:rPr>
          <w:rFonts w:ascii="Segoe UI" w:hAnsi="Segoe UI" w:cs="Segoe UI"/>
        </w:rPr>
        <w:t>. Routledge.</w:t>
      </w:r>
    </w:p>
    <w:p w14:paraId="7600366A" w14:textId="77777777" w:rsidR="008877D7" w:rsidRPr="00FF5F86" w:rsidRDefault="008877D7" w:rsidP="008877D7">
      <w:pPr>
        <w:pStyle w:val="ds-markdown-paragraph"/>
        <w:shd w:val="clear" w:color="auto" w:fill="FFFFFF"/>
        <w:spacing w:before="240" w:beforeAutospacing="0" w:after="240" w:afterAutospacing="0" w:line="420" w:lineRule="atLeast"/>
        <w:rPr>
          <w:rFonts w:ascii="Segoe UI" w:hAnsi="Segoe UI" w:cs="Segoe UI"/>
        </w:rPr>
      </w:pPr>
      <w:r w:rsidRPr="00FF5F86">
        <w:rPr>
          <w:rFonts w:ascii="Segoe UI" w:hAnsi="Segoe UI" w:cs="Segoe UI"/>
        </w:rPr>
        <w:t>Blatchford, P., Bassett, D., &amp; Brown, P. (2011). Examining the effect of class size on classroom engagement and teacher-pupil interaction: Differences in relation to pupil prior attainment and primary vs. secondary schools. </w:t>
      </w:r>
      <w:r w:rsidRPr="00FF5F86">
        <w:rPr>
          <w:rStyle w:val="Emphasis"/>
          <w:rFonts w:ascii="Segoe UI" w:hAnsi="Segoe UI" w:cs="Segoe UI"/>
        </w:rPr>
        <w:t>Research Papers in Education, 26</w:t>
      </w:r>
      <w:r w:rsidRPr="00FF5F86">
        <w:rPr>
          <w:rFonts w:ascii="Segoe UI" w:hAnsi="Segoe UI" w:cs="Segoe UI"/>
        </w:rPr>
        <w:t>(4), 415–441. </w:t>
      </w:r>
      <w:hyperlink r:id="rId8" w:tgtFrame="_blank" w:history="1">
        <w:r w:rsidRPr="00FF5F86">
          <w:rPr>
            <w:rStyle w:val="Hyperlink"/>
            <w:rFonts w:ascii="Segoe UI" w:hAnsi="Segoe UI" w:cs="Segoe UI"/>
            <w:color w:val="auto"/>
            <w:u w:val="none"/>
            <w:bdr w:val="single" w:sz="12" w:space="0" w:color="auto" w:frame="1"/>
          </w:rPr>
          <w:t>https://doi.org/10.1080/02671522.2010.517205</w:t>
        </w:r>
      </w:hyperlink>
    </w:p>
    <w:p w14:paraId="01347E2B" w14:textId="77777777" w:rsidR="008877D7" w:rsidRPr="00FF5F86" w:rsidRDefault="008877D7" w:rsidP="008877D7">
      <w:pPr>
        <w:pStyle w:val="ds-markdown-paragraph"/>
        <w:shd w:val="clear" w:color="auto" w:fill="FFFFFF"/>
        <w:spacing w:before="240" w:beforeAutospacing="0" w:after="240" w:afterAutospacing="0" w:line="420" w:lineRule="atLeast"/>
        <w:rPr>
          <w:rFonts w:ascii="Segoe UI" w:hAnsi="Segoe UI" w:cs="Segoe UI"/>
        </w:rPr>
      </w:pPr>
      <w:r w:rsidRPr="00FF5F86">
        <w:rPr>
          <w:rFonts w:ascii="Segoe UI" w:hAnsi="Segoe UI" w:cs="Segoe UI"/>
        </w:rPr>
        <w:lastRenderedPageBreak/>
        <w:t>Evans, D. K., &amp; Mendez Acosta, A. (2020). Education in Africa: What are we learning? </w:t>
      </w:r>
      <w:r w:rsidRPr="00FF5F86">
        <w:rPr>
          <w:rStyle w:val="Emphasis"/>
          <w:rFonts w:ascii="Segoe UI" w:hAnsi="Segoe UI" w:cs="Segoe UI"/>
        </w:rPr>
        <w:t>Journal of African Economies, 30</w:t>
      </w:r>
      <w:r w:rsidRPr="00FF5F86">
        <w:rPr>
          <w:rFonts w:ascii="Segoe UI" w:hAnsi="Segoe UI" w:cs="Segoe UI"/>
        </w:rPr>
        <w:t>(1), 13–54. </w:t>
      </w:r>
      <w:hyperlink r:id="rId9" w:tgtFrame="_blank" w:history="1">
        <w:r w:rsidRPr="00FF5F86">
          <w:rPr>
            <w:rStyle w:val="Hyperlink"/>
            <w:rFonts w:ascii="Segoe UI" w:hAnsi="Segoe UI" w:cs="Segoe UI"/>
            <w:color w:val="auto"/>
            <w:u w:val="none"/>
            <w:bdr w:val="single" w:sz="12" w:space="0" w:color="auto" w:frame="1"/>
          </w:rPr>
          <w:t>https://doi.org/10.1093/jae/ejaa009</w:t>
        </w:r>
      </w:hyperlink>
    </w:p>
    <w:p w14:paraId="55D8DC43" w14:textId="77777777" w:rsidR="008877D7" w:rsidRPr="00FF5F86" w:rsidRDefault="008877D7" w:rsidP="008877D7">
      <w:pPr>
        <w:pStyle w:val="ds-markdown-paragraph"/>
        <w:shd w:val="clear" w:color="auto" w:fill="FFFFFF"/>
        <w:spacing w:before="240" w:beforeAutospacing="0" w:after="240" w:afterAutospacing="0" w:line="420" w:lineRule="atLeast"/>
        <w:rPr>
          <w:rFonts w:ascii="Segoe UI" w:hAnsi="Segoe UI" w:cs="Segoe UI"/>
        </w:rPr>
      </w:pPr>
      <w:r w:rsidRPr="00FF5F86">
        <w:rPr>
          <w:rFonts w:ascii="Segoe UI" w:hAnsi="Segoe UI" w:cs="Segoe UI"/>
        </w:rPr>
        <w:t>Finn, J. D. (2019). </w:t>
      </w:r>
      <w:r w:rsidRPr="00FF5F86">
        <w:rPr>
          <w:rStyle w:val="Emphasis"/>
          <w:rFonts w:ascii="Segoe UI" w:hAnsi="Segoe UI" w:cs="Segoe UI"/>
        </w:rPr>
        <w:t>Class size in secondary schools: Issues and outcomes</w:t>
      </w:r>
      <w:r w:rsidRPr="00FF5F86">
        <w:rPr>
          <w:rFonts w:ascii="Segoe UI" w:hAnsi="Segoe UI" w:cs="Segoe UI"/>
        </w:rPr>
        <w:t>. Information Age Publishing.</w:t>
      </w:r>
    </w:p>
    <w:p w14:paraId="7B86C95C" w14:textId="77777777" w:rsidR="008877D7" w:rsidRPr="00FF5F86" w:rsidRDefault="008877D7" w:rsidP="008877D7">
      <w:pPr>
        <w:pStyle w:val="ds-markdown-paragraph"/>
        <w:shd w:val="clear" w:color="auto" w:fill="FFFFFF"/>
        <w:spacing w:before="240" w:beforeAutospacing="0" w:after="240" w:afterAutospacing="0" w:line="420" w:lineRule="atLeast"/>
        <w:rPr>
          <w:rFonts w:ascii="Segoe UI" w:hAnsi="Segoe UI" w:cs="Segoe UI"/>
        </w:rPr>
      </w:pPr>
      <w:proofErr w:type="spellStart"/>
      <w:r w:rsidRPr="00FF5F86">
        <w:rPr>
          <w:rFonts w:ascii="Segoe UI" w:hAnsi="Segoe UI" w:cs="Segoe UI"/>
        </w:rPr>
        <w:t>Gajigo</w:t>
      </w:r>
      <w:proofErr w:type="spellEnd"/>
      <w:r w:rsidRPr="00FF5F86">
        <w:rPr>
          <w:rFonts w:ascii="Segoe UI" w:hAnsi="Segoe UI" w:cs="Segoe UI"/>
        </w:rPr>
        <w:t>, O. (2016). Closing the education gender gap: The effect of eliminating school fees for girls in The Gambia. </w:t>
      </w:r>
      <w:r w:rsidRPr="00FF5F86">
        <w:rPr>
          <w:rStyle w:val="Emphasis"/>
          <w:rFonts w:ascii="Segoe UI" w:hAnsi="Segoe UI" w:cs="Segoe UI"/>
        </w:rPr>
        <w:t>Development Policy Review, 34</w:t>
      </w:r>
      <w:r w:rsidRPr="00FF5F86">
        <w:rPr>
          <w:rFonts w:ascii="Segoe UI" w:hAnsi="Segoe UI" w:cs="Segoe UI"/>
        </w:rPr>
        <w:t>(3), 397–418. </w:t>
      </w:r>
      <w:hyperlink r:id="rId10" w:tgtFrame="_blank" w:history="1">
        <w:r w:rsidRPr="00FF5F86">
          <w:rPr>
            <w:rStyle w:val="Hyperlink"/>
            <w:rFonts w:ascii="Segoe UI" w:hAnsi="Segoe UI" w:cs="Segoe UI"/>
            <w:color w:val="auto"/>
            <w:u w:val="none"/>
            <w:bdr w:val="single" w:sz="12" w:space="0" w:color="auto" w:frame="1"/>
          </w:rPr>
          <w:t>https://doi.org/10.1111/dpr.12155</w:t>
        </w:r>
      </w:hyperlink>
    </w:p>
    <w:p w14:paraId="7CE7BD9D" w14:textId="77777777" w:rsidR="008877D7" w:rsidRPr="00FF5F86" w:rsidRDefault="008877D7" w:rsidP="008877D7">
      <w:pPr>
        <w:pStyle w:val="ds-markdown-paragraph"/>
        <w:shd w:val="clear" w:color="auto" w:fill="FFFFFF"/>
        <w:spacing w:before="240" w:beforeAutospacing="0" w:after="240" w:afterAutospacing="0" w:line="420" w:lineRule="atLeast"/>
        <w:rPr>
          <w:rFonts w:ascii="Segoe UI" w:hAnsi="Segoe UI" w:cs="Segoe UI"/>
        </w:rPr>
      </w:pPr>
      <w:r w:rsidRPr="00FF5F86">
        <w:rPr>
          <w:rFonts w:ascii="Segoe UI" w:hAnsi="Segoe UI" w:cs="Segoe UI"/>
        </w:rPr>
        <w:t>Glass, G. V., &amp; Smith, M. L. (1979). Meta-analysis of research on class size and achievement. </w:t>
      </w:r>
      <w:r w:rsidRPr="00FF5F86">
        <w:rPr>
          <w:rStyle w:val="Emphasis"/>
          <w:rFonts w:ascii="Segoe UI" w:hAnsi="Segoe UI" w:cs="Segoe UI"/>
        </w:rPr>
        <w:t>Educational Evaluation and Policy Analysis, 1</w:t>
      </w:r>
      <w:r w:rsidRPr="00FF5F86">
        <w:rPr>
          <w:rFonts w:ascii="Segoe UI" w:hAnsi="Segoe UI" w:cs="Segoe UI"/>
        </w:rPr>
        <w:t>(1), 2–16. </w:t>
      </w:r>
      <w:hyperlink r:id="rId11" w:tgtFrame="_blank" w:history="1">
        <w:r w:rsidRPr="00FF5F86">
          <w:rPr>
            <w:rStyle w:val="Hyperlink"/>
            <w:rFonts w:ascii="Segoe UI" w:hAnsi="Segoe UI" w:cs="Segoe UI"/>
            <w:color w:val="auto"/>
            <w:u w:val="none"/>
            <w:bdr w:val="single" w:sz="12" w:space="0" w:color="auto" w:frame="1"/>
          </w:rPr>
          <w:t>https://doi.org/10.3102/01623737001001002</w:t>
        </w:r>
      </w:hyperlink>
    </w:p>
    <w:p w14:paraId="61621F27" w14:textId="77777777" w:rsidR="008877D7" w:rsidRPr="00FF5F86" w:rsidRDefault="008877D7" w:rsidP="008877D7">
      <w:pPr>
        <w:pStyle w:val="ds-markdown-paragraph"/>
        <w:shd w:val="clear" w:color="auto" w:fill="FFFFFF"/>
        <w:spacing w:before="240" w:beforeAutospacing="0" w:after="240" w:afterAutospacing="0" w:line="420" w:lineRule="atLeast"/>
        <w:rPr>
          <w:rFonts w:ascii="Segoe UI" w:hAnsi="Segoe UI" w:cs="Segoe UI"/>
        </w:rPr>
      </w:pPr>
      <w:r w:rsidRPr="00FF5F86">
        <w:rPr>
          <w:rFonts w:ascii="Segoe UI" w:hAnsi="Segoe UI" w:cs="Segoe UI"/>
        </w:rPr>
        <w:t>Harfitt, G. J., &amp; Tsui, A. B. (2015). </w:t>
      </w:r>
      <w:r w:rsidRPr="00FF5F86">
        <w:rPr>
          <w:rStyle w:val="Emphasis"/>
          <w:rFonts w:ascii="Segoe UI" w:hAnsi="Segoe UI" w:cs="Segoe UI"/>
        </w:rPr>
        <w:t>An ethnographic study of class size reduction in secondary schools</w:t>
      </w:r>
      <w:r w:rsidRPr="00FF5F86">
        <w:rPr>
          <w:rFonts w:ascii="Segoe UI" w:hAnsi="Segoe UI" w:cs="Segoe UI"/>
        </w:rPr>
        <w:t>. Springer.</w:t>
      </w:r>
    </w:p>
    <w:p w14:paraId="0C520366" w14:textId="77777777" w:rsidR="008877D7" w:rsidRPr="00FF5F86" w:rsidRDefault="008877D7" w:rsidP="008877D7">
      <w:pPr>
        <w:pStyle w:val="ds-markdown-paragraph"/>
        <w:shd w:val="clear" w:color="auto" w:fill="FFFFFF"/>
        <w:spacing w:before="240" w:beforeAutospacing="0" w:after="240" w:afterAutospacing="0" w:line="420" w:lineRule="atLeast"/>
        <w:rPr>
          <w:rFonts w:ascii="Segoe UI" w:hAnsi="Segoe UI" w:cs="Segoe UI"/>
        </w:rPr>
      </w:pPr>
      <w:r w:rsidRPr="00FF5F86">
        <w:rPr>
          <w:rFonts w:ascii="Segoe UI" w:hAnsi="Segoe UI" w:cs="Segoe UI"/>
        </w:rPr>
        <w:t>Hattie, J. (2005). The paradox of reducing class size and improving learning outcomes. </w:t>
      </w:r>
      <w:r w:rsidRPr="00FF5F86">
        <w:rPr>
          <w:rStyle w:val="Emphasis"/>
          <w:rFonts w:ascii="Segoe UI" w:hAnsi="Segoe UI" w:cs="Segoe UI"/>
        </w:rPr>
        <w:t>International Journal of Educational Research, 43</w:t>
      </w:r>
      <w:r w:rsidRPr="00FF5F86">
        <w:rPr>
          <w:rFonts w:ascii="Segoe UI" w:hAnsi="Segoe UI" w:cs="Segoe UI"/>
        </w:rPr>
        <w:t>(3), 387–425. </w:t>
      </w:r>
      <w:hyperlink r:id="rId12" w:tgtFrame="_blank" w:history="1">
        <w:r w:rsidRPr="00FF5F86">
          <w:rPr>
            <w:rStyle w:val="Hyperlink"/>
            <w:rFonts w:ascii="Segoe UI" w:hAnsi="Segoe UI" w:cs="Segoe UI"/>
            <w:color w:val="auto"/>
            <w:u w:val="none"/>
            <w:bdr w:val="single" w:sz="12" w:space="0" w:color="auto" w:frame="1"/>
          </w:rPr>
          <w:t>https://doi.org/10.1016/j.ijer.2006.07.002</w:t>
        </w:r>
      </w:hyperlink>
    </w:p>
    <w:p w14:paraId="41590691" w14:textId="77777777" w:rsidR="008877D7" w:rsidRPr="00FF5F86" w:rsidRDefault="008877D7" w:rsidP="008877D7">
      <w:pPr>
        <w:pStyle w:val="ds-markdown-paragraph"/>
        <w:shd w:val="clear" w:color="auto" w:fill="FFFFFF"/>
        <w:spacing w:before="240" w:beforeAutospacing="0" w:after="240" w:afterAutospacing="0" w:line="420" w:lineRule="atLeast"/>
        <w:rPr>
          <w:rFonts w:ascii="Segoe UI" w:hAnsi="Segoe UI" w:cs="Segoe UI"/>
        </w:rPr>
      </w:pPr>
      <w:r w:rsidRPr="00FF5F86">
        <w:rPr>
          <w:rFonts w:ascii="Segoe UI" w:hAnsi="Segoe UI" w:cs="Segoe UI"/>
        </w:rPr>
        <w:t>Joof, B. (2020). </w:t>
      </w:r>
      <w:r w:rsidRPr="00FF5F86">
        <w:rPr>
          <w:rStyle w:val="Emphasis"/>
          <w:rFonts w:ascii="Segoe UI" w:hAnsi="Segoe UI" w:cs="Segoe UI"/>
        </w:rPr>
        <w:t>An investigation into the instructional challenges caused by large class sizes in Gambian upper basic and secondary schools</w:t>
      </w:r>
      <w:r w:rsidRPr="00FF5F86">
        <w:rPr>
          <w:rFonts w:ascii="Segoe UI" w:hAnsi="Segoe UI" w:cs="Segoe UI"/>
        </w:rPr>
        <w:t> (Unpublished doctoral dissertation). University of Huddersfield.</w:t>
      </w:r>
    </w:p>
    <w:p w14:paraId="0F5DD074" w14:textId="77777777" w:rsidR="008877D7" w:rsidRPr="00FF5F86" w:rsidRDefault="008877D7" w:rsidP="008877D7">
      <w:pPr>
        <w:pStyle w:val="ds-markdown-paragraph"/>
        <w:shd w:val="clear" w:color="auto" w:fill="FFFFFF"/>
        <w:spacing w:before="240" w:beforeAutospacing="0" w:after="240" w:afterAutospacing="0" w:line="420" w:lineRule="atLeast"/>
        <w:rPr>
          <w:rFonts w:ascii="Segoe UI" w:hAnsi="Segoe UI" w:cs="Segoe UI"/>
        </w:rPr>
      </w:pPr>
      <w:r w:rsidRPr="00FF5F86">
        <w:rPr>
          <w:rFonts w:ascii="Segoe UI" w:hAnsi="Segoe UI" w:cs="Segoe UI"/>
        </w:rPr>
        <w:t>Laitsch, D., Nguyen, H., &amp; Younghusband, C. H. (2021). Class size and teacher work: Research provided to the BCTF in their struggle to negotiate teacher working conditions. </w:t>
      </w:r>
      <w:r w:rsidRPr="00FF5F86">
        <w:rPr>
          <w:rStyle w:val="Emphasis"/>
          <w:rFonts w:ascii="Segoe UI" w:hAnsi="Segoe UI" w:cs="Segoe UI"/>
        </w:rPr>
        <w:t>Canadian Journal of Educational Administration and Policy, 196</w:t>
      </w:r>
      <w:r w:rsidRPr="00FF5F86">
        <w:rPr>
          <w:rFonts w:ascii="Segoe UI" w:hAnsi="Segoe UI" w:cs="Segoe UI"/>
        </w:rPr>
        <w:t>, 83–101. </w:t>
      </w:r>
      <w:hyperlink r:id="rId13" w:tgtFrame="_blank" w:history="1">
        <w:r w:rsidRPr="00FF5F86">
          <w:rPr>
            <w:rStyle w:val="Hyperlink"/>
            <w:rFonts w:ascii="Segoe UI" w:hAnsi="Segoe UI" w:cs="Segoe UI"/>
            <w:color w:val="auto"/>
            <w:u w:val="none"/>
            <w:bdr w:val="single" w:sz="12" w:space="0" w:color="auto" w:frame="1"/>
          </w:rPr>
          <w:t>https://doi.org/10.7202/1078519ar</w:t>
        </w:r>
      </w:hyperlink>
    </w:p>
    <w:p w14:paraId="1D12BB93" w14:textId="77777777" w:rsidR="008877D7" w:rsidRPr="00FF5F86" w:rsidRDefault="008877D7" w:rsidP="008877D7">
      <w:pPr>
        <w:pStyle w:val="ds-markdown-paragraph"/>
        <w:shd w:val="clear" w:color="auto" w:fill="FFFFFF"/>
        <w:spacing w:before="240" w:beforeAutospacing="0" w:after="240" w:afterAutospacing="0" w:line="420" w:lineRule="atLeast"/>
        <w:rPr>
          <w:rFonts w:ascii="Segoe UI" w:hAnsi="Segoe UI" w:cs="Segoe UI"/>
        </w:rPr>
      </w:pPr>
      <w:r w:rsidRPr="00FF5F86">
        <w:rPr>
          <w:rFonts w:ascii="Segoe UI" w:hAnsi="Segoe UI" w:cs="Segoe UI"/>
        </w:rPr>
        <w:t>Ministry of Basic and Secondary Education [MoBSE]. (2019). *Education sector policy 2016-2030: Accessible, equitable, and quality education for sustainable development*. Government Printers.</w:t>
      </w:r>
    </w:p>
    <w:p w14:paraId="72B2AA2D" w14:textId="77777777" w:rsidR="008877D7" w:rsidRPr="00FF5F86" w:rsidRDefault="008877D7" w:rsidP="008877D7">
      <w:pPr>
        <w:pStyle w:val="ds-markdown-paragraph"/>
        <w:shd w:val="clear" w:color="auto" w:fill="FFFFFF"/>
        <w:spacing w:before="240" w:beforeAutospacing="0" w:after="240" w:afterAutospacing="0" w:line="420" w:lineRule="atLeast"/>
        <w:rPr>
          <w:rFonts w:ascii="Segoe UI" w:hAnsi="Segoe UI" w:cs="Segoe UI"/>
        </w:rPr>
      </w:pPr>
      <w:r w:rsidRPr="00FF5F86">
        <w:rPr>
          <w:rFonts w:ascii="Segoe UI" w:hAnsi="Segoe UI" w:cs="Segoe UI"/>
        </w:rPr>
        <w:lastRenderedPageBreak/>
        <w:t>Takeaways, K. (2023). Research note: What the research says about class size. </w:t>
      </w:r>
      <w:r w:rsidRPr="00FF5F86">
        <w:rPr>
          <w:rStyle w:val="Emphasis"/>
          <w:rFonts w:ascii="Segoe UI" w:hAnsi="Segoe UI" w:cs="Segoe UI"/>
        </w:rPr>
        <w:t>British Columbia Teachers' Federation Research Department</w:t>
      </w:r>
      <w:r w:rsidRPr="00FF5F86">
        <w:rPr>
          <w:rFonts w:ascii="Segoe UI" w:hAnsi="Segoe UI" w:cs="Segoe UI"/>
        </w:rPr>
        <w:t>, 1–12.</w:t>
      </w:r>
    </w:p>
    <w:p w14:paraId="4B376DE4" w14:textId="77777777" w:rsidR="008877D7" w:rsidRPr="00FF5F86" w:rsidRDefault="008877D7" w:rsidP="008877D7">
      <w:pPr>
        <w:pStyle w:val="ds-markdown-paragraph"/>
        <w:shd w:val="clear" w:color="auto" w:fill="FFFFFF"/>
        <w:spacing w:before="240" w:beforeAutospacing="0" w:after="240" w:afterAutospacing="0" w:line="420" w:lineRule="atLeast"/>
        <w:rPr>
          <w:rFonts w:ascii="Segoe UI" w:hAnsi="Segoe UI" w:cs="Segoe UI"/>
        </w:rPr>
      </w:pPr>
      <w:r w:rsidRPr="00FF5F86">
        <w:rPr>
          <w:rFonts w:ascii="Segoe UI" w:hAnsi="Segoe UI" w:cs="Segoe UI"/>
        </w:rPr>
        <w:t>Turay, F. B. (2024). Impact of the free quality school education intervention on secondary school students' academic performance in the West African sub-region. </w:t>
      </w:r>
      <w:r w:rsidRPr="00FF5F86">
        <w:rPr>
          <w:rStyle w:val="Emphasis"/>
          <w:rFonts w:ascii="Segoe UI" w:hAnsi="Segoe UI" w:cs="Segoe UI"/>
        </w:rPr>
        <w:t>European Journal of Education Studies, 11</w:t>
      </w:r>
      <w:r w:rsidRPr="00FF5F86">
        <w:rPr>
          <w:rFonts w:ascii="Segoe UI" w:hAnsi="Segoe UI" w:cs="Segoe UI"/>
        </w:rPr>
        <w:t>(4), 112–134.</w:t>
      </w:r>
    </w:p>
    <w:p w14:paraId="287FB340" w14:textId="77777777" w:rsidR="008877D7" w:rsidRPr="00FF5F86" w:rsidRDefault="008877D7" w:rsidP="008877D7">
      <w:pPr>
        <w:pStyle w:val="ds-markdown-paragraph"/>
        <w:shd w:val="clear" w:color="auto" w:fill="FFFFFF"/>
        <w:spacing w:before="240" w:beforeAutospacing="0" w:after="240" w:afterAutospacing="0" w:line="420" w:lineRule="atLeast"/>
        <w:rPr>
          <w:rFonts w:ascii="Segoe UI" w:hAnsi="Segoe UI" w:cs="Segoe UI"/>
        </w:rPr>
      </w:pPr>
      <w:r w:rsidRPr="00FF5F86">
        <w:rPr>
          <w:rFonts w:ascii="Segoe UI" w:hAnsi="Segoe UI" w:cs="Segoe UI"/>
        </w:rPr>
        <w:t>Zubizarreta, J. (2019). Class size: Is less more for significant learning? </w:t>
      </w:r>
      <w:r w:rsidRPr="00FF5F86">
        <w:rPr>
          <w:rStyle w:val="Emphasis"/>
          <w:rFonts w:ascii="Segoe UI" w:hAnsi="Segoe UI" w:cs="Segoe UI"/>
        </w:rPr>
        <w:t>To Improve the Academy, 24</w:t>
      </w:r>
      <w:r w:rsidRPr="00FF5F86">
        <w:rPr>
          <w:rFonts w:ascii="Segoe UI" w:hAnsi="Segoe UI" w:cs="Segoe UI"/>
        </w:rPr>
        <w:t>(1), 54–68. </w:t>
      </w:r>
      <w:hyperlink r:id="rId14" w:tgtFrame="_blank" w:history="1">
        <w:r w:rsidRPr="00FF5F86">
          <w:rPr>
            <w:rStyle w:val="Hyperlink"/>
            <w:rFonts w:ascii="Segoe UI" w:hAnsi="Segoe UI" w:cs="Segoe UI"/>
            <w:color w:val="auto"/>
            <w:u w:val="none"/>
            <w:bdr w:val="single" w:sz="12" w:space="0" w:color="auto" w:frame="1"/>
          </w:rPr>
          <w:t>https://doi.org/10.1002/tia2.20035</w:t>
        </w:r>
      </w:hyperlink>
    </w:p>
    <w:p w14:paraId="460C558C" w14:textId="77777777" w:rsidR="008877D7" w:rsidRPr="00FF5F86" w:rsidRDefault="008877D7" w:rsidP="008877D7">
      <w:pPr>
        <w:pStyle w:val="ds-markdown-paragraph"/>
        <w:shd w:val="clear" w:color="auto" w:fill="FFFFFF"/>
        <w:spacing w:before="240" w:beforeAutospacing="0" w:after="0" w:afterAutospacing="0" w:line="420" w:lineRule="atLeast"/>
        <w:rPr>
          <w:rFonts w:ascii="Segoe UI" w:hAnsi="Segoe UI" w:cs="Segoe UI"/>
        </w:rPr>
      </w:pPr>
      <w:proofErr w:type="spellStart"/>
      <w:r w:rsidRPr="00FF5F86">
        <w:rPr>
          <w:rFonts w:ascii="Segoe UI" w:hAnsi="Segoe UI" w:cs="Segoe UI"/>
        </w:rPr>
        <w:t>Zyngier</w:t>
      </w:r>
      <w:proofErr w:type="spellEnd"/>
      <w:r w:rsidRPr="00FF5F86">
        <w:rPr>
          <w:rFonts w:ascii="Segoe UI" w:hAnsi="Segoe UI" w:cs="Segoe UI"/>
        </w:rPr>
        <w:t>, D. (2014). Class size and academic results, with a focus on children from culturally, linguistically and economically disenfranchised communities. </w:t>
      </w:r>
      <w:r w:rsidRPr="00FF5F86">
        <w:rPr>
          <w:rStyle w:val="Emphasis"/>
          <w:rFonts w:ascii="Segoe UI" w:hAnsi="Segoe UI" w:cs="Segoe UI"/>
        </w:rPr>
        <w:t>Evidence Base, 2014</w:t>
      </w:r>
      <w:r w:rsidRPr="00FF5F86">
        <w:rPr>
          <w:rFonts w:ascii="Segoe UI" w:hAnsi="Segoe UI" w:cs="Segoe UI"/>
        </w:rPr>
        <w:t>(1), 1–23.</w:t>
      </w:r>
    </w:p>
    <w:p w14:paraId="35E3D6C6" w14:textId="77777777" w:rsidR="008877D7" w:rsidRPr="00FF5F86" w:rsidRDefault="008877D7">
      <w:pPr>
        <w:ind w:left="240" w:firstLine="0"/>
        <w:jc w:val="both"/>
        <w:rPr>
          <w:color w:val="auto"/>
        </w:rPr>
      </w:pPr>
    </w:p>
    <w:p w14:paraId="34E7DF84" w14:textId="77777777" w:rsidR="00F13FEA" w:rsidRPr="00FF5F86" w:rsidRDefault="00F13FEA">
      <w:pPr>
        <w:ind w:left="240" w:firstLine="0"/>
        <w:jc w:val="both"/>
        <w:rPr>
          <w:color w:val="auto"/>
        </w:rPr>
      </w:pPr>
    </w:p>
    <w:p w14:paraId="6788DDD5" w14:textId="77777777" w:rsidR="00F13FEA" w:rsidRPr="00FF5F86" w:rsidRDefault="00F13FEA">
      <w:pPr>
        <w:ind w:left="240" w:firstLine="0"/>
        <w:jc w:val="both"/>
        <w:rPr>
          <w:color w:val="auto"/>
        </w:rPr>
      </w:pPr>
    </w:p>
    <w:p w14:paraId="59EFF819" w14:textId="77777777" w:rsidR="00F13FEA" w:rsidRPr="00FF5F86" w:rsidRDefault="00F13FEA">
      <w:pPr>
        <w:ind w:left="240" w:firstLine="0"/>
        <w:jc w:val="both"/>
        <w:rPr>
          <w:color w:val="auto"/>
        </w:rPr>
      </w:pPr>
    </w:p>
    <w:p w14:paraId="38D881EC" w14:textId="77777777" w:rsidR="00F13FEA" w:rsidRPr="00FF5F86" w:rsidRDefault="00F13FEA">
      <w:pPr>
        <w:ind w:left="240" w:firstLine="0"/>
        <w:jc w:val="both"/>
        <w:rPr>
          <w:color w:val="auto"/>
        </w:rPr>
      </w:pPr>
    </w:p>
    <w:p w14:paraId="59257E70" w14:textId="77777777" w:rsidR="00F13FEA" w:rsidRPr="00FF5F86" w:rsidRDefault="00F13FEA">
      <w:pPr>
        <w:ind w:left="240" w:firstLine="0"/>
        <w:jc w:val="both"/>
        <w:rPr>
          <w:color w:val="auto"/>
        </w:rPr>
      </w:pPr>
    </w:p>
    <w:p w14:paraId="0D71A629" w14:textId="77777777" w:rsidR="00F13FEA" w:rsidRPr="00FF5F86" w:rsidRDefault="00F13FEA">
      <w:pPr>
        <w:ind w:left="240" w:firstLine="0"/>
        <w:jc w:val="both"/>
        <w:rPr>
          <w:color w:val="auto"/>
        </w:rPr>
      </w:pPr>
    </w:p>
    <w:p w14:paraId="0E9E873C" w14:textId="77777777" w:rsidR="00F13FEA" w:rsidRPr="00FF5F86" w:rsidRDefault="00F13FEA">
      <w:pPr>
        <w:ind w:left="240" w:firstLine="0"/>
        <w:jc w:val="both"/>
        <w:rPr>
          <w:color w:val="auto"/>
        </w:rPr>
      </w:pPr>
    </w:p>
    <w:p w14:paraId="6ABFF44D" w14:textId="77777777" w:rsidR="00F13FEA" w:rsidRPr="00FF5F86" w:rsidRDefault="00F13FEA">
      <w:pPr>
        <w:ind w:left="240" w:firstLine="0"/>
        <w:jc w:val="both"/>
        <w:rPr>
          <w:color w:val="auto"/>
        </w:rPr>
      </w:pPr>
    </w:p>
    <w:p w14:paraId="29FB558A" w14:textId="77777777" w:rsidR="00F13FEA" w:rsidRPr="00FF5F86" w:rsidRDefault="00F13FEA">
      <w:pPr>
        <w:ind w:left="240" w:firstLine="0"/>
        <w:jc w:val="both"/>
        <w:rPr>
          <w:color w:val="auto"/>
        </w:rPr>
      </w:pPr>
    </w:p>
    <w:p w14:paraId="5ECEB225" w14:textId="77777777" w:rsidR="00F13FEA" w:rsidRPr="00FF5F86" w:rsidRDefault="00F13FEA">
      <w:pPr>
        <w:ind w:left="240" w:firstLine="0"/>
        <w:jc w:val="both"/>
        <w:rPr>
          <w:color w:val="auto"/>
        </w:rPr>
      </w:pPr>
    </w:p>
    <w:p w14:paraId="073263E5" w14:textId="77777777" w:rsidR="00F13FEA" w:rsidRPr="00FF5F86" w:rsidRDefault="00F13FEA">
      <w:pPr>
        <w:ind w:left="240" w:firstLine="0"/>
        <w:jc w:val="both"/>
        <w:rPr>
          <w:color w:val="auto"/>
        </w:rPr>
      </w:pPr>
    </w:p>
    <w:p w14:paraId="2E56CB54" w14:textId="77777777" w:rsidR="00F13FEA" w:rsidRPr="00FF5F86" w:rsidRDefault="00F13FEA">
      <w:pPr>
        <w:ind w:left="240" w:firstLine="0"/>
        <w:jc w:val="both"/>
        <w:rPr>
          <w:color w:val="auto"/>
        </w:rPr>
      </w:pPr>
    </w:p>
    <w:p w14:paraId="2022BF9A" w14:textId="77777777" w:rsidR="00F13FEA" w:rsidRPr="00FF5F86" w:rsidRDefault="00F13FEA">
      <w:pPr>
        <w:ind w:left="240" w:firstLine="0"/>
        <w:jc w:val="both"/>
        <w:rPr>
          <w:color w:val="auto"/>
        </w:rPr>
      </w:pPr>
    </w:p>
    <w:p w14:paraId="2C35E8C9" w14:textId="77777777" w:rsidR="00F13FEA" w:rsidRPr="00FF5F86" w:rsidRDefault="00F13FEA">
      <w:pPr>
        <w:ind w:left="240" w:firstLine="0"/>
        <w:jc w:val="both"/>
        <w:rPr>
          <w:color w:val="auto"/>
        </w:rPr>
      </w:pPr>
    </w:p>
    <w:p w14:paraId="711EB8AA" w14:textId="77777777" w:rsidR="00F13FEA" w:rsidRPr="00FF5F86" w:rsidRDefault="00F13FEA">
      <w:pPr>
        <w:ind w:left="240" w:firstLine="0"/>
        <w:jc w:val="both"/>
        <w:rPr>
          <w:color w:val="auto"/>
        </w:rPr>
      </w:pPr>
    </w:p>
    <w:p w14:paraId="759C5629" w14:textId="77777777" w:rsidR="00F13FEA" w:rsidRPr="00FF5F86" w:rsidRDefault="00F13FEA">
      <w:pPr>
        <w:ind w:left="240" w:firstLine="0"/>
        <w:jc w:val="both"/>
        <w:rPr>
          <w:color w:val="auto"/>
        </w:rPr>
      </w:pPr>
    </w:p>
    <w:p w14:paraId="3710D8A0" w14:textId="77777777" w:rsidR="00F13FEA" w:rsidRPr="00FF5F86" w:rsidRDefault="00F13FEA">
      <w:pPr>
        <w:ind w:left="240" w:firstLine="0"/>
        <w:jc w:val="both"/>
        <w:rPr>
          <w:color w:val="auto"/>
        </w:rPr>
      </w:pPr>
    </w:p>
    <w:p w14:paraId="3F405AD0" w14:textId="77777777" w:rsidR="00F13FEA" w:rsidRPr="00FF5F86" w:rsidRDefault="00F13FEA">
      <w:pPr>
        <w:ind w:left="240" w:firstLine="0"/>
        <w:jc w:val="both"/>
        <w:rPr>
          <w:color w:val="auto"/>
        </w:rPr>
      </w:pPr>
    </w:p>
    <w:p w14:paraId="5432A334" w14:textId="77777777" w:rsidR="00F13FEA" w:rsidRPr="00FF5F86" w:rsidRDefault="00F13FEA">
      <w:pPr>
        <w:ind w:left="240" w:firstLine="0"/>
        <w:jc w:val="both"/>
        <w:rPr>
          <w:color w:val="auto"/>
        </w:rPr>
      </w:pPr>
    </w:p>
    <w:p w14:paraId="1C810D76" w14:textId="77777777" w:rsidR="00F13FEA" w:rsidRPr="00FF5F86" w:rsidRDefault="00F13FEA">
      <w:pPr>
        <w:ind w:left="240" w:firstLine="0"/>
        <w:jc w:val="both"/>
        <w:rPr>
          <w:color w:val="auto"/>
        </w:rPr>
      </w:pPr>
    </w:p>
    <w:p w14:paraId="56870381" w14:textId="77777777" w:rsidR="00F13FEA" w:rsidRPr="00FF5F86" w:rsidRDefault="00F13FEA">
      <w:pPr>
        <w:ind w:left="240" w:firstLine="0"/>
        <w:jc w:val="both"/>
        <w:rPr>
          <w:color w:val="auto"/>
        </w:rPr>
      </w:pPr>
    </w:p>
    <w:p w14:paraId="19C1DB16" w14:textId="77777777" w:rsidR="00F13FEA" w:rsidRPr="00FF5F86" w:rsidRDefault="00F13FEA">
      <w:pPr>
        <w:ind w:left="240" w:firstLine="0"/>
        <w:jc w:val="both"/>
        <w:rPr>
          <w:color w:val="auto"/>
        </w:rPr>
      </w:pPr>
    </w:p>
    <w:p w14:paraId="10191BD3" w14:textId="77777777" w:rsidR="00F13FEA" w:rsidRPr="00FF5F86" w:rsidRDefault="00F13FEA">
      <w:pPr>
        <w:ind w:left="240" w:firstLine="0"/>
        <w:jc w:val="both"/>
        <w:rPr>
          <w:color w:val="auto"/>
        </w:rPr>
      </w:pPr>
    </w:p>
    <w:p w14:paraId="614751C9" w14:textId="77777777" w:rsidR="00F13FEA" w:rsidRPr="00FF5F86" w:rsidRDefault="00F13FEA">
      <w:pPr>
        <w:ind w:left="240" w:firstLine="0"/>
        <w:jc w:val="both"/>
        <w:rPr>
          <w:color w:val="auto"/>
        </w:rPr>
      </w:pPr>
    </w:p>
    <w:p w14:paraId="550BB090" w14:textId="77777777" w:rsidR="00F13FEA" w:rsidRPr="00FF5F86" w:rsidRDefault="00F13FEA">
      <w:pPr>
        <w:ind w:left="240" w:firstLine="0"/>
        <w:jc w:val="both"/>
        <w:rPr>
          <w:color w:val="auto"/>
        </w:rPr>
      </w:pPr>
    </w:p>
    <w:p w14:paraId="4A75EACC" w14:textId="77777777" w:rsidR="00F13FEA" w:rsidRPr="00FF5F86" w:rsidRDefault="00F13FEA">
      <w:pPr>
        <w:ind w:left="240" w:firstLine="0"/>
        <w:jc w:val="both"/>
        <w:rPr>
          <w:color w:val="auto"/>
        </w:rPr>
      </w:pPr>
    </w:p>
    <w:p w14:paraId="0507C246" w14:textId="77777777" w:rsidR="00F13FEA" w:rsidRPr="00FF5F86" w:rsidRDefault="00F13FEA">
      <w:pPr>
        <w:ind w:left="240" w:firstLine="0"/>
        <w:jc w:val="both"/>
        <w:rPr>
          <w:color w:val="auto"/>
        </w:rPr>
      </w:pPr>
    </w:p>
    <w:p w14:paraId="4F5AF476" w14:textId="77777777" w:rsidR="00F13FEA" w:rsidRPr="00FF5F86" w:rsidRDefault="00F13FEA">
      <w:pPr>
        <w:ind w:left="240" w:firstLine="0"/>
        <w:jc w:val="both"/>
        <w:rPr>
          <w:color w:val="auto"/>
        </w:rPr>
      </w:pPr>
    </w:p>
    <w:p w14:paraId="7E7E479A" w14:textId="77777777" w:rsidR="00F13FEA" w:rsidRPr="00FF5F86" w:rsidRDefault="00F13FEA">
      <w:pPr>
        <w:ind w:left="240" w:firstLine="0"/>
        <w:jc w:val="both"/>
        <w:rPr>
          <w:color w:val="auto"/>
        </w:rPr>
      </w:pPr>
    </w:p>
    <w:p w14:paraId="579C7C34" w14:textId="77777777" w:rsidR="00F13FEA" w:rsidRPr="00FF5F86" w:rsidRDefault="00F13FEA">
      <w:pPr>
        <w:ind w:left="240" w:firstLine="0"/>
        <w:jc w:val="both"/>
        <w:rPr>
          <w:color w:val="auto"/>
        </w:rPr>
      </w:pPr>
    </w:p>
    <w:p w14:paraId="5AB9C174" w14:textId="77777777" w:rsidR="00F13FEA" w:rsidRPr="00FF5F86" w:rsidRDefault="00F13FEA">
      <w:pPr>
        <w:ind w:left="240" w:firstLine="0"/>
        <w:jc w:val="both"/>
        <w:rPr>
          <w:color w:val="auto"/>
        </w:rPr>
      </w:pPr>
    </w:p>
    <w:p w14:paraId="51FD3311" w14:textId="77777777" w:rsidR="00F13FEA" w:rsidRPr="00FF5F86" w:rsidRDefault="00F13FEA">
      <w:pPr>
        <w:ind w:left="240" w:firstLine="0"/>
        <w:jc w:val="both"/>
        <w:rPr>
          <w:color w:val="auto"/>
        </w:rPr>
      </w:pPr>
    </w:p>
    <w:p w14:paraId="176AFF87" w14:textId="77777777" w:rsidR="00F13FEA" w:rsidRPr="00FF5F86" w:rsidRDefault="00F13FEA">
      <w:pPr>
        <w:ind w:left="240" w:firstLine="0"/>
        <w:jc w:val="both"/>
        <w:rPr>
          <w:color w:val="auto"/>
        </w:rPr>
      </w:pPr>
    </w:p>
    <w:p w14:paraId="7F1485EE" w14:textId="77777777" w:rsidR="00F13FEA" w:rsidRPr="00FF5F86" w:rsidRDefault="00F13FEA">
      <w:pPr>
        <w:ind w:left="240" w:firstLine="0"/>
        <w:jc w:val="both"/>
        <w:rPr>
          <w:color w:val="auto"/>
        </w:rPr>
      </w:pPr>
    </w:p>
    <w:p w14:paraId="5AC29882" w14:textId="77777777" w:rsidR="00F13FEA" w:rsidRPr="00FF5F86" w:rsidRDefault="00F13FEA">
      <w:pPr>
        <w:ind w:left="240" w:firstLine="0"/>
        <w:jc w:val="both"/>
        <w:rPr>
          <w:color w:val="auto"/>
        </w:rPr>
      </w:pPr>
    </w:p>
    <w:p w14:paraId="17F4B0C6" w14:textId="77777777" w:rsidR="00F13FEA" w:rsidRPr="00FF5F86" w:rsidRDefault="00F13FEA">
      <w:pPr>
        <w:ind w:left="240" w:firstLine="0"/>
        <w:jc w:val="both"/>
        <w:rPr>
          <w:color w:val="auto"/>
        </w:rPr>
      </w:pPr>
    </w:p>
    <w:p w14:paraId="0852DE56" w14:textId="77777777" w:rsidR="00F13FEA" w:rsidRPr="00FF5F86" w:rsidRDefault="00F13FEA">
      <w:pPr>
        <w:ind w:left="240" w:firstLine="0"/>
        <w:jc w:val="both"/>
        <w:rPr>
          <w:color w:val="auto"/>
        </w:rPr>
      </w:pPr>
    </w:p>
    <w:p w14:paraId="19E4A28D" w14:textId="77777777" w:rsidR="00F13FEA" w:rsidRPr="00FF5F86" w:rsidRDefault="00F13FEA">
      <w:pPr>
        <w:ind w:left="240" w:firstLine="0"/>
        <w:jc w:val="both"/>
        <w:rPr>
          <w:color w:val="auto"/>
        </w:rPr>
      </w:pPr>
    </w:p>
    <w:p w14:paraId="7C45C0D5" w14:textId="77777777" w:rsidR="00F13FEA" w:rsidRPr="00FF5F86" w:rsidRDefault="00F13FEA">
      <w:pPr>
        <w:ind w:left="240" w:firstLine="0"/>
        <w:jc w:val="both"/>
        <w:rPr>
          <w:color w:val="auto"/>
        </w:rPr>
      </w:pPr>
    </w:p>
    <w:p w14:paraId="7405E577" w14:textId="77777777" w:rsidR="00F13FEA" w:rsidRPr="00FF5F86" w:rsidRDefault="00F13FEA">
      <w:pPr>
        <w:ind w:left="240" w:firstLine="0"/>
        <w:jc w:val="both"/>
        <w:rPr>
          <w:color w:val="auto"/>
        </w:rPr>
      </w:pPr>
    </w:p>
    <w:p w14:paraId="52427474" w14:textId="77777777" w:rsidR="00F13FEA" w:rsidRPr="00FF5F86" w:rsidRDefault="00F13FEA">
      <w:pPr>
        <w:ind w:left="240" w:firstLine="0"/>
        <w:jc w:val="both"/>
        <w:rPr>
          <w:color w:val="auto"/>
        </w:rPr>
      </w:pPr>
    </w:p>
    <w:p w14:paraId="248D08AD" w14:textId="77777777" w:rsidR="00F13FEA" w:rsidRPr="00FF5F86" w:rsidRDefault="00F13FEA">
      <w:pPr>
        <w:ind w:left="240" w:firstLine="0"/>
        <w:jc w:val="both"/>
        <w:rPr>
          <w:color w:val="auto"/>
        </w:rPr>
      </w:pPr>
    </w:p>
    <w:p w14:paraId="7F9871E5" w14:textId="77777777" w:rsidR="00F13FEA" w:rsidRPr="00FF5F86" w:rsidRDefault="00F13FEA">
      <w:pPr>
        <w:ind w:left="240" w:firstLine="0"/>
        <w:jc w:val="both"/>
        <w:rPr>
          <w:color w:val="auto"/>
        </w:rPr>
      </w:pPr>
    </w:p>
    <w:p w14:paraId="0B19B2E3" w14:textId="77777777" w:rsidR="00F13FEA" w:rsidRPr="00FF5F86" w:rsidRDefault="00F13FEA">
      <w:pPr>
        <w:ind w:left="240" w:firstLine="0"/>
        <w:jc w:val="both"/>
        <w:rPr>
          <w:color w:val="auto"/>
        </w:rPr>
      </w:pPr>
    </w:p>
    <w:p w14:paraId="67FE4B51" w14:textId="77777777" w:rsidR="00F13FEA" w:rsidRPr="00FF5F86" w:rsidRDefault="00F13FEA">
      <w:pPr>
        <w:ind w:left="240" w:firstLine="0"/>
        <w:jc w:val="both"/>
        <w:rPr>
          <w:color w:val="auto"/>
        </w:rPr>
      </w:pPr>
    </w:p>
    <w:sectPr w:rsidR="00F13FEA" w:rsidRPr="00FF5F86">
      <w:pgSz w:w="12240" w:h="15840"/>
      <w:pgMar w:top="1450" w:right="1444" w:bottom="14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4A5E8224">
      <w:start w:val="1"/>
      <w:numFmt w:val="bullet"/>
      <w:lvlText w:val="●"/>
      <w:lvlJc w:val="left"/>
      <w:pPr>
        <w:ind w:left="600"/>
      </w:pPr>
      <w:rPr>
        <w:rFonts w:ascii="Arial" w:eastAsia="Arial" w:hAnsi="Arial" w:cs="Arial"/>
        <w:b w:val="0"/>
        <w:i w:val="0"/>
        <w:color w:val="000000"/>
        <w:sz w:val="22"/>
        <w:szCs w:val="22"/>
        <w:u w:val="none" w:color="000000"/>
        <w:bdr w:val="none" w:sz="0" w:space="0" w:color="auto"/>
        <w:shd w:val="clear" w:color="auto" w:fill="auto"/>
        <w:vertAlign w:val="baseline"/>
      </w:rPr>
    </w:lvl>
    <w:lvl w:ilvl="1" w:tplc="26D03C3A">
      <w:start w:val="1"/>
      <w:numFmt w:val="bullet"/>
      <w:lvlText w:val="o"/>
      <w:lvlJc w:val="left"/>
      <w:pPr>
        <w:ind w:left="1320"/>
      </w:pPr>
      <w:rPr>
        <w:rFonts w:ascii="Arial" w:eastAsia="Arial" w:hAnsi="Arial" w:cs="Arial"/>
        <w:b w:val="0"/>
        <w:i w:val="0"/>
        <w:color w:val="000000"/>
        <w:sz w:val="22"/>
        <w:szCs w:val="22"/>
        <w:u w:val="none" w:color="000000"/>
        <w:bdr w:val="none" w:sz="0" w:space="0" w:color="auto"/>
        <w:shd w:val="clear" w:color="auto" w:fill="auto"/>
        <w:vertAlign w:val="baseline"/>
      </w:rPr>
    </w:lvl>
    <w:lvl w:ilvl="2" w:tplc="E56E2C76">
      <w:start w:val="1"/>
      <w:numFmt w:val="bullet"/>
      <w:lvlText w:val="▪"/>
      <w:lvlJc w:val="left"/>
      <w:pPr>
        <w:ind w:left="2040"/>
      </w:pPr>
      <w:rPr>
        <w:rFonts w:ascii="Arial" w:eastAsia="Arial" w:hAnsi="Arial" w:cs="Arial"/>
        <w:b w:val="0"/>
        <w:i w:val="0"/>
        <w:color w:val="000000"/>
        <w:sz w:val="22"/>
        <w:szCs w:val="22"/>
        <w:u w:val="none" w:color="000000"/>
        <w:bdr w:val="none" w:sz="0" w:space="0" w:color="auto"/>
        <w:shd w:val="clear" w:color="auto" w:fill="auto"/>
        <w:vertAlign w:val="baseline"/>
      </w:rPr>
    </w:lvl>
    <w:lvl w:ilvl="3" w:tplc="11984A62">
      <w:start w:val="1"/>
      <w:numFmt w:val="bullet"/>
      <w:lvlText w:val="•"/>
      <w:lvlJc w:val="left"/>
      <w:pPr>
        <w:ind w:left="2760"/>
      </w:pPr>
      <w:rPr>
        <w:rFonts w:ascii="Arial" w:eastAsia="Arial" w:hAnsi="Arial" w:cs="Arial"/>
        <w:b w:val="0"/>
        <w:i w:val="0"/>
        <w:color w:val="000000"/>
        <w:sz w:val="22"/>
        <w:szCs w:val="22"/>
        <w:u w:val="none" w:color="000000"/>
        <w:bdr w:val="none" w:sz="0" w:space="0" w:color="auto"/>
        <w:shd w:val="clear" w:color="auto" w:fill="auto"/>
        <w:vertAlign w:val="baseline"/>
      </w:rPr>
    </w:lvl>
    <w:lvl w:ilvl="4" w:tplc="1800238C">
      <w:start w:val="1"/>
      <w:numFmt w:val="bullet"/>
      <w:lvlText w:val="o"/>
      <w:lvlJc w:val="left"/>
      <w:pPr>
        <w:ind w:left="3480"/>
      </w:pPr>
      <w:rPr>
        <w:rFonts w:ascii="Arial" w:eastAsia="Arial" w:hAnsi="Arial" w:cs="Arial"/>
        <w:b w:val="0"/>
        <w:i w:val="0"/>
        <w:color w:val="000000"/>
        <w:sz w:val="22"/>
        <w:szCs w:val="22"/>
        <w:u w:val="none" w:color="000000"/>
        <w:bdr w:val="none" w:sz="0" w:space="0" w:color="auto"/>
        <w:shd w:val="clear" w:color="auto" w:fill="auto"/>
        <w:vertAlign w:val="baseline"/>
      </w:rPr>
    </w:lvl>
    <w:lvl w:ilvl="5" w:tplc="3EB4C8DC">
      <w:start w:val="1"/>
      <w:numFmt w:val="bullet"/>
      <w:lvlText w:val="▪"/>
      <w:lvlJc w:val="left"/>
      <w:pPr>
        <w:ind w:left="4200"/>
      </w:pPr>
      <w:rPr>
        <w:rFonts w:ascii="Arial" w:eastAsia="Arial" w:hAnsi="Arial" w:cs="Arial"/>
        <w:b w:val="0"/>
        <w:i w:val="0"/>
        <w:color w:val="000000"/>
        <w:sz w:val="22"/>
        <w:szCs w:val="22"/>
        <w:u w:val="none" w:color="000000"/>
        <w:bdr w:val="none" w:sz="0" w:space="0" w:color="auto"/>
        <w:shd w:val="clear" w:color="auto" w:fill="auto"/>
        <w:vertAlign w:val="baseline"/>
      </w:rPr>
    </w:lvl>
    <w:lvl w:ilvl="6" w:tplc="588680E6">
      <w:start w:val="1"/>
      <w:numFmt w:val="bullet"/>
      <w:lvlText w:val="•"/>
      <w:lvlJc w:val="left"/>
      <w:pPr>
        <w:ind w:left="4920"/>
      </w:pPr>
      <w:rPr>
        <w:rFonts w:ascii="Arial" w:eastAsia="Arial" w:hAnsi="Arial" w:cs="Arial"/>
        <w:b w:val="0"/>
        <w:i w:val="0"/>
        <w:color w:val="000000"/>
        <w:sz w:val="22"/>
        <w:szCs w:val="22"/>
        <w:u w:val="none" w:color="000000"/>
        <w:bdr w:val="none" w:sz="0" w:space="0" w:color="auto"/>
        <w:shd w:val="clear" w:color="auto" w:fill="auto"/>
        <w:vertAlign w:val="baseline"/>
      </w:rPr>
    </w:lvl>
    <w:lvl w:ilvl="7" w:tplc="88EC38E6">
      <w:start w:val="1"/>
      <w:numFmt w:val="bullet"/>
      <w:lvlText w:val="o"/>
      <w:lvlJc w:val="left"/>
      <w:pPr>
        <w:ind w:left="5640"/>
      </w:pPr>
      <w:rPr>
        <w:rFonts w:ascii="Arial" w:eastAsia="Arial" w:hAnsi="Arial" w:cs="Arial"/>
        <w:b w:val="0"/>
        <w:i w:val="0"/>
        <w:color w:val="000000"/>
        <w:sz w:val="22"/>
        <w:szCs w:val="22"/>
        <w:u w:val="none" w:color="000000"/>
        <w:bdr w:val="none" w:sz="0" w:space="0" w:color="auto"/>
        <w:shd w:val="clear" w:color="auto" w:fill="auto"/>
        <w:vertAlign w:val="baseline"/>
      </w:rPr>
    </w:lvl>
    <w:lvl w:ilvl="8" w:tplc="4B9C2528">
      <w:start w:val="1"/>
      <w:numFmt w:val="bullet"/>
      <w:lvlText w:val="▪"/>
      <w:lvlJc w:val="left"/>
      <w:pPr>
        <w:ind w:left="6360"/>
      </w:pPr>
      <w:rPr>
        <w:rFonts w:ascii="Arial" w:eastAsia="Arial" w:hAnsi="Arial" w:cs="Arial"/>
        <w:b w:val="0"/>
        <w:i w:val="0"/>
        <w:color w:val="000000"/>
        <w:sz w:val="22"/>
        <w:szCs w:val="22"/>
        <w:u w:val="none" w:color="000000"/>
        <w:bdr w:val="none" w:sz="0" w:space="0" w:color="auto"/>
        <w:shd w:val="clear" w:color="auto" w:fill="auto"/>
        <w:vertAlign w:val="baseline"/>
      </w:rPr>
    </w:lvl>
  </w:abstractNum>
  <w:abstractNum w:abstractNumId="1" w15:restartNumberingAfterBreak="0">
    <w:nsid w:val="00000002"/>
    <w:multiLevelType w:val="hybridMultilevel"/>
    <w:tmpl w:val="FFFFFFFF"/>
    <w:lvl w:ilvl="0" w:tplc="291C5CA4">
      <w:start w:val="1"/>
      <w:numFmt w:val="decimal"/>
      <w:lvlText w:val="%1."/>
      <w:lvlJc w:val="left"/>
      <w:pPr>
        <w:ind w:left="600"/>
      </w:pPr>
      <w:rPr>
        <w:rFonts w:ascii="Arial" w:eastAsia="Arial" w:hAnsi="Arial" w:cs="Arial"/>
        <w:b w:val="0"/>
        <w:i w:val="0"/>
        <w:color w:val="000000"/>
        <w:sz w:val="22"/>
        <w:szCs w:val="22"/>
        <w:u w:val="none" w:color="000000"/>
        <w:bdr w:val="none" w:sz="0" w:space="0" w:color="auto"/>
        <w:shd w:val="clear" w:color="auto" w:fill="auto"/>
        <w:vertAlign w:val="baseline"/>
      </w:rPr>
    </w:lvl>
    <w:lvl w:ilvl="1" w:tplc="82A0C820">
      <w:start w:val="1"/>
      <w:numFmt w:val="lowerLetter"/>
      <w:lvlText w:val="%2"/>
      <w:lvlJc w:val="left"/>
      <w:pPr>
        <w:ind w:left="1320"/>
      </w:pPr>
      <w:rPr>
        <w:rFonts w:ascii="Arial" w:eastAsia="Arial" w:hAnsi="Arial" w:cs="Arial"/>
        <w:b w:val="0"/>
        <w:i w:val="0"/>
        <w:color w:val="000000"/>
        <w:sz w:val="22"/>
        <w:szCs w:val="22"/>
        <w:u w:val="none" w:color="000000"/>
        <w:bdr w:val="none" w:sz="0" w:space="0" w:color="auto"/>
        <w:shd w:val="clear" w:color="auto" w:fill="auto"/>
        <w:vertAlign w:val="baseline"/>
      </w:rPr>
    </w:lvl>
    <w:lvl w:ilvl="2" w:tplc="2A0A4D2A">
      <w:start w:val="1"/>
      <w:numFmt w:val="lowerRoman"/>
      <w:lvlText w:val="%3"/>
      <w:lvlJc w:val="left"/>
      <w:pPr>
        <w:ind w:left="2040"/>
      </w:pPr>
      <w:rPr>
        <w:rFonts w:ascii="Arial" w:eastAsia="Arial" w:hAnsi="Arial" w:cs="Arial"/>
        <w:b w:val="0"/>
        <w:i w:val="0"/>
        <w:color w:val="000000"/>
        <w:sz w:val="22"/>
        <w:szCs w:val="22"/>
        <w:u w:val="none" w:color="000000"/>
        <w:bdr w:val="none" w:sz="0" w:space="0" w:color="auto"/>
        <w:shd w:val="clear" w:color="auto" w:fill="auto"/>
        <w:vertAlign w:val="baseline"/>
      </w:rPr>
    </w:lvl>
    <w:lvl w:ilvl="3" w:tplc="D5F25B08">
      <w:start w:val="1"/>
      <w:numFmt w:val="decimal"/>
      <w:lvlText w:val="%4"/>
      <w:lvlJc w:val="left"/>
      <w:pPr>
        <w:ind w:left="2760"/>
      </w:pPr>
      <w:rPr>
        <w:rFonts w:ascii="Arial" w:eastAsia="Arial" w:hAnsi="Arial" w:cs="Arial"/>
        <w:b w:val="0"/>
        <w:i w:val="0"/>
        <w:color w:val="000000"/>
        <w:sz w:val="22"/>
        <w:szCs w:val="22"/>
        <w:u w:val="none" w:color="000000"/>
        <w:bdr w:val="none" w:sz="0" w:space="0" w:color="auto"/>
        <w:shd w:val="clear" w:color="auto" w:fill="auto"/>
        <w:vertAlign w:val="baseline"/>
      </w:rPr>
    </w:lvl>
    <w:lvl w:ilvl="4" w:tplc="BC4675E4">
      <w:start w:val="1"/>
      <w:numFmt w:val="lowerLetter"/>
      <w:lvlText w:val="%5"/>
      <w:lvlJc w:val="left"/>
      <w:pPr>
        <w:ind w:left="3480"/>
      </w:pPr>
      <w:rPr>
        <w:rFonts w:ascii="Arial" w:eastAsia="Arial" w:hAnsi="Arial" w:cs="Arial"/>
        <w:b w:val="0"/>
        <w:i w:val="0"/>
        <w:color w:val="000000"/>
        <w:sz w:val="22"/>
        <w:szCs w:val="22"/>
        <w:u w:val="none" w:color="000000"/>
        <w:bdr w:val="none" w:sz="0" w:space="0" w:color="auto"/>
        <w:shd w:val="clear" w:color="auto" w:fill="auto"/>
        <w:vertAlign w:val="baseline"/>
      </w:rPr>
    </w:lvl>
    <w:lvl w:ilvl="5" w:tplc="2B0E159A">
      <w:start w:val="1"/>
      <w:numFmt w:val="lowerRoman"/>
      <w:lvlText w:val="%6"/>
      <w:lvlJc w:val="left"/>
      <w:pPr>
        <w:ind w:left="4200"/>
      </w:pPr>
      <w:rPr>
        <w:rFonts w:ascii="Arial" w:eastAsia="Arial" w:hAnsi="Arial" w:cs="Arial"/>
        <w:b w:val="0"/>
        <w:i w:val="0"/>
        <w:color w:val="000000"/>
        <w:sz w:val="22"/>
        <w:szCs w:val="22"/>
        <w:u w:val="none" w:color="000000"/>
        <w:bdr w:val="none" w:sz="0" w:space="0" w:color="auto"/>
        <w:shd w:val="clear" w:color="auto" w:fill="auto"/>
        <w:vertAlign w:val="baseline"/>
      </w:rPr>
    </w:lvl>
    <w:lvl w:ilvl="6" w:tplc="30DCC5FC">
      <w:start w:val="1"/>
      <w:numFmt w:val="decimal"/>
      <w:lvlText w:val="%7"/>
      <w:lvlJc w:val="left"/>
      <w:pPr>
        <w:ind w:left="4920"/>
      </w:pPr>
      <w:rPr>
        <w:rFonts w:ascii="Arial" w:eastAsia="Arial" w:hAnsi="Arial" w:cs="Arial"/>
        <w:b w:val="0"/>
        <w:i w:val="0"/>
        <w:color w:val="000000"/>
        <w:sz w:val="22"/>
        <w:szCs w:val="22"/>
        <w:u w:val="none" w:color="000000"/>
        <w:bdr w:val="none" w:sz="0" w:space="0" w:color="auto"/>
        <w:shd w:val="clear" w:color="auto" w:fill="auto"/>
        <w:vertAlign w:val="baseline"/>
      </w:rPr>
    </w:lvl>
    <w:lvl w:ilvl="7" w:tplc="FB64D364">
      <w:start w:val="1"/>
      <w:numFmt w:val="lowerLetter"/>
      <w:lvlText w:val="%8"/>
      <w:lvlJc w:val="left"/>
      <w:pPr>
        <w:ind w:left="5640"/>
      </w:pPr>
      <w:rPr>
        <w:rFonts w:ascii="Arial" w:eastAsia="Arial" w:hAnsi="Arial" w:cs="Arial"/>
        <w:b w:val="0"/>
        <w:i w:val="0"/>
        <w:color w:val="000000"/>
        <w:sz w:val="22"/>
        <w:szCs w:val="22"/>
        <w:u w:val="none" w:color="000000"/>
        <w:bdr w:val="none" w:sz="0" w:space="0" w:color="auto"/>
        <w:shd w:val="clear" w:color="auto" w:fill="auto"/>
        <w:vertAlign w:val="baseline"/>
      </w:rPr>
    </w:lvl>
    <w:lvl w:ilvl="8" w:tplc="36502214">
      <w:start w:val="1"/>
      <w:numFmt w:val="lowerRoman"/>
      <w:lvlText w:val="%9"/>
      <w:lvlJc w:val="left"/>
      <w:pPr>
        <w:ind w:left="6360"/>
      </w:pPr>
      <w:rPr>
        <w:rFonts w:ascii="Arial" w:eastAsia="Arial" w:hAnsi="Arial" w:cs="Arial"/>
        <w:b w:val="0"/>
        <w:i w:val="0"/>
        <w:color w:val="000000"/>
        <w:sz w:val="22"/>
        <w:szCs w:val="22"/>
        <w:u w:val="none" w:color="000000"/>
        <w:bdr w:val="none" w:sz="0" w:space="0" w:color="auto"/>
        <w:shd w:val="clear" w:color="auto" w:fill="auto"/>
        <w:vertAlign w:val="baseline"/>
      </w:rPr>
    </w:lvl>
  </w:abstractNum>
  <w:abstractNum w:abstractNumId="2" w15:restartNumberingAfterBreak="0">
    <w:nsid w:val="00000003"/>
    <w:multiLevelType w:val="hybridMultilevel"/>
    <w:tmpl w:val="FFFFFFFF"/>
    <w:lvl w:ilvl="0" w:tplc="169A8264">
      <w:start w:val="1"/>
      <w:numFmt w:val="decimal"/>
      <w:lvlText w:val="%1."/>
      <w:lvlJc w:val="left"/>
      <w:pPr>
        <w:ind w:left="600"/>
      </w:pPr>
      <w:rPr>
        <w:rFonts w:ascii="Arial" w:eastAsia="Arial" w:hAnsi="Arial" w:cs="Arial"/>
        <w:b w:val="0"/>
        <w:i w:val="0"/>
        <w:color w:val="000000"/>
        <w:sz w:val="22"/>
        <w:szCs w:val="22"/>
        <w:u w:val="none" w:color="000000"/>
        <w:bdr w:val="none" w:sz="0" w:space="0" w:color="auto"/>
        <w:shd w:val="clear" w:color="auto" w:fill="auto"/>
        <w:vertAlign w:val="baseline"/>
      </w:rPr>
    </w:lvl>
    <w:lvl w:ilvl="1" w:tplc="ABEAAF1C">
      <w:start w:val="1"/>
      <w:numFmt w:val="lowerLetter"/>
      <w:lvlText w:val="%2"/>
      <w:lvlJc w:val="left"/>
      <w:pPr>
        <w:ind w:left="1320"/>
      </w:pPr>
      <w:rPr>
        <w:rFonts w:ascii="Arial" w:eastAsia="Arial" w:hAnsi="Arial" w:cs="Arial"/>
        <w:b w:val="0"/>
        <w:i w:val="0"/>
        <w:color w:val="000000"/>
        <w:sz w:val="22"/>
        <w:szCs w:val="22"/>
        <w:u w:val="none" w:color="000000"/>
        <w:bdr w:val="none" w:sz="0" w:space="0" w:color="auto"/>
        <w:shd w:val="clear" w:color="auto" w:fill="auto"/>
        <w:vertAlign w:val="baseline"/>
      </w:rPr>
    </w:lvl>
    <w:lvl w:ilvl="2" w:tplc="7A70B4AA">
      <w:start w:val="1"/>
      <w:numFmt w:val="lowerRoman"/>
      <w:lvlText w:val="%3"/>
      <w:lvlJc w:val="left"/>
      <w:pPr>
        <w:ind w:left="2040"/>
      </w:pPr>
      <w:rPr>
        <w:rFonts w:ascii="Arial" w:eastAsia="Arial" w:hAnsi="Arial" w:cs="Arial"/>
        <w:b w:val="0"/>
        <w:i w:val="0"/>
        <w:color w:val="000000"/>
        <w:sz w:val="22"/>
        <w:szCs w:val="22"/>
        <w:u w:val="none" w:color="000000"/>
        <w:bdr w:val="none" w:sz="0" w:space="0" w:color="auto"/>
        <w:shd w:val="clear" w:color="auto" w:fill="auto"/>
        <w:vertAlign w:val="baseline"/>
      </w:rPr>
    </w:lvl>
    <w:lvl w:ilvl="3" w:tplc="7116F9D6">
      <w:start w:val="1"/>
      <w:numFmt w:val="decimal"/>
      <w:lvlText w:val="%4"/>
      <w:lvlJc w:val="left"/>
      <w:pPr>
        <w:ind w:left="2760"/>
      </w:pPr>
      <w:rPr>
        <w:rFonts w:ascii="Arial" w:eastAsia="Arial" w:hAnsi="Arial" w:cs="Arial"/>
        <w:b w:val="0"/>
        <w:i w:val="0"/>
        <w:color w:val="000000"/>
        <w:sz w:val="22"/>
        <w:szCs w:val="22"/>
        <w:u w:val="none" w:color="000000"/>
        <w:bdr w:val="none" w:sz="0" w:space="0" w:color="auto"/>
        <w:shd w:val="clear" w:color="auto" w:fill="auto"/>
        <w:vertAlign w:val="baseline"/>
      </w:rPr>
    </w:lvl>
    <w:lvl w:ilvl="4" w:tplc="32901638">
      <w:start w:val="1"/>
      <w:numFmt w:val="lowerLetter"/>
      <w:lvlText w:val="%5"/>
      <w:lvlJc w:val="left"/>
      <w:pPr>
        <w:ind w:left="3480"/>
      </w:pPr>
      <w:rPr>
        <w:rFonts w:ascii="Arial" w:eastAsia="Arial" w:hAnsi="Arial" w:cs="Arial"/>
        <w:b w:val="0"/>
        <w:i w:val="0"/>
        <w:color w:val="000000"/>
        <w:sz w:val="22"/>
        <w:szCs w:val="22"/>
        <w:u w:val="none" w:color="000000"/>
        <w:bdr w:val="none" w:sz="0" w:space="0" w:color="auto"/>
        <w:shd w:val="clear" w:color="auto" w:fill="auto"/>
        <w:vertAlign w:val="baseline"/>
      </w:rPr>
    </w:lvl>
    <w:lvl w:ilvl="5" w:tplc="DFC8882A">
      <w:start w:val="1"/>
      <w:numFmt w:val="lowerRoman"/>
      <w:lvlText w:val="%6"/>
      <w:lvlJc w:val="left"/>
      <w:pPr>
        <w:ind w:left="4200"/>
      </w:pPr>
      <w:rPr>
        <w:rFonts w:ascii="Arial" w:eastAsia="Arial" w:hAnsi="Arial" w:cs="Arial"/>
        <w:b w:val="0"/>
        <w:i w:val="0"/>
        <w:color w:val="000000"/>
        <w:sz w:val="22"/>
        <w:szCs w:val="22"/>
        <w:u w:val="none" w:color="000000"/>
        <w:bdr w:val="none" w:sz="0" w:space="0" w:color="auto"/>
        <w:shd w:val="clear" w:color="auto" w:fill="auto"/>
        <w:vertAlign w:val="baseline"/>
      </w:rPr>
    </w:lvl>
    <w:lvl w:ilvl="6" w:tplc="216CB63E">
      <w:start w:val="1"/>
      <w:numFmt w:val="decimal"/>
      <w:lvlText w:val="%7"/>
      <w:lvlJc w:val="left"/>
      <w:pPr>
        <w:ind w:left="4920"/>
      </w:pPr>
      <w:rPr>
        <w:rFonts w:ascii="Arial" w:eastAsia="Arial" w:hAnsi="Arial" w:cs="Arial"/>
        <w:b w:val="0"/>
        <w:i w:val="0"/>
        <w:color w:val="000000"/>
        <w:sz w:val="22"/>
        <w:szCs w:val="22"/>
        <w:u w:val="none" w:color="000000"/>
        <w:bdr w:val="none" w:sz="0" w:space="0" w:color="auto"/>
        <w:shd w:val="clear" w:color="auto" w:fill="auto"/>
        <w:vertAlign w:val="baseline"/>
      </w:rPr>
    </w:lvl>
    <w:lvl w:ilvl="7" w:tplc="D6D8C834">
      <w:start w:val="1"/>
      <w:numFmt w:val="lowerLetter"/>
      <w:lvlText w:val="%8"/>
      <w:lvlJc w:val="left"/>
      <w:pPr>
        <w:ind w:left="5640"/>
      </w:pPr>
      <w:rPr>
        <w:rFonts w:ascii="Arial" w:eastAsia="Arial" w:hAnsi="Arial" w:cs="Arial"/>
        <w:b w:val="0"/>
        <w:i w:val="0"/>
        <w:color w:val="000000"/>
        <w:sz w:val="22"/>
        <w:szCs w:val="22"/>
        <w:u w:val="none" w:color="000000"/>
        <w:bdr w:val="none" w:sz="0" w:space="0" w:color="auto"/>
        <w:shd w:val="clear" w:color="auto" w:fill="auto"/>
        <w:vertAlign w:val="baseline"/>
      </w:rPr>
    </w:lvl>
    <w:lvl w:ilvl="8" w:tplc="0562D164">
      <w:start w:val="1"/>
      <w:numFmt w:val="lowerRoman"/>
      <w:lvlText w:val="%9"/>
      <w:lvlJc w:val="left"/>
      <w:pPr>
        <w:ind w:left="6360"/>
      </w:pPr>
      <w:rPr>
        <w:rFonts w:ascii="Arial" w:eastAsia="Arial" w:hAnsi="Arial" w:cs="Arial"/>
        <w:b w:val="0"/>
        <w:i w:val="0"/>
        <w:color w:val="000000"/>
        <w:sz w:val="22"/>
        <w:szCs w:val="22"/>
        <w:u w:val="none" w:color="000000"/>
        <w:bdr w:val="none" w:sz="0" w:space="0" w:color="auto"/>
        <w:shd w:val="clear" w:color="auto" w:fill="auto"/>
        <w:vertAlign w:val="baseline"/>
      </w:rPr>
    </w:lvl>
  </w:abstractNum>
  <w:abstractNum w:abstractNumId="3" w15:restartNumberingAfterBreak="0">
    <w:nsid w:val="00000004"/>
    <w:multiLevelType w:val="hybridMultilevel"/>
    <w:tmpl w:val="FFFFFFFF"/>
    <w:lvl w:ilvl="0" w:tplc="D954248A">
      <w:start w:val="1"/>
      <w:numFmt w:val="bullet"/>
      <w:lvlText w:val="●"/>
      <w:lvlJc w:val="left"/>
      <w:pPr>
        <w:ind w:left="600"/>
      </w:pPr>
      <w:rPr>
        <w:rFonts w:ascii="Arial" w:eastAsia="Arial" w:hAnsi="Arial" w:cs="Arial"/>
        <w:b w:val="0"/>
        <w:i w:val="0"/>
        <w:color w:val="000000"/>
        <w:sz w:val="22"/>
        <w:szCs w:val="22"/>
        <w:u w:val="none" w:color="000000"/>
        <w:bdr w:val="none" w:sz="0" w:space="0" w:color="auto"/>
        <w:shd w:val="clear" w:color="auto" w:fill="auto"/>
        <w:vertAlign w:val="baseline"/>
      </w:rPr>
    </w:lvl>
    <w:lvl w:ilvl="1" w:tplc="26DADC2A">
      <w:start w:val="1"/>
      <w:numFmt w:val="bullet"/>
      <w:lvlText w:val="o"/>
      <w:lvlJc w:val="left"/>
      <w:pPr>
        <w:ind w:left="1320"/>
      </w:pPr>
      <w:rPr>
        <w:rFonts w:ascii="Arial" w:eastAsia="Arial" w:hAnsi="Arial" w:cs="Arial"/>
        <w:b w:val="0"/>
        <w:i w:val="0"/>
        <w:color w:val="000000"/>
        <w:sz w:val="22"/>
        <w:szCs w:val="22"/>
        <w:u w:val="none" w:color="000000"/>
        <w:bdr w:val="none" w:sz="0" w:space="0" w:color="auto"/>
        <w:shd w:val="clear" w:color="auto" w:fill="auto"/>
        <w:vertAlign w:val="baseline"/>
      </w:rPr>
    </w:lvl>
    <w:lvl w:ilvl="2" w:tplc="D41CCEDE">
      <w:start w:val="1"/>
      <w:numFmt w:val="bullet"/>
      <w:lvlText w:val="▪"/>
      <w:lvlJc w:val="left"/>
      <w:pPr>
        <w:ind w:left="2040"/>
      </w:pPr>
      <w:rPr>
        <w:rFonts w:ascii="Arial" w:eastAsia="Arial" w:hAnsi="Arial" w:cs="Arial"/>
        <w:b w:val="0"/>
        <w:i w:val="0"/>
        <w:color w:val="000000"/>
        <w:sz w:val="22"/>
        <w:szCs w:val="22"/>
        <w:u w:val="none" w:color="000000"/>
        <w:bdr w:val="none" w:sz="0" w:space="0" w:color="auto"/>
        <w:shd w:val="clear" w:color="auto" w:fill="auto"/>
        <w:vertAlign w:val="baseline"/>
      </w:rPr>
    </w:lvl>
    <w:lvl w:ilvl="3" w:tplc="CBDA290E">
      <w:start w:val="1"/>
      <w:numFmt w:val="bullet"/>
      <w:lvlText w:val="•"/>
      <w:lvlJc w:val="left"/>
      <w:pPr>
        <w:ind w:left="2760"/>
      </w:pPr>
      <w:rPr>
        <w:rFonts w:ascii="Arial" w:eastAsia="Arial" w:hAnsi="Arial" w:cs="Arial"/>
        <w:b w:val="0"/>
        <w:i w:val="0"/>
        <w:color w:val="000000"/>
        <w:sz w:val="22"/>
        <w:szCs w:val="22"/>
        <w:u w:val="none" w:color="000000"/>
        <w:bdr w:val="none" w:sz="0" w:space="0" w:color="auto"/>
        <w:shd w:val="clear" w:color="auto" w:fill="auto"/>
        <w:vertAlign w:val="baseline"/>
      </w:rPr>
    </w:lvl>
    <w:lvl w:ilvl="4" w:tplc="664CDC74">
      <w:start w:val="1"/>
      <w:numFmt w:val="bullet"/>
      <w:lvlText w:val="o"/>
      <w:lvlJc w:val="left"/>
      <w:pPr>
        <w:ind w:left="3480"/>
      </w:pPr>
      <w:rPr>
        <w:rFonts w:ascii="Arial" w:eastAsia="Arial" w:hAnsi="Arial" w:cs="Arial"/>
        <w:b w:val="0"/>
        <w:i w:val="0"/>
        <w:color w:val="000000"/>
        <w:sz w:val="22"/>
        <w:szCs w:val="22"/>
        <w:u w:val="none" w:color="000000"/>
        <w:bdr w:val="none" w:sz="0" w:space="0" w:color="auto"/>
        <w:shd w:val="clear" w:color="auto" w:fill="auto"/>
        <w:vertAlign w:val="baseline"/>
      </w:rPr>
    </w:lvl>
    <w:lvl w:ilvl="5" w:tplc="E5769ACA">
      <w:start w:val="1"/>
      <w:numFmt w:val="bullet"/>
      <w:lvlText w:val="▪"/>
      <w:lvlJc w:val="left"/>
      <w:pPr>
        <w:ind w:left="4200"/>
      </w:pPr>
      <w:rPr>
        <w:rFonts w:ascii="Arial" w:eastAsia="Arial" w:hAnsi="Arial" w:cs="Arial"/>
        <w:b w:val="0"/>
        <w:i w:val="0"/>
        <w:color w:val="000000"/>
        <w:sz w:val="22"/>
        <w:szCs w:val="22"/>
        <w:u w:val="none" w:color="000000"/>
        <w:bdr w:val="none" w:sz="0" w:space="0" w:color="auto"/>
        <w:shd w:val="clear" w:color="auto" w:fill="auto"/>
        <w:vertAlign w:val="baseline"/>
      </w:rPr>
    </w:lvl>
    <w:lvl w:ilvl="6" w:tplc="DDCEDF94">
      <w:start w:val="1"/>
      <w:numFmt w:val="bullet"/>
      <w:lvlText w:val="•"/>
      <w:lvlJc w:val="left"/>
      <w:pPr>
        <w:ind w:left="4920"/>
      </w:pPr>
      <w:rPr>
        <w:rFonts w:ascii="Arial" w:eastAsia="Arial" w:hAnsi="Arial" w:cs="Arial"/>
        <w:b w:val="0"/>
        <w:i w:val="0"/>
        <w:color w:val="000000"/>
        <w:sz w:val="22"/>
        <w:szCs w:val="22"/>
        <w:u w:val="none" w:color="000000"/>
        <w:bdr w:val="none" w:sz="0" w:space="0" w:color="auto"/>
        <w:shd w:val="clear" w:color="auto" w:fill="auto"/>
        <w:vertAlign w:val="baseline"/>
      </w:rPr>
    </w:lvl>
    <w:lvl w:ilvl="7" w:tplc="F1DAF052">
      <w:start w:val="1"/>
      <w:numFmt w:val="bullet"/>
      <w:lvlText w:val="o"/>
      <w:lvlJc w:val="left"/>
      <w:pPr>
        <w:ind w:left="5640"/>
      </w:pPr>
      <w:rPr>
        <w:rFonts w:ascii="Arial" w:eastAsia="Arial" w:hAnsi="Arial" w:cs="Arial"/>
        <w:b w:val="0"/>
        <w:i w:val="0"/>
        <w:color w:val="000000"/>
        <w:sz w:val="22"/>
        <w:szCs w:val="22"/>
        <w:u w:val="none" w:color="000000"/>
        <w:bdr w:val="none" w:sz="0" w:space="0" w:color="auto"/>
        <w:shd w:val="clear" w:color="auto" w:fill="auto"/>
        <w:vertAlign w:val="baseline"/>
      </w:rPr>
    </w:lvl>
    <w:lvl w:ilvl="8" w:tplc="34B8F0D6">
      <w:start w:val="1"/>
      <w:numFmt w:val="bullet"/>
      <w:lvlText w:val="▪"/>
      <w:lvlJc w:val="left"/>
      <w:pPr>
        <w:ind w:left="6360"/>
      </w:pPr>
      <w:rPr>
        <w:rFonts w:ascii="Arial" w:eastAsia="Arial" w:hAnsi="Arial" w:cs="Arial"/>
        <w:b w:val="0"/>
        <w:i w:val="0"/>
        <w:color w:val="000000"/>
        <w:sz w:val="22"/>
        <w:szCs w:val="22"/>
        <w:u w:val="none" w:color="000000"/>
        <w:bdr w:val="none" w:sz="0" w:space="0" w:color="auto"/>
        <w:shd w:val="clear" w:color="auto" w:fill="auto"/>
        <w:vertAlign w:val="baseline"/>
      </w:rPr>
    </w:lvl>
  </w:abstractNum>
  <w:abstractNum w:abstractNumId="4" w15:restartNumberingAfterBreak="0">
    <w:nsid w:val="00000005"/>
    <w:multiLevelType w:val="hybridMultilevel"/>
    <w:tmpl w:val="FFFFFFFF"/>
    <w:lvl w:ilvl="0" w:tplc="C6B21690">
      <w:start w:val="1"/>
      <w:numFmt w:val="bullet"/>
      <w:lvlText w:val="●"/>
      <w:lvlJc w:val="left"/>
      <w:pPr>
        <w:ind w:left="600"/>
      </w:pPr>
      <w:rPr>
        <w:rFonts w:ascii="Arial" w:eastAsia="Arial" w:hAnsi="Arial" w:cs="Arial"/>
        <w:b w:val="0"/>
        <w:i w:val="0"/>
        <w:color w:val="000000"/>
        <w:sz w:val="22"/>
        <w:szCs w:val="22"/>
        <w:u w:val="none" w:color="000000"/>
        <w:bdr w:val="none" w:sz="0" w:space="0" w:color="auto"/>
        <w:shd w:val="clear" w:color="auto" w:fill="auto"/>
        <w:vertAlign w:val="baseline"/>
      </w:rPr>
    </w:lvl>
    <w:lvl w:ilvl="1" w:tplc="EEC45E60">
      <w:start w:val="1"/>
      <w:numFmt w:val="bullet"/>
      <w:lvlText w:val="o"/>
      <w:lvlJc w:val="left"/>
      <w:pPr>
        <w:ind w:left="1320"/>
      </w:pPr>
      <w:rPr>
        <w:rFonts w:ascii="Arial" w:eastAsia="Arial" w:hAnsi="Arial" w:cs="Arial"/>
        <w:b w:val="0"/>
        <w:i w:val="0"/>
        <w:color w:val="000000"/>
        <w:sz w:val="22"/>
        <w:szCs w:val="22"/>
        <w:u w:val="none" w:color="000000"/>
        <w:bdr w:val="none" w:sz="0" w:space="0" w:color="auto"/>
        <w:shd w:val="clear" w:color="auto" w:fill="auto"/>
        <w:vertAlign w:val="baseline"/>
      </w:rPr>
    </w:lvl>
    <w:lvl w:ilvl="2" w:tplc="253E38E6">
      <w:start w:val="1"/>
      <w:numFmt w:val="bullet"/>
      <w:lvlText w:val="▪"/>
      <w:lvlJc w:val="left"/>
      <w:pPr>
        <w:ind w:left="2040"/>
      </w:pPr>
      <w:rPr>
        <w:rFonts w:ascii="Arial" w:eastAsia="Arial" w:hAnsi="Arial" w:cs="Arial"/>
        <w:b w:val="0"/>
        <w:i w:val="0"/>
        <w:color w:val="000000"/>
        <w:sz w:val="22"/>
        <w:szCs w:val="22"/>
        <w:u w:val="none" w:color="000000"/>
        <w:bdr w:val="none" w:sz="0" w:space="0" w:color="auto"/>
        <w:shd w:val="clear" w:color="auto" w:fill="auto"/>
        <w:vertAlign w:val="baseline"/>
      </w:rPr>
    </w:lvl>
    <w:lvl w:ilvl="3" w:tplc="50E6E712">
      <w:start w:val="1"/>
      <w:numFmt w:val="bullet"/>
      <w:lvlText w:val="•"/>
      <w:lvlJc w:val="left"/>
      <w:pPr>
        <w:ind w:left="2760"/>
      </w:pPr>
      <w:rPr>
        <w:rFonts w:ascii="Arial" w:eastAsia="Arial" w:hAnsi="Arial" w:cs="Arial"/>
        <w:b w:val="0"/>
        <w:i w:val="0"/>
        <w:color w:val="000000"/>
        <w:sz w:val="22"/>
        <w:szCs w:val="22"/>
        <w:u w:val="none" w:color="000000"/>
        <w:bdr w:val="none" w:sz="0" w:space="0" w:color="auto"/>
        <w:shd w:val="clear" w:color="auto" w:fill="auto"/>
        <w:vertAlign w:val="baseline"/>
      </w:rPr>
    </w:lvl>
    <w:lvl w:ilvl="4" w:tplc="4FF02870">
      <w:start w:val="1"/>
      <w:numFmt w:val="bullet"/>
      <w:lvlText w:val="o"/>
      <w:lvlJc w:val="left"/>
      <w:pPr>
        <w:ind w:left="3480"/>
      </w:pPr>
      <w:rPr>
        <w:rFonts w:ascii="Arial" w:eastAsia="Arial" w:hAnsi="Arial" w:cs="Arial"/>
        <w:b w:val="0"/>
        <w:i w:val="0"/>
        <w:color w:val="000000"/>
        <w:sz w:val="22"/>
        <w:szCs w:val="22"/>
        <w:u w:val="none" w:color="000000"/>
        <w:bdr w:val="none" w:sz="0" w:space="0" w:color="auto"/>
        <w:shd w:val="clear" w:color="auto" w:fill="auto"/>
        <w:vertAlign w:val="baseline"/>
      </w:rPr>
    </w:lvl>
    <w:lvl w:ilvl="5" w:tplc="DF5C6688">
      <w:start w:val="1"/>
      <w:numFmt w:val="bullet"/>
      <w:lvlText w:val="▪"/>
      <w:lvlJc w:val="left"/>
      <w:pPr>
        <w:ind w:left="4200"/>
      </w:pPr>
      <w:rPr>
        <w:rFonts w:ascii="Arial" w:eastAsia="Arial" w:hAnsi="Arial" w:cs="Arial"/>
        <w:b w:val="0"/>
        <w:i w:val="0"/>
        <w:color w:val="000000"/>
        <w:sz w:val="22"/>
        <w:szCs w:val="22"/>
        <w:u w:val="none" w:color="000000"/>
        <w:bdr w:val="none" w:sz="0" w:space="0" w:color="auto"/>
        <w:shd w:val="clear" w:color="auto" w:fill="auto"/>
        <w:vertAlign w:val="baseline"/>
      </w:rPr>
    </w:lvl>
    <w:lvl w:ilvl="6" w:tplc="D5C69472">
      <w:start w:val="1"/>
      <w:numFmt w:val="bullet"/>
      <w:lvlText w:val="•"/>
      <w:lvlJc w:val="left"/>
      <w:pPr>
        <w:ind w:left="4920"/>
      </w:pPr>
      <w:rPr>
        <w:rFonts w:ascii="Arial" w:eastAsia="Arial" w:hAnsi="Arial" w:cs="Arial"/>
        <w:b w:val="0"/>
        <w:i w:val="0"/>
        <w:color w:val="000000"/>
        <w:sz w:val="22"/>
        <w:szCs w:val="22"/>
        <w:u w:val="none" w:color="000000"/>
        <w:bdr w:val="none" w:sz="0" w:space="0" w:color="auto"/>
        <w:shd w:val="clear" w:color="auto" w:fill="auto"/>
        <w:vertAlign w:val="baseline"/>
      </w:rPr>
    </w:lvl>
    <w:lvl w:ilvl="7" w:tplc="628ADFE2">
      <w:start w:val="1"/>
      <w:numFmt w:val="bullet"/>
      <w:lvlText w:val="o"/>
      <w:lvlJc w:val="left"/>
      <w:pPr>
        <w:ind w:left="5640"/>
      </w:pPr>
      <w:rPr>
        <w:rFonts w:ascii="Arial" w:eastAsia="Arial" w:hAnsi="Arial" w:cs="Arial"/>
        <w:b w:val="0"/>
        <w:i w:val="0"/>
        <w:color w:val="000000"/>
        <w:sz w:val="22"/>
        <w:szCs w:val="22"/>
        <w:u w:val="none" w:color="000000"/>
        <w:bdr w:val="none" w:sz="0" w:space="0" w:color="auto"/>
        <w:shd w:val="clear" w:color="auto" w:fill="auto"/>
        <w:vertAlign w:val="baseline"/>
      </w:rPr>
    </w:lvl>
    <w:lvl w:ilvl="8" w:tplc="8B5817AE">
      <w:start w:val="1"/>
      <w:numFmt w:val="bullet"/>
      <w:lvlText w:val="▪"/>
      <w:lvlJc w:val="left"/>
      <w:pPr>
        <w:ind w:left="6360"/>
      </w:pPr>
      <w:rPr>
        <w:rFonts w:ascii="Arial" w:eastAsia="Arial" w:hAnsi="Arial" w:cs="Arial"/>
        <w:b w:val="0"/>
        <w:i w:val="0"/>
        <w:color w:val="000000"/>
        <w:sz w:val="22"/>
        <w:szCs w:val="22"/>
        <w:u w:val="none" w:color="000000"/>
        <w:bdr w:val="none" w:sz="0" w:space="0" w:color="auto"/>
        <w:shd w:val="clear" w:color="auto" w:fill="auto"/>
        <w:vertAlign w:val="baseline"/>
      </w:rPr>
    </w:lvl>
  </w:abstractNum>
  <w:abstractNum w:abstractNumId="5" w15:restartNumberingAfterBreak="0">
    <w:nsid w:val="00000006"/>
    <w:multiLevelType w:val="hybridMultilevel"/>
    <w:tmpl w:val="FFFFFFFF"/>
    <w:lvl w:ilvl="0" w:tplc="DA30041A">
      <w:start w:val="1"/>
      <w:numFmt w:val="decimal"/>
      <w:lvlText w:val="%1."/>
      <w:lvlJc w:val="left"/>
      <w:pPr>
        <w:ind w:left="600"/>
      </w:pPr>
      <w:rPr>
        <w:rFonts w:ascii="Arial" w:eastAsia="Arial" w:hAnsi="Arial" w:cs="Arial"/>
        <w:b w:val="0"/>
        <w:i w:val="0"/>
        <w:color w:val="000000"/>
        <w:sz w:val="22"/>
        <w:szCs w:val="22"/>
        <w:u w:val="none" w:color="000000"/>
        <w:bdr w:val="none" w:sz="0" w:space="0" w:color="auto"/>
        <w:shd w:val="clear" w:color="auto" w:fill="auto"/>
        <w:vertAlign w:val="baseline"/>
      </w:rPr>
    </w:lvl>
    <w:lvl w:ilvl="1" w:tplc="94C0F33E">
      <w:start w:val="1"/>
      <w:numFmt w:val="lowerLetter"/>
      <w:lvlText w:val="%2"/>
      <w:lvlJc w:val="left"/>
      <w:pPr>
        <w:ind w:left="1320"/>
      </w:pPr>
      <w:rPr>
        <w:rFonts w:ascii="Arial" w:eastAsia="Arial" w:hAnsi="Arial" w:cs="Arial"/>
        <w:b w:val="0"/>
        <w:i w:val="0"/>
        <w:color w:val="000000"/>
        <w:sz w:val="22"/>
        <w:szCs w:val="22"/>
        <w:u w:val="none" w:color="000000"/>
        <w:bdr w:val="none" w:sz="0" w:space="0" w:color="auto"/>
        <w:shd w:val="clear" w:color="auto" w:fill="auto"/>
        <w:vertAlign w:val="baseline"/>
      </w:rPr>
    </w:lvl>
    <w:lvl w:ilvl="2" w:tplc="23364B50">
      <w:start w:val="1"/>
      <w:numFmt w:val="lowerRoman"/>
      <w:lvlText w:val="%3"/>
      <w:lvlJc w:val="left"/>
      <w:pPr>
        <w:ind w:left="2040"/>
      </w:pPr>
      <w:rPr>
        <w:rFonts w:ascii="Arial" w:eastAsia="Arial" w:hAnsi="Arial" w:cs="Arial"/>
        <w:b w:val="0"/>
        <w:i w:val="0"/>
        <w:color w:val="000000"/>
        <w:sz w:val="22"/>
        <w:szCs w:val="22"/>
        <w:u w:val="none" w:color="000000"/>
        <w:bdr w:val="none" w:sz="0" w:space="0" w:color="auto"/>
        <w:shd w:val="clear" w:color="auto" w:fill="auto"/>
        <w:vertAlign w:val="baseline"/>
      </w:rPr>
    </w:lvl>
    <w:lvl w:ilvl="3" w:tplc="B00C35BE">
      <w:start w:val="1"/>
      <w:numFmt w:val="decimal"/>
      <w:lvlText w:val="%4"/>
      <w:lvlJc w:val="left"/>
      <w:pPr>
        <w:ind w:left="2760"/>
      </w:pPr>
      <w:rPr>
        <w:rFonts w:ascii="Arial" w:eastAsia="Arial" w:hAnsi="Arial" w:cs="Arial"/>
        <w:b w:val="0"/>
        <w:i w:val="0"/>
        <w:color w:val="000000"/>
        <w:sz w:val="22"/>
        <w:szCs w:val="22"/>
        <w:u w:val="none" w:color="000000"/>
        <w:bdr w:val="none" w:sz="0" w:space="0" w:color="auto"/>
        <w:shd w:val="clear" w:color="auto" w:fill="auto"/>
        <w:vertAlign w:val="baseline"/>
      </w:rPr>
    </w:lvl>
    <w:lvl w:ilvl="4" w:tplc="328442BA">
      <w:start w:val="1"/>
      <w:numFmt w:val="lowerLetter"/>
      <w:lvlText w:val="%5"/>
      <w:lvlJc w:val="left"/>
      <w:pPr>
        <w:ind w:left="3480"/>
      </w:pPr>
      <w:rPr>
        <w:rFonts w:ascii="Arial" w:eastAsia="Arial" w:hAnsi="Arial" w:cs="Arial"/>
        <w:b w:val="0"/>
        <w:i w:val="0"/>
        <w:color w:val="000000"/>
        <w:sz w:val="22"/>
        <w:szCs w:val="22"/>
        <w:u w:val="none" w:color="000000"/>
        <w:bdr w:val="none" w:sz="0" w:space="0" w:color="auto"/>
        <w:shd w:val="clear" w:color="auto" w:fill="auto"/>
        <w:vertAlign w:val="baseline"/>
      </w:rPr>
    </w:lvl>
    <w:lvl w:ilvl="5" w:tplc="3FF8A16C">
      <w:start w:val="1"/>
      <w:numFmt w:val="lowerRoman"/>
      <w:lvlText w:val="%6"/>
      <w:lvlJc w:val="left"/>
      <w:pPr>
        <w:ind w:left="4200"/>
      </w:pPr>
      <w:rPr>
        <w:rFonts w:ascii="Arial" w:eastAsia="Arial" w:hAnsi="Arial" w:cs="Arial"/>
        <w:b w:val="0"/>
        <w:i w:val="0"/>
        <w:color w:val="000000"/>
        <w:sz w:val="22"/>
        <w:szCs w:val="22"/>
        <w:u w:val="none" w:color="000000"/>
        <w:bdr w:val="none" w:sz="0" w:space="0" w:color="auto"/>
        <w:shd w:val="clear" w:color="auto" w:fill="auto"/>
        <w:vertAlign w:val="baseline"/>
      </w:rPr>
    </w:lvl>
    <w:lvl w:ilvl="6" w:tplc="436298C6">
      <w:start w:val="1"/>
      <w:numFmt w:val="decimal"/>
      <w:lvlText w:val="%7"/>
      <w:lvlJc w:val="left"/>
      <w:pPr>
        <w:ind w:left="4920"/>
      </w:pPr>
      <w:rPr>
        <w:rFonts w:ascii="Arial" w:eastAsia="Arial" w:hAnsi="Arial" w:cs="Arial"/>
        <w:b w:val="0"/>
        <w:i w:val="0"/>
        <w:color w:val="000000"/>
        <w:sz w:val="22"/>
        <w:szCs w:val="22"/>
        <w:u w:val="none" w:color="000000"/>
        <w:bdr w:val="none" w:sz="0" w:space="0" w:color="auto"/>
        <w:shd w:val="clear" w:color="auto" w:fill="auto"/>
        <w:vertAlign w:val="baseline"/>
      </w:rPr>
    </w:lvl>
    <w:lvl w:ilvl="7" w:tplc="5B74F6BC">
      <w:start w:val="1"/>
      <w:numFmt w:val="lowerLetter"/>
      <w:lvlText w:val="%8"/>
      <w:lvlJc w:val="left"/>
      <w:pPr>
        <w:ind w:left="5640"/>
      </w:pPr>
      <w:rPr>
        <w:rFonts w:ascii="Arial" w:eastAsia="Arial" w:hAnsi="Arial" w:cs="Arial"/>
        <w:b w:val="0"/>
        <w:i w:val="0"/>
        <w:color w:val="000000"/>
        <w:sz w:val="22"/>
        <w:szCs w:val="22"/>
        <w:u w:val="none" w:color="000000"/>
        <w:bdr w:val="none" w:sz="0" w:space="0" w:color="auto"/>
        <w:shd w:val="clear" w:color="auto" w:fill="auto"/>
        <w:vertAlign w:val="baseline"/>
      </w:rPr>
    </w:lvl>
    <w:lvl w:ilvl="8" w:tplc="43F22956">
      <w:start w:val="1"/>
      <w:numFmt w:val="lowerRoman"/>
      <w:lvlText w:val="%9"/>
      <w:lvlJc w:val="left"/>
      <w:pPr>
        <w:ind w:left="6360"/>
      </w:pPr>
      <w:rPr>
        <w:rFonts w:ascii="Arial" w:eastAsia="Arial" w:hAnsi="Arial" w:cs="Arial"/>
        <w:b w:val="0"/>
        <w:i w:val="0"/>
        <w:color w:val="000000"/>
        <w:sz w:val="22"/>
        <w:szCs w:val="22"/>
        <w:u w:val="none" w:color="000000"/>
        <w:bdr w:val="none" w:sz="0" w:space="0" w:color="auto"/>
        <w:shd w:val="clear" w:color="auto" w:fill="auto"/>
        <w:vertAlign w:val="baseline"/>
      </w:rPr>
    </w:lvl>
  </w:abstractNum>
  <w:abstractNum w:abstractNumId="6" w15:restartNumberingAfterBreak="0">
    <w:nsid w:val="00000007"/>
    <w:multiLevelType w:val="hybridMultilevel"/>
    <w:tmpl w:val="FFFFFFFF"/>
    <w:lvl w:ilvl="0" w:tplc="09D23110">
      <w:start w:val="1"/>
      <w:numFmt w:val="bullet"/>
      <w:lvlText w:val="●"/>
      <w:lvlJc w:val="left"/>
      <w:pPr>
        <w:ind w:left="600"/>
      </w:pPr>
      <w:rPr>
        <w:rFonts w:ascii="Arial" w:eastAsia="Arial" w:hAnsi="Arial" w:cs="Arial"/>
        <w:b w:val="0"/>
        <w:i w:val="0"/>
        <w:color w:val="000000"/>
        <w:sz w:val="22"/>
        <w:szCs w:val="22"/>
        <w:u w:val="none" w:color="000000"/>
        <w:bdr w:val="none" w:sz="0" w:space="0" w:color="auto"/>
        <w:shd w:val="clear" w:color="auto" w:fill="auto"/>
        <w:vertAlign w:val="baseline"/>
      </w:rPr>
    </w:lvl>
    <w:lvl w:ilvl="1" w:tplc="81AAE6EA">
      <w:start w:val="1"/>
      <w:numFmt w:val="bullet"/>
      <w:lvlText w:val="o"/>
      <w:lvlJc w:val="left"/>
      <w:pPr>
        <w:ind w:left="1320"/>
      </w:pPr>
      <w:rPr>
        <w:rFonts w:ascii="Arial" w:eastAsia="Arial" w:hAnsi="Arial" w:cs="Arial"/>
        <w:b w:val="0"/>
        <w:i w:val="0"/>
        <w:color w:val="000000"/>
        <w:sz w:val="22"/>
        <w:szCs w:val="22"/>
        <w:u w:val="none" w:color="000000"/>
        <w:bdr w:val="none" w:sz="0" w:space="0" w:color="auto"/>
        <w:shd w:val="clear" w:color="auto" w:fill="auto"/>
        <w:vertAlign w:val="baseline"/>
      </w:rPr>
    </w:lvl>
    <w:lvl w:ilvl="2" w:tplc="65A01612">
      <w:start w:val="1"/>
      <w:numFmt w:val="bullet"/>
      <w:lvlText w:val="▪"/>
      <w:lvlJc w:val="left"/>
      <w:pPr>
        <w:ind w:left="2040"/>
      </w:pPr>
      <w:rPr>
        <w:rFonts w:ascii="Arial" w:eastAsia="Arial" w:hAnsi="Arial" w:cs="Arial"/>
        <w:b w:val="0"/>
        <w:i w:val="0"/>
        <w:color w:val="000000"/>
        <w:sz w:val="22"/>
        <w:szCs w:val="22"/>
        <w:u w:val="none" w:color="000000"/>
        <w:bdr w:val="none" w:sz="0" w:space="0" w:color="auto"/>
        <w:shd w:val="clear" w:color="auto" w:fill="auto"/>
        <w:vertAlign w:val="baseline"/>
      </w:rPr>
    </w:lvl>
    <w:lvl w:ilvl="3" w:tplc="3084ACDA">
      <w:start w:val="1"/>
      <w:numFmt w:val="bullet"/>
      <w:lvlText w:val="•"/>
      <w:lvlJc w:val="left"/>
      <w:pPr>
        <w:ind w:left="2760"/>
      </w:pPr>
      <w:rPr>
        <w:rFonts w:ascii="Arial" w:eastAsia="Arial" w:hAnsi="Arial" w:cs="Arial"/>
        <w:b w:val="0"/>
        <w:i w:val="0"/>
        <w:color w:val="000000"/>
        <w:sz w:val="22"/>
        <w:szCs w:val="22"/>
        <w:u w:val="none" w:color="000000"/>
        <w:bdr w:val="none" w:sz="0" w:space="0" w:color="auto"/>
        <w:shd w:val="clear" w:color="auto" w:fill="auto"/>
        <w:vertAlign w:val="baseline"/>
      </w:rPr>
    </w:lvl>
    <w:lvl w:ilvl="4" w:tplc="C20E196C">
      <w:start w:val="1"/>
      <w:numFmt w:val="bullet"/>
      <w:lvlText w:val="o"/>
      <w:lvlJc w:val="left"/>
      <w:pPr>
        <w:ind w:left="3480"/>
      </w:pPr>
      <w:rPr>
        <w:rFonts w:ascii="Arial" w:eastAsia="Arial" w:hAnsi="Arial" w:cs="Arial"/>
        <w:b w:val="0"/>
        <w:i w:val="0"/>
        <w:color w:val="000000"/>
        <w:sz w:val="22"/>
        <w:szCs w:val="22"/>
        <w:u w:val="none" w:color="000000"/>
        <w:bdr w:val="none" w:sz="0" w:space="0" w:color="auto"/>
        <w:shd w:val="clear" w:color="auto" w:fill="auto"/>
        <w:vertAlign w:val="baseline"/>
      </w:rPr>
    </w:lvl>
    <w:lvl w:ilvl="5" w:tplc="A254DF7A">
      <w:start w:val="1"/>
      <w:numFmt w:val="bullet"/>
      <w:lvlText w:val="▪"/>
      <w:lvlJc w:val="left"/>
      <w:pPr>
        <w:ind w:left="4200"/>
      </w:pPr>
      <w:rPr>
        <w:rFonts w:ascii="Arial" w:eastAsia="Arial" w:hAnsi="Arial" w:cs="Arial"/>
        <w:b w:val="0"/>
        <w:i w:val="0"/>
        <w:color w:val="000000"/>
        <w:sz w:val="22"/>
        <w:szCs w:val="22"/>
        <w:u w:val="none" w:color="000000"/>
        <w:bdr w:val="none" w:sz="0" w:space="0" w:color="auto"/>
        <w:shd w:val="clear" w:color="auto" w:fill="auto"/>
        <w:vertAlign w:val="baseline"/>
      </w:rPr>
    </w:lvl>
    <w:lvl w:ilvl="6" w:tplc="FB4A082E">
      <w:start w:val="1"/>
      <w:numFmt w:val="bullet"/>
      <w:lvlText w:val="•"/>
      <w:lvlJc w:val="left"/>
      <w:pPr>
        <w:ind w:left="4920"/>
      </w:pPr>
      <w:rPr>
        <w:rFonts w:ascii="Arial" w:eastAsia="Arial" w:hAnsi="Arial" w:cs="Arial"/>
        <w:b w:val="0"/>
        <w:i w:val="0"/>
        <w:color w:val="000000"/>
        <w:sz w:val="22"/>
        <w:szCs w:val="22"/>
        <w:u w:val="none" w:color="000000"/>
        <w:bdr w:val="none" w:sz="0" w:space="0" w:color="auto"/>
        <w:shd w:val="clear" w:color="auto" w:fill="auto"/>
        <w:vertAlign w:val="baseline"/>
      </w:rPr>
    </w:lvl>
    <w:lvl w:ilvl="7" w:tplc="055CD5E0">
      <w:start w:val="1"/>
      <w:numFmt w:val="bullet"/>
      <w:lvlText w:val="o"/>
      <w:lvlJc w:val="left"/>
      <w:pPr>
        <w:ind w:left="5640"/>
      </w:pPr>
      <w:rPr>
        <w:rFonts w:ascii="Arial" w:eastAsia="Arial" w:hAnsi="Arial" w:cs="Arial"/>
        <w:b w:val="0"/>
        <w:i w:val="0"/>
        <w:color w:val="000000"/>
        <w:sz w:val="22"/>
        <w:szCs w:val="22"/>
        <w:u w:val="none" w:color="000000"/>
        <w:bdr w:val="none" w:sz="0" w:space="0" w:color="auto"/>
        <w:shd w:val="clear" w:color="auto" w:fill="auto"/>
        <w:vertAlign w:val="baseline"/>
      </w:rPr>
    </w:lvl>
    <w:lvl w:ilvl="8" w:tplc="B3F0712E">
      <w:start w:val="1"/>
      <w:numFmt w:val="bullet"/>
      <w:lvlText w:val="▪"/>
      <w:lvlJc w:val="left"/>
      <w:pPr>
        <w:ind w:left="6360"/>
      </w:pPr>
      <w:rPr>
        <w:rFonts w:ascii="Arial" w:eastAsia="Arial" w:hAnsi="Arial" w:cs="Arial"/>
        <w:b w:val="0"/>
        <w:i w:val="0"/>
        <w:color w:val="000000"/>
        <w:sz w:val="22"/>
        <w:szCs w:val="22"/>
        <w:u w:val="none" w:color="000000"/>
        <w:bdr w:val="none" w:sz="0" w:space="0" w:color="auto"/>
        <w:shd w:val="clear" w:color="auto" w:fill="auto"/>
        <w:vertAlign w:val="baseline"/>
      </w:rPr>
    </w:lvl>
  </w:abstractNum>
  <w:abstractNum w:abstractNumId="7" w15:restartNumberingAfterBreak="0">
    <w:nsid w:val="770C5C9F"/>
    <w:multiLevelType w:val="hybridMultilevel"/>
    <w:tmpl w:val="FFFFFFFF"/>
    <w:lvl w:ilvl="0" w:tplc="996EAA3A">
      <w:start w:val="1"/>
      <w:numFmt w:val="decimal"/>
      <w:lvlText w:val="%1."/>
      <w:lvlJc w:val="left"/>
      <w:pPr>
        <w:ind w:left="600"/>
      </w:pPr>
      <w:rPr>
        <w:rFonts w:ascii="Arial" w:eastAsia="Arial" w:hAnsi="Arial" w:cs="Arial"/>
        <w:b w:val="0"/>
        <w:i w:val="0"/>
        <w:color w:val="000000"/>
        <w:sz w:val="22"/>
        <w:szCs w:val="22"/>
        <w:u w:val="none" w:color="000000"/>
        <w:bdr w:val="none" w:sz="0" w:space="0" w:color="auto"/>
        <w:shd w:val="clear" w:color="auto" w:fill="auto"/>
        <w:vertAlign w:val="baseline"/>
      </w:rPr>
    </w:lvl>
    <w:lvl w:ilvl="1" w:tplc="185CFEB6">
      <w:start w:val="1"/>
      <w:numFmt w:val="lowerLetter"/>
      <w:lvlText w:val="%2"/>
      <w:lvlJc w:val="left"/>
      <w:pPr>
        <w:ind w:left="1320"/>
      </w:pPr>
      <w:rPr>
        <w:rFonts w:ascii="Arial" w:eastAsia="Arial" w:hAnsi="Arial" w:cs="Arial"/>
        <w:b w:val="0"/>
        <w:i w:val="0"/>
        <w:color w:val="000000"/>
        <w:sz w:val="22"/>
        <w:szCs w:val="22"/>
        <w:u w:val="none" w:color="000000"/>
        <w:bdr w:val="none" w:sz="0" w:space="0" w:color="auto"/>
        <w:shd w:val="clear" w:color="auto" w:fill="auto"/>
        <w:vertAlign w:val="baseline"/>
      </w:rPr>
    </w:lvl>
    <w:lvl w:ilvl="2" w:tplc="407EAE66">
      <w:start w:val="1"/>
      <w:numFmt w:val="lowerRoman"/>
      <w:lvlText w:val="%3"/>
      <w:lvlJc w:val="left"/>
      <w:pPr>
        <w:ind w:left="2040"/>
      </w:pPr>
      <w:rPr>
        <w:rFonts w:ascii="Arial" w:eastAsia="Arial" w:hAnsi="Arial" w:cs="Arial"/>
        <w:b w:val="0"/>
        <w:i w:val="0"/>
        <w:color w:val="000000"/>
        <w:sz w:val="22"/>
        <w:szCs w:val="22"/>
        <w:u w:val="none" w:color="000000"/>
        <w:bdr w:val="none" w:sz="0" w:space="0" w:color="auto"/>
        <w:shd w:val="clear" w:color="auto" w:fill="auto"/>
        <w:vertAlign w:val="baseline"/>
      </w:rPr>
    </w:lvl>
    <w:lvl w:ilvl="3" w:tplc="0DB8A630">
      <w:start w:val="1"/>
      <w:numFmt w:val="decimal"/>
      <w:lvlText w:val="%4"/>
      <w:lvlJc w:val="left"/>
      <w:pPr>
        <w:ind w:left="2760"/>
      </w:pPr>
      <w:rPr>
        <w:rFonts w:ascii="Arial" w:eastAsia="Arial" w:hAnsi="Arial" w:cs="Arial"/>
        <w:b w:val="0"/>
        <w:i w:val="0"/>
        <w:color w:val="000000"/>
        <w:sz w:val="22"/>
        <w:szCs w:val="22"/>
        <w:u w:val="none" w:color="000000"/>
        <w:bdr w:val="none" w:sz="0" w:space="0" w:color="auto"/>
        <w:shd w:val="clear" w:color="auto" w:fill="auto"/>
        <w:vertAlign w:val="baseline"/>
      </w:rPr>
    </w:lvl>
    <w:lvl w:ilvl="4" w:tplc="F21CBA72">
      <w:start w:val="1"/>
      <w:numFmt w:val="lowerLetter"/>
      <w:lvlText w:val="%5"/>
      <w:lvlJc w:val="left"/>
      <w:pPr>
        <w:ind w:left="3480"/>
      </w:pPr>
      <w:rPr>
        <w:rFonts w:ascii="Arial" w:eastAsia="Arial" w:hAnsi="Arial" w:cs="Arial"/>
        <w:b w:val="0"/>
        <w:i w:val="0"/>
        <w:color w:val="000000"/>
        <w:sz w:val="22"/>
        <w:szCs w:val="22"/>
        <w:u w:val="none" w:color="000000"/>
        <w:bdr w:val="none" w:sz="0" w:space="0" w:color="auto"/>
        <w:shd w:val="clear" w:color="auto" w:fill="auto"/>
        <w:vertAlign w:val="baseline"/>
      </w:rPr>
    </w:lvl>
    <w:lvl w:ilvl="5" w:tplc="3D9E4850">
      <w:start w:val="1"/>
      <w:numFmt w:val="lowerRoman"/>
      <w:lvlText w:val="%6"/>
      <w:lvlJc w:val="left"/>
      <w:pPr>
        <w:ind w:left="4200"/>
      </w:pPr>
      <w:rPr>
        <w:rFonts w:ascii="Arial" w:eastAsia="Arial" w:hAnsi="Arial" w:cs="Arial"/>
        <w:b w:val="0"/>
        <w:i w:val="0"/>
        <w:color w:val="000000"/>
        <w:sz w:val="22"/>
        <w:szCs w:val="22"/>
        <w:u w:val="none" w:color="000000"/>
        <w:bdr w:val="none" w:sz="0" w:space="0" w:color="auto"/>
        <w:shd w:val="clear" w:color="auto" w:fill="auto"/>
        <w:vertAlign w:val="baseline"/>
      </w:rPr>
    </w:lvl>
    <w:lvl w:ilvl="6" w:tplc="ABA0BF0C">
      <w:start w:val="1"/>
      <w:numFmt w:val="decimal"/>
      <w:lvlText w:val="%7"/>
      <w:lvlJc w:val="left"/>
      <w:pPr>
        <w:ind w:left="4920"/>
      </w:pPr>
      <w:rPr>
        <w:rFonts w:ascii="Arial" w:eastAsia="Arial" w:hAnsi="Arial" w:cs="Arial"/>
        <w:b w:val="0"/>
        <w:i w:val="0"/>
        <w:color w:val="000000"/>
        <w:sz w:val="22"/>
        <w:szCs w:val="22"/>
        <w:u w:val="none" w:color="000000"/>
        <w:bdr w:val="none" w:sz="0" w:space="0" w:color="auto"/>
        <w:shd w:val="clear" w:color="auto" w:fill="auto"/>
        <w:vertAlign w:val="baseline"/>
      </w:rPr>
    </w:lvl>
    <w:lvl w:ilvl="7" w:tplc="B7AA8844">
      <w:start w:val="1"/>
      <w:numFmt w:val="lowerLetter"/>
      <w:lvlText w:val="%8"/>
      <w:lvlJc w:val="left"/>
      <w:pPr>
        <w:ind w:left="5640"/>
      </w:pPr>
      <w:rPr>
        <w:rFonts w:ascii="Arial" w:eastAsia="Arial" w:hAnsi="Arial" w:cs="Arial"/>
        <w:b w:val="0"/>
        <w:i w:val="0"/>
        <w:color w:val="000000"/>
        <w:sz w:val="22"/>
        <w:szCs w:val="22"/>
        <w:u w:val="none" w:color="000000"/>
        <w:bdr w:val="none" w:sz="0" w:space="0" w:color="auto"/>
        <w:shd w:val="clear" w:color="auto" w:fill="auto"/>
        <w:vertAlign w:val="baseline"/>
      </w:rPr>
    </w:lvl>
    <w:lvl w:ilvl="8" w:tplc="35847302">
      <w:start w:val="1"/>
      <w:numFmt w:val="lowerRoman"/>
      <w:lvlText w:val="%9"/>
      <w:lvlJc w:val="left"/>
      <w:pPr>
        <w:ind w:left="6360"/>
      </w:pPr>
      <w:rPr>
        <w:rFonts w:ascii="Arial" w:eastAsia="Arial" w:hAnsi="Arial" w:cs="Arial"/>
        <w:b w:val="0"/>
        <w:i w:val="0"/>
        <w:color w:val="000000"/>
        <w:sz w:val="22"/>
        <w:szCs w:val="22"/>
        <w:u w:val="none" w:color="000000"/>
        <w:bdr w:val="none" w:sz="0" w:space="0" w:color="auto"/>
        <w:shd w:val="clear" w:color="auto" w:fill="auto"/>
        <w:vertAlign w:val="baseline"/>
      </w:rPr>
    </w:lvl>
  </w:abstractNum>
  <w:num w:numId="1" w16cid:durableId="308217317">
    <w:abstractNumId w:val="5"/>
  </w:num>
  <w:num w:numId="2" w16cid:durableId="1350253319">
    <w:abstractNumId w:val="2"/>
  </w:num>
  <w:num w:numId="3" w16cid:durableId="1746029805">
    <w:abstractNumId w:val="6"/>
  </w:num>
  <w:num w:numId="4" w16cid:durableId="570045236">
    <w:abstractNumId w:val="3"/>
  </w:num>
  <w:num w:numId="5" w16cid:durableId="993099081">
    <w:abstractNumId w:val="7"/>
  </w:num>
  <w:num w:numId="6" w16cid:durableId="1164127385">
    <w:abstractNumId w:val="4"/>
  </w:num>
  <w:num w:numId="7" w16cid:durableId="1904019826">
    <w:abstractNumId w:val="0"/>
  </w:num>
  <w:num w:numId="8" w16cid:durableId="629215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984"/>
    <w:rsid w:val="00010ADA"/>
    <w:rsid w:val="00076984"/>
    <w:rsid w:val="001438C6"/>
    <w:rsid w:val="001604E0"/>
    <w:rsid w:val="00185D68"/>
    <w:rsid w:val="002A4EE1"/>
    <w:rsid w:val="002E2612"/>
    <w:rsid w:val="0033571A"/>
    <w:rsid w:val="00460E54"/>
    <w:rsid w:val="00461163"/>
    <w:rsid w:val="004821D8"/>
    <w:rsid w:val="00484758"/>
    <w:rsid w:val="005129EB"/>
    <w:rsid w:val="005215F5"/>
    <w:rsid w:val="00584BA2"/>
    <w:rsid w:val="005C7DAA"/>
    <w:rsid w:val="005D73D4"/>
    <w:rsid w:val="005E4CBC"/>
    <w:rsid w:val="0060507D"/>
    <w:rsid w:val="00627E90"/>
    <w:rsid w:val="006A1707"/>
    <w:rsid w:val="007C2E5E"/>
    <w:rsid w:val="00846E5F"/>
    <w:rsid w:val="008877D7"/>
    <w:rsid w:val="00916146"/>
    <w:rsid w:val="009434A0"/>
    <w:rsid w:val="00A55188"/>
    <w:rsid w:val="00A739C0"/>
    <w:rsid w:val="00AA0CDD"/>
    <w:rsid w:val="00B07339"/>
    <w:rsid w:val="00C316AC"/>
    <w:rsid w:val="00C87638"/>
    <w:rsid w:val="00CB2443"/>
    <w:rsid w:val="00E00DC1"/>
    <w:rsid w:val="00F13FEA"/>
    <w:rsid w:val="00FF5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3797F"/>
  <w15:docId w15:val="{F10BFEF2-F8B6-4D38-AA50-D1B6D1D92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SimSun"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8"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79" w:line="259" w:lineRule="auto"/>
      <w:ind w:left="10" w:hanging="10"/>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174" w:line="253" w:lineRule="auto"/>
      <w:ind w:left="10"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223" w:line="259" w:lineRule="auto"/>
      <w:ind w:left="10"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3Char">
    <w:name w:val="Heading 3 Char"/>
    <w:link w:val="Heading3"/>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s-markdown-paragraph">
    <w:name w:val="ds-markdown-paragraph"/>
    <w:basedOn w:val="Normal"/>
    <w:rsid w:val="008877D7"/>
    <w:pPr>
      <w:spacing w:before="100" w:beforeAutospacing="1" w:after="100" w:afterAutospacing="1" w:line="240" w:lineRule="auto"/>
      <w:ind w:left="0" w:firstLine="0"/>
    </w:pPr>
    <w:rPr>
      <w:rFonts w:ascii="Times New Roman" w:eastAsia="Times New Roman" w:hAnsi="Times New Roman" w:cs="Times New Roman"/>
      <w:color w:val="auto"/>
      <w:kern w:val="0"/>
      <w:sz w:val="24"/>
      <w:lang w:val="en-GM" w:eastAsia="zh-CN"/>
      <w14:ligatures w14:val="none"/>
    </w:rPr>
  </w:style>
  <w:style w:type="character" w:styleId="Emphasis">
    <w:name w:val="Emphasis"/>
    <w:basedOn w:val="DefaultParagraphFont"/>
    <w:uiPriority w:val="20"/>
    <w:qFormat/>
    <w:rsid w:val="008877D7"/>
    <w:rPr>
      <w:i/>
      <w:iCs/>
    </w:rPr>
  </w:style>
  <w:style w:type="character" w:styleId="Hyperlink">
    <w:name w:val="Hyperlink"/>
    <w:basedOn w:val="DefaultParagraphFont"/>
    <w:uiPriority w:val="99"/>
    <w:semiHidden/>
    <w:unhideWhenUsed/>
    <w:rsid w:val="008877D7"/>
    <w:rPr>
      <w:color w:val="0000FF"/>
      <w:u w:val="single"/>
    </w:rPr>
  </w:style>
  <w:style w:type="paragraph" w:styleId="NormalWeb">
    <w:name w:val="Normal (Web)"/>
    <w:basedOn w:val="Normal"/>
    <w:uiPriority w:val="99"/>
    <w:semiHidden/>
    <w:unhideWhenUsed/>
    <w:rsid w:val="005E4CBC"/>
    <w:pPr>
      <w:spacing w:before="100" w:beforeAutospacing="1" w:after="100" w:afterAutospacing="1" w:line="240" w:lineRule="auto"/>
      <w:ind w:left="0" w:firstLine="0"/>
    </w:pPr>
    <w:rPr>
      <w:rFonts w:ascii="Times New Roman" w:eastAsia="Times New Roman" w:hAnsi="Times New Roman" w:cs="Times New Roman"/>
      <w:color w:val="auto"/>
      <w:kern w:val="0"/>
      <w:sz w:val="24"/>
      <w:lang w:val="en-GM" w:eastAsia="zh-CN"/>
      <w14:ligatures w14:val="none"/>
    </w:rPr>
  </w:style>
  <w:style w:type="character" w:styleId="Strong">
    <w:name w:val="Strong"/>
    <w:basedOn w:val="DefaultParagraphFont"/>
    <w:uiPriority w:val="22"/>
    <w:qFormat/>
    <w:rsid w:val="005E4C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080/02671522.2010.517205" TargetMode="External"/><Relationship Id="rId13" Type="http://schemas.openxmlformats.org/officeDocument/2006/relationships/hyperlink" Target="https://doi.org/10.7202/1078519ar" TargetMode="External"/><Relationship Id="rId3" Type="http://schemas.openxmlformats.org/officeDocument/2006/relationships/settings" Target="settings.xml"/><Relationship Id="rId7" Type="http://schemas.openxmlformats.org/officeDocument/2006/relationships/hyperlink" Target="https://doi.org/10.1108/02683940710733115" TargetMode="External"/><Relationship Id="rId12" Type="http://schemas.openxmlformats.org/officeDocument/2006/relationships/hyperlink" Target="https://doi.org/10.1016/j.ijer.2006.07.00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1016/j.econedurev.2012.02.003" TargetMode="External"/><Relationship Id="rId11" Type="http://schemas.openxmlformats.org/officeDocument/2006/relationships/hyperlink" Target="https://doi.org/10.3102/01623737001001002"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doi.org/10.1111/dpr.12155" TargetMode="External"/><Relationship Id="rId4" Type="http://schemas.openxmlformats.org/officeDocument/2006/relationships/webSettings" Target="webSettings.xml"/><Relationship Id="rId9" Type="http://schemas.openxmlformats.org/officeDocument/2006/relationships/hyperlink" Target="https://doi.org/10.1093/jae/ejaa009" TargetMode="External"/><Relationship Id="rId14" Type="http://schemas.openxmlformats.org/officeDocument/2006/relationships/hyperlink" Target="https://doi.org/10.1002/tia2.200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15</Pages>
  <Words>5131</Words>
  <Characters>29251</Characters>
  <Application>Microsoft Office Word</Application>
  <DocSecurity>0</DocSecurity>
  <Lines>243</Lines>
  <Paragraphs>68</Paragraphs>
  <ScaleCrop>false</ScaleCrop>
  <Company/>
  <LinksUpToDate>false</LinksUpToDate>
  <CharactersWithSpaces>34314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‎Write a complete, original, academically rigo...</dc:title>
  <dc:creator>WPS Office</dc:creator>
  <cp:lastModifiedBy>fatou k fatty</cp:lastModifiedBy>
  <cp:revision>33</cp:revision>
  <dcterms:created xsi:type="dcterms:W3CDTF">2026-05-26T06:58:00Z</dcterms:created>
  <dcterms:modified xsi:type="dcterms:W3CDTF">2026-06-02T11:24:00Z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a0c16666721241dc8e0b262db7c97ce6</vt:lpwstr>
  </property>
</Properties>
</file>