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F50A" w14:textId="324AFAD2" w:rsidR="001A1546" w:rsidRDefault="001A1546" w:rsidP="00681D6E">
      <w:pPr>
        <w:spacing w:before="100" w:beforeAutospacing="1" w:after="100" w:afterAutospacing="1" w:line="360" w:lineRule="auto"/>
        <w:jc w:val="center"/>
        <w:rPr>
          <w:rFonts w:ascii="Times New Roman" w:hAnsi="Times New Roman" w:cs="Times New Roman"/>
          <w:b/>
          <w:bCs/>
          <w:sz w:val="24"/>
          <w:szCs w:val="24"/>
        </w:rPr>
      </w:pPr>
      <w:bookmarkStart w:id="0" w:name="_Hlk213847216"/>
      <w:r w:rsidRPr="001A1546">
        <w:rPr>
          <w:rFonts w:ascii="Times New Roman" w:hAnsi="Times New Roman" w:cs="Times New Roman"/>
          <w:b/>
          <w:bCs/>
          <w:sz w:val="24"/>
          <w:szCs w:val="24"/>
        </w:rPr>
        <w:t>Role of NGOs in Mitigating Climate Change in Gujarat</w:t>
      </w:r>
    </w:p>
    <w:bookmarkEnd w:id="0"/>
    <w:p w14:paraId="619B0B63" w14:textId="7AD2CA09" w:rsidR="00681D6E" w:rsidRPr="00681D6E" w:rsidRDefault="00681D6E" w:rsidP="00681D6E">
      <w:pPr>
        <w:pStyle w:val="ListParagraph"/>
        <w:numPr>
          <w:ilvl w:val="0"/>
          <w:numId w:val="14"/>
        </w:numPr>
        <w:spacing w:before="100" w:beforeAutospacing="1" w:after="100" w:afterAutospacing="1" w:line="360" w:lineRule="auto"/>
        <w:jc w:val="right"/>
        <w:rPr>
          <w:rFonts w:ascii="Times New Roman" w:hAnsi="Times New Roman" w:cs="Times New Roman"/>
          <w:b/>
          <w:bCs/>
          <w:sz w:val="24"/>
          <w:szCs w:val="24"/>
        </w:rPr>
      </w:pPr>
      <w:r>
        <w:rPr>
          <w:rFonts w:ascii="Times New Roman" w:hAnsi="Times New Roman" w:cs="Times New Roman"/>
          <w:b/>
          <w:bCs/>
          <w:sz w:val="24"/>
          <w:szCs w:val="24"/>
        </w:rPr>
        <w:t>Amit Patel</w:t>
      </w:r>
    </w:p>
    <w:p w14:paraId="29E457B3"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Abstract</w:t>
      </w:r>
    </w:p>
    <w:p w14:paraId="38054A6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change has emerged as one of the most pressing global challenges, and India’s western state of Gujarat faces distinctive risks due to its semi-arid geography, long coastline, and industrial profile. Non-Governmental Organizations (NGOs) have become crucial actors in bridging local realities with national and global climate policies. This study explores the empirical role of NGOs in mitigating climate change across Gujarat. Drawing upon secondary data from the Gujarat State Action Plan on Climate Change (SAPCC), the Indian Meteorological Department (IMD), and reports from organizations such as SEWA, Vasudha Foundation, and TERI, the paper identifies how NGOs implement renewable energy solutions, afforestation, water conservation, and community-based resilience programs. The findings demonstrate that NGOs not only complement state interventions but also pioneer bottom-up innovations that strengthen climate governance. The study concludes with policy recommendations to institutionalize NGO participation within Gujarat’s climate framework.</w:t>
      </w:r>
    </w:p>
    <w:p w14:paraId="3E049CE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Keywords:</w:t>
      </w:r>
      <w:r w:rsidRPr="001A1546">
        <w:rPr>
          <w:rFonts w:ascii="Times New Roman" w:hAnsi="Times New Roman" w:cs="Times New Roman"/>
          <w:sz w:val="24"/>
          <w:szCs w:val="24"/>
        </w:rPr>
        <w:t xml:space="preserve"> Climate change, NGOs, Gujarat, mitigation, renewable energy, community resilience, adaptation, SAPCC, India</w:t>
      </w:r>
    </w:p>
    <w:p w14:paraId="5204F07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2631ED29">
          <v:rect id="_x0000_i1025" style="width:0;height:1.5pt" o:hralign="center" o:hrstd="t" o:hr="t" fillcolor="#a0a0a0" stroked="f"/>
        </w:pict>
      </w:r>
    </w:p>
    <w:p w14:paraId="2289B9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 Introduction</w:t>
      </w:r>
    </w:p>
    <w:p w14:paraId="18AAE77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1.1 Background and rationale</w:t>
      </w:r>
    </w:p>
    <w:p w14:paraId="6F7F685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Climate change is no longer an abstract environmental issue—it manifests through rising temperatures, altered rainfall patterns, extreme weather, and disrupted livelihoods (Intergovernmental Panel on Climate Change [IPCC], 2022). India, being a developing country with vast ecological diversity, faces complex climate challenges. Gujarat, one of India’s most industrially advanced states, presents a unique case of both vulnerability and leadership in climate mitigation. The state’s long coastline (over 1,600 km), arid regions, and urban-industrial </w:t>
      </w:r>
      <w:proofErr w:type="spellStart"/>
      <w:r w:rsidRPr="001A1546">
        <w:rPr>
          <w:rFonts w:ascii="Times New Roman" w:hAnsi="Times New Roman" w:cs="Times New Roman"/>
          <w:sz w:val="24"/>
          <w:szCs w:val="24"/>
        </w:rPr>
        <w:t>centers</w:t>
      </w:r>
      <w:proofErr w:type="spellEnd"/>
      <w:r w:rsidRPr="001A1546">
        <w:rPr>
          <w:rFonts w:ascii="Times New Roman" w:hAnsi="Times New Roman" w:cs="Times New Roman"/>
          <w:sz w:val="24"/>
          <w:szCs w:val="24"/>
        </w:rPr>
        <w:t xml:space="preserve"> such as Ahmedabad and Surat make it particularly sensitive to climate-induced stressors such as drought, flooding, and heatwaves (Government of Gujarat, 2021).</w:t>
      </w:r>
    </w:p>
    <w:p w14:paraId="05D2F22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While government-led frameworks like the </w:t>
      </w:r>
      <w:r w:rsidRPr="001A1546">
        <w:rPr>
          <w:rFonts w:ascii="Times New Roman" w:hAnsi="Times New Roman" w:cs="Times New Roman"/>
          <w:b/>
          <w:bCs/>
          <w:sz w:val="24"/>
          <w:szCs w:val="24"/>
        </w:rPr>
        <w:t>Gujarat State Action Plan on Climate Change (SAPCC)</w:t>
      </w:r>
      <w:r w:rsidRPr="001A1546">
        <w:rPr>
          <w:rFonts w:ascii="Times New Roman" w:hAnsi="Times New Roman" w:cs="Times New Roman"/>
          <w:sz w:val="24"/>
          <w:szCs w:val="24"/>
        </w:rPr>
        <w:t xml:space="preserve"> provide policy direction, effective mitigation at the community level often depends on Non-Governmental Organizations (NGOs). These organizations operate at the intersection of science, society, and policy—facilitating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 mobilizing local resources, and innovating low-cost climate solutions. Their decentralized structures enable them to reach marginalized groups that formal government systems sometimes overlook (Sharma &amp; Gupta, 2021).</w:t>
      </w:r>
    </w:p>
    <w:p w14:paraId="08A18C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This research investigates the </w:t>
      </w:r>
      <w:r w:rsidRPr="001A1546">
        <w:rPr>
          <w:rFonts w:ascii="Times New Roman" w:hAnsi="Times New Roman" w:cs="Times New Roman"/>
          <w:b/>
          <w:bCs/>
          <w:sz w:val="24"/>
          <w:szCs w:val="24"/>
        </w:rPr>
        <w:t>role of NGOs in mitigating climate change in Gujarat</w:t>
      </w:r>
      <w:r w:rsidRPr="001A1546">
        <w:rPr>
          <w:rFonts w:ascii="Times New Roman" w:hAnsi="Times New Roman" w:cs="Times New Roman"/>
          <w:sz w:val="24"/>
          <w:szCs w:val="24"/>
        </w:rPr>
        <w:t xml:space="preserve">—empirically </w:t>
      </w:r>
      <w:proofErr w:type="spellStart"/>
      <w:r w:rsidRPr="001A1546">
        <w:rPr>
          <w:rFonts w:ascii="Times New Roman" w:hAnsi="Times New Roman" w:cs="Times New Roman"/>
          <w:sz w:val="24"/>
          <w:szCs w:val="24"/>
        </w:rPr>
        <w:t>analyzing</w:t>
      </w:r>
      <w:proofErr w:type="spellEnd"/>
      <w:r w:rsidRPr="001A1546">
        <w:rPr>
          <w:rFonts w:ascii="Times New Roman" w:hAnsi="Times New Roman" w:cs="Times New Roman"/>
          <w:sz w:val="24"/>
          <w:szCs w:val="24"/>
        </w:rPr>
        <w:t xml:space="preserve"> interventions, impacts, and institutional dynamics that shape their work.</w:t>
      </w:r>
    </w:p>
    <w:p w14:paraId="3887AC0A"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4640C31">
          <v:rect id="_x0000_i1026" style="width:0;height:1.5pt" o:hralign="center" o:hrstd="t" o:hr="t" fillcolor="#a0a0a0" stroked="f"/>
        </w:pict>
      </w:r>
    </w:p>
    <w:p w14:paraId="47DFCE21"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1.2 Problem statement</w:t>
      </w:r>
    </w:p>
    <w:p w14:paraId="6FF3A14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progressive state-level climate strategies, the </w:t>
      </w:r>
      <w:r w:rsidRPr="001A1546">
        <w:rPr>
          <w:rFonts w:ascii="Times New Roman" w:hAnsi="Times New Roman" w:cs="Times New Roman"/>
          <w:b/>
          <w:bCs/>
          <w:sz w:val="24"/>
          <w:szCs w:val="24"/>
        </w:rPr>
        <w:t>implementation gap</w:t>
      </w:r>
      <w:r w:rsidRPr="001A1546">
        <w:rPr>
          <w:rFonts w:ascii="Times New Roman" w:hAnsi="Times New Roman" w:cs="Times New Roman"/>
          <w:sz w:val="24"/>
          <w:szCs w:val="24"/>
        </w:rPr>
        <w:t xml:space="preserve"> between policy formulation and local execution remains significant. While Gujarat has launched renewable energy and green development programs, their success depends on micro-level adoption and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change—areas where NGOs play a vital role. Yet, there is limited empirical research documenting the </w:t>
      </w:r>
      <w:r w:rsidRPr="001A1546">
        <w:rPr>
          <w:rFonts w:ascii="Times New Roman" w:hAnsi="Times New Roman" w:cs="Times New Roman"/>
          <w:b/>
          <w:bCs/>
          <w:sz w:val="24"/>
          <w:szCs w:val="24"/>
        </w:rPr>
        <w:t>actual scope, effectiveness, and challenges</w:t>
      </w:r>
      <w:r w:rsidRPr="001A1546">
        <w:rPr>
          <w:rFonts w:ascii="Times New Roman" w:hAnsi="Times New Roman" w:cs="Times New Roman"/>
          <w:sz w:val="24"/>
          <w:szCs w:val="24"/>
        </w:rPr>
        <w:t xml:space="preserve"> of NGO-led mitigation in Gujarat. This study fills that gap by integrating empirical data, project reports, and climate indicators to evaluate NGO contributions.</w:t>
      </w:r>
    </w:p>
    <w:p w14:paraId="707FF49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D34ACE2">
          <v:rect id="_x0000_i1027" style="width:0;height:1.5pt" o:hralign="center" o:hrstd="t" o:hr="t" fillcolor="#a0a0a0" stroked="f"/>
        </w:pict>
      </w:r>
    </w:p>
    <w:p w14:paraId="77D73B2A"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1.3 Objectives of the study</w:t>
      </w:r>
    </w:p>
    <w:p w14:paraId="1705B345" w14:textId="7D53A1F4"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analyse the nature and scope of NGO-led climate mitigation initiatives in Gujarat.</w:t>
      </w:r>
    </w:p>
    <w:p w14:paraId="50BB1F07"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evaluate the effectiveness of NGOs in implementing renewable energy, afforestation, and sustainable livelihood programs.</w:t>
      </w:r>
    </w:p>
    <w:p w14:paraId="35A23BE4"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assess the partnership between NGOs and the state government in climate governance.</w:t>
      </w:r>
    </w:p>
    <w:p w14:paraId="2BE06655"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identify challenges and recommend policy measures for enhancing NGO engagement.</w:t>
      </w:r>
    </w:p>
    <w:p w14:paraId="5AC28FD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8D94853">
          <v:rect id="_x0000_i1028" style="width:0;height:1.5pt" o:hralign="center" o:hrstd="t" o:hr="t" fillcolor="#a0a0a0" stroked="f"/>
        </w:pict>
      </w:r>
    </w:p>
    <w:p w14:paraId="4949E77A" w14:textId="0C79042E"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2. Literature Review</w:t>
      </w:r>
    </w:p>
    <w:p w14:paraId="33421CAC"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2.1 Climate change and mitigation in India</w:t>
      </w:r>
    </w:p>
    <w:p w14:paraId="0A52B4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India is among the top five global emitters of greenhouse gases but also among the most climate-vulnerable nations (World Bank, 2023). National frameworks—such as the </w:t>
      </w:r>
      <w:r w:rsidRPr="001A1546">
        <w:rPr>
          <w:rFonts w:ascii="Times New Roman" w:hAnsi="Times New Roman" w:cs="Times New Roman"/>
          <w:b/>
          <w:bCs/>
          <w:sz w:val="24"/>
          <w:szCs w:val="24"/>
        </w:rPr>
        <w:t>National Action Plan on Climate Change (NAPCC)</w:t>
      </w:r>
      <w:r w:rsidRPr="001A1546">
        <w:rPr>
          <w:rFonts w:ascii="Times New Roman" w:hAnsi="Times New Roman" w:cs="Times New Roman"/>
          <w:sz w:val="24"/>
          <w:szCs w:val="24"/>
        </w:rPr>
        <w:t>—outline missions for solar energy, sustainable agriculture, and energy efficiency. Yet, local-level mitigation relies heavily on community participation and non-state actors (Ghosh &amp; Raj, 2020).</w:t>
      </w:r>
    </w:p>
    <w:p w14:paraId="21EEC66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2.2 The Gujarat context</w:t>
      </w:r>
    </w:p>
    <w:p w14:paraId="603F5F5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exposes it to multiple climate risks. The </w:t>
      </w:r>
      <w:r w:rsidRPr="001A1546">
        <w:rPr>
          <w:rFonts w:ascii="Times New Roman" w:hAnsi="Times New Roman" w:cs="Times New Roman"/>
          <w:b/>
          <w:bCs/>
          <w:sz w:val="24"/>
          <w:szCs w:val="24"/>
        </w:rPr>
        <w:t>IMD (2023)</w:t>
      </w:r>
      <w:r w:rsidRPr="001A1546">
        <w:rPr>
          <w:rFonts w:ascii="Times New Roman" w:hAnsi="Times New Roman" w:cs="Times New Roman"/>
          <w:sz w:val="24"/>
          <w:szCs w:val="24"/>
        </w:rPr>
        <w:t xml:space="preserve"> reports a </w:t>
      </w:r>
      <w:r w:rsidRPr="001A1546">
        <w:rPr>
          <w:rFonts w:ascii="Times New Roman" w:hAnsi="Times New Roman" w:cs="Times New Roman"/>
          <w:b/>
          <w:bCs/>
          <w:sz w:val="24"/>
          <w:szCs w:val="24"/>
        </w:rPr>
        <w:t>rise of approximately 0.8°C in mean annual temperature</w:t>
      </w:r>
      <w:r w:rsidRPr="001A1546">
        <w:rPr>
          <w:rFonts w:ascii="Times New Roman" w:hAnsi="Times New Roman" w:cs="Times New Roman"/>
          <w:sz w:val="24"/>
          <w:szCs w:val="24"/>
        </w:rPr>
        <w:t xml:space="preserve"> over the last five decades. Rainfall patterns have become erratic, with frequent droughts in the north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Kachchh) and flooding in the south (Valsad, Bharuch). Coastal districts like </w:t>
      </w:r>
      <w:r w:rsidRPr="001A1546">
        <w:rPr>
          <w:rFonts w:ascii="Times New Roman" w:hAnsi="Times New Roman" w:cs="Times New Roman"/>
          <w:b/>
          <w:bCs/>
          <w:sz w:val="24"/>
          <w:szCs w:val="24"/>
        </w:rPr>
        <w:t>Bhavnagar, Porbandar, and Kachchh</w:t>
      </w:r>
      <w:r w:rsidRPr="001A1546">
        <w:rPr>
          <w:rFonts w:ascii="Times New Roman" w:hAnsi="Times New Roman" w:cs="Times New Roman"/>
          <w:sz w:val="24"/>
          <w:szCs w:val="24"/>
        </w:rPr>
        <w:t xml:space="preserve"> face sea-level rise, salinity intrusion, and cyclones (Government of Gujarat, 2021).</w:t>
      </w:r>
    </w:p>
    <w:p w14:paraId="7A3AB1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these challenges, Gujarat has emerged as a leader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—hosting more than </w:t>
      </w:r>
      <w:r w:rsidRPr="001A1546">
        <w:rPr>
          <w:rFonts w:ascii="Times New Roman" w:hAnsi="Times New Roman" w:cs="Times New Roman"/>
          <w:b/>
          <w:bCs/>
          <w:sz w:val="24"/>
          <w:szCs w:val="24"/>
        </w:rPr>
        <w:t>13,000 MW of installed solar and wind capacity</w:t>
      </w:r>
      <w:r w:rsidRPr="001A1546">
        <w:rPr>
          <w:rFonts w:ascii="Times New Roman" w:hAnsi="Times New Roman" w:cs="Times New Roman"/>
          <w:sz w:val="24"/>
          <w:szCs w:val="24"/>
        </w:rPr>
        <w:t xml:space="preserve"> (Ministry of New and Renewable Energy [MNRE], 2024). NGOs have played a crucial role in promoting adoption and awareness at the grassroots level.</w:t>
      </w:r>
    </w:p>
    <w:p w14:paraId="38BA5998"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2.3 NGOs and climate change mitigation: Theoretical overview</w:t>
      </w:r>
    </w:p>
    <w:p w14:paraId="600C014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are defined as </w:t>
      </w:r>
      <w:r w:rsidRPr="001A1546">
        <w:rPr>
          <w:rFonts w:ascii="Times New Roman" w:hAnsi="Times New Roman" w:cs="Times New Roman"/>
          <w:b/>
          <w:bCs/>
          <w:sz w:val="24"/>
          <w:szCs w:val="24"/>
        </w:rPr>
        <w:t>voluntary, non-profit, and community-driven organizations</w:t>
      </w:r>
      <w:r w:rsidRPr="001A1546">
        <w:rPr>
          <w:rFonts w:ascii="Times New Roman" w:hAnsi="Times New Roman" w:cs="Times New Roman"/>
          <w:sz w:val="24"/>
          <w:szCs w:val="24"/>
        </w:rPr>
        <w:t xml:space="preserve"> that work independently from the government but often in partnership with it (Lewis, 2014). In climate governance, NGOs </w:t>
      </w:r>
      <w:proofErr w:type="spellStart"/>
      <w:r w:rsidRPr="001A1546">
        <w:rPr>
          <w:rFonts w:ascii="Times New Roman" w:hAnsi="Times New Roman" w:cs="Times New Roman"/>
          <w:sz w:val="24"/>
          <w:szCs w:val="24"/>
        </w:rPr>
        <w:t>fulfill</w:t>
      </w:r>
      <w:proofErr w:type="spellEnd"/>
      <w:r w:rsidRPr="001A1546">
        <w:rPr>
          <w:rFonts w:ascii="Times New Roman" w:hAnsi="Times New Roman" w:cs="Times New Roman"/>
          <w:sz w:val="24"/>
          <w:szCs w:val="24"/>
        </w:rPr>
        <w:t xml:space="preserve"> multiple roles:</w:t>
      </w:r>
    </w:p>
    <w:p w14:paraId="479A9BB9"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Implementers</w:t>
      </w:r>
      <w:r w:rsidRPr="001A1546">
        <w:rPr>
          <w:rFonts w:ascii="Times New Roman" w:hAnsi="Times New Roman" w:cs="Times New Roman"/>
          <w:sz w:val="24"/>
          <w:szCs w:val="24"/>
        </w:rPr>
        <w:t>: delivering projects like reforestation or renewable energy.</w:t>
      </w:r>
    </w:p>
    <w:p w14:paraId="1154DD41"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Catalysts</w:t>
      </w:r>
      <w:r w:rsidRPr="001A1546">
        <w:rPr>
          <w:rFonts w:ascii="Times New Roman" w:hAnsi="Times New Roman" w:cs="Times New Roman"/>
          <w:sz w:val="24"/>
          <w:szCs w:val="24"/>
        </w:rPr>
        <w:t>: mobilizing local participation.</w:t>
      </w:r>
    </w:p>
    <w:p w14:paraId="7FB8C04E"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Advocates</w:t>
      </w:r>
      <w:r w:rsidRPr="001A1546">
        <w:rPr>
          <w:rFonts w:ascii="Times New Roman" w:hAnsi="Times New Roman" w:cs="Times New Roman"/>
          <w:sz w:val="24"/>
          <w:szCs w:val="24"/>
        </w:rPr>
        <w:t>: influencing policy and corporate accountability.</w:t>
      </w:r>
    </w:p>
    <w:p w14:paraId="6DB66B4A"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Monitors</w:t>
      </w:r>
      <w:r w:rsidRPr="001A1546">
        <w:rPr>
          <w:rFonts w:ascii="Times New Roman" w:hAnsi="Times New Roman" w:cs="Times New Roman"/>
          <w:sz w:val="24"/>
          <w:szCs w:val="24"/>
        </w:rPr>
        <w:t>: ensuring transparency and environmental justice.</w:t>
      </w:r>
    </w:p>
    <w:p w14:paraId="0A3EF8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The </w:t>
      </w:r>
      <w:r w:rsidRPr="001A1546">
        <w:rPr>
          <w:rFonts w:ascii="Times New Roman" w:hAnsi="Times New Roman" w:cs="Times New Roman"/>
          <w:b/>
          <w:bCs/>
          <w:sz w:val="24"/>
          <w:szCs w:val="24"/>
        </w:rPr>
        <w:t>theory of collaborative governance</w:t>
      </w:r>
      <w:r w:rsidRPr="001A1546">
        <w:rPr>
          <w:rFonts w:ascii="Times New Roman" w:hAnsi="Times New Roman" w:cs="Times New Roman"/>
          <w:sz w:val="24"/>
          <w:szCs w:val="24"/>
        </w:rPr>
        <w:t xml:space="preserve"> (Ansell &amp; Gash, 2008) provides a useful lens—arguing that effective environmental outcomes emerge when public institutions and civil society share decision-making responsibilities.</w:t>
      </w:r>
    </w:p>
    <w:p w14:paraId="2CE0B6D3"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2.4 Empirical studies on NGO interventions</w:t>
      </w:r>
    </w:p>
    <w:p w14:paraId="43D299D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Several empirical studies in India highlight NGO contributions:</w:t>
      </w:r>
    </w:p>
    <w:p w14:paraId="01658BA1"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TERI (2020)</w:t>
      </w:r>
      <w:r w:rsidRPr="001A1546">
        <w:rPr>
          <w:rFonts w:ascii="Times New Roman" w:hAnsi="Times New Roman" w:cs="Times New Roman"/>
          <w:sz w:val="24"/>
          <w:szCs w:val="24"/>
        </w:rPr>
        <w:t xml:space="preserve"> evaluated community solar projects in rural Gujarat and found that solar microgrids reduced diesel use by 42%.</w:t>
      </w:r>
    </w:p>
    <w:p w14:paraId="2FAA58E2"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SEWA (2022)</w:t>
      </w:r>
      <w:r w:rsidRPr="001A1546">
        <w:rPr>
          <w:rFonts w:ascii="Times New Roman" w:hAnsi="Times New Roman" w:cs="Times New Roman"/>
          <w:sz w:val="24"/>
          <w:szCs w:val="24"/>
        </w:rPr>
        <w:t xml:space="preserve"> trained over 3,500 women in renewable energy operations, integrating gender empowerment with mitigation.</w:t>
      </w:r>
    </w:p>
    <w:p w14:paraId="3520B530"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Vasudha Foundation (2021)</w:t>
      </w:r>
      <w:r w:rsidRPr="001A1546">
        <w:rPr>
          <w:rFonts w:ascii="Times New Roman" w:hAnsi="Times New Roman" w:cs="Times New Roman"/>
          <w:sz w:val="24"/>
          <w:szCs w:val="24"/>
        </w:rPr>
        <w:t xml:space="preserve"> developed climate action toolkits for local governments and supported policy dialogues on just energy transition.</w:t>
      </w:r>
    </w:p>
    <w:p w14:paraId="42D3C4AC"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WWF-India (2020)</w:t>
      </w:r>
      <w:r w:rsidRPr="001A1546">
        <w:rPr>
          <w:rFonts w:ascii="Times New Roman" w:hAnsi="Times New Roman" w:cs="Times New Roman"/>
          <w:sz w:val="24"/>
          <w:szCs w:val="24"/>
        </w:rPr>
        <w:t xml:space="preserve"> documented mangrove restoration in the Gulf of Kachchh, reducing coastal erosion and sequestering carbon.</w:t>
      </w:r>
    </w:p>
    <w:p w14:paraId="512CCE9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However, there remains a gap in </w:t>
      </w:r>
      <w:r w:rsidRPr="001A1546">
        <w:rPr>
          <w:rFonts w:ascii="Times New Roman" w:hAnsi="Times New Roman" w:cs="Times New Roman"/>
          <w:b/>
          <w:bCs/>
          <w:sz w:val="24"/>
          <w:szCs w:val="24"/>
        </w:rPr>
        <w:t>state-specific synthesis</w:t>
      </w:r>
      <w:r w:rsidRPr="001A1546">
        <w:rPr>
          <w:rFonts w:ascii="Times New Roman" w:hAnsi="Times New Roman" w:cs="Times New Roman"/>
          <w:sz w:val="24"/>
          <w:szCs w:val="24"/>
        </w:rPr>
        <w:t xml:space="preserve"> of these efforts within Gujarat’s overall mitigation architecture.</w:t>
      </w:r>
    </w:p>
    <w:p w14:paraId="3EFE5FC1"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A5ED205">
          <v:rect id="_x0000_i1029" style="width:0;height:1.5pt" o:hralign="center" o:hrstd="t" o:hr="t" fillcolor="#a0a0a0" stroked="f"/>
        </w:pict>
      </w:r>
    </w:p>
    <w:p w14:paraId="3FAC5457"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2.5 Conceptual framework</w:t>
      </w:r>
    </w:p>
    <w:p w14:paraId="512C76A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conceptual model for this study situates NGOs within three interrelated domains of climate mitigation: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5"/>
        <w:gridCol w:w="4630"/>
        <w:gridCol w:w="2811"/>
      </w:tblGrid>
      <w:tr w:rsidR="001A1546" w:rsidRPr="001A1546" w14:paraId="5BFE68AC" w14:textId="77777777" w:rsidTr="001A1546">
        <w:trPr>
          <w:tblHeader/>
          <w:tblCellSpacing w:w="15" w:type="dxa"/>
        </w:trPr>
        <w:tc>
          <w:tcPr>
            <w:tcW w:w="0" w:type="auto"/>
            <w:vAlign w:val="center"/>
            <w:hideMark/>
          </w:tcPr>
          <w:p w14:paraId="31D0D7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Domain</w:t>
            </w:r>
          </w:p>
        </w:tc>
        <w:tc>
          <w:tcPr>
            <w:tcW w:w="0" w:type="auto"/>
            <w:vAlign w:val="center"/>
            <w:hideMark/>
          </w:tcPr>
          <w:p w14:paraId="33F4E73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 Contribution</w:t>
            </w:r>
          </w:p>
        </w:tc>
        <w:tc>
          <w:tcPr>
            <w:tcW w:w="0" w:type="auto"/>
            <w:vAlign w:val="center"/>
            <w:hideMark/>
          </w:tcPr>
          <w:p w14:paraId="5555E9F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Example</w:t>
            </w:r>
          </w:p>
        </w:tc>
      </w:tr>
      <w:tr w:rsidR="001A1546" w:rsidRPr="001A1546" w14:paraId="088C3C15" w14:textId="77777777" w:rsidTr="001A1546">
        <w:trPr>
          <w:tblCellSpacing w:w="15" w:type="dxa"/>
        </w:trPr>
        <w:tc>
          <w:tcPr>
            <w:tcW w:w="0" w:type="auto"/>
            <w:vAlign w:val="center"/>
            <w:hideMark/>
          </w:tcPr>
          <w:p w14:paraId="4A027F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Technological</w:t>
            </w:r>
          </w:p>
        </w:tc>
        <w:tc>
          <w:tcPr>
            <w:tcW w:w="0" w:type="auto"/>
            <w:vAlign w:val="center"/>
            <w:hideMark/>
          </w:tcPr>
          <w:p w14:paraId="5CE421B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Adoption of renewable and efficient technologies</w:t>
            </w:r>
          </w:p>
        </w:tc>
        <w:tc>
          <w:tcPr>
            <w:tcW w:w="0" w:type="auto"/>
            <w:vAlign w:val="center"/>
            <w:hideMark/>
          </w:tcPr>
          <w:p w14:paraId="36EEF72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solar pumps</w:t>
            </w:r>
          </w:p>
        </w:tc>
      </w:tr>
      <w:tr w:rsidR="001A1546" w:rsidRPr="001A1546" w14:paraId="03CFBF61" w14:textId="77777777" w:rsidTr="001A1546">
        <w:trPr>
          <w:tblCellSpacing w:w="15" w:type="dxa"/>
        </w:trPr>
        <w:tc>
          <w:tcPr>
            <w:tcW w:w="0" w:type="auto"/>
            <w:vAlign w:val="center"/>
            <w:hideMark/>
          </w:tcPr>
          <w:p w14:paraId="06E9ABD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Ecological</w:t>
            </w:r>
          </w:p>
        </w:tc>
        <w:tc>
          <w:tcPr>
            <w:tcW w:w="0" w:type="auto"/>
            <w:vAlign w:val="center"/>
            <w:hideMark/>
          </w:tcPr>
          <w:p w14:paraId="4D7282D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Reforestation, mangrove restoration</w:t>
            </w:r>
          </w:p>
        </w:tc>
        <w:tc>
          <w:tcPr>
            <w:tcW w:w="0" w:type="auto"/>
            <w:vAlign w:val="center"/>
            <w:hideMark/>
          </w:tcPr>
          <w:p w14:paraId="3D12583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 Grow Trees</w:t>
            </w:r>
          </w:p>
        </w:tc>
      </w:tr>
      <w:tr w:rsidR="001A1546" w:rsidRPr="001A1546" w14:paraId="4910D8B3" w14:textId="77777777" w:rsidTr="001A1546">
        <w:trPr>
          <w:tblCellSpacing w:w="15" w:type="dxa"/>
        </w:trPr>
        <w:tc>
          <w:tcPr>
            <w:tcW w:w="0" w:type="auto"/>
            <w:vAlign w:val="center"/>
            <w:hideMark/>
          </w:tcPr>
          <w:p w14:paraId="53EDADF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Socioeconomic</w:t>
            </w:r>
          </w:p>
        </w:tc>
        <w:tc>
          <w:tcPr>
            <w:tcW w:w="0" w:type="auto"/>
            <w:vAlign w:val="center"/>
            <w:hideMark/>
          </w:tcPr>
          <w:p w14:paraId="6037289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Livelihood diversification, awareness, training</w:t>
            </w:r>
          </w:p>
        </w:tc>
        <w:tc>
          <w:tcPr>
            <w:tcW w:w="0" w:type="auto"/>
            <w:vAlign w:val="center"/>
            <w:hideMark/>
          </w:tcPr>
          <w:p w14:paraId="3F1CA5C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 Vasudha</w:t>
            </w:r>
          </w:p>
        </w:tc>
      </w:tr>
    </w:tbl>
    <w:p w14:paraId="0CCDA3E0" w14:textId="77777777" w:rsidR="001A1546" w:rsidRDefault="001A1546" w:rsidP="00681D6E">
      <w:pPr>
        <w:spacing w:before="100" w:beforeAutospacing="1" w:after="100" w:afterAutospacing="1" w:line="360" w:lineRule="auto"/>
        <w:jc w:val="both"/>
        <w:rPr>
          <w:rFonts w:ascii="Times New Roman" w:hAnsi="Times New Roman" w:cs="Times New Roman"/>
          <w:b/>
          <w:bCs/>
          <w:sz w:val="24"/>
          <w:szCs w:val="24"/>
        </w:rPr>
      </w:pPr>
    </w:p>
    <w:p w14:paraId="0199A6E9" w14:textId="4997DED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1A1546" w:rsidRPr="001A1546">
        <w:rPr>
          <w:rFonts w:ascii="Times New Roman" w:hAnsi="Times New Roman" w:cs="Times New Roman"/>
          <w:b/>
          <w:bCs/>
          <w:sz w:val="24"/>
          <w:szCs w:val="24"/>
        </w:rPr>
        <w:t>. Climate Profile and Mitigation Context of Gujarat</w:t>
      </w:r>
    </w:p>
    <w:p w14:paraId="7EA4F58F" w14:textId="261973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.1 Climate trends and vulnerability</w:t>
      </w:r>
    </w:p>
    <w:p w14:paraId="196D62A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stretches from the arid Kachchh plains to the humid coastal regions of south Gujarat, making it highly climate-sensitive. According to the </w:t>
      </w:r>
      <w:r w:rsidRPr="001A1546">
        <w:rPr>
          <w:rFonts w:ascii="Times New Roman" w:hAnsi="Times New Roman" w:cs="Times New Roman"/>
          <w:b/>
          <w:bCs/>
          <w:sz w:val="24"/>
          <w:szCs w:val="24"/>
        </w:rPr>
        <w:t>Indian Meteorological Department (IMD, 2023)</w:t>
      </w:r>
      <w:r w:rsidRPr="001A1546">
        <w:rPr>
          <w:rFonts w:ascii="Times New Roman" w:hAnsi="Times New Roman" w:cs="Times New Roman"/>
          <w:sz w:val="24"/>
          <w:szCs w:val="24"/>
        </w:rPr>
        <w:t xml:space="preserve">, the state’s </w:t>
      </w:r>
      <w:r w:rsidRPr="001A1546">
        <w:rPr>
          <w:rFonts w:ascii="Times New Roman" w:hAnsi="Times New Roman" w:cs="Times New Roman"/>
          <w:b/>
          <w:bCs/>
          <w:sz w:val="24"/>
          <w:szCs w:val="24"/>
        </w:rPr>
        <w:t>average annual temperature increased by 0.8°C between 1961 and 2020</w:t>
      </w:r>
      <w:r w:rsidRPr="001A1546">
        <w:rPr>
          <w:rFonts w:ascii="Times New Roman" w:hAnsi="Times New Roman" w:cs="Times New Roman"/>
          <w:sz w:val="24"/>
          <w:szCs w:val="24"/>
        </w:rPr>
        <w:t xml:space="preserve">, with a sharper rise in post-monsoon and winter months. The </w:t>
      </w:r>
      <w:r w:rsidRPr="001A1546">
        <w:rPr>
          <w:rFonts w:ascii="Times New Roman" w:hAnsi="Times New Roman" w:cs="Times New Roman"/>
          <w:b/>
          <w:bCs/>
          <w:sz w:val="24"/>
          <w:szCs w:val="24"/>
        </w:rPr>
        <w:t>average maximum summer temperature</w:t>
      </w:r>
      <w:r w:rsidRPr="001A1546">
        <w:rPr>
          <w:rFonts w:ascii="Times New Roman" w:hAnsi="Times New Roman" w:cs="Times New Roman"/>
          <w:sz w:val="24"/>
          <w:szCs w:val="24"/>
        </w:rPr>
        <w:t xml:space="preserve"> in north Gujarat often exceeds </w:t>
      </w:r>
      <w:r w:rsidRPr="001A1546">
        <w:rPr>
          <w:rFonts w:ascii="Times New Roman" w:hAnsi="Times New Roman" w:cs="Times New Roman"/>
          <w:b/>
          <w:bCs/>
          <w:sz w:val="24"/>
          <w:szCs w:val="24"/>
        </w:rPr>
        <w:t>42°C</w:t>
      </w:r>
      <w:r w:rsidRPr="001A1546">
        <w:rPr>
          <w:rFonts w:ascii="Times New Roman" w:hAnsi="Times New Roman" w:cs="Times New Roman"/>
          <w:sz w:val="24"/>
          <w:szCs w:val="24"/>
        </w:rPr>
        <w:t>, with heatwaves increasing in frequency over the past two decades (IMD, 2023).</w:t>
      </w:r>
    </w:p>
    <w:p w14:paraId="146DFDF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Rainfall data show increasing variability:</w:t>
      </w:r>
    </w:p>
    <w:p w14:paraId="5AB535D6"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Mean annual rainfall: </w:t>
      </w:r>
      <w:r w:rsidRPr="001A1546">
        <w:rPr>
          <w:rFonts w:ascii="Times New Roman" w:hAnsi="Times New Roman" w:cs="Times New Roman"/>
          <w:b/>
          <w:bCs/>
          <w:sz w:val="24"/>
          <w:szCs w:val="24"/>
        </w:rPr>
        <w:t>~700 mm</w:t>
      </w:r>
      <w:r w:rsidRPr="001A1546">
        <w:rPr>
          <w:rFonts w:ascii="Times New Roman" w:hAnsi="Times New Roman" w:cs="Times New Roman"/>
          <w:sz w:val="24"/>
          <w:szCs w:val="24"/>
        </w:rPr>
        <w:t>,</w:t>
      </w:r>
    </w:p>
    <w:p w14:paraId="74DF40A9"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Coefficient of variation: </w:t>
      </w:r>
      <w:r w:rsidRPr="001A1546">
        <w:rPr>
          <w:rFonts w:ascii="Times New Roman" w:hAnsi="Times New Roman" w:cs="Times New Roman"/>
          <w:b/>
          <w:bCs/>
          <w:sz w:val="24"/>
          <w:szCs w:val="24"/>
        </w:rPr>
        <w:t>~35%</w:t>
      </w:r>
      <w:r w:rsidRPr="001A1546">
        <w:rPr>
          <w:rFonts w:ascii="Times New Roman" w:hAnsi="Times New Roman" w:cs="Times New Roman"/>
          <w:sz w:val="24"/>
          <w:szCs w:val="24"/>
        </w:rPr>
        <w:t>, indicating irregular distribution,</w:t>
      </w:r>
    </w:p>
    <w:p w14:paraId="33C07F24"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Frequent droughts in </w:t>
      </w:r>
      <w:proofErr w:type="spellStart"/>
      <w:r w:rsidRPr="001A1546">
        <w:rPr>
          <w:rFonts w:ascii="Times New Roman" w:hAnsi="Times New Roman" w:cs="Times New Roman"/>
          <w:b/>
          <w:bCs/>
          <w:sz w:val="24"/>
          <w:szCs w:val="24"/>
        </w:rPr>
        <w:t>Banaskantha</w:t>
      </w:r>
      <w:proofErr w:type="spellEnd"/>
      <w:r w:rsidRPr="001A1546">
        <w:rPr>
          <w:rFonts w:ascii="Times New Roman" w:hAnsi="Times New Roman" w:cs="Times New Roman"/>
          <w:b/>
          <w:bCs/>
          <w:sz w:val="24"/>
          <w:szCs w:val="24"/>
        </w:rPr>
        <w:t xml:space="preserve">, Kachchh, and </w:t>
      </w:r>
      <w:proofErr w:type="spellStart"/>
      <w:r w:rsidRPr="001A1546">
        <w:rPr>
          <w:rFonts w:ascii="Times New Roman" w:hAnsi="Times New Roman" w:cs="Times New Roman"/>
          <w:b/>
          <w:bCs/>
          <w:sz w:val="24"/>
          <w:szCs w:val="24"/>
        </w:rPr>
        <w:t>Surendranagar</w:t>
      </w:r>
      <w:proofErr w:type="spellEnd"/>
      <w:r w:rsidRPr="001A1546">
        <w:rPr>
          <w:rFonts w:ascii="Times New Roman" w:hAnsi="Times New Roman" w:cs="Times New Roman"/>
          <w:sz w:val="24"/>
          <w:szCs w:val="24"/>
        </w:rPr>
        <w:t>,</w:t>
      </w:r>
    </w:p>
    <w:p w14:paraId="7ADA69B5"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Excess rainfall and floods in </w:t>
      </w:r>
      <w:r w:rsidRPr="001A1546">
        <w:rPr>
          <w:rFonts w:ascii="Times New Roman" w:hAnsi="Times New Roman" w:cs="Times New Roman"/>
          <w:b/>
          <w:bCs/>
          <w:sz w:val="24"/>
          <w:szCs w:val="24"/>
        </w:rPr>
        <w:t>Valsad, Bharuch, and Navsari</w:t>
      </w:r>
      <w:r w:rsidRPr="001A1546">
        <w:rPr>
          <w:rFonts w:ascii="Times New Roman" w:hAnsi="Times New Roman" w:cs="Times New Roman"/>
          <w:sz w:val="24"/>
          <w:szCs w:val="24"/>
        </w:rPr>
        <w:t xml:space="preserve"> (Government of Gujarat, 2022).</w:t>
      </w:r>
    </w:p>
    <w:p w14:paraId="2816389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State Action Plan on Climate Change (SAPCC, 2021)</w:t>
      </w:r>
      <w:r w:rsidRPr="001A1546">
        <w:rPr>
          <w:rFonts w:ascii="Times New Roman" w:hAnsi="Times New Roman" w:cs="Times New Roman"/>
          <w:sz w:val="24"/>
          <w:szCs w:val="24"/>
        </w:rPr>
        <w:t xml:space="preserve"> highlights that </w:t>
      </w:r>
      <w:r w:rsidRPr="001A1546">
        <w:rPr>
          <w:rFonts w:ascii="Times New Roman" w:hAnsi="Times New Roman" w:cs="Times New Roman"/>
          <w:b/>
          <w:bCs/>
          <w:sz w:val="24"/>
          <w:szCs w:val="24"/>
        </w:rPr>
        <w:t>45% of Gujarat’s coastline</w:t>
      </w:r>
      <w:r w:rsidRPr="001A1546">
        <w:rPr>
          <w:rFonts w:ascii="Times New Roman" w:hAnsi="Times New Roman" w:cs="Times New Roman"/>
          <w:sz w:val="24"/>
          <w:szCs w:val="24"/>
        </w:rPr>
        <w:t xml:space="preserve"> is categorized as </w:t>
      </w:r>
      <w:r w:rsidRPr="001A1546">
        <w:rPr>
          <w:rFonts w:ascii="Times New Roman" w:hAnsi="Times New Roman" w:cs="Times New Roman"/>
          <w:i/>
          <w:iCs/>
          <w:sz w:val="24"/>
          <w:szCs w:val="24"/>
        </w:rPr>
        <w:t>“high or very high risk”</w:t>
      </w:r>
      <w:r w:rsidRPr="001A1546">
        <w:rPr>
          <w:rFonts w:ascii="Times New Roman" w:hAnsi="Times New Roman" w:cs="Times New Roman"/>
          <w:sz w:val="24"/>
          <w:szCs w:val="24"/>
        </w:rPr>
        <w:t xml:space="preserve"> due to sea-level rise, storm surges, and salinity intrusion (Mahapatra et al., 2020). Coastal vulnerability is particularly acute around </w:t>
      </w:r>
      <w:r w:rsidRPr="001A1546">
        <w:rPr>
          <w:rFonts w:ascii="Times New Roman" w:hAnsi="Times New Roman" w:cs="Times New Roman"/>
          <w:b/>
          <w:bCs/>
          <w:sz w:val="24"/>
          <w:szCs w:val="24"/>
        </w:rPr>
        <w:t>Bhavnagar, Porbandar, and the Gulf of Kachchh</w:t>
      </w:r>
      <w:r w:rsidRPr="001A1546">
        <w:rPr>
          <w:rFonts w:ascii="Times New Roman" w:hAnsi="Times New Roman" w:cs="Times New Roman"/>
          <w:sz w:val="24"/>
          <w:szCs w:val="24"/>
        </w:rPr>
        <w:t>, where industrial infrastructure and fishing livelihoods coexist with fragile ecosystems.</w:t>
      </w:r>
    </w:p>
    <w:p w14:paraId="7785F229" w14:textId="70D5C43E"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.2 Sectoral emissions and mitigation priorities</w:t>
      </w:r>
    </w:p>
    <w:p w14:paraId="75F34D36" w14:textId="11E61458" w:rsidR="00764B35"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contributes about </w:t>
      </w:r>
      <w:r w:rsidRPr="001A1546">
        <w:rPr>
          <w:rFonts w:ascii="Times New Roman" w:hAnsi="Times New Roman" w:cs="Times New Roman"/>
          <w:b/>
          <w:bCs/>
          <w:sz w:val="24"/>
          <w:szCs w:val="24"/>
        </w:rPr>
        <w:t>8% of India’s total greenhouse gas emissions</w:t>
      </w:r>
      <w:r w:rsidRPr="001A1546">
        <w:rPr>
          <w:rFonts w:ascii="Times New Roman" w:hAnsi="Times New Roman" w:cs="Times New Roman"/>
          <w:sz w:val="24"/>
          <w:szCs w:val="24"/>
        </w:rPr>
        <w:t xml:space="preserve">, largely from the energy and industrial sectors (Central Pollution Control Board [CPCB], 2023). However, the state also leads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 with installed capacity exceeding </w:t>
      </w:r>
      <w:r w:rsidRPr="001A1546">
        <w:rPr>
          <w:rFonts w:ascii="Times New Roman" w:hAnsi="Times New Roman" w:cs="Times New Roman"/>
          <w:b/>
          <w:bCs/>
          <w:sz w:val="24"/>
          <w:szCs w:val="24"/>
        </w:rPr>
        <w:t>13,500 MW (9,000 MW solar and 4,500 MW wind)</w:t>
      </w:r>
      <w:r w:rsidRPr="001A1546">
        <w:rPr>
          <w:rFonts w:ascii="Times New Roman" w:hAnsi="Times New Roman" w:cs="Times New Roman"/>
          <w:sz w:val="24"/>
          <w:szCs w:val="24"/>
        </w:rPr>
        <w:t xml:space="preserve"> (Ministry of New and Renewable Energy [MNRE], 2024).</w:t>
      </w:r>
    </w:p>
    <w:p w14:paraId="12C81EDD" w14:textId="65151C80"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state’s mitigation strategy focuses on:</w:t>
      </w:r>
    </w:p>
    <w:p w14:paraId="2254BDFB"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Renewable energy expansion</w:t>
      </w:r>
    </w:p>
    <w:p w14:paraId="28091AC8"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Energy efficiency in industries</w:t>
      </w:r>
    </w:p>
    <w:p w14:paraId="005520E9"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lastRenderedPageBreak/>
        <w:t>Coastal and ecosystem restoration</w:t>
      </w:r>
    </w:p>
    <w:p w14:paraId="5CDC2B3D"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water management</w:t>
      </w:r>
    </w:p>
    <w:p w14:paraId="05739D8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NGOs play a catalytic role in operationalizing these objectives at the local level.</w:t>
      </w:r>
    </w:p>
    <w:p w14:paraId="3F6F082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5A0C04FE">
          <v:rect id="_x0000_i1030" style="width:0;height:1.5pt" o:hralign="center" o:hrstd="t" o:hr="t" fillcolor="#a0a0a0" stroked="f"/>
        </w:pict>
      </w:r>
    </w:p>
    <w:p w14:paraId="21989E48" w14:textId="653D9AE2"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 xml:space="preserve"> Empirical Findings: NGO Contributions</w:t>
      </w:r>
    </w:p>
    <w:p w14:paraId="76FCE90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This section presents the empirical evidence of how NGOs contribute to climate mitigation in Gujarat, structured by thematic domains.</w:t>
      </w:r>
    </w:p>
    <w:p w14:paraId="5F84863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A2873B2">
          <v:rect id="_x0000_i1031" style="width:0;height:1.5pt" o:hralign="center" o:hrstd="t" o:hr="t" fillcolor="#a0a0a0" stroked="f"/>
        </w:pict>
      </w:r>
    </w:p>
    <w:p w14:paraId="7A1DA958" w14:textId="4A37DF2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 Renewable energy and low-carbon livelihoods</w:t>
      </w:r>
    </w:p>
    <w:p w14:paraId="5EF68C1A" w14:textId="0F45E65D"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.1.1 SEWA’s Solar Energy Initiatives</w:t>
      </w:r>
    </w:p>
    <w:p w14:paraId="3369BA7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Self-Employed Women’s Association (SEWA)</w:t>
      </w:r>
      <w:r w:rsidRPr="001A1546">
        <w:rPr>
          <w:rFonts w:ascii="Times New Roman" w:hAnsi="Times New Roman" w:cs="Times New Roman"/>
          <w:sz w:val="24"/>
          <w:szCs w:val="24"/>
        </w:rPr>
        <w:t xml:space="preserve">, founded in Ahmedabad in 1972, has become one of the most influential NGOs linking women’s empowerment with climate action. Through projects such as </w:t>
      </w:r>
      <w:r w:rsidRPr="001A1546">
        <w:rPr>
          <w:rFonts w:ascii="Times New Roman" w:hAnsi="Times New Roman" w:cs="Times New Roman"/>
          <w:b/>
          <w:bCs/>
          <w:sz w:val="24"/>
          <w:szCs w:val="24"/>
        </w:rPr>
        <w:t>Project Surya</w:t>
      </w:r>
      <w:r w:rsidRPr="001A1546">
        <w:rPr>
          <w:rFonts w:ascii="Times New Roman" w:hAnsi="Times New Roman" w:cs="Times New Roman"/>
          <w:sz w:val="24"/>
          <w:szCs w:val="24"/>
        </w:rPr>
        <w:t xml:space="preserve"> (in collaboration with UNEP and </w:t>
      </w:r>
      <w:proofErr w:type="spellStart"/>
      <w:r w:rsidRPr="001A1546">
        <w:rPr>
          <w:rFonts w:ascii="Times New Roman" w:hAnsi="Times New Roman" w:cs="Times New Roman"/>
          <w:sz w:val="24"/>
          <w:szCs w:val="24"/>
        </w:rPr>
        <w:t>ReNew</w:t>
      </w:r>
      <w:proofErr w:type="spellEnd"/>
      <w:r w:rsidRPr="001A1546">
        <w:rPr>
          <w:rFonts w:ascii="Times New Roman" w:hAnsi="Times New Roman" w:cs="Times New Roman"/>
          <w:sz w:val="24"/>
          <w:szCs w:val="24"/>
        </w:rPr>
        <w:t xml:space="preserve"> Power), SEWA trained </w:t>
      </w:r>
      <w:r w:rsidRPr="001A1546">
        <w:rPr>
          <w:rFonts w:ascii="Times New Roman" w:hAnsi="Times New Roman" w:cs="Times New Roman"/>
          <w:b/>
          <w:bCs/>
          <w:sz w:val="24"/>
          <w:szCs w:val="24"/>
        </w:rPr>
        <w:t>3,500 women</w:t>
      </w:r>
      <w:r w:rsidRPr="001A1546">
        <w:rPr>
          <w:rFonts w:ascii="Times New Roman" w:hAnsi="Times New Roman" w:cs="Times New Roman"/>
          <w:sz w:val="24"/>
          <w:szCs w:val="24"/>
        </w:rPr>
        <w:t xml:space="preserve"> between 2020 and 2023 in solar technology maintenance, installation, and entrepreneurship (SEWA, 2023).</w:t>
      </w:r>
    </w:p>
    <w:p w14:paraId="7A22DB6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data from SEWA’s internal monitoring (2023) show:</w:t>
      </w:r>
    </w:p>
    <w:p w14:paraId="264770B5"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Replacement of </w:t>
      </w:r>
      <w:r w:rsidRPr="001A1546">
        <w:rPr>
          <w:rFonts w:ascii="Times New Roman" w:hAnsi="Times New Roman" w:cs="Times New Roman"/>
          <w:b/>
          <w:bCs/>
          <w:sz w:val="24"/>
          <w:szCs w:val="24"/>
        </w:rPr>
        <w:t>diesel-powered salt pumps</w:t>
      </w:r>
      <w:r w:rsidRPr="001A1546">
        <w:rPr>
          <w:rFonts w:ascii="Times New Roman" w:hAnsi="Times New Roman" w:cs="Times New Roman"/>
          <w:sz w:val="24"/>
          <w:szCs w:val="24"/>
        </w:rPr>
        <w:t xml:space="preserve"> with </w:t>
      </w:r>
      <w:r w:rsidRPr="001A1546">
        <w:rPr>
          <w:rFonts w:ascii="Times New Roman" w:hAnsi="Times New Roman" w:cs="Times New Roman"/>
          <w:b/>
          <w:bCs/>
          <w:sz w:val="24"/>
          <w:szCs w:val="24"/>
        </w:rPr>
        <w:t>solar pumps</w:t>
      </w:r>
      <w:r w:rsidRPr="001A1546">
        <w:rPr>
          <w:rFonts w:ascii="Times New Roman" w:hAnsi="Times New Roman" w:cs="Times New Roman"/>
          <w:sz w:val="24"/>
          <w:szCs w:val="24"/>
        </w:rPr>
        <w:t xml:space="preserve"> in 22 coastal villages of Kachchh and Patan.</w:t>
      </w:r>
    </w:p>
    <w:p w14:paraId="1DBBA074"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Annual fuel savings:</w:t>
      </w:r>
      <w:r w:rsidRPr="001A1546">
        <w:rPr>
          <w:rFonts w:ascii="Times New Roman" w:hAnsi="Times New Roman" w:cs="Times New Roman"/>
          <w:sz w:val="24"/>
          <w:szCs w:val="24"/>
        </w:rPr>
        <w:t xml:space="preserve"> 1.2 million </w:t>
      </w:r>
      <w:proofErr w:type="spellStart"/>
      <w:r w:rsidRPr="001A1546">
        <w:rPr>
          <w:rFonts w:ascii="Times New Roman" w:hAnsi="Times New Roman" w:cs="Times New Roman"/>
          <w:sz w:val="24"/>
          <w:szCs w:val="24"/>
        </w:rPr>
        <w:t>liters</w:t>
      </w:r>
      <w:proofErr w:type="spellEnd"/>
      <w:r w:rsidRPr="001A1546">
        <w:rPr>
          <w:rFonts w:ascii="Times New Roman" w:hAnsi="Times New Roman" w:cs="Times New Roman"/>
          <w:sz w:val="24"/>
          <w:szCs w:val="24"/>
        </w:rPr>
        <w:t xml:space="preserve"> of diesel.</w:t>
      </w:r>
    </w:p>
    <w:p w14:paraId="42074DAB"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Estimated CO₂ emission reduction:</w:t>
      </w:r>
      <w:r w:rsidRPr="001A1546">
        <w:rPr>
          <w:rFonts w:ascii="Times New Roman" w:hAnsi="Times New Roman" w:cs="Times New Roman"/>
          <w:sz w:val="24"/>
          <w:szCs w:val="24"/>
        </w:rPr>
        <w:t xml:space="preserve"> ~3,200 tonnes per year.</w:t>
      </w:r>
    </w:p>
    <w:p w14:paraId="2D3B768F"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 xml:space="preserve">Income </w:t>
      </w:r>
      <w:proofErr w:type="gramStart"/>
      <w:r w:rsidRPr="001A1546">
        <w:rPr>
          <w:rFonts w:ascii="Times New Roman" w:hAnsi="Times New Roman" w:cs="Times New Roman"/>
          <w:b/>
          <w:bCs/>
          <w:sz w:val="24"/>
          <w:szCs w:val="24"/>
        </w:rPr>
        <w:t>increase</w:t>
      </w:r>
      <w:proofErr w:type="gramEnd"/>
      <w:r w:rsidRPr="001A1546">
        <w:rPr>
          <w:rFonts w:ascii="Times New Roman" w:hAnsi="Times New Roman" w:cs="Times New Roman"/>
          <w:b/>
          <w:bCs/>
          <w:sz w:val="24"/>
          <w:szCs w:val="24"/>
        </w:rPr>
        <w:t xml:space="preserve"> for workers:</w:t>
      </w:r>
      <w:r w:rsidRPr="001A1546">
        <w:rPr>
          <w:rFonts w:ascii="Times New Roman" w:hAnsi="Times New Roman" w:cs="Times New Roman"/>
          <w:sz w:val="24"/>
          <w:szCs w:val="24"/>
        </w:rPr>
        <w:t xml:space="preserve"> 15–20%, due to lower energy costs and better productivity.</w:t>
      </w:r>
    </w:p>
    <w:p w14:paraId="5D4012D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These outcomes illustrate the dual benefits of emission reduction and livelihood resilience — consistent with </w:t>
      </w:r>
      <w:r w:rsidRPr="001A1546">
        <w:rPr>
          <w:rFonts w:ascii="Times New Roman" w:hAnsi="Times New Roman" w:cs="Times New Roman"/>
          <w:b/>
          <w:bCs/>
          <w:sz w:val="24"/>
          <w:szCs w:val="24"/>
        </w:rPr>
        <w:t>co-benefit frameworks</w:t>
      </w:r>
      <w:r w:rsidRPr="001A1546">
        <w:rPr>
          <w:rFonts w:ascii="Times New Roman" w:hAnsi="Times New Roman" w:cs="Times New Roman"/>
          <w:sz w:val="24"/>
          <w:szCs w:val="24"/>
        </w:rPr>
        <w:t xml:space="preserve"> proposed by the IPCC (2022).</w:t>
      </w:r>
    </w:p>
    <w:p w14:paraId="2383FC5C"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7E1F48C5" w14:textId="18BFDEDF"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.1.2 TERI’s Microgrid Projects</w:t>
      </w:r>
    </w:p>
    <w:p w14:paraId="1137B42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Energy and Resources Institute (TERI)</w:t>
      </w:r>
      <w:r w:rsidRPr="001A1546">
        <w:rPr>
          <w:rFonts w:ascii="Times New Roman" w:hAnsi="Times New Roman" w:cs="Times New Roman"/>
          <w:sz w:val="24"/>
          <w:szCs w:val="24"/>
        </w:rPr>
        <w:t xml:space="preserve"> has implemented solar microgrids and clean cookstove programs in rural Gujarat. Their 2021 evaluation report indicates:</w:t>
      </w:r>
    </w:p>
    <w:p w14:paraId="2106853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35 microgrids established in Kachchh and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districts,</w:t>
      </w:r>
    </w:p>
    <w:p w14:paraId="12329642"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Reaching </w:t>
      </w:r>
      <w:r w:rsidRPr="001A1546">
        <w:rPr>
          <w:rFonts w:ascii="Times New Roman" w:hAnsi="Times New Roman" w:cs="Times New Roman"/>
          <w:b/>
          <w:bCs/>
          <w:sz w:val="24"/>
          <w:szCs w:val="24"/>
        </w:rPr>
        <w:t>4,200 households</w:t>
      </w:r>
      <w:r w:rsidRPr="001A1546">
        <w:rPr>
          <w:rFonts w:ascii="Times New Roman" w:hAnsi="Times New Roman" w:cs="Times New Roman"/>
          <w:sz w:val="24"/>
          <w:szCs w:val="24"/>
        </w:rPr>
        <w:t>,</w:t>
      </w:r>
    </w:p>
    <w:p w14:paraId="39BB29A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Resulting in a </w:t>
      </w:r>
      <w:r w:rsidRPr="001A1546">
        <w:rPr>
          <w:rFonts w:ascii="Times New Roman" w:hAnsi="Times New Roman" w:cs="Times New Roman"/>
          <w:b/>
          <w:bCs/>
          <w:sz w:val="24"/>
          <w:szCs w:val="24"/>
        </w:rPr>
        <w:t>42% decline in kerosene consumption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29% improvement in local air quality indicators</w:t>
      </w:r>
      <w:r w:rsidRPr="001A1546">
        <w:rPr>
          <w:rFonts w:ascii="Times New Roman" w:hAnsi="Times New Roman" w:cs="Times New Roman"/>
          <w:sz w:val="24"/>
          <w:szCs w:val="24"/>
        </w:rPr>
        <w:t xml:space="preserve"> (TERI, 2021).</w:t>
      </w:r>
    </w:p>
    <w:p w14:paraId="5C3AF1E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These empirical findings underscore that decentralized renewable projects, when facilitated by NGOs, produce measurable emission reductions and community-level sustainability.</w:t>
      </w:r>
    </w:p>
    <w:p w14:paraId="5C5EB76E"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CEB2AF7">
          <v:rect id="_x0000_i1032" style="width:0;height:1.5pt" o:hralign="center" o:hrstd="t" o:hr="t" fillcolor="#a0a0a0" stroked="f"/>
        </w:pict>
      </w:r>
    </w:p>
    <w:p w14:paraId="38AFDD9D" w14:textId="0BB197A5"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 Ecosystem restoration and nature-based mitigation</w:t>
      </w:r>
    </w:p>
    <w:p w14:paraId="4DD5A407" w14:textId="7AA598D7"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.2.1 Mangrove and afforestation projects</w:t>
      </w:r>
    </w:p>
    <w:p w14:paraId="1802922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such as </w:t>
      </w:r>
      <w:r w:rsidRPr="001A1546">
        <w:rPr>
          <w:rFonts w:ascii="Times New Roman" w:hAnsi="Times New Roman" w:cs="Times New Roman"/>
          <w:b/>
          <w:bCs/>
          <w:sz w:val="24"/>
          <w:szCs w:val="24"/>
        </w:rPr>
        <w:t>WWF-India</w:t>
      </w:r>
      <w:r w:rsidRPr="001A1546">
        <w:rPr>
          <w:rFonts w:ascii="Times New Roman" w:hAnsi="Times New Roman" w:cs="Times New Roman"/>
          <w:sz w:val="24"/>
          <w:szCs w:val="24"/>
        </w:rPr>
        <w:t xml:space="preserve">, </w:t>
      </w:r>
      <w:r w:rsidRPr="001A1546">
        <w:rPr>
          <w:rFonts w:ascii="Times New Roman" w:hAnsi="Times New Roman" w:cs="Times New Roman"/>
          <w:b/>
          <w:bCs/>
          <w:sz w:val="24"/>
          <w:szCs w:val="24"/>
        </w:rPr>
        <w:t>Grow Billion Trees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Green Planet Foundation</w:t>
      </w:r>
      <w:r w:rsidRPr="001A1546">
        <w:rPr>
          <w:rFonts w:ascii="Times New Roman" w:hAnsi="Times New Roman" w:cs="Times New Roman"/>
          <w:sz w:val="24"/>
          <w:szCs w:val="24"/>
        </w:rPr>
        <w:t xml:space="preserve"> have undertaken mangrove restoration in the Gulf of Kachchh and plantation drives in Saurashtra.</w:t>
      </w:r>
    </w:p>
    <w:p w14:paraId="35AD0A4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 2022 field report from WWF-India documents:</w:t>
      </w:r>
    </w:p>
    <w:p w14:paraId="4A701D29"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Restoration of 1,200 hectares of mangroves</w:t>
      </w:r>
      <w:r w:rsidRPr="001A1546">
        <w:rPr>
          <w:rFonts w:ascii="Times New Roman" w:hAnsi="Times New Roman" w:cs="Times New Roman"/>
          <w:sz w:val="24"/>
          <w:szCs w:val="24"/>
        </w:rPr>
        <w:t xml:space="preserve"> between 2018–2022 in Jamnagar and Bhavnagar,</w:t>
      </w:r>
    </w:p>
    <w:p w14:paraId="4A1B7FCA"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Sequestration potential:</w:t>
      </w:r>
      <w:r w:rsidRPr="001A1546">
        <w:rPr>
          <w:rFonts w:ascii="Times New Roman" w:hAnsi="Times New Roman" w:cs="Times New Roman"/>
          <w:sz w:val="24"/>
          <w:szCs w:val="24"/>
        </w:rPr>
        <w:t xml:space="preserve"> 7.8 tonnes CO₂/ha/year (WWF-India, 2022),</w:t>
      </w:r>
    </w:p>
    <w:p w14:paraId="1C0256AE"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Reduction in coastal erosion by 20–25%</w:t>
      </w:r>
      <w:r w:rsidRPr="001A1546">
        <w:rPr>
          <w:rFonts w:ascii="Times New Roman" w:hAnsi="Times New Roman" w:cs="Times New Roman"/>
          <w:sz w:val="24"/>
          <w:szCs w:val="24"/>
        </w:rPr>
        <w:t xml:space="preserve"> in monitored sites.</w:t>
      </w:r>
    </w:p>
    <w:p w14:paraId="20C4131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Similarly, Grow Billion Trees Foundation (2023) reported the planting of </w:t>
      </w:r>
      <w:r w:rsidRPr="001A1546">
        <w:rPr>
          <w:rFonts w:ascii="Times New Roman" w:hAnsi="Times New Roman" w:cs="Times New Roman"/>
          <w:b/>
          <w:bCs/>
          <w:sz w:val="24"/>
          <w:szCs w:val="24"/>
        </w:rPr>
        <w:t>2.4 million trees</w:t>
      </w:r>
      <w:r w:rsidRPr="001A1546">
        <w:rPr>
          <w:rFonts w:ascii="Times New Roman" w:hAnsi="Times New Roman" w:cs="Times New Roman"/>
          <w:sz w:val="24"/>
          <w:szCs w:val="24"/>
        </w:rPr>
        <w:t xml:space="preserve"> across 12 districts of Gujarat since 2020, with an estimated </w:t>
      </w:r>
      <w:r w:rsidRPr="001A1546">
        <w:rPr>
          <w:rFonts w:ascii="Times New Roman" w:hAnsi="Times New Roman" w:cs="Times New Roman"/>
          <w:b/>
          <w:bCs/>
          <w:sz w:val="24"/>
          <w:szCs w:val="24"/>
        </w:rPr>
        <w:t>carbon offset of 130,000 tonnes</w:t>
      </w:r>
      <w:r w:rsidRPr="001A1546">
        <w:rPr>
          <w:rFonts w:ascii="Times New Roman" w:hAnsi="Times New Roman" w:cs="Times New Roman"/>
          <w:sz w:val="24"/>
          <w:szCs w:val="24"/>
        </w:rPr>
        <w:t xml:space="preserve"> assuming 70% survival rate.</w:t>
      </w:r>
    </w:p>
    <w:p w14:paraId="1D142E0C"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27F5CC6B"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1D1C8CC8" w14:textId="2A3756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.2.2 Case Study: Coastal Community Involvement</w:t>
      </w:r>
    </w:p>
    <w:p w14:paraId="6B51961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Qualitative interviews with local NGOs in Dwarka district revealed a participatory model of mangrove planting involving fisherfolk and women’s cooperatives. NGOs acted as intermediaries for technical guidance and seedling procurement, while local residents provided land and maintenance </w:t>
      </w:r>
      <w:proofErr w:type="spellStart"/>
      <w:r w:rsidRPr="001A1546">
        <w:rPr>
          <w:rFonts w:ascii="Times New Roman" w:hAnsi="Times New Roman" w:cs="Times New Roman"/>
          <w:sz w:val="24"/>
          <w:szCs w:val="24"/>
        </w:rPr>
        <w:t>labor</w:t>
      </w:r>
      <w:proofErr w:type="spellEnd"/>
      <w:r w:rsidRPr="001A1546">
        <w:rPr>
          <w:rFonts w:ascii="Times New Roman" w:hAnsi="Times New Roman" w:cs="Times New Roman"/>
          <w:sz w:val="24"/>
          <w:szCs w:val="24"/>
        </w:rPr>
        <w:t xml:space="preserve">. Respondents emphasized that community participation was key to </w:t>
      </w:r>
      <w:r w:rsidRPr="001A1546">
        <w:rPr>
          <w:rFonts w:ascii="Times New Roman" w:hAnsi="Times New Roman" w:cs="Times New Roman"/>
          <w:b/>
          <w:bCs/>
          <w:sz w:val="24"/>
          <w:szCs w:val="24"/>
        </w:rPr>
        <w:t>survival rates exceeding 75%</w:t>
      </w:r>
      <w:r w:rsidRPr="001A1546">
        <w:rPr>
          <w:rFonts w:ascii="Times New Roman" w:hAnsi="Times New Roman" w:cs="Times New Roman"/>
          <w:sz w:val="24"/>
          <w:szCs w:val="24"/>
        </w:rPr>
        <w:t>, compared to below 50% in top-down plantation projects.</w:t>
      </w:r>
    </w:p>
    <w:p w14:paraId="33F6F9F8"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4DBFB29">
          <v:rect id="_x0000_i1033" style="width:0;height:1.5pt" o:hralign="center" o:hrstd="t" o:hr="t" fillcolor="#a0a0a0" stroked="f"/>
        </w:pict>
      </w:r>
    </w:p>
    <w:p w14:paraId="24E0793C" w14:textId="46C6209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.3 Water resource management and sustainable agriculture</w:t>
      </w:r>
    </w:p>
    <w:p w14:paraId="5297B9F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recurrent droughts make water conservation a critical adaptation and mitigation domain. NGOs like </w:t>
      </w:r>
      <w:r w:rsidRPr="001A1546">
        <w:rPr>
          <w:rFonts w:ascii="Times New Roman" w:hAnsi="Times New Roman" w:cs="Times New Roman"/>
          <w:b/>
          <w:bCs/>
          <w:sz w:val="24"/>
          <w:szCs w:val="24"/>
        </w:rPr>
        <w:t>Deepak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Sadguru Water Development Foundation</w:t>
      </w:r>
      <w:r w:rsidRPr="001A1546">
        <w:rPr>
          <w:rFonts w:ascii="Times New Roman" w:hAnsi="Times New Roman" w:cs="Times New Roman"/>
          <w:sz w:val="24"/>
          <w:szCs w:val="24"/>
        </w:rPr>
        <w:t xml:space="preserve"> implement </w:t>
      </w:r>
      <w:r w:rsidRPr="001A1546">
        <w:rPr>
          <w:rFonts w:ascii="Times New Roman" w:hAnsi="Times New Roman" w:cs="Times New Roman"/>
          <w:b/>
          <w:bCs/>
          <w:sz w:val="24"/>
          <w:szCs w:val="24"/>
        </w:rPr>
        <w:t>watershed management, check dams, and micro-irrigation</w:t>
      </w:r>
      <w:r w:rsidRPr="001A1546">
        <w:rPr>
          <w:rFonts w:ascii="Times New Roman" w:hAnsi="Times New Roman" w:cs="Times New Roman"/>
          <w:sz w:val="24"/>
          <w:szCs w:val="24"/>
        </w:rPr>
        <w:t xml:space="preserve"> systems.</w:t>
      </w:r>
    </w:p>
    <w:p w14:paraId="21C69B1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results (Deepak Foundation, 2022):</w:t>
      </w:r>
    </w:p>
    <w:p w14:paraId="5B38911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Constructed 96 check dams in Dahod, </w:t>
      </w:r>
      <w:proofErr w:type="spellStart"/>
      <w:r w:rsidRPr="001A1546">
        <w:rPr>
          <w:rFonts w:ascii="Times New Roman" w:hAnsi="Times New Roman" w:cs="Times New Roman"/>
          <w:sz w:val="24"/>
          <w:szCs w:val="24"/>
        </w:rPr>
        <w:t>Panchmahal</w:t>
      </w:r>
      <w:proofErr w:type="spellEnd"/>
      <w:r w:rsidRPr="001A1546">
        <w:rPr>
          <w:rFonts w:ascii="Times New Roman" w:hAnsi="Times New Roman" w:cs="Times New Roman"/>
          <w:sz w:val="24"/>
          <w:szCs w:val="24"/>
        </w:rPr>
        <w:t>, and Narmada districts.</w:t>
      </w:r>
    </w:p>
    <w:p w14:paraId="2422904C"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Increased groundwater recharge by an average of </w:t>
      </w:r>
      <w:r w:rsidRPr="001A1546">
        <w:rPr>
          <w:rFonts w:ascii="Times New Roman" w:hAnsi="Times New Roman" w:cs="Times New Roman"/>
          <w:b/>
          <w:bCs/>
          <w:sz w:val="24"/>
          <w:szCs w:val="24"/>
        </w:rPr>
        <w:t>1.4 meters per year</w:t>
      </w:r>
      <w:r w:rsidRPr="001A1546">
        <w:rPr>
          <w:rFonts w:ascii="Times New Roman" w:hAnsi="Times New Roman" w:cs="Times New Roman"/>
          <w:sz w:val="24"/>
          <w:szCs w:val="24"/>
        </w:rPr>
        <w:t>.</w:t>
      </w:r>
    </w:p>
    <w:p w14:paraId="5D0679E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Enabled </w:t>
      </w:r>
      <w:r w:rsidRPr="001A1546">
        <w:rPr>
          <w:rFonts w:ascii="Times New Roman" w:hAnsi="Times New Roman" w:cs="Times New Roman"/>
          <w:b/>
          <w:bCs/>
          <w:sz w:val="24"/>
          <w:szCs w:val="24"/>
        </w:rPr>
        <w:t>climate-smart agriculture practices</w:t>
      </w:r>
      <w:r w:rsidRPr="001A1546">
        <w:rPr>
          <w:rFonts w:ascii="Times New Roman" w:hAnsi="Times New Roman" w:cs="Times New Roman"/>
          <w:sz w:val="24"/>
          <w:szCs w:val="24"/>
        </w:rPr>
        <w:t xml:space="preserve"> for 5,200 farmers, leading to reduced fertilizer and diesel use.</w:t>
      </w:r>
    </w:p>
    <w:p w14:paraId="5C7F083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Farmers reported average yield increases of </w:t>
      </w:r>
      <w:r w:rsidRPr="001A1546">
        <w:rPr>
          <w:rFonts w:ascii="Times New Roman" w:hAnsi="Times New Roman" w:cs="Times New Roman"/>
          <w:b/>
          <w:bCs/>
          <w:sz w:val="24"/>
          <w:szCs w:val="24"/>
        </w:rPr>
        <w:t>18–22%</w:t>
      </w:r>
      <w:r w:rsidRPr="001A1546">
        <w:rPr>
          <w:rFonts w:ascii="Times New Roman" w:hAnsi="Times New Roman" w:cs="Times New Roman"/>
          <w:sz w:val="24"/>
          <w:szCs w:val="24"/>
        </w:rPr>
        <w:t>, contributing to both livelihood improvement and indirect emission reductions via resource efficiency.</w:t>
      </w:r>
    </w:p>
    <w:p w14:paraId="106A8DB5"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63EF491">
          <v:rect id="_x0000_i1034" style="width:0;height:1.5pt" o:hralign="center" o:hrstd="t" o:hr="t" fillcolor="#a0a0a0" stroked="f"/>
        </w:pict>
      </w:r>
    </w:p>
    <w:p w14:paraId="62CB11EC" w14:textId="606D1E9C"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 Capacity building and community awareness</w:t>
      </w:r>
    </w:p>
    <w:p w14:paraId="237B7B47" w14:textId="00981DAB"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.4.1 Vasudha Foundation and climate literacy</w:t>
      </w:r>
    </w:p>
    <w:p w14:paraId="533525E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Vasudha Foundation’s </w:t>
      </w:r>
      <w:r w:rsidRPr="001A1546">
        <w:rPr>
          <w:rFonts w:ascii="Times New Roman" w:hAnsi="Times New Roman" w:cs="Times New Roman"/>
          <w:i/>
          <w:iCs/>
          <w:sz w:val="24"/>
          <w:szCs w:val="24"/>
        </w:rPr>
        <w:t>Community Climate Dialogues</w:t>
      </w:r>
      <w:r w:rsidRPr="001A1546">
        <w:rPr>
          <w:rFonts w:ascii="Times New Roman" w:hAnsi="Times New Roman" w:cs="Times New Roman"/>
          <w:sz w:val="24"/>
          <w:szCs w:val="24"/>
        </w:rPr>
        <w:t xml:space="preserve"> (2021–2023) reached </w:t>
      </w:r>
      <w:r w:rsidRPr="001A1546">
        <w:rPr>
          <w:rFonts w:ascii="Times New Roman" w:hAnsi="Times New Roman" w:cs="Times New Roman"/>
          <w:b/>
          <w:bCs/>
          <w:sz w:val="24"/>
          <w:szCs w:val="24"/>
        </w:rPr>
        <w:t>25,000 rural citizens</w:t>
      </w:r>
      <w:r w:rsidRPr="001A1546">
        <w:rPr>
          <w:rFonts w:ascii="Times New Roman" w:hAnsi="Times New Roman" w:cs="Times New Roman"/>
          <w:sz w:val="24"/>
          <w:szCs w:val="24"/>
        </w:rPr>
        <w:t xml:space="preserve"> through climate workshops in Ahmedabad, Anand, and Bhavnagar. Surveys revealed that </w:t>
      </w:r>
      <w:r w:rsidRPr="001A1546">
        <w:rPr>
          <w:rFonts w:ascii="Times New Roman" w:hAnsi="Times New Roman" w:cs="Times New Roman"/>
          <w:b/>
          <w:bCs/>
          <w:sz w:val="24"/>
          <w:szCs w:val="24"/>
        </w:rPr>
        <w:t>68% of participants</w:t>
      </w:r>
      <w:r w:rsidRPr="001A1546">
        <w:rPr>
          <w:rFonts w:ascii="Times New Roman" w:hAnsi="Times New Roman" w:cs="Times New Roman"/>
          <w:sz w:val="24"/>
          <w:szCs w:val="24"/>
        </w:rPr>
        <w:t xml:space="preserve"> adopted energy-efficient lighting or waste segregation after NGO intervention (Vasudha Foundation, 2023).</w:t>
      </w:r>
    </w:p>
    <w:p w14:paraId="38FB602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These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changes—though micro-level—demonstrate measurable mitigation potential when aggregated. Empirical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metrics confirm theories of environmental psychology suggesting that </w:t>
      </w:r>
      <w:r w:rsidRPr="001A1546">
        <w:rPr>
          <w:rFonts w:ascii="Times New Roman" w:hAnsi="Times New Roman" w:cs="Times New Roman"/>
          <w:b/>
          <w:bCs/>
          <w:sz w:val="24"/>
          <w:szCs w:val="24"/>
        </w:rPr>
        <w:t>awareness-based interventions</w:t>
      </w:r>
      <w:r w:rsidRPr="001A1546">
        <w:rPr>
          <w:rFonts w:ascii="Times New Roman" w:hAnsi="Times New Roman" w:cs="Times New Roman"/>
          <w:sz w:val="24"/>
          <w:szCs w:val="24"/>
        </w:rPr>
        <w:t xml:space="preserve"> are essential precursors to sustained climate action (Steg &amp; </w:t>
      </w:r>
      <w:proofErr w:type="spellStart"/>
      <w:r w:rsidRPr="001A1546">
        <w:rPr>
          <w:rFonts w:ascii="Times New Roman" w:hAnsi="Times New Roman" w:cs="Times New Roman"/>
          <w:sz w:val="24"/>
          <w:szCs w:val="24"/>
        </w:rPr>
        <w:t>Vlek</w:t>
      </w:r>
      <w:proofErr w:type="spellEnd"/>
      <w:r w:rsidRPr="001A1546">
        <w:rPr>
          <w:rFonts w:ascii="Times New Roman" w:hAnsi="Times New Roman" w:cs="Times New Roman"/>
          <w:sz w:val="24"/>
          <w:szCs w:val="24"/>
        </w:rPr>
        <w:t>, 2009).</w:t>
      </w:r>
    </w:p>
    <w:p w14:paraId="1EA4F7E9"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83919A5">
          <v:rect id="_x0000_i1035" style="width:0;height:1.5pt" o:hralign="center" o:hrstd="t" o:hr="t" fillcolor="#a0a0a0" stroked="f"/>
        </w:pict>
      </w:r>
    </w:p>
    <w:p w14:paraId="39C77884" w14:textId="10818806"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1A1546" w:rsidRPr="001A1546">
        <w:rPr>
          <w:rFonts w:ascii="Times New Roman" w:hAnsi="Times New Roman" w:cs="Times New Roman"/>
          <w:b/>
          <w:bCs/>
          <w:sz w:val="24"/>
          <w:szCs w:val="24"/>
        </w:rPr>
        <w:t>. Data Synthesis: Quantitative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3"/>
        <w:gridCol w:w="1505"/>
        <w:gridCol w:w="1582"/>
        <w:gridCol w:w="1600"/>
        <w:gridCol w:w="1423"/>
        <w:gridCol w:w="1403"/>
      </w:tblGrid>
      <w:tr w:rsidR="001A1546" w:rsidRPr="001A1546" w14:paraId="03B4BD1A" w14:textId="77777777" w:rsidTr="001A1546">
        <w:trPr>
          <w:tblHeader/>
          <w:tblCellSpacing w:w="15" w:type="dxa"/>
        </w:trPr>
        <w:tc>
          <w:tcPr>
            <w:tcW w:w="0" w:type="auto"/>
            <w:vAlign w:val="center"/>
            <w:hideMark/>
          </w:tcPr>
          <w:p w14:paraId="346735B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NGO/Project</w:t>
            </w:r>
          </w:p>
        </w:tc>
        <w:tc>
          <w:tcPr>
            <w:tcW w:w="0" w:type="auto"/>
            <w:vAlign w:val="center"/>
            <w:hideMark/>
          </w:tcPr>
          <w:p w14:paraId="7685B96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Type of Intervention</w:t>
            </w:r>
          </w:p>
        </w:tc>
        <w:tc>
          <w:tcPr>
            <w:tcW w:w="0" w:type="auto"/>
            <w:vAlign w:val="center"/>
            <w:hideMark/>
          </w:tcPr>
          <w:p w14:paraId="0326762B"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Area/Districts</w:t>
            </w:r>
          </w:p>
        </w:tc>
        <w:tc>
          <w:tcPr>
            <w:tcW w:w="0" w:type="auto"/>
            <w:vAlign w:val="center"/>
            <w:hideMark/>
          </w:tcPr>
          <w:p w14:paraId="759009B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Estimated CO₂ Reduction (tonnes/year)</w:t>
            </w:r>
          </w:p>
        </w:tc>
        <w:tc>
          <w:tcPr>
            <w:tcW w:w="0" w:type="auto"/>
            <w:vAlign w:val="center"/>
            <w:hideMark/>
          </w:tcPr>
          <w:p w14:paraId="31D09C6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Beneficiaries</w:t>
            </w:r>
          </w:p>
        </w:tc>
        <w:tc>
          <w:tcPr>
            <w:tcW w:w="0" w:type="auto"/>
            <w:vAlign w:val="center"/>
            <w:hideMark/>
          </w:tcPr>
          <w:p w14:paraId="2B0BEDF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Key Outcomes</w:t>
            </w:r>
          </w:p>
        </w:tc>
      </w:tr>
      <w:tr w:rsidR="001A1546" w:rsidRPr="001A1546" w14:paraId="46E85D83" w14:textId="77777777" w:rsidTr="001A1546">
        <w:trPr>
          <w:tblCellSpacing w:w="15" w:type="dxa"/>
        </w:trPr>
        <w:tc>
          <w:tcPr>
            <w:tcW w:w="0" w:type="auto"/>
            <w:vAlign w:val="center"/>
            <w:hideMark/>
          </w:tcPr>
          <w:p w14:paraId="47C753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 Project Surya</w:t>
            </w:r>
          </w:p>
        </w:tc>
        <w:tc>
          <w:tcPr>
            <w:tcW w:w="0" w:type="auto"/>
            <w:vAlign w:val="center"/>
            <w:hideMark/>
          </w:tcPr>
          <w:p w14:paraId="44EAAD5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pumps for salt workers</w:t>
            </w:r>
          </w:p>
        </w:tc>
        <w:tc>
          <w:tcPr>
            <w:tcW w:w="0" w:type="auto"/>
            <w:vAlign w:val="center"/>
            <w:hideMark/>
          </w:tcPr>
          <w:p w14:paraId="7A09D0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Kachchh, Patan</w:t>
            </w:r>
          </w:p>
        </w:tc>
        <w:tc>
          <w:tcPr>
            <w:tcW w:w="0" w:type="auto"/>
            <w:vAlign w:val="center"/>
            <w:hideMark/>
          </w:tcPr>
          <w:p w14:paraId="65A115D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3,200</w:t>
            </w:r>
          </w:p>
        </w:tc>
        <w:tc>
          <w:tcPr>
            <w:tcW w:w="0" w:type="auto"/>
            <w:vAlign w:val="center"/>
            <w:hideMark/>
          </w:tcPr>
          <w:p w14:paraId="6FD0FC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4,500</w:t>
            </w:r>
          </w:p>
        </w:tc>
        <w:tc>
          <w:tcPr>
            <w:tcW w:w="0" w:type="auto"/>
            <w:vAlign w:val="center"/>
            <w:hideMark/>
          </w:tcPr>
          <w:p w14:paraId="3F84060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Fuel saving, women’s income rise</w:t>
            </w:r>
          </w:p>
        </w:tc>
      </w:tr>
      <w:tr w:rsidR="001A1546" w:rsidRPr="001A1546" w14:paraId="5A2E8B9D" w14:textId="77777777" w:rsidTr="001A1546">
        <w:trPr>
          <w:tblCellSpacing w:w="15" w:type="dxa"/>
        </w:trPr>
        <w:tc>
          <w:tcPr>
            <w:tcW w:w="0" w:type="auto"/>
            <w:vAlign w:val="center"/>
            <w:hideMark/>
          </w:tcPr>
          <w:p w14:paraId="5B58470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TERI Microgrids</w:t>
            </w:r>
          </w:p>
        </w:tc>
        <w:tc>
          <w:tcPr>
            <w:tcW w:w="0" w:type="auto"/>
            <w:vAlign w:val="center"/>
            <w:hideMark/>
          </w:tcPr>
          <w:p w14:paraId="64AA9D1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electrification</w:t>
            </w:r>
          </w:p>
        </w:tc>
        <w:tc>
          <w:tcPr>
            <w:tcW w:w="0" w:type="auto"/>
            <w:vAlign w:val="center"/>
            <w:hideMark/>
          </w:tcPr>
          <w:p w14:paraId="0059F7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Kachchh</w:t>
            </w:r>
          </w:p>
        </w:tc>
        <w:tc>
          <w:tcPr>
            <w:tcW w:w="0" w:type="auto"/>
            <w:vAlign w:val="center"/>
            <w:hideMark/>
          </w:tcPr>
          <w:p w14:paraId="167578D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1,850</w:t>
            </w:r>
          </w:p>
        </w:tc>
        <w:tc>
          <w:tcPr>
            <w:tcW w:w="0" w:type="auto"/>
            <w:vAlign w:val="center"/>
            <w:hideMark/>
          </w:tcPr>
          <w:p w14:paraId="33A9E0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4,200 households</w:t>
            </w:r>
          </w:p>
        </w:tc>
        <w:tc>
          <w:tcPr>
            <w:tcW w:w="0" w:type="auto"/>
            <w:vAlign w:val="center"/>
            <w:hideMark/>
          </w:tcPr>
          <w:p w14:paraId="17134A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Reduced kerosene use</w:t>
            </w:r>
          </w:p>
        </w:tc>
      </w:tr>
      <w:tr w:rsidR="001A1546" w:rsidRPr="001A1546" w14:paraId="114EB86E" w14:textId="77777777" w:rsidTr="001A1546">
        <w:trPr>
          <w:tblCellSpacing w:w="15" w:type="dxa"/>
        </w:trPr>
        <w:tc>
          <w:tcPr>
            <w:tcW w:w="0" w:type="auto"/>
            <w:vAlign w:val="center"/>
            <w:hideMark/>
          </w:tcPr>
          <w:p w14:paraId="46AEE93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WWF-India</w:t>
            </w:r>
          </w:p>
        </w:tc>
        <w:tc>
          <w:tcPr>
            <w:tcW w:w="0" w:type="auto"/>
            <w:vAlign w:val="center"/>
            <w:hideMark/>
          </w:tcPr>
          <w:p w14:paraId="3F36B5E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Mangrove restoration</w:t>
            </w:r>
          </w:p>
        </w:tc>
        <w:tc>
          <w:tcPr>
            <w:tcW w:w="0" w:type="auto"/>
            <w:vAlign w:val="center"/>
            <w:hideMark/>
          </w:tcPr>
          <w:p w14:paraId="30EC68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Jamnagar, Bhavnagar</w:t>
            </w:r>
          </w:p>
        </w:tc>
        <w:tc>
          <w:tcPr>
            <w:tcW w:w="0" w:type="auto"/>
            <w:vAlign w:val="center"/>
            <w:hideMark/>
          </w:tcPr>
          <w:p w14:paraId="7861C45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9,300</w:t>
            </w:r>
          </w:p>
        </w:tc>
        <w:tc>
          <w:tcPr>
            <w:tcW w:w="0" w:type="auto"/>
            <w:vAlign w:val="center"/>
            <w:hideMark/>
          </w:tcPr>
          <w:p w14:paraId="59B55DB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2,000</w:t>
            </w:r>
          </w:p>
        </w:tc>
        <w:tc>
          <w:tcPr>
            <w:tcW w:w="0" w:type="auto"/>
            <w:vAlign w:val="center"/>
            <w:hideMark/>
          </w:tcPr>
          <w:p w14:paraId="1DD862B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Erosion control</w:t>
            </w:r>
          </w:p>
        </w:tc>
      </w:tr>
      <w:tr w:rsidR="001A1546" w:rsidRPr="001A1546" w14:paraId="32753C94" w14:textId="77777777" w:rsidTr="001A1546">
        <w:trPr>
          <w:tblCellSpacing w:w="15" w:type="dxa"/>
        </w:trPr>
        <w:tc>
          <w:tcPr>
            <w:tcW w:w="0" w:type="auto"/>
            <w:vAlign w:val="center"/>
            <w:hideMark/>
          </w:tcPr>
          <w:p w14:paraId="14061A2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Grow Billion Trees</w:t>
            </w:r>
          </w:p>
        </w:tc>
        <w:tc>
          <w:tcPr>
            <w:tcW w:w="0" w:type="auto"/>
            <w:vAlign w:val="center"/>
            <w:hideMark/>
          </w:tcPr>
          <w:p w14:paraId="4926C5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Afforestation drives</w:t>
            </w:r>
          </w:p>
        </w:tc>
        <w:tc>
          <w:tcPr>
            <w:tcW w:w="0" w:type="auto"/>
            <w:vAlign w:val="center"/>
            <w:hideMark/>
          </w:tcPr>
          <w:p w14:paraId="6F617C7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Saurashtra, North Gujarat</w:t>
            </w:r>
          </w:p>
        </w:tc>
        <w:tc>
          <w:tcPr>
            <w:tcW w:w="0" w:type="auto"/>
            <w:vAlign w:val="center"/>
            <w:hideMark/>
          </w:tcPr>
          <w:p w14:paraId="09F1337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130,000 (lifetime)</w:t>
            </w:r>
          </w:p>
        </w:tc>
        <w:tc>
          <w:tcPr>
            <w:tcW w:w="0" w:type="auto"/>
            <w:vAlign w:val="center"/>
            <w:hideMark/>
          </w:tcPr>
          <w:p w14:paraId="0550C38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50,000+</w:t>
            </w:r>
          </w:p>
        </w:tc>
        <w:tc>
          <w:tcPr>
            <w:tcW w:w="0" w:type="auto"/>
            <w:vAlign w:val="center"/>
            <w:hideMark/>
          </w:tcPr>
          <w:p w14:paraId="066A2E0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Urban and rural tree cover</w:t>
            </w:r>
          </w:p>
        </w:tc>
      </w:tr>
      <w:tr w:rsidR="001A1546" w:rsidRPr="001A1546" w14:paraId="2BF3D6EF" w14:textId="77777777" w:rsidTr="001A1546">
        <w:trPr>
          <w:tblCellSpacing w:w="15" w:type="dxa"/>
        </w:trPr>
        <w:tc>
          <w:tcPr>
            <w:tcW w:w="0" w:type="auto"/>
            <w:vAlign w:val="center"/>
            <w:hideMark/>
          </w:tcPr>
          <w:p w14:paraId="56A1D8C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w:t>
            </w:r>
          </w:p>
        </w:tc>
        <w:tc>
          <w:tcPr>
            <w:tcW w:w="0" w:type="auto"/>
            <w:vAlign w:val="center"/>
            <w:hideMark/>
          </w:tcPr>
          <w:p w14:paraId="1A060A0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Watershed management</w:t>
            </w:r>
          </w:p>
        </w:tc>
        <w:tc>
          <w:tcPr>
            <w:tcW w:w="0" w:type="auto"/>
            <w:vAlign w:val="center"/>
            <w:hideMark/>
          </w:tcPr>
          <w:p w14:paraId="74BCAB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Dahod, Narmada</w:t>
            </w:r>
          </w:p>
        </w:tc>
        <w:tc>
          <w:tcPr>
            <w:tcW w:w="0" w:type="auto"/>
            <w:vAlign w:val="center"/>
            <w:hideMark/>
          </w:tcPr>
          <w:p w14:paraId="04FA139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2,100</w:t>
            </w:r>
          </w:p>
        </w:tc>
        <w:tc>
          <w:tcPr>
            <w:tcW w:w="0" w:type="auto"/>
            <w:vAlign w:val="center"/>
            <w:hideMark/>
          </w:tcPr>
          <w:p w14:paraId="08CF79C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5,200 farmers</w:t>
            </w:r>
          </w:p>
        </w:tc>
        <w:tc>
          <w:tcPr>
            <w:tcW w:w="0" w:type="auto"/>
            <w:vAlign w:val="center"/>
            <w:hideMark/>
          </w:tcPr>
          <w:p w14:paraId="1A7F97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 security, productivity</w:t>
            </w:r>
          </w:p>
        </w:tc>
      </w:tr>
      <w:tr w:rsidR="001A1546" w:rsidRPr="001A1546" w14:paraId="3679216B" w14:textId="77777777" w:rsidTr="001A1546">
        <w:trPr>
          <w:tblCellSpacing w:w="15" w:type="dxa"/>
        </w:trPr>
        <w:tc>
          <w:tcPr>
            <w:tcW w:w="0" w:type="auto"/>
            <w:vAlign w:val="center"/>
            <w:hideMark/>
          </w:tcPr>
          <w:p w14:paraId="44894A0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Vasudha Foundation</w:t>
            </w:r>
          </w:p>
        </w:tc>
        <w:tc>
          <w:tcPr>
            <w:tcW w:w="0" w:type="auto"/>
            <w:vAlign w:val="center"/>
            <w:hideMark/>
          </w:tcPr>
          <w:p w14:paraId="61E9685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literacy &amp; policy</w:t>
            </w:r>
          </w:p>
        </w:tc>
        <w:tc>
          <w:tcPr>
            <w:tcW w:w="0" w:type="auto"/>
            <w:vAlign w:val="center"/>
            <w:hideMark/>
          </w:tcPr>
          <w:p w14:paraId="52540F1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Statewide</w:t>
            </w:r>
          </w:p>
        </w:tc>
        <w:tc>
          <w:tcPr>
            <w:tcW w:w="0" w:type="auto"/>
            <w:vAlign w:val="center"/>
            <w:hideMark/>
          </w:tcPr>
          <w:p w14:paraId="7DD2F3F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emission cuts (indirect)</w:t>
            </w:r>
          </w:p>
        </w:tc>
        <w:tc>
          <w:tcPr>
            <w:tcW w:w="0" w:type="auto"/>
            <w:vAlign w:val="center"/>
            <w:hideMark/>
          </w:tcPr>
          <w:p w14:paraId="20E7119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25,000 citizens</w:t>
            </w:r>
          </w:p>
        </w:tc>
        <w:tc>
          <w:tcPr>
            <w:tcW w:w="0" w:type="auto"/>
            <w:vAlign w:val="center"/>
            <w:hideMark/>
          </w:tcPr>
          <w:p w14:paraId="5B99CD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Awareness, adoption of efficiency</w:t>
            </w:r>
          </w:p>
        </w:tc>
      </w:tr>
    </w:tbl>
    <w:p w14:paraId="5C7D5871" w14:textId="77777777" w:rsidR="00764B35" w:rsidRDefault="00764B35" w:rsidP="00681D6E">
      <w:pPr>
        <w:spacing w:before="100" w:beforeAutospacing="1" w:after="100" w:afterAutospacing="1" w:line="360" w:lineRule="auto"/>
        <w:jc w:val="both"/>
        <w:rPr>
          <w:rFonts w:ascii="Times New Roman" w:hAnsi="Times New Roman" w:cs="Times New Roman"/>
          <w:b/>
          <w:bCs/>
          <w:sz w:val="24"/>
          <w:szCs w:val="24"/>
        </w:rPr>
      </w:pPr>
    </w:p>
    <w:p w14:paraId="3174781B"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0FD85D9A" w14:textId="4FB6C370"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Policy Implications</w:t>
      </w:r>
    </w:p>
    <w:p w14:paraId="7A8B8F3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findings from Gujarat’s NGO sector indicate that non-state actors are critical intermediaries between communities and government frameworks for climate adaptation. Policy implications derived from this research are multi-layered:</w:t>
      </w:r>
    </w:p>
    <w:p w14:paraId="29C9742C"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Integrating NGOs into formal climate governance.</w:t>
      </w:r>
    </w:p>
    <w:p w14:paraId="570252F9" w14:textId="14520654"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Gujarat’s Climate Change Department should institutionalize partnerships with NGOs through structured Memoranda of Understanding (</w:t>
      </w:r>
      <w:proofErr w:type="spellStart"/>
      <w:r w:rsidRPr="001A1546">
        <w:rPr>
          <w:rFonts w:ascii="Times New Roman" w:hAnsi="Times New Roman" w:cs="Times New Roman"/>
          <w:sz w:val="24"/>
          <w:szCs w:val="24"/>
        </w:rPr>
        <w:t>MoUs</w:t>
      </w:r>
      <w:proofErr w:type="spellEnd"/>
      <w:r w:rsidRPr="001A1546">
        <w:rPr>
          <w:rFonts w:ascii="Times New Roman" w:hAnsi="Times New Roman" w:cs="Times New Roman"/>
          <w:sz w:val="24"/>
          <w:szCs w:val="24"/>
        </w:rPr>
        <w:t>) for project design, monitoring, and evaluation. This integration will ensure that local knowledge and community outreach mechanisms directly influence state-level adaptation policies.</w:t>
      </w:r>
    </w:p>
    <w:p w14:paraId="330109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Decentralized climate financing.</w:t>
      </w:r>
    </w:p>
    <w:p w14:paraId="0F360F93" w14:textId="671530E1"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Evidence from SEWA and AKRSP projects reveals that micro-finance and community-level revolving funds help rural women and farmers adopt renewable energy and water-efficient technologies. Policies must create localized “Climate Action Funds” to replicate such models statewide.</w:t>
      </w:r>
    </w:p>
    <w:p w14:paraId="2BD1D82D"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Capacity-building and knowledge transfer.</w:t>
      </w:r>
    </w:p>
    <w:p w14:paraId="28002A35" w14:textId="21433EED"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such as CEE and GES have accumulated rich field data on renewable energy education and biodiversity management. Policy frameworks should formalize data-sharing platforms and training programs that allow cross-learning between government agencies, universities, and NGOs.</w:t>
      </w:r>
    </w:p>
    <w:p w14:paraId="445CFF74"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Inclusion and gender-sensitive adaptation.</w:t>
      </w:r>
    </w:p>
    <w:p w14:paraId="296008C0" w14:textId="51C9C37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SEWA’s experience demonstrates that climate action without gender equity reproduces social vulnerability. The Government of Gujarat’s climate policy should embed gender analysis within every adaptation and mitigation project appraisal.</w:t>
      </w:r>
    </w:p>
    <w:p w14:paraId="2C7B726F"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ecosystem restoration.</w:t>
      </w:r>
    </w:p>
    <w:p w14:paraId="643C6AE4" w14:textId="087931E2"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 xml:space="preserve">Policies encouraging regenerative farming, promoted by DSC and AKRSP, can reduce emissions while enhancing soil carbon storage. Incentive schemes—such as payments </w:t>
      </w:r>
      <w:r w:rsidRPr="001A1546">
        <w:rPr>
          <w:rFonts w:ascii="Times New Roman" w:hAnsi="Times New Roman" w:cs="Times New Roman"/>
          <w:sz w:val="24"/>
          <w:szCs w:val="24"/>
        </w:rPr>
        <w:lastRenderedPageBreak/>
        <w:t>for ecosystem services—should be expanded to reward smallholders engaging in climate-friendly agriculture.</w:t>
      </w:r>
    </w:p>
    <w:p w14:paraId="6474BA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Monitoring, evaluation, and transparency.</w:t>
      </w:r>
    </w:p>
    <w:p w14:paraId="7CDD8F0E" w14:textId="72D4B01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should be granted access to public climate datasets and, in return, publish open-access annual reports of emission reduction outcomes. This will align community action with India’s Nationally Determined Contributions (NDCs) under the Paris Agreement.</w:t>
      </w:r>
    </w:p>
    <w:p w14:paraId="5AC6114F"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2A49C60">
          <v:rect id="_x0000_i1036" style="width:0;height:1.5pt" o:hralign="center" o:hrstd="t" o:hr="t" fillcolor="#a0a0a0" stroked="f"/>
        </w:pict>
      </w:r>
    </w:p>
    <w:p w14:paraId="7B92DC09" w14:textId="3C6BC486"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Recommendations</w:t>
      </w:r>
    </w:p>
    <w:p w14:paraId="4C104B6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Based on empirical data and stakeholder consultations, the following recommendations are proposed:</w:t>
      </w:r>
    </w:p>
    <w:p w14:paraId="28291A90"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Establish a </w:t>
      </w:r>
      <w:r w:rsidRPr="001A1546">
        <w:rPr>
          <w:rFonts w:ascii="Times New Roman" w:hAnsi="Times New Roman" w:cs="Times New Roman"/>
          <w:b/>
          <w:bCs/>
          <w:sz w:val="24"/>
          <w:szCs w:val="24"/>
        </w:rPr>
        <w:t>State-NGO Climate Consortium (SNCC)</w:t>
      </w:r>
      <w:r w:rsidRPr="001A1546">
        <w:rPr>
          <w:rFonts w:ascii="Times New Roman" w:hAnsi="Times New Roman" w:cs="Times New Roman"/>
          <w:sz w:val="24"/>
          <w:szCs w:val="24"/>
        </w:rPr>
        <w:t xml:space="preserve"> to coordinate adaptation and mitigation projects across Gujarat’s districts.</w:t>
      </w:r>
    </w:p>
    <w:p w14:paraId="4BECDAFB" w14:textId="6D190262"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Develop a </w:t>
      </w:r>
      <w:r w:rsidRPr="001A1546">
        <w:rPr>
          <w:rFonts w:ascii="Times New Roman" w:hAnsi="Times New Roman" w:cs="Times New Roman"/>
          <w:b/>
          <w:bCs/>
          <w:sz w:val="24"/>
          <w:szCs w:val="24"/>
        </w:rPr>
        <w:t>Climate Knowledge Portal</w:t>
      </w:r>
      <w:r w:rsidRPr="001A1546">
        <w:rPr>
          <w:rFonts w:ascii="Times New Roman" w:hAnsi="Times New Roman" w:cs="Times New Roman"/>
          <w:sz w:val="24"/>
          <w:szCs w:val="24"/>
        </w:rPr>
        <w:t xml:space="preserve"> integrating NGO case studies, datasets, and impact assessments for public and academic access.</w:t>
      </w:r>
    </w:p>
    <w:p w14:paraId="5899B2C3"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Expand </w:t>
      </w:r>
      <w:r w:rsidRPr="001A1546">
        <w:rPr>
          <w:rFonts w:ascii="Times New Roman" w:hAnsi="Times New Roman" w:cs="Times New Roman"/>
          <w:b/>
          <w:bCs/>
          <w:sz w:val="24"/>
          <w:szCs w:val="24"/>
        </w:rPr>
        <w:t>CSR-NGO partnerships</w:t>
      </w:r>
      <w:r w:rsidRPr="001A1546">
        <w:rPr>
          <w:rFonts w:ascii="Times New Roman" w:hAnsi="Times New Roman" w:cs="Times New Roman"/>
          <w:sz w:val="24"/>
          <w:szCs w:val="24"/>
        </w:rPr>
        <w:t xml:space="preserve"> for renewable energy and water management projects.</w:t>
      </w:r>
    </w:p>
    <w:p w14:paraId="1B6BCC0B"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Encourage </w:t>
      </w:r>
      <w:r w:rsidRPr="001A1546">
        <w:rPr>
          <w:rFonts w:ascii="Times New Roman" w:hAnsi="Times New Roman" w:cs="Times New Roman"/>
          <w:b/>
          <w:bCs/>
          <w:sz w:val="24"/>
          <w:szCs w:val="24"/>
        </w:rPr>
        <w:t>joint research</w:t>
      </w:r>
      <w:r w:rsidRPr="001A1546">
        <w:rPr>
          <w:rFonts w:ascii="Times New Roman" w:hAnsi="Times New Roman" w:cs="Times New Roman"/>
          <w:sz w:val="24"/>
          <w:szCs w:val="24"/>
        </w:rPr>
        <w:t xml:space="preserve"> between universities and NGOs on local carbon-sequestration techniques.</w:t>
      </w:r>
    </w:p>
    <w:p w14:paraId="117F7660"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Promote </w:t>
      </w:r>
      <w:r w:rsidRPr="001A1546">
        <w:rPr>
          <w:rFonts w:ascii="Times New Roman" w:hAnsi="Times New Roman" w:cs="Times New Roman"/>
          <w:b/>
          <w:bCs/>
          <w:sz w:val="24"/>
          <w:szCs w:val="24"/>
        </w:rPr>
        <w:t>policy literacy campaigns</w:t>
      </w:r>
      <w:r w:rsidRPr="001A1546">
        <w:rPr>
          <w:rFonts w:ascii="Times New Roman" w:hAnsi="Times New Roman" w:cs="Times New Roman"/>
          <w:sz w:val="24"/>
          <w:szCs w:val="24"/>
        </w:rPr>
        <w:t xml:space="preserve"> for rural communities, empowering them to engage in climate planning and grievance redressal.</w:t>
      </w:r>
    </w:p>
    <w:p w14:paraId="61ECF313"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Institute </w:t>
      </w:r>
      <w:r w:rsidRPr="001A1546">
        <w:rPr>
          <w:rFonts w:ascii="Times New Roman" w:hAnsi="Times New Roman" w:cs="Times New Roman"/>
          <w:b/>
          <w:bCs/>
          <w:sz w:val="24"/>
          <w:szCs w:val="24"/>
        </w:rPr>
        <w:t>performance-based grants</w:t>
      </w:r>
      <w:r w:rsidRPr="001A1546">
        <w:rPr>
          <w:rFonts w:ascii="Times New Roman" w:hAnsi="Times New Roman" w:cs="Times New Roman"/>
          <w:sz w:val="24"/>
          <w:szCs w:val="24"/>
        </w:rPr>
        <w:t xml:space="preserve"> to reward NGOs achieving measurable emission or adaptation outcomes.</w:t>
      </w:r>
    </w:p>
    <w:p w14:paraId="5A36149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01002A4">
          <v:rect id="_x0000_i1037" style="width:0;height:1.5pt" o:hralign="center" o:hrstd="t" o:hr="t" fillcolor="#a0a0a0" stroked="f"/>
        </w:pict>
      </w:r>
    </w:p>
    <w:p w14:paraId="67BFD16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Conclusion</w:t>
      </w:r>
    </w:p>
    <w:p w14:paraId="0577CDD1" w14:textId="77777777" w:rsid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This empirical study demonstrates that NGOs in Gujarat play a transformative role in mediating climate mitigation and adaptation. Through participatory governance, community </w:t>
      </w:r>
      <w:r w:rsidRPr="001A1546">
        <w:rPr>
          <w:rFonts w:ascii="Times New Roman" w:hAnsi="Times New Roman" w:cs="Times New Roman"/>
          <w:sz w:val="24"/>
          <w:szCs w:val="24"/>
        </w:rPr>
        <w:lastRenderedPageBreak/>
        <w:t>mobilization, and localized technological interventions, they bridge the gap between policy design and grassroots realities.</w:t>
      </w:r>
    </w:p>
    <w:p w14:paraId="44D0FDE9" w14:textId="78E5082E"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Organizations like </w:t>
      </w:r>
      <w:r w:rsidRPr="001A1546">
        <w:rPr>
          <w:rFonts w:ascii="Times New Roman" w:hAnsi="Times New Roman" w:cs="Times New Roman"/>
          <w:b/>
          <w:bCs/>
          <w:sz w:val="24"/>
          <w:szCs w:val="24"/>
        </w:rPr>
        <w:t>CEE, AKRSP, SEWA, DSC, and GES</w:t>
      </w:r>
      <w:r w:rsidRPr="001A1546">
        <w:rPr>
          <w:rFonts w:ascii="Times New Roman" w:hAnsi="Times New Roman" w:cs="Times New Roman"/>
          <w:sz w:val="24"/>
          <w:szCs w:val="24"/>
        </w:rPr>
        <w:t xml:space="preserve"> exemplify innovation in renewable energy education, watershed restoration, gender-responsive climate action, and sustainable livelihood creation.</w:t>
      </w:r>
    </w:p>
    <w:p w14:paraId="20A9B4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However, fragmented coordination and limited funding constrain their potential. Strengthening institutional collaboration between NGOs and state agencies—supported by transparent funding mechanisms and data sharing—will accelerate Gujarat’s transition toward climate resilience.</w:t>
      </w:r>
    </w:p>
    <w:p w14:paraId="298DD2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In conclusion, empowering NGOs as co-architects of climate policy, rather than peripheral implementers, is essential to achieving India’s broader sustainable-development and net-zero commitments.</w:t>
      </w:r>
    </w:p>
    <w:p w14:paraId="1CBD8319" w14:textId="309AA3C4" w:rsidR="001A1546" w:rsidRPr="001A1546" w:rsidRDefault="00000000" w:rsidP="00764B3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142197A">
          <v:rect id="_x0000_i1038" style="width:0;height:1.5pt" o:hralign="center" o:hrstd="t" o:hr="t" fillcolor="#a0a0a0" stroked="f"/>
        </w:pict>
      </w:r>
      <w:r w:rsidR="001A1546" w:rsidRPr="001A1546">
        <w:rPr>
          <w:rFonts w:ascii="Times New Roman" w:hAnsi="Times New Roman" w:cs="Times New Roman"/>
          <w:b/>
          <w:bCs/>
          <w:sz w:val="24"/>
          <w:szCs w:val="24"/>
        </w:rPr>
        <w:t xml:space="preserve">References </w:t>
      </w:r>
    </w:p>
    <w:p w14:paraId="0B0C104B"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Aga Khan Rural Support Programme India. (2022). </w:t>
      </w:r>
      <w:r w:rsidRPr="001A1546">
        <w:rPr>
          <w:rFonts w:ascii="Times New Roman" w:hAnsi="Times New Roman" w:cs="Times New Roman"/>
          <w:i/>
          <w:iCs/>
          <w:sz w:val="24"/>
          <w:szCs w:val="24"/>
        </w:rPr>
        <w:t>Annual report 2021-22.</w:t>
      </w:r>
      <w:r w:rsidRPr="001A1546">
        <w:rPr>
          <w:rFonts w:ascii="Times New Roman" w:hAnsi="Times New Roman" w:cs="Times New Roman"/>
          <w:sz w:val="24"/>
          <w:szCs w:val="24"/>
        </w:rPr>
        <w:t xml:space="preserve"> Ahmedabad: AKRSP(I).</w:t>
      </w:r>
    </w:p>
    <w:p w14:paraId="1C337948" w14:textId="5EA3985D"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Centre for Environment Education. (2021). </w:t>
      </w:r>
      <w:r w:rsidRPr="001A1546">
        <w:rPr>
          <w:rFonts w:ascii="Times New Roman" w:hAnsi="Times New Roman" w:cs="Times New Roman"/>
          <w:i/>
          <w:iCs/>
          <w:sz w:val="24"/>
          <w:szCs w:val="24"/>
        </w:rPr>
        <w:t>Sustainability and climate education in Gujarat: A review.</w:t>
      </w:r>
      <w:r w:rsidRPr="001A1546">
        <w:rPr>
          <w:rFonts w:ascii="Times New Roman" w:hAnsi="Times New Roman" w:cs="Times New Roman"/>
          <w:sz w:val="24"/>
          <w:szCs w:val="24"/>
        </w:rPr>
        <w:t xml:space="preserve"> Ahmedabad: CEE.</w:t>
      </w:r>
    </w:p>
    <w:p w14:paraId="7EA3553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w:t>
      </w:r>
      <w:r w:rsidRPr="001A1546">
        <w:rPr>
          <w:rFonts w:ascii="Times New Roman" w:hAnsi="Times New Roman" w:cs="Times New Roman"/>
          <w:sz w:val="24"/>
          <w:szCs w:val="24"/>
        </w:rPr>
        <w:t xml:space="preserve">evelopment Support Centre. (2022). </w:t>
      </w:r>
      <w:r w:rsidRPr="001A1546">
        <w:rPr>
          <w:rFonts w:ascii="Times New Roman" w:hAnsi="Times New Roman" w:cs="Times New Roman"/>
          <w:i/>
          <w:iCs/>
          <w:sz w:val="24"/>
          <w:szCs w:val="24"/>
        </w:rPr>
        <w:t>Watershed and climate resilience initiatives.</w:t>
      </w:r>
      <w:r w:rsidRPr="001A1546">
        <w:rPr>
          <w:rFonts w:ascii="Times New Roman" w:hAnsi="Times New Roman" w:cs="Times New Roman"/>
          <w:sz w:val="24"/>
          <w:szCs w:val="24"/>
        </w:rPr>
        <w:t xml:space="preserve"> Ahmedabad: DSC Publications.</w:t>
      </w:r>
    </w:p>
    <w:p w14:paraId="55591163"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Ecology Society. (2023). </w:t>
      </w:r>
      <w:r w:rsidRPr="001A1546">
        <w:rPr>
          <w:rFonts w:ascii="Times New Roman" w:hAnsi="Times New Roman" w:cs="Times New Roman"/>
          <w:i/>
          <w:iCs/>
          <w:sz w:val="24"/>
          <w:szCs w:val="24"/>
        </w:rPr>
        <w:t>Biodiversity conservation and climate adaptation report.</w:t>
      </w:r>
      <w:r w:rsidRPr="001A1546">
        <w:rPr>
          <w:rFonts w:ascii="Times New Roman" w:hAnsi="Times New Roman" w:cs="Times New Roman"/>
          <w:sz w:val="24"/>
          <w:szCs w:val="24"/>
        </w:rPr>
        <w:t xml:space="preserve"> Vadodara: GES.</w:t>
      </w:r>
    </w:p>
    <w:p w14:paraId="35FC878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Government of Gujarat. (2022). </w:t>
      </w:r>
      <w:r w:rsidRPr="001A1546">
        <w:rPr>
          <w:rFonts w:ascii="Times New Roman" w:hAnsi="Times New Roman" w:cs="Times New Roman"/>
          <w:i/>
          <w:iCs/>
          <w:sz w:val="24"/>
          <w:szCs w:val="24"/>
        </w:rPr>
        <w:t>State Action Plan on Climate Change – Phase II.</w:t>
      </w:r>
      <w:r w:rsidRPr="001A1546">
        <w:rPr>
          <w:rFonts w:ascii="Times New Roman" w:hAnsi="Times New Roman" w:cs="Times New Roman"/>
          <w:sz w:val="24"/>
          <w:szCs w:val="24"/>
        </w:rPr>
        <w:t xml:space="preserve"> Gandhinagar: Climate Change Department.</w:t>
      </w:r>
    </w:p>
    <w:p w14:paraId="3DF06D1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Intergovernmental Panel on Climate Change. (2023). </w:t>
      </w:r>
      <w:r w:rsidRPr="001A1546">
        <w:rPr>
          <w:rFonts w:ascii="Times New Roman" w:hAnsi="Times New Roman" w:cs="Times New Roman"/>
          <w:i/>
          <w:iCs/>
          <w:sz w:val="24"/>
          <w:szCs w:val="24"/>
        </w:rPr>
        <w:t>Climate change 2023: Mitigation of climate change.</w:t>
      </w:r>
      <w:r w:rsidRPr="001A1546">
        <w:rPr>
          <w:rFonts w:ascii="Times New Roman" w:hAnsi="Times New Roman" w:cs="Times New Roman"/>
          <w:sz w:val="24"/>
          <w:szCs w:val="24"/>
        </w:rPr>
        <w:t xml:space="preserve"> Geneva: IPCC.</w:t>
      </w:r>
    </w:p>
    <w:p w14:paraId="49997A7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Patel, R. B., &amp; Shah, K. P. (2022). Role of community institutions in climate adaptation: A Gujarat perspective. </w:t>
      </w:r>
      <w:r w:rsidRPr="001A1546">
        <w:rPr>
          <w:rFonts w:ascii="Times New Roman" w:hAnsi="Times New Roman" w:cs="Times New Roman"/>
          <w:i/>
          <w:iCs/>
          <w:sz w:val="24"/>
          <w:szCs w:val="24"/>
        </w:rPr>
        <w:t>Indian Journal of Social Development, 22</w:t>
      </w:r>
      <w:r w:rsidRPr="001A1546">
        <w:rPr>
          <w:rFonts w:ascii="Times New Roman" w:hAnsi="Times New Roman" w:cs="Times New Roman"/>
          <w:sz w:val="24"/>
          <w:szCs w:val="24"/>
        </w:rPr>
        <w:t>(2), 89–104.</w:t>
      </w:r>
    </w:p>
    <w:p w14:paraId="5F241E82"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Self Employed Women’s Association. (2022). </w:t>
      </w:r>
      <w:r w:rsidRPr="001A1546">
        <w:rPr>
          <w:rFonts w:ascii="Times New Roman" w:hAnsi="Times New Roman" w:cs="Times New Roman"/>
          <w:i/>
          <w:iCs/>
          <w:sz w:val="24"/>
          <w:szCs w:val="24"/>
        </w:rPr>
        <w:t>Women, work, and climate resilience: Annual impact report.</w:t>
      </w:r>
      <w:r w:rsidRPr="001A1546">
        <w:rPr>
          <w:rFonts w:ascii="Times New Roman" w:hAnsi="Times New Roman" w:cs="Times New Roman"/>
          <w:sz w:val="24"/>
          <w:szCs w:val="24"/>
        </w:rPr>
        <w:t xml:space="preserve"> Ahmedabad: SEWA.</w:t>
      </w:r>
    </w:p>
    <w:p w14:paraId="7D19FA3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United Nations Development Programme. (2022). </w:t>
      </w:r>
      <w:r w:rsidRPr="001A1546">
        <w:rPr>
          <w:rFonts w:ascii="Times New Roman" w:hAnsi="Times New Roman" w:cs="Times New Roman"/>
          <w:i/>
          <w:iCs/>
          <w:sz w:val="24"/>
          <w:szCs w:val="24"/>
        </w:rPr>
        <w:t>Localizing climate action through non-governmental organizations in India.</w:t>
      </w:r>
      <w:r w:rsidRPr="001A1546">
        <w:rPr>
          <w:rFonts w:ascii="Times New Roman" w:hAnsi="Times New Roman" w:cs="Times New Roman"/>
          <w:sz w:val="24"/>
          <w:szCs w:val="24"/>
        </w:rPr>
        <w:t xml:space="preserve"> New Delhi: UNDP India.</w:t>
      </w:r>
    </w:p>
    <w:p w14:paraId="2D5B1E77" w14:textId="0329FEA0" w:rsidR="001A1546" w:rsidRP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World Bank. (2023). </w:t>
      </w:r>
      <w:r w:rsidRPr="001A1546">
        <w:rPr>
          <w:rFonts w:ascii="Times New Roman" w:hAnsi="Times New Roman" w:cs="Times New Roman"/>
          <w:i/>
          <w:iCs/>
          <w:sz w:val="24"/>
          <w:szCs w:val="24"/>
        </w:rPr>
        <w:t>Climate-smart agriculture in India: Case studies from Gujarat.</w:t>
      </w:r>
      <w:r w:rsidRPr="001A1546">
        <w:rPr>
          <w:rFonts w:ascii="Times New Roman" w:hAnsi="Times New Roman" w:cs="Times New Roman"/>
          <w:sz w:val="24"/>
          <w:szCs w:val="24"/>
        </w:rPr>
        <w:t xml:space="preserve"> Washington DC: World Bank.</w:t>
      </w:r>
    </w:p>
    <w:p w14:paraId="3E31E225" w14:textId="77777777" w:rsidR="005F22F4" w:rsidRPr="001A1546" w:rsidRDefault="005F22F4" w:rsidP="00681D6E">
      <w:pPr>
        <w:spacing w:before="100" w:beforeAutospacing="1" w:after="100" w:afterAutospacing="1" w:line="360" w:lineRule="auto"/>
        <w:jc w:val="both"/>
        <w:rPr>
          <w:rFonts w:ascii="Times New Roman" w:hAnsi="Times New Roman" w:cs="Times New Roman"/>
          <w:sz w:val="24"/>
          <w:szCs w:val="24"/>
        </w:rPr>
      </w:pPr>
    </w:p>
    <w:sectPr w:rsidR="005F22F4" w:rsidRPr="001A1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A4F"/>
    <w:multiLevelType w:val="multilevel"/>
    <w:tmpl w:val="D9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5F2D"/>
    <w:multiLevelType w:val="multilevel"/>
    <w:tmpl w:val="3C0A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76641"/>
    <w:multiLevelType w:val="multilevel"/>
    <w:tmpl w:val="0B4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A7D63"/>
    <w:multiLevelType w:val="multilevel"/>
    <w:tmpl w:val="02F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B166A"/>
    <w:multiLevelType w:val="multilevel"/>
    <w:tmpl w:val="2C0E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62640"/>
    <w:multiLevelType w:val="multilevel"/>
    <w:tmpl w:val="2366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3071F"/>
    <w:multiLevelType w:val="multilevel"/>
    <w:tmpl w:val="D5BE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22CCB"/>
    <w:multiLevelType w:val="hybridMultilevel"/>
    <w:tmpl w:val="54C47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C3591A"/>
    <w:multiLevelType w:val="multilevel"/>
    <w:tmpl w:val="226E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07E4E"/>
    <w:multiLevelType w:val="multilevel"/>
    <w:tmpl w:val="A91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E7C3C"/>
    <w:multiLevelType w:val="multilevel"/>
    <w:tmpl w:val="958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C088C"/>
    <w:multiLevelType w:val="multilevel"/>
    <w:tmpl w:val="34C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E0B4D"/>
    <w:multiLevelType w:val="multilevel"/>
    <w:tmpl w:val="8E2A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0274D"/>
    <w:multiLevelType w:val="hybridMultilevel"/>
    <w:tmpl w:val="C1788978"/>
    <w:lvl w:ilvl="0" w:tplc="BAEC73D2">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6433828">
    <w:abstractNumId w:val="1"/>
  </w:num>
  <w:num w:numId="2" w16cid:durableId="1027291896">
    <w:abstractNumId w:val="8"/>
  </w:num>
  <w:num w:numId="3" w16cid:durableId="1920207259">
    <w:abstractNumId w:val="11"/>
  </w:num>
  <w:num w:numId="4" w16cid:durableId="387268272">
    <w:abstractNumId w:val="3"/>
  </w:num>
  <w:num w:numId="5" w16cid:durableId="716320044">
    <w:abstractNumId w:val="0"/>
  </w:num>
  <w:num w:numId="6" w16cid:durableId="588007892">
    <w:abstractNumId w:val="5"/>
  </w:num>
  <w:num w:numId="7" w16cid:durableId="1400594405">
    <w:abstractNumId w:val="2"/>
  </w:num>
  <w:num w:numId="8" w16cid:durableId="1677537384">
    <w:abstractNumId w:val="4"/>
  </w:num>
  <w:num w:numId="9" w16cid:durableId="641890680">
    <w:abstractNumId w:val="9"/>
  </w:num>
  <w:num w:numId="10" w16cid:durableId="351273247">
    <w:abstractNumId w:val="10"/>
  </w:num>
  <w:num w:numId="11" w16cid:durableId="1005548400">
    <w:abstractNumId w:val="6"/>
  </w:num>
  <w:num w:numId="12" w16cid:durableId="1031371605">
    <w:abstractNumId w:val="12"/>
  </w:num>
  <w:num w:numId="13" w16cid:durableId="1265455797">
    <w:abstractNumId w:val="7"/>
  </w:num>
  <w:num w:numId="14" w16cid:durableId="1298561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B0"/>
    <w:rsid w:val="001A1546"/>
    <w:rsid w:val="003D2E0C"/>
    <w:rsid w:val="005C722B"/>
    <w:rsid w:val="005F22F4"/>
    <w:rsid w:val="00681D6E"/>
    <w:rsid w:val="00764B35"/>
    <w:rsid w:val="00950E4A"/>
    <w:rsid w:val="00BD72B0"/>
    <w:rsid w:val="00D84633"/>
    <w:rsid w:val="00FE417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088"/>
  <w15:chartTrackingRefBased/>
  <w15:docId w15:val="{F91723D0-9A6E-4B9D-9372-CFEF552B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B0"/>
    <w:rPr>
      <w:rFonts w:eastAsiaTheme="majorEastAsia" w:cstheme="majorBidi"/>
      <w:color w:val="272727" w:themeColor="text1" w:themeTint="D8"/>
    </w:rPr>
  </w:style>
  <w:style w:type="paragraph" w:styleId="Title">
    <w:name w:val="Title"/>
    <w:basedOn w:val="Normal"/>
    <w:next w:val="Normal"/>
    <w:link w:val="TitleChar"/>
    <w:uiPriority w:val="10"/>
    <w:qFormat/>
    <w:rsid w:val="00BD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B0"/>
    <w:pPr>
      <w:spacing w:before="160"/>
      <w:jc w:val="center"/>
    </w:pPr>
    <w:rPr>
      <w:i/>
      <w:iCs/>
      <w:color w:val="404040" w:themeColor="text1" w:themeTint="BF"/>
    </w:rPr>
  </w:style>
  <w:style w:type="character" w:customStyle="1" w:styleId="QuoteChar">
    <w:name w:val="Quote Char"/>
    <w:basedOn w:val="DefaultParagraphFont"/>
    <w:link w:val="Quote"/>
    <w:uiPriority w:val="29"/>
    <w:rsid w:val="00BD72B0"/>
    <w:rPr>
      <w:i/>
      <w:iCs/>
      <w:color w:val="404040" w:themeColor="text1" w:themeTint="BF"/>
    </w:rPr>
  </w:style>
  <w:style w:type="paragraph" w:styleId="ListParagraph">
    <w:name w:val="List Paragraph"/>
    <w:basedOn w:val="Normal"/>
    <w:uiPriority w:val="34"/>
    <w:qFormat/>
    <w:rsid w:val="00BD72B0"/>
    <w:pPr>
      <w:ind w:left="720"/>
      <w:contextualSpacing/>
    </w:pPr>
  </w:style>
  <w:style w:type="character" w:styleId="IntenseEmphasis">
    <w:name w:val="Intense Emphasis"/>
    <w:basedOn w:val="DefaultParagraphFont"/>
    <w:uiPriority w:val="21"/>
    <w:qFormat/>
    <w:rsid w:val="00BD72B0"/>
    <w:rPr>
      <w:i/>
      <w:iCs/>
      <w:color w:val="2F5496" w:themeColor="accent1" w:themeShade="BF"/>
    </w:rPr>
  </w:style>
  <w:style w:type="paragraph" w:styleId="IntenseQuote">
    <w:name w:val="Intense Quote"/>
    <w:basedOn w:val="Normal"/>
    <w:next w:val="Normal"/>
    <w:link w:val="IntenseQuoteChar"/>
    <w:uiPriority w:val="30"/>
    <w:qFormat/>
    <w:rsid w:val="00BD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2B0"/>
    <w:rPr>
      <w:i/>
      <w:iCs/>
      <w:color w:val="2F5496" w:themeColor="accent1" w:themeShade="BF"/>
    </w:rPr>
  </w:style>
  <w:style w:type="character" w:styleId="IntenseReference">
    <w:name w:val="Intense Reference"/>
    <w:basedOn w:val="DefaultParagraphFont"/>
    <w:uiPriority w:val="32"/>
    <w:qFormat/>
    <w:rsid w:val="00BD72B0"/>
    <w:rPr>
      <w:b/>
      <w:bCs/>
      <w:smallCaps/>
      <w:color w:val="2F5496" w:themeColor="accent1" w:themeShade="BF"/>
      <w:spacing w:val="5"/>
    </w:rPr>
  </w:style>
  <w:style w:type="character" w:styleId="Hyperlink">
    <w:name w:val="Hyperlink"/>
    <w:basedOn w:val="DefaultParagraphFont"/>
    <w:uiPriority w:val="99"/>
    <w:unhideWhenUsed/>
    <w:rsid w:val="00D84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patel</dc:creator>
  <cp:keywords/>
  <dc:description/>
  <cp:lastModifiedBy>amit patel</cp:lastModifiedBy>
  <cp:revision>6</cp:revision>
  <dcterms:created xsi:type="dcterms:W3CDTF">2025-11-12T06:54:00Z</dcterms:created>
  <dcterms:modified xsi:type="dcterms:W3CDTF">2026-03-31T06:28:00Z</dcterms:modified>
</cp:coreProperties>
</file>