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BE63A" w14:textId="77777777" w:rsidR="00B14410" w:rsidRDefault="00B14410" w:rsidP="00B14410">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The Impact of Foreign Direct Investment on Angola's Economic Growth (2014-2023)</w:t>
      </w:r>
    </w:p>
    <w:p w14:paraId="26D21DDF" w14:textId="77777777" w:rsidR="00035D7E" w:rsidRPr="006A61FC" w:rsidRDefault="00035D7E" w:rsidP="00035D7E">
      <w:pPr>
        <w:ind w:right="-283"/>
        <w:rPr>
          <w:rFonts w:ascii="Times New Roman" w:hAnsi="Times New Roman" w:cs="Times New Roman"/>
          <w:kern w:val="0"/>
          <w:sz w:val="8"/>
          <w:szCs w:val="28"/>
          <w14:ligatures w14:val="none"/>
        </w:rPr>
      </w:pPr>
    </w:p>
    <w:p w14:paraId="65D0AAC8" w14:textId="77777777" w:rsidR="00035D7E" w:rsidRPr="001F7D16" w:rsidRDefault="00035D7E" w:rsidP="00035D7E">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Elisabeth Eduardo da Costa Januário Muanauta</w:t>
      </w:r>
    </w:p>
    <w:p w14:paraId="1134B265" w14:textId="77777777" w:rsidR="00035D7E" w:rsidRPr="001F7D16" w:rsidRDefault="00035D7E" w:rsidP="00035D7E">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Kimpa Vita University Polytechnic Institute, Angola</w:t>
      </w:r>
    </w:p>
    <w:p w14:paraId="2DAC8A35" w14:textId="77777777" w:rsidR="00035D7E" w:rsidRPr="001F7D16" w:rsidRDefault="00035D7E" w:rsidP="00035D7E">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Elisabethjau17@gmail.com | 000-0001-5708-9585 | Science ID</w:t>
      </w:r>
    </w:p>
    <w:p w14:paraId="4F3EF1F6" w14:textId="77777777" w:rsidR="00035D7E" w:rsidRPr="001F7D16" w:rsidRDefault="00035D7E" w:rsidP="00035D7E">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Kimpa Vita University Polytechnic Institute, Angola</w:t>
      </w:r>
    </w:p>
    <w:p w14:paraId="3CD55AFC" w14:textId="77777777" w:rsidR="00035D7E" w:rsidRDefault="00035D7E" w:rsidP="00E74D13">
      <w:pPr>
        <w:pBdr>
          <w:bottom w:val="single" w:sz="4" w:space="1" w:color="auto"/>
        </w:pBd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Emailautor3@email.pt | ORCID | Science ID</w:t>
      </w:r>
    </w:p>
    <w:p w14:paraId="669A917C" w14:textId="3AB26E99" w:rsidR="00E74D13" w:rsidRPr="001F7D16" w:rsidRDefault="00E74D13" w:rsidP="00E74D13">
      <w:pPr>
        <w:ind w:right="-283"/>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Alexandre Costa Sacala</w:t>
      </w:r>
    </w:p>
    <w:p w14:paraId="52CC33F0" w14:textId="1576F21B" w:rsidR="00E74D13" w:rsidRPr="001F7D16" w:rsidRDefault="00E74D13" w:rsidP="00E74D13">
      <w:pPr>
        <w:ind w:right="-283"/>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Faculty of Economics, Kimpa Vita University, Angola</w:t>
      </w:r>
    </w:p>
    <w:p w14:paraId="7EF15B9F" w14:textId="7C939E25" w:rsidR="00E74D13" w:rsidRDefault="00E74D13" w:rsidP="00E74D13">
      <w:pPr>
        <w:ind w:right="-283"/>
        <w:jc w:val="center"/>
        <w:rPr>
          <w:rFonts w:ascii="Times New Roman" w:hAnsi="Times New Roman" w:cs="Times New Roman"/>
          <w:kern w:val="0"/>
          <w:sz w:val="28"/>
          <w:szCs w:val="28"/>
          <w14:ligatures w14:val="none"/>
        </w:rPr>
      </w:pPr>
      <w:bookmarkStart w:id="0" w:name="_GoBack"/>
      <w:r>
        <w:rPr>
          <w:rFonts w:ascii="Times New Roman" w:hAnsi="Times New Roman" w:cs="Times New Roman"/>
          <w:kern w:val="0"/>
          <w:sz w:val="28"/>
          <w:szCs w:val="28"/>
          <w14:ligatures w14:val="none"/>
        </w:rPr>
        <w:t>alexandresacalaas@gmail.com | ORCID: 0009-0006-6771- 7913 |</w:t>
      </w:r>
      <w:bookmarkEnd w:id="0"/>
    </w:p>
    <w:p w14:paraId="668DD336" w14:textId="77777777" w:rsidR="00E74D13" w:rsidRPr="001F7D16" w:rsidRDefault="00E74D13" w:rsidP="00E74D13">
      <w:pP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Kimpa Vita University Polytechnic Institute, Angola</w:t>
      </w:r>
    </w:p>
    <w:p w14:paraId="69ECA86A" w14:textId="77777777" w:rsidR="00E74D13" w:rsidRDefault="00E74D13" w:rsidP="00E74D13">
      <w:pPr>
        <w:pBdr>
          <w:bottom w:val="single" w:sz="4" w:space="1" w:color="auto"/>
        </w:pBd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Emailautor3@email.pt | ORCID | Science ID</w:t>
      </w:r>
    </w:p>
    <w:p w14:paraId="37940D15" w14:textId="12BE8A1D" w:rsidR="006A61FC" w:rsidRPr="001F7D16" w:rsidRDefault="006A61FC" w:rsidP="006A61FC">
      <w:pPr>
        <w:ind w:right="-283"/>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José Mário João</w:t>
      </w:r>
    </w:p>
    <w:p w14:paraId="45C6A270" w14:textId="77777777" w:rsidR="006A61FC" w:rsidRPr="001F7D16" w:rsidRDefault="006A61FC" w:rsidP="006A61FC">
      <w:pPr>
        <w:ind w:right="-283"/>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Faculty of Economics, Kimpa Vita University, Angola</w:t>
      </w:r>
    </w:p>
    <w:p w14:paraId="70528B49" w14:textId="72B64811" w:rsidR="006A61FC" w:rsidRDefault="006A61FC" w:rsidP="006A61FC">
      <w:pPr>
        <w:ind w:right="-283"/>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Josemariojoao23@gmail.com | ORCID: 0009-0004-3423-5649 |</w:t>
      </w:r>
    </w:p>
    <w:p w14:paraId="54707A68" w14:textId="77777777" w:rsidR="006A61FC" w:rsidRDefault="006A61FC" w:rsidP="006A61FC">
      <w:pPr>
        <w:pBdr>
          <w:bottom w:val="single" w:sz="4" w:space="1" w:color="auto"/>
        </w:pBdr>
        <w:ind w:right="-283"/>
        <w:jc w:val="center"/>
        <w:rPr>
          <w:rFonts w:ascii="Times New Roman" w:hAnsi="Times New Roman" w:cs="Times New Roman"/>
          <w:kern w:val="0"/>
          <w:sz w:val="28"/>
          <w:szCs w:val="28"/>
          <w14:ligatures w14:val="none"/>
        </w:rPr>
      </w:pPr>
      <w:r w:rsidRPr="001F7D16">
        <w:rPr>
          <w:rFonts w:ascii="Times New Roman" w:hAnsi="Times New Roman" w:cs="Times New Roman"/>
          <w:kern w:val="0"/>
          <w:sz w:val="28"/>
          <w:szCs w:val="28"/>
          <w14:ligatures w14:val="none"/>
        </w:rPr>
        <w:t>Emailautor3@email.pt | ORCID | Science ID</w:t>
      </w:r>
    </w:p>
    <w:p w14:paraId="6CCAFA3F" w14:textId="6C8F1782" w:rsidR="00035D7E" w:rsidRDefault="00035D7E" w:rsidP="0039301A">
      <w:pPr>
        <w:spacing w:line="360" w:lineRule="auto"/>
        <w:ind w:right="-283"/>
      </w:pPr>
      <w:r w:rsidRPr="0058579A">
        <w:rPr>
          <w:rFonts w:ascii="Times New Roman" w:hAnsi="Times New Roman" w:cs="Times New Roman"/>
          <w:b/>
          <w:kern w:val="0"/>
          <w:sz w:val="28"/>
          <w:szCs w:val="28"/>
          <w14:ligatures w14:val="none"/>
        </w:rPr>
        <w:t>Summary</w:t>
      </w:r>
    </w:p>
    <w:p w14:paraId="41EF3647" w14:textId="77777777" w:rsidR="00035D7E" w:rsidRDefault="00035D7E" w:rsidP="0039301A">
      <w:pPr>
        <w:spacing w:line="360" w:lineRule="auto"/>
        <w:ind w:right="-283"/>
        <w:jc w:val="both"/>
        <w:rPr>
          <w:rFonts w:ascii="Times New Roman" w:hAnsi="Times New Roman" w:cs="Times New Roman"/>
          <w:sz w:val="24"/>
          <w:szCs w:val="24"/>
        </w:rPr>
      </w:pPr>
      <w:r w:rsidRPr="00E513C0">
        <w:rPr>
          <w:rFonts w:ascii="Times New Roman" w:hAnsi="Times New Roman" w:cs="Times New Roman"/>
          <w:sz w:val="24"/>
          <w:szCs w:val="24"/>
        </w:rPr>
        <w:t>Foreign Direct Investment (FDI) is often considered an engine of economic growth in developing countries, due to its capacity to transfer technology, generate employment, and boost productive sectors. Therefore, this study aims to analyze the impact of Foreign Direct Investment (FDI) on the growth of the Angolan economy from 2014 to 2023. To test the hypothesis, a Linear Regression model was used, considering a Multiple econometric model based on Vector autoregressive, which expresses the relationship between FDI, exchange rate, trade balance, and Angola's GDP from 2014 to 2023. The results indicate that FDI did not have a positive and significant impact on GDP growth. The FDI coefficient showed a negative value (-0.23), meaning that an increase in FDI did not directly translate into economic growth during the analyzed period. However, it is concluded that Angola's economic environment was unfavorable during the period, which contributed little to attracting FDI. This conclusion is consistent with the assumptions presented. Therefore, the increase in Foreign Direct Investment (FDI) in Angola between 2014 and 2023 did not have a significant impact on the country's economic growth. Despite the influx of FDI, internal and external factors neutralized its positive impacts on the Angolan economy during the period 2014-2023. Global events, such as health and economic crises, can influence investment decisions. For this to translate into effective benefits, it is necessary to redirect investment towards strategic non-oil sectors, strengthen local absorption capacities, and ensure greater macroeconomic and institutional stability. Therefore, future research should consider these impacts to better understand how foreign investment reacts to these challenges.</w:t>
      </w:r>
    </w:p>
    <w:p w14:paraId="11021125" w14:textId="77777777" w:rsidR="00035D7E" w:rsidRDefault="00035D7E" w:rsidP="0039301A">
      <w:pPr>
        <w:spacing w:line="360" w:lineRule="auto"/>
        <w:ind w:right="-283"/>
        <w:jc w:val="both"/>
        <w:rPr>
          <w:rFonts w:ascii="Times New Roman" w:hAnsi="Times New Roman" w:cs="Times New Roman"/>
          <w:sz w:val="24"/>
          <w:szCs w:val="24"/>
        </w:rPr>
      </w:pPr>
      <w:r w:rsidRPr="00E4789B">
        <w:rPr>
          <w:rFonts w:ascii="Times New Roman" w:hAnsi="Times New Roman" w:cs="Times New Roman"/>
          <w:sz w:val="24"/>
          <w:szCs w:val="24"/>
        </w:rPr>
        <w:t>Keywords: Foreign Direct Investment; Economic Growth; Angolan Economy.</w:t>
      </w:r>
    </w:p>
    <w:p w14:paraId="175879A2" w14:textId="237F90FA" w:rsidR="00035D7E" w:rsidRPr="00F37C33" w:rsidRDefault="00035D7E" w:rsidP="0039301A">
      <w:pPr>
        <w:pStyle w:val="Ttulo1"/>
        <w:numPr>
          <w:ilvl w:val="0"/>
          <w:numId w:val="22"/>
        </w:numPr>
      </w:pPr>
      <w:r w:rsidRPr="00F37C33">
        <w:t>Introduction</w:t>
      </w:r>
    </w:p>
    <w:p w14:paraId="16F1520F" w14:textId="77777777"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Global flows of Foreign Direct Investment (FDI) are one of the most significant phenomena of contemporary economic globalization, playing a decisive role in market integration and the dynamism of national economies. According to Bilas (2019), FDI constitutes an important catalyst for economic growth, supported by a solid theoretical foundation in the field of international economics. The Organisation for Economic Co-operation and Development (OECD, 2020) reinforces this perspective by highlighting that FDI promotes the transfer of technology and knowledge, drives sustainable progress, and contributes to the creation of skilled jobs, especially in developing countries.</w:t>
      </w:r>
    </w:p>
    <w:p w14:paraId="056D80AA" w14:textId="77777777"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 xml:space="preserve">In the Angolan context, Foreign Direct Investment has played a crucial role in the reconstruction and modernization of infrastructure, especially in the post-conflict period, being considered one of the pillars for long-term economic recovery and expansion (African Development Bank, 2012). However, between 2014 and 2023, the effective contribution of FDI to economic growth proved ambiguous, given its excessive concentration in the oil sector and the dependence of the national economy on fluctuations in international crude oil prices (World Bank, 2023). This reality has sparked debate about the real capacity of FDI to promote economic diversification and reduce Angola's structural vulnerabilities.</w:t>
      </w:r>
    </w:p>
    <w:p w14:paraId="3FEA4823" w14:textId="77777777"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It is also important to note that FDI is not universally beneficial. Haskel, Pereira and Slaughter (2002) warn that, under certain circumstances, foreign investment can generate adverse effects, such as the bankruptcy of less competitive local companies and the loss of economic sovereignty. On the other hand, in economies with scarce financial resources, such as many African nations, FDI represents an important alternative to fill financing gaps and stimulate development (Rodrik, 2011).</w:t>
      </w:r>
    </w:p>
    <w:p w14:paraId="0252134D" w14:textId="77777777" w:rsidR="00554772"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In this context, Angola presents a unique opportunity for analysis: how to transform FDI into an effective instrument for economic diversification, sustainable growth, and social inclusion? Despite several political and institutional reforms implemented by the Angolan government between 2014 and 2023 – notably the improvement of the business environment and tax incentives (AIPEX, 2022) – the economy remains vulnerable to external volatility, raising questions about the extent to which FDI has actually contributed to economic growth and the strengthening of national productive bases.</w:t>
      </w:r>
    </w:p>
    <w:p w14:paraId="1F7D0FDE" w14:textId="20C3205D" w:rsidR="00035D7E" w:rsidRPr="00554772" w:rsidRDefault="00035D7E" w:rsidP="00035D7E">
      <w:pPr>
        <w:spacing w:before="100" w:beforeAutospacing="1" w:after="100" w:afterAutospacing="1" w:line="360" w:lineRule="auto"/>
        <w:jc w:val="both"/>
        <w:rPr>
          <w:rFonts w:ascii="Times New Roman" w:eastAsia="Times New Roman" w:hAnsi="Times New Roman" w:cs="Times New Roman"/>
          <w:i/>
          <w:iCs/>
          <w:kern w:val="0"/>
          <w:sz w:val="24"/>
          <w:szCs w:val="24"/>
          <w14:ligatures w14:val="none"/>
        </w:rPr>
      </w:pPr>
      <w:r w:rsidRPr="00554772">
        <w:rPr>
          <w:rFonts w:ascii="Times New Roman" w:eastAsia="Times New Roman" w:hAnsi="Times New Roman" w:cs="Times New Roman"/>
          <w:i/>
          <w:iCs/>
          <w:kern w:val="0"/>
          <w:sz w:val="24"/>
          <w:szCs w:val="24"/>
          <w14:ligatures w14:val="none"/>
        </w:rPr>
        <w:t>Problematic</w:t>
      </w:r>
    </w:p>
    <w:p w14:paraId="43499EA6" w14:textId="5D39F785"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Despite the considerable volume of foreign investment received by Angola in recent decades, uncertainty persists regarding its effectiveness in stimulating sustainable and diversified economic growth. The economy's dependence on the oil sector and exchange rate volatility raise doubts about the real capacity of FDI to generate multiplier effects on the national economy. Given this, the need arises to answer the question:</w:t>
      </w:r>
    </w:p>
    <w:p w14:paraId="7A5816C6" w14:textId="7CF3004D"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What has been the impact of Foreign Direct Investment on Angola's economic growth in the period from 2014 to 2023, considering variables such as the exchange rate and the trade balance?</w:t>
      </w:r>
    </w:p>
    <w:p w14:paraId="55F798CE" w14:textId="77777777" w:rsidR="006A61FC" w:rsidRDefault="006A61FC"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6ADEE94" w14:textId="77777777" w:rsidR="006A61FC" w:rsidRDefault="006A61FC"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0108828" w14:textId="3C81C253"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lastRenderedPageBreak/>
        <w:t>Research hypotheses</w:t>
      </w:r>
    </w:p>
    <w:p w14:paraId="07B0C7E7" w14:textId="7791724F" w:rsidR="005A15B2" w:rsidRPr="005A15B2" w:rsidRDefault="005A15B2"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answer the question posed in advance, we propose two hypotheses, namely:</w:t>
      </w:r>
    </w:p>
    <w:p w14:paraId="540B463E" w14:textId="73817B34" w:rsidR="00566273" w:rsidRPr="00566273" w:rsidRDefault="00566273" w:rsidP="0056627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66273">
        <w:rPr>
          <w:rFonts w:ascii="Times New Roman" w:eastAsia="Times New Roman" w:hAnsi="Times New Roman" w:cs="Times New Roman"/>
          <w:kern w:val="0"/>
          <w:sz w:val="24"/>
          <w:szCs w:val="24"/>
          <w14:ligatures w14:val="none"/>
        </w:rPr>
        <w:t>H₀: Foreign Direct Investment, the exchange rate, and the trade balance do not have a statistically significant impact on Angola's economic growth in the period from 2014 to 2023.</w:t>
      </w:r>
    </w:p>
    <w:p w14:paraId="2E8E0932" w14:textId="6ED64579" w:rsidR="00035D7E" w:rsidRDefault="00566273" w:rsidP="0056627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66273">
        <w:rPr>
          <w:rFonts w:ascii="Times New Roman" w:eastAsia="Times New Roman" w:hAnsi="Times New Roman" w:cs="Times New Roman"/>
          <w:kern w:val="0"/>
          <w:sz w:val="24"/>
          <w:szCs w:val="24"/>
          <w14:ligatures w14:val="none"/>
        </w:rPr>
        <w:t>H₁: Foreign Direct Investment, the exchange rate, and the trade balance have a statistically significant impact on Angola's economic growth in the period from 2014 to 2023.</w:t>
      </w:r>
    </w:p>
    <w:p w14:paraId="1A037F42" w14:textId="40B8D342"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Objectives</w:t>
      </w:r>
    </w:p>
    <w:p w14:paraId="1D3100D9" w14:textId="0D8D5FCC" w:rsidR="00566273" w:rsidRPr="00566273" w:rsidRDefault="00566273" w:rsidP="0056627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General objectives</w:t>
      </w:r>
    </w:p>
    <w:p w14:paraId="1BFB29D8" w14:textId="77777777" w:rsidR="00B14410" w:rsidRDefault="00B14410"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410">
        <w:rPr>
          <w:rFonts w:ascii="Times New Roman" w:eastAsia="Times New Roman" w:hAnsi="Times New Roman" w:cs="Times New Roman"/>
          <w:kern w:val="0"/>
          <w:sz w:val="24"/>
          <w:szCs w:val="24"/>
          <w14:ligatures w14:val="none"/>
        </w:rPr>
        <w:t>To empirically analyze the impact of Foreign Direct Investment, the exchange rate, and the trade balance on Angola's economic growth from 2014 to 2023.</w:t>
      </w:r>
    </w:p>
    <w:p w14:paraId="5D97FF3A" w14:textId="5F5005CB"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Specific objectives</w:t>
      </w:r>
    </w:p>
    <w:p w14:paraId="27A5C0BC" w14:textId="2E26ADB5" w:rsidR="00B14410" w:rsidRPr="00B14410" w:rsidRDefault="00B14410" w:rsidP="00035D7E">
      <w:pPr>
        <w:pStyle w:val="PargrafodaLista"/>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410">
        <w:rPr>
          <w:rFonts w:ascii="Times New Roman" w:eastAsia="Times New Roman" w:hAnsi="Times New Roman" w:cs="Times New Roman"/>
          <w:kern w:val="0"/>
          <w:sz w:val="24"/>
          <w:szCs w:val="24"/>
          <w14:ligatures w14:val="none"/>
        </w:rPr>
        <w:t>To examine the relationship between Foreign Direct Investment (FDI) and Angola's economic growth, identifying its relative weight in GDP variation during the analyzed period. To examine the effect of the exchange rate and the trade balance on Angolan economic growth.</w:t>
      </w:r>
    </w:p>
    <w:p w14:paraId="5B1EF1E7" w14:textId="759EC3BC" w:rsidR="00B14410" w:rsidRPr="00B14410" w:rsidRDefault="00B14410" w:rsidP="00035D7E">
      <w:pPr>
        <w:pStyle w:val="PargrafodaLista"/>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B14410">
        <w:rPr>
          <w:rFonts w:ascii="Times New Roman" w:eastAsia="Times New Roman" w:hAnsi="Times New Roman" w:cs="Times New Roman"/>
          <w:kern w:val="0"/>
          <w:sz w:val="24"/>
          <w:szCs w:val="24"/>
          <w14:ligatures w14:val="none"/>
        </w:rPr>
        <w:t>To estimate, using an econometric model, the joint significance of the variables FDI, exchange rate and trade balance as determinants of Angola's economic growth between 2014 and 2023.</w:t>
      </w:r>
    </w:p>
    <w:p w14:paraId="788BB221" w14:textId="21F8FA26" w:rsidR="00035D7E" w:rsidRP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35D7E">
        <w:rPr>
          <w:rFonts w:ascii="Times New Roman" w:eastAsia="Times New Roman" w:hAnsi="Times New Roman" w:cs="Times New Roman"/>
          <w:kern w:val="0"/>
          <w:sz w:val="24"/>
          <w:szCs w:val="24"/>
          <w14:ligatures w14:val="none"/>
        </w:rPr>
        <w:t>This study contributes to the academic and political debate on the role of foreign investment in the economic development of resource-dependent countries, such as Angola. In addition to offering updated empirical evidence, the article aims to support the formulation of public policies focused on attracting productive FDI and promoting sustainable and inclusive economic growth.</w:t>
      </w:r>
    </w:p>
    <w:p w14:paraId="2F4C4571" w14:textId="0BA5732D" w:rsidR="00035D7E" w:rsidRPr="00DA1F85" w:rsidRDefault="0039301A" w:rsidP="0039301A">
      <w:pPr>
        <w:pStyle w:val="Ttulo2"/>
        <w:spacing w:after="240"/>
        <w:rPr>
          <w:rFonts w:ascii="Times New Roman" w:hAnsi="Times New Roman" w:cs="Times New Roman"/>
          <w:b/>
          <w:bCs/>
          <w:color w:val="auto"/>
          <w:sz w:val="24"/>
          <w:szCs w:val="20"/>
        </w:rPr>
      </w:pPr>
      <w:r>
        <w:rPr>
          <w:rFonts w:ascii="Times New Roman" w:hAnsi="Times New Roman" w:cs="Times New Roman"/>
          <w:b/>
          <w:bCs/>
          <w:color w:val="auto"/>
          <w:sz w:val="24"/>
          <w:szCs w:val="20"/>
        </w:rPr>
        <w:lastRenderedPageBreak/>
        <w:t xml:space="preserve">2. Characterization of the Angolan economy between 2014 and 2023</w:t>
      </w:r>
    </w:p>
    <w:p w14:paraId="1C10DE8A" w14:textId="5BDEDBF2" w:rsidR="00035D7E" w:rsidRPr="00612061"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Angola, located on the southwest coast of Africa, has an economy heavily based on the exploitation of natural resources, especially oil and diamonds. This abundance, while a fundamental source of revenue for the State, has also made the country excessively dependent on the oil sector, leaving it vulnerable to fluctuations in the international market and external shocks (African Development Bank, 2022).</w:t>
      </w:r>
    </w:p>
    <w:p w14:paraId="4E36097B" w14:textId="77777777" w:rsidR="00035D7E" w:rsidRPr="00CF4F92"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Between 2014 and 2020, the Angolan economy faced a prolonged period of recession, a direct result of the fall in international oil prices and the reduction in domestic production. The National Bank of Angola (2021) highlights that the real Gross Domestic Product (GDP) registered negative growth rates during this period, reflecting not only the fragility of the oil sector but also the weak dynamics of non-oil sectors. The oil sector has been the main "backbone" of the economy, representing more than 90% of goods exports and about 60% of state tax revenues (OPEC, 2022). Thus, periods of low oil prices triggered serious economic and social crises, which were reflected in increased poverty, unemployment, and social inequality. In 2018, about 32% of the Angolan population lived below the poverty line (INE, 2019).</w:t>
      </w:r>
    </w:p>
    <w:p w14:paraId="0A169A1D" w14:textId="77777777" w:rsidR="00035D7E" w:rsidRPr="00612061"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Inflation was another significant challenge: it peaked at 41.1% in 2016, eroding families' purchasing power and exacerbating social exclusion (National Bank of Angola, 2017).</w:t>
      </w:r>
    </w:p>
    <w:p w14:paraId="202309A1" w14:textId="77777777" w:rsidR="00035D7E" w:rsidRPr="00612061"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To address this situation, the Angolan government initiated a program of structural reforms, supported by the International Monetary Fund (IMF). In 2018, the IMF approved a $3.7 billion package aimed at macroeconomic stabilization, improved governance, and economic diversification. Among the measures implemented were the reduction of subsidies, the reform of the foreign exchange market, and the privatization of state-owned enterprises (IMF, 2019).</w:t>
      </w:r>
    </w:p>
    <w:p w14:paraId="7B3516B6" w14:textId="77777777" w:rsidR="00035D7E" w:rsidRPr="00CF4F92"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The COVID-19 pandemic further exacerbated the economic recession. In 2020, Angola's GDP contracted by 5.4%, reflecting the negative impact on oil, trade, and the national productive sector (INE, 2021). The oil sector suffered a significant drop in revenue, limiting the government's ability to finance essential public services (ANPG, 2021).</w:t>
      </w:r>
    </w:p>
    <w:p w14:paraId="3EB55148" w14:textId="77777777" w:rsidR="00035D7E" w:rsidRPr="00CF4F92"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The effects of the pandemic also impacted the labor market, with business closures and increased layoffs, raising unemployment and informality (ILO, 2021). The reduction in tax revenues, especially from oil, worsened the situation of public finances (Ministry of Finance of Angola, 2021).</w:t>
      </w:r>
    </w:p>
    <w:p w14:paraId="4CFC1916" w14:textId="77777777" w:rsidR="00035D7E" w:rsidRPr="00612061"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Externally, FDI fell by approximately 35% globally in 2020, reflecting the contraction of international capital flows, economic uncertainty, and mobility restrictions (UNCTAD, 2020). Angola was no exception to this trend.</w:t>
      </w:r>
    </w:p>
    <w:p w14:paraId="7E5B4A56" w14:textId="77777777" w:rsidR="00035D7E" w:rsidRPr="00CF4F92"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 xml:space="preserve">Another structural challenge was persistent inflation. In 2021, the annual rate reached 27%, driven by the devaluation of the kwanza and the increase in prices of essential goods (World Bank, 2022). At the same time, public debt grew significantly, with about 80% of the total denominated in foreign currency, increasing the country's vulnerability to exchange rate fluctuations (Angola, 2022).</w:t>
      </w:r>
    </w:p>
    <w:p w14:paraId="0F3FD449" w14:textId="77777777" w:rsidR="00035D7E" w:rsidRPr="00612061"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The labor market remained fragile, with high rates of youth and urban unemployment, and a strong prevalence of informal jobs, highlighting the lack of progress in terms of inclusive growth (UNDP, 2020).</w:t>
      </w:r>
    </w:p>
    <w:p w14:paraId="1EBF9E8F" w14:textId="77777777" w:rsidR="00035D7E" w:rsidRPr="00CF4F92"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Despite the difficulties, in 2021 the Angolan economy began to show signs of recovery. According to the INE (2022), GDP grew by 0.7%, ending five consecutive years of recession. This growth was driven by rising oil prices and ongoing macroeconomic reforms.</w:t>
      </w:r>
    </w:p>
    <w:p w14:paraId="3832839B" w14:textId="77777777" w:rsidR="00035D7E"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t>In 2022, the recovery accelerated, with an estimated growth of 3.0%, reflecting not only the increase in oil production but also the expansion of non-oil sectors such as agriculture and construction (IMF, 2023). Nevertheless, structural challenges remained:</w:t>
      </w:r>
    </w:p>
    <w:p w14:paraId="04EF98DE" w14:textId="77777777" w:rsidR="00035D7E" w:rsidRPr="004C14CA" w:rsidRDefault="00035D7E" w:rsidP="00035D7E">
      <w:pPr>
        <w:spacing w:after="0" w:line="360" w:lineRule="auto"/>
        <w:jc w:val="both"/>
        <w:rPr>
          <w:rFonts w:ascii="Times New Roman" w:hAnsi="Times New Roman" w:cs="Times New Roman"/>
          <w:sz w:val="24"/>
          <w:szCs w:val="28"/>
        </w:rPr>
      </w:pPr>
      <w:r w:rsidRPr="00CF4F92">
        <w:rPr>
          <w:rFonts w:ascii="Times New Roman" w:hAnsi="Times New Roman" w:cs="Times New Roman"/>
          <w:sz w:val="24"/>
          <w:szCs w:val="28"/>
        </w:rPr>
        <w:br/>
      </w:r>
      <w:r w:rsidRPr="008E597F">
        <w:rPr>
          <w:rFonts w:ascii="Times New Roman" w:hAnsi="Times New Roman" w:cs="Times New Roman"/>
          <w:sz w:val="24"/>
          <w:szCs w:val="28"/>
        </w:rPr>
        <w:t xml:space="preserve">a) Dependence on oil: the economy remains excessively dependent on crude oil, which represents more than 60% of GDP and 95% of exports (OPEC, 2022); b) Regional inequalities: marked disparities persist between urban centers, such as Luanda, and rural areas, with limited access to basic services (UNDP, 2020); c) Lack of diversification: despite government efforts, the non-oil sector still represents a small share of the economy (African Development Bank, 2022).</w:t>
      </w:r>
    </w:p>
    <w:p w14:paraId="76C84207" w14:textId="342D2B50" w:rsidR="00035D7E" w:rsidRPr="000E405F" w:rsidRDefault="0039301A" w:rsidP="00E533D4">
      <w:pPr>
        <w:pStyle w:val="Ttulo1"/>
        <w:rPr>
          <w:rFonts w:eastAsia="Times New Roman"/>
          <w:lang w:eastAsia="pt-PT"/>
        </w:rPr>
      </w:pPr>
      <w:r>
        <w:rPr>
          <w:rFonts w:eastAsia="Times New Roman"/>
          <w:lang w:eastAsia="pt-PT"/>
        </w:rPr>
        <w:t>2.1 Key factors in attracting Foreign Direct Investment (FDI) to Angola</w:t>
      </w:r>
    </w:p>
    <w:p w14:paraId="7B9A0E62" w14:textId="77777777" w:rsidR="00035D7E"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Foreign Direct Investment (FDI) has played a significant role in Angola's economic development, driven by a number of factors that increase the country's attractiveness. According to Faria (2017), Angola stands out as a promising destination for foreign investors, combining natural, geostrategic and institutional advantages.</w:t>
      </w:r>
    </w:p>
    <w:p w14:paraId="6026D1F1" w14:textId="77777777" w:rsidR="00035D7E" w:rsidRPr="00192FBC"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Angola possesses vast reserves of oil, natural gas, and diamonds, which constitute one of its greatest attractions for international investors. These resources not only sustain the national economy but also arouse the interest of multinational companies in the exploration and processing of these riches (African Development Bank [AfDB], 2021).</w:t>
      </w:r>
    </w:p>
    <w:p w14:paraId="4C50ECA2" w14:textId="77777777" w:rsidR="00035D7E" w:rsidRPr="00192FBC"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With a young and growing population, Angola presents a consumer market with great potential for expansion. This scenario creates opportunities in sectors such as commerce, telecommunications, and infrastructure, attracting investors interested in emerging markets with long-term growth prospects (World Bank, 2022).</w:t>
      </w:r>
    </w:p>
    <w:p w14:paraId="5792D3C6" w14:textId="77777777" w:rsidR="00035D7E" w:rsidRPr="00192FBC"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Angola's coastal location in the South Atlantic gives it a strategic position in accessing international markets, especially Europe and the Americas. This logistical advantage strengthens trade and the export of goods, making the country more competitive in attracting FDI (United Nations Industrial Development Organization [UNIDO], 2020).</w:t>
      </w:r>
    </w:p>
    <w:p w14:paraId="36D3335D" w14:textId="77777777" w:rsidR="00035D7E" w:rsidRPr="00192FBC"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The Angolan government has implemented legal and institutional reforms with the aim of improving the business environment. The new Private Investment Law introduced tax incentives, greater legal protection and more transparent rules, increasing the confidence of foreign investors (Angola Private Investment and Export Promotion Agency [AIPEX], 2021).</w:t>
      </w:r>
    </w:p>
    <w:p w14:paraId="71DF8AED" w14:textId="7175A8C4" w:rsidR="00035D7E" w:rsidRDefault="00035D7E" w:rsidP="00035D7E">
      <w:pPr>
        <w:shd w:val="clear" w:color="auto" w:fill="FFFFFF"/>
        <w:spacing w:before="100" w:beforeAutospacing="1" w:after="100" w:afterAutospacing="1" w:line="360" w:lineRule="auto"/>
        <w:jc w:val="both"/>
        <w:rPr>
          <w:rFonts w:ascii="Times New Roman" w:eastAsia="Times New Roman" w:hAnsi="Times New Roman" w:cs="Times New Roman"/>
          <w:kern w:val="0"/>
          <w:sz w:val="24"/>
          <w:szCs w:val="24"/>
          <w:lang w:eastAsia="pt-PT"/>
          <w14:ligatures w14:val="none"/>
        </w:rPr>
      </w:pPr>
      <w:r w:rsidRPr="000E405F">
        <w:rPr>
          <w:rFonts w:ascii="Times New Roman" w:eastAsia="Times New Roman" w:hAnsi="Times New Roman" w:cs="Times New Roman"/>
          <w:kern w:val="0"/>
          <w:sz w:val="24"/>
          <w:szCs w:val="24"/>
          <w:lang w:eastAsia="pt-PT"/>
          <w14:ligatures w14:val="none"/>
        </w:rPr>
        <w:t>Angola participates in organizations such as the Southern African Development Community (SADC) and the African Union (AU), which promote regional economic integration. These alliances broaden access to new markets and increase Angola's attractiveness as a gateway for investment on the continent (Southern African Development Community [SADC], 2020). The government has sought to reduce dependence on oil by encouraging investment in areas such as agriculture, manufacturing, tourism, and renewable energy. These initiatives are seen as strategic for diversifying the economy and attracting new FDI flows (BA, 2021).</w:t>
      </w:r>
    </w:p>
    <w:p w14:paraId="23710182" w14:textId="0AB3D89C" w:rsidR="004B5E99" w:rsidRPr="00634FD7" w:rsidRDefault="004B5E99" w:rsidP="004B5E9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I presents the evolution of Foreign Direct Investment (FDI) in Angola by sector of activity, from 2018 to 2022. This period was marked by strong economic volatility, reflecting not only the dependence on the oil sector, but also the effects of the COVID-19 pandemic and the political reforms implemented by the Angolan State to attract new investors (National Bank of Angola [BNA], 2022). As can be seen, the industrial sector was the main destination of FDI, reaching 4,553,178,433 billion kwanzas in 2022, which confirms its strategic relevance for the diversification of the economy (Angola's Private Investment and Export Promotion Agency [AIPEX], 2023). The service sector registered fluctuations, especially in 2021, when it reached 230,009,760.7 billion kwanzas. Agriculture, despite showing a decline in 2019 and 2021, revealed signs of recovery in 2022, with an investment of 163,520,931.1 billion kwanzas, demonstrating a gradual interest in sectors alternative to oil.</w:t>
      </w:r>
    </w:p>
    <w:p w14:paraId="27E1954B" w14:textId="77777777" w:rsidR="00035D7E" w:rsidRPr="00575C1F" w:rsidRDefault="00035D7E" w:rsidP="00035D7E">
      <w:pPr>
        <w:spacing w:after="200" w:line="276" w:lineRule="auto"/>
        <w:jc w:val="both"/>
        <w:rPr>
          <w:rFonts w:ascii="Times New Roman" w:eastAsia="Times New Roman" w:hAnsi="Times New Roman" w:cs="Times New Roman"/>
          <w:kern w:val="0"/>
          <w:sz w:val="24"/>
          <w:szCs w:val="24"/>
          <w:lang w:eastAsia="pt-PT"/>
          <w14:ligatures w14:val="none"/>
        </w:rPr>
      </w:pPr>
      <w:bookmarkStart w:id="1" w:name="_Toc193051434"/>
      <w:r w:rsidRPr="00575C1F">
        <w:rPr>
          <w:rFonts w:ascii="Times New Roman" w:eastAsia="Calibri" w:hAnsi="Times New Roman" w:cs="Times New Roman"/>
          <w:sz w:val="24"/>
          <w:szCs w:val="24"/>
        </w:rPr>
        <w:t xml:space="preserve">Table</w:t>
      </w:r>
      <w:r w:rsidRPr="00575C1F">
        <w:rPr>
          <w:rFonts w:ascii="Times New Roman" w:eastAsia="Calibri" w:hAnsi="Times New Roman" w:cs="Times New Roman"/>
          <w:sz w:val="24"/>
          <w:szCs w:val="24"/>
        </w:rPr>
        <w:fldChar w:fldCharType="begin"/>
      </w:r>
      <w:r w:rsidRPr="00575C1F">
        <w:rPr>
          <w:rFonts w:ascii="Times New Roman" w:eastAsia="Calibri" w:hAnsi="Times New Roman" w:cs="Times New Roman"/>
          <w:sz w:val="24"/>
          <w:szCs w:val="24"/>
        </w:rPr>
        <w:instrText xml:space="preserve"> SEQ Tabela \* ROMAN </w:instrText>
      </w:r>
      <w:r w:rsidRPr="00575C1F">
        <w:rPr>
          <w:rFonts w:ascii="Times New Roman" w:eastAsia="Calibri" w:hAnsi="Times New Roman" w:cs="Times New Roman"/>
          <w:sz w:val="24"/>
          <w:szCs w:val="24"/>
        </w:rPr>
        <w:fldChar w:fldCharType="separate"/>
      </w:r>
      <w:r w:rsidRPr="00575C1F">
        <w:rPr>
          <w:rFonts w:ascii="Times New Roman" w:eastAsia="Calibri" w:hAnsi="Times New Roman" w:cs="Times New Roman"/>
          <w:noProof/>
          <w:sz w:val="24"/>
          <w:szCs w:val="24"/>
        </w:rPr>
        <w:t>I</w:t>
      </w:r>
      <w:r w:rsidRPr="00575C1F">
        <w:rPr>
          <w:rFonts w:ascii="Times New Roman" w:eastAsia="Calibri" w:hAnsi="Times New Roman" w:cs="Times New Roman"/>
          <w:sz w:val="24"/>
          <w:szCs w:val="24"/>
        </w:rPr>
        <w:fldChar w:fldCharType="end"/>
      </w:r>
      <w:r w:rsidRPr="00575C1F">
        <w:rPr>
          <w:rFonts w:ascii="Times New Roman" w:eastAsia="Calibri" w:hAnsi="Times New Roman" w:cs="Times New Roman"/>
          <w:sz w:val="24"/>
          <w:szCs w:val="24"/>
        </w:rPr>
        <w:t xml:space="preserve">Foreign Direct Investment by sector of activity (values ​​in billions of kwanzas)</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71"/>
        <w:gridCol w:w="1371"/>
        <w:gridCol w:w="1477"/>
        <w:gridCol w:w="1567"/>
        <w:gridCol w:w="1371"/>
      </w:tblGrid>
      <w:tr w:rsidR="005A0345" w:rsidRPr="00DA1F85" w14:paraId="2E5E3F2E" w14:textId="77777777" w:rsidTr="005A0345">
        <w:trPr>
          <w:trHeight w:val="311"/>
          <w:jc w:val="center"/>
        </w:trPr>
        <w:tc>
          <w:tcPr>
            <w:tcW w:w="800" w:type="pct"/>
          </w:tcPr>
          <w:p w14:paraId="1429270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Sector</w:t>
            </w:r>
          </w:p>
        </w:tc>
        <w:tc>
          <w:tcPr>
            <w:tcW w:w="803" w:type="pct"/>
          </w:tcPr>
          <w:p w14:paraId="09CA1327" w14:textId="222B7A89"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2018</w:t>
            </w:r>
          </w:p>
        </w:tc>
        <w:tc>
          <w:tcPr>
            <w:tcW w:w="803" w:type="pct"/>
          </w:tcPr>
          <w:p w14:paraId="284D8514" w14:textId="79089CE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2019</w:t>
            </w:r>
          </w:p>
        </w:tc>
        <w:tc>
          <w:tcPr>
            <w:tcW w:w="882" w:type="pct"/>
          </w:tcPr>
          <w:p w14:paraId="40F715CD" w14:textId="5A78408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2020</w:t>
            </w:r>
          </w:p>
        </w:tc>
        <w:tc>
          <w:tcPr>
            <w:tcW w:w="935" w:type="pct"/>
          </w:tcPr>
          <w:p w14:paraId="620C2287" w14:textId="52506990"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2021</w:t>
            </w:r>
          </w:p>
        </w:tc>
        <w:tc>
          <w:tcPr>
            <w:tcW w:w="777" w:type="pct"/>
          </w:tcPr>
          <w:p w14:paraId="069572B5" w14:textId="71EE9014"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2022</w:t>
            </w:r>
          </w:p>
        </w:tc>
      </w:tr>
      <w:tr w:rsidR="005A0345" w:rsidRPr="00DA1F85" w14:paraId="4FD5A365" w14:textId="77777777" w:rsidTr="005A0345">
        <w:trPr>
          <w:trHeight w:val="261"/>
          <w:jc w:val="center"/>
        </w:trPr>
        <w:tc>
          <w:tcPr>
            <w:tcW w:w="800" w:type="pct"/>
          </w:tcPr>
          <w:p w14:paraId="70AA8EB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Industry</w:t>
            </w:r>
          </w:p>
        </w:tc>
        <w:tc>
          <w:tcPr>
            <w:tcW w:w="803" w:type="pct"/>
          </w:tcPr>
          <w:p w14:paraId="5A32F05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283861251.9</w:t>
            </w:r>
          </w:p>
        </w:tc>
        <w:tc>
          <w:tcPr>
            <w:tcW w:w="803" w:type="pct"/>
          </w:tcPr>
          <w:p w14:paraId="6F3BAB1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750816745.9</w:t>
            </w:r>
          </w:p>
        </w:tc>
        <w:tc>
          <w:tcPr>
            <w:tcW w:w="882" w:type="pct"/>
          </w:tcPr>
          <w:p w14:paraId="5F1FC85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471925295.2</w:t>
            </w:r>
          </w:p>
        </w:tc>
        <w:tc>
          <w:tcPr>
            <w:tcW w:w="935" w:type="pct"/>
          </w:tcPr>
          <w:p w14:paraId="61552E3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1312753037</w:t>
            </w:r>
          </w:p>
        </w:tc>
        <w:tc>
          <w:tcPr>
            <w:tcW w:w="777" w:type="pct"/>
          </w:tcPr>
          <w:p w14:paraId="1BDB86F8"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4553178433</w:t>
            </w:r>
          </w:p>
        </w:tc>
      </w:tr>
      <w:tr w:rsidR="005A0345" w:rsidRPr="00DA1F85" w14:paraId="34FF7C01" w14:textId="77777777" w:rsidTr="005A0345">
        <w:trPr>
          <w:trHeight w:val="311"/>
          <w:jc w:val="center"/>
        </w:trPr>
        <w:tc>
          <w:tcPr>
            <w:tcW w:w="800" w:type="pct"/>
          </w:tcPr>
          <w:p w14:paraId="51EA489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Business</w:t>
            </w:r>
          </w:p>
        </w:tc>
        <w:tc>
          <w:tcPr>
            <w:tcW w:w="803" w:type="pct"/>
          </w:tcPr>
          <w:p w14:paraId="23EF75B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59153835.59</w:t>
            </w:r>
          </w:p>
        </w:tc>
        <w:tc>
          <w:tcPr>
            <w:tcW w:w="803" w:type="pct"/>
          </w:tcPr>
          <w:p w14:paraId="3484A5E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47242940.75</w:t>
            </w:r>
          </w:p>
        </w:tc>
        <w:tc>
          <w:tcPr>
            <w:tcW w:w="882" w:type="pct"/>
          </w:tcPr>
          <w:p w14:paraId="5FDE863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8131119.46</w:t>
            </w:r>
          </w:p>
        </w:tc>
        <w:tc>
          <w:tcPr>
            <w:tcW w:w="935" w:type="pct"/>
          </w:tcPr>
          <w:p w14:paraId="76D07F6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4564625.86</w:t>
            </w:r>
          </w:p>
        </w:tc>
        <w:tc>
          <w:tcPr>
            <w:tcW w:w="777" w:type="pct"/>
          </w:tcPr>
          <w:p w14:paraId="37B4FA9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401949.34</w:t>
            </w:r>
          </w:p>
        </w:tc>
      </w:tr>
      <w:tr w:rsidR="005A0345" w:rsidRPr="00DA1F85" w14:paraId="6F55BEBA" w14:textId="77777777" w:rsidTr="005A0345">
        <w:trPr>
          <w:trHeight w:val="311"/>
          <w:jc w:val="center"/>
        </w:trPr>
        <w:tc>
          <w:tcPr>
            <w:tcW w:w="800" w:type="pct"/>
          </w:tcPr>
          <w:p w14:paraId="48450ED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Agriculture</w:t>
            </w:r>
          </w:p>
        </w:tc>
        <w:tc>
          <w:tcPr>
            <w:tcW w:w="803" w:type="pct"/>
          </w:tcPr>
          <w:p w14:paraId="1C56940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116069298,8</w:t>
            </w:r>
          </w:p>
        </w:tc>
        <w:tc>
          <w:tcPr>
            <w:tcW w:w="803" w:type="pct"/>
          </w:tcPr>
          <w:p w14:paraId="4079FFE0"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29721372,28</w:t>
            </w:r>
          </w:p>
        </w:tc>
        <w:tc>
          <w:tcPr>
            <w:tcW w:w="882" w:type="pct"/>
          </w:tcPr>
          <w:p w14:paraId="235A0FB7"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55660554.26</w:t>
            </w:r>
          </w:p>
        </w:tc>
        <w:tc>
          <w:tcPr>
            <w:tcW w:w="935" w:type="pct"/>
          </w:tcPr>
          <w:p w14:paraId="5119A31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13718277.48</w:t>
            </w:r>
          </w:p>
        </w:tc>
        <w:tc>
          <w:tcPr>
            <w:tcW w:w="777" w:type="pct"/>
          </w:tcPr>
          <w:p w14:paraId="5F9196D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163520931,1</w:t>
            </w:r>
          </w:p>
        </w:tc>
      </w:tr>
      <w:tr w:rsidR="005A0345" w:rsidRPr="00DA1F85" w14:paraId="309387DC" w14:textId="77777777" w:rsidTr="005A0345">
        <w:trPr>
          <w:trHeight w:val="501"/>
          <w:jc w:val="center"/>
        </w:trPr>
        <w:tc>
          <w:tcPr>
            <w:tcW w:w="800" w:type="pct"/>
          </w:tcPr>
          <w:p w14:paraId="4782DDF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Payment</w:t>
            </w:r>
          </w:p>
        </w:tc>
        <w:tc>
          <w:tcPr>
            <w:tcW w:w="803" w:type="pct"/>
          </w:tcPr>
          <w:p w14:paraId="028ABC2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31932653.85</w:t>
            </w:r>
          </w:p>
        </w:tc>
        <w:tc>
          <w:tcPr>
            <w:tcW w:w="803" w:type="pct"/>
          </w:tcPr>
          <w:p w14:paraId="1F5FFE9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1162681473</w:t>
            </w:r>
          </w:p>
        </w:tc>
        <w:tc>
          <w:tcPr>
            <w:tcW w:w="882" w:type="pct"/>
          </w:tcPr>
          <w:p w14:paraId="40B63D4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40198549,45</w:t>
            </w:r>
          </w:p>
        </w:tc>
        <w:tc>
          <w:tcPr>
            <w:tcW w:w="935" w:type="pct"/>
          </w:tcPr>
          <w:p w14:paraId="2A59782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230009760.7</w:t>
            </w:r>
          </w:p>
        </w:tc>
        <w:tc>
          <w:tcPr>
            <w:tcW w:w="777" w:type="pct"/>
          </w:tcPr>
          <w:p w14:paraId="456436B5"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15226815.5</w:t>
            </w:r>
          </w:p>
        </w:tc>
      </w:tr>
      <w:tr w:rsidR="005A0345" w:rsidRPr="00DA1F85" w14:paraId="613E14E9" w14:textId="77777777" w:rsidTr="005A0345">
        <w:trPr>
          <w:trHeight w:val="311"/>
          <w:jc w:val="center"/>
        </w:trPr>
        <w:tc>
          <w:tcPr>
            <w:tcW w:w="800" w:type="pct"/>
          </w:tcPr>
          <w:p w14:paraId="26CFCF0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Fishing</w:t>
            </w:r>
          </w:p>
        </w:tc>
        <w:tc>
          <w:tcPr>
            <w:tcW w:w="803" w:type="pct"/>
          </w:tcPr>
          <w:p w14:paraId="0D46EE2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67124221</w:t>
            </w:r>
          </w:p>
        </w:tc>
        <w:tc>
          <w:tcPr>
            <w:tcW w:w="803" w:type="pct"/>
          </w:tcPr>
          <w:p w14:paraId="752C26FC"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7,000,000</w:t>
            </w:r>
          </w:p>
        </w:tc>
        <w:tc>
          <w:tcPr>
            <w:tcW w:w="882" w:type="pct"/>
          </w:tcPr>
          <w:p w14:paraId="39E08E4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57383167</w:t>
            </w:r>
          </w:p>
        </w:tc>
        <w:tc>
          <w:tcPr>
            <w:tcW w:w="935" w:type="pct"/>
          </w:tcPr>
          <w:p w14:paraId="76C00A7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3832814.85</w:t>
            </w:r>
          </w:p>
        </w:tc>
        <w:tc>
          <w:tcPr>
            <w:tcW w:w="777" w:type="pct"/>
          </w:tcPr>
          <w:p w14:paraId="405D958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17659624</w:t>
            </w:r>
          </w:p>
        </w:tc>
      </w:tr>
      <w:tr w:rsidR="005A0345" w:rsidRPr="00DA1F85" w14:paraId="26BA20C8" w14:textId="77777777" w:rsidTr="005A0345">
        <w:trPr>
          <w:trHeight w:val="311"/>
          <w:jc w:val="center"/>
        </w:trPr>
        <w:tc>
          <w:tcPr>
            <w:tcW w:w="800" w:type="pct"/>
          </w:tcPr>
          <w:p w14:paraId="25B529A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Hot. &amp; tur.</w:t>
            </w:r>
          </w:p>
        </w:tc>
        <w:tc>
          <w:tcPr>
            <w:tcW w:w="803" w:type="pct"/>
          </w:tcPr>
          <w:p w14:paraId="320CB56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4298051.62</w:t>
            </w:r>
          </w:p>
        </w:tc>
        <w:tc>
          <w:tcPr>
            <w:tcW w:w="803" w:type="pct"/>
          </w:tcPr>
          <w:p w14:paraId="2C98FFCC"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12500000</w:t>
            </w:r>
          </w:p>
        </w:tc>
        <w:tc>
          <w:tcPr>
            <w:tcW w:w="882" w:type="pct"/>
          </w:tcPr>
          <w:p w14:paraId="049A0FD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14048818</w:t>
            </w:r>
          </w:p>
        </w:tc>
        <w:tc>
          <w:tcPr>
            <w:tcW w:w="935" w:type="pct"/>
          </w:tcPr>
          <w:p w14:paraId="255ED06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340000</w:t>
            </w:r>
          </w:p>
        </w:tc>
        <w:tc>
          <w:tcPr>
            <w:tcW w:w="777" w:type="pct"/>
          </w:tcPr>
          <w:p w14:paraId="416DA75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45404494.06</w:t>
            </w:r>
          </w:p>
        </w:tc>
      </w:tr>
      <w:tr w:rsidR="005A0345" w:rsidRPr="00DA1F85" w14:paraId="67B44193" w14:textId="77777777" w:rsidTr="005A0345">
        <w:trPr>
          <w:trHeight w:val="311"/>
          <w:jc w:val="center"/>
        </w:trPr>
        <w:tc>
          <w:tcPr>
            <w:tcW w:w="800" w:type="pct"/>
          </w:tcPr>
          <w:p w14:paraId="4D88608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Health</w:t>
            </w:r>
          </w:p>
        </w:tc>
        <w:tc>
          <w:tcPr>
            <w:tcW w:w="803" w:type="pct"/>
          </w:tcPr>
          <w:p w14:paraId="03EB62D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10000000</w:t>
            </w:r>
          </w:p>
        </w:tc>
        <w:tc>
          <w:tcPr>
            <w:tcW w:w="803" w:type="pct"/>
          </w:tcPr>
          <w:p w14:paraId="783BEFD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2E6C7F6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935" w:type="pct"/>
          </w:tcPr>
          <w:p w14:paraId="1360F8D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777" w:type="pct"/>
          </w:tcPr>
          <w:p w14:paraId="0A367F0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661135085</w:t>
            </w:r>
          </w:p>
        </w:tc>
      </w:tr>
      <w:tr w:rsidR="005A0345" w:rsidRPr="00DA1F85" w14:paraId="37400909" w14:textId="77777777" w:rsidTr="005A0345">
        <w:trPr>
          <w:trHeight w:val="311"/>
          <w:jc w:val="center"/>
        </w:trPr>
        <w:tc>
          <w:tcPr>
            <w:tcW w:w="800" w:type="pct"/>
          </w:tcPr>
          <w:p w14:paraId="0944A548"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Education</w:t>
            </w:r>
          </w:p>
        </w:tc>
        <w:tc>
          <w:tcPr>
            <w:tcW w:w="803" w:type="pct"/>
          </w:tcPr>
          <w:p w14:paraId="29857ED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10000000</w:t>
            </w:r>
          </w:p>
        </w:tc>
        <w:tc>
          <w:tcPr>
            <w:tcW w:w="803" w:type="pct"/>
          </w:tcPr>
          <w:p w14:paraId="015EF298"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19347500</w:t>
            </w:r>
          </w:p>
        </w:tc>
        <w:tc>
          <w:tcPr>
            <w:tcW w:w="882" w:type="pct"/>
          </w:tcPr>
          <w:p w14:paraId="328D5C7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935" w:type="pct"/>
          </w:tcPr>
          <w:p w14:paraId="7420A08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777" w:type="pct"/>
          </w:tcPr>
          <w:p w14:paraId="22BC922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r>
      <w:tr w:rsidR="005A0345" w:rsidRPr="00DA1F85" w14:paraId="4CDAD8B5" w14:textId="77777777" w:rsidTr="005A0345">
        <w:trPr>
          <w:trHeight w:val="311"/>
          <w:jc w:val="center"/>
        </w:trPr>
        <w:tc>
          <w:tcPr>
            <w:tcW w:w="800" w:type="pct"/>
          </w:tcPr>
          <w:p w14:paraId="2EA76574" w14:textId="681A3624"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Construction</w:t>
            </w:r>
          </w:p>
        </w:tc>
        <w:tc>
          <w:tcPr>
            <w:tcW w:w="803" w:type="pct"/>
          </w:tcPr>
          <w:p w14:paraId="66EBDC0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0165881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5711202.8</w:t>
            </w:r>
          </w:p>
        </w:tc>
        <w:tc>
          <w:tcPr>
            <w:tcW w:w="882" w:type="pct"/>
          </w:tcPr>
          <w:p w14:paraId="2F2271A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150000</w:t>
            </w:r>
          </w:p>
        </w:tc>
        <w:tc>
          <w:tcPr>
            <w:tcW w:w="935" w:type="pct"/>
          </w:tcPr>
          <w:p w14:paraId="576F26A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198000</w:t>
            </w:r>
          </w:p>
        </w:tc>
        <w:tc>
          <w:tcPr>
            <w:tcW w:w="777" w:type="pct"/>
          </w:tcPr>
          <w:p w14:paraId="5E2BAEB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11246000</w:t>
            </w:r>
          </w:p>
        </w:tc>
      </w:tr>
      <w:tr w:rsidR="005A0345" w:rsidRPr="00DA1F85" w14:paraId="5A3DBA91" w14:textId="77777777" w:rsidTr="005A0345">
        <w:trPr>
          <w:trHeight w:val="311"/>
          <w:jc w:val="center"/>
        </w:trPr>
        <w:tc>
          <w:tcPr>
            <w:tcW w:w="800" w:type="pct"/>
          </w:tcPr>
          <w:p w14:paraId="02B86802"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Telecom.</w:t>
            </w:r>
          </w:p>
        </w:tc>
        <w:tc>
          <w:tcPr>
            <w:tcW w:w="803" w:type="pct"/>
          </w:tcPr>
          <w:p w14:paraId="777AB67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39B60337"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16A6309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31260215.54</w:t>
            </w:r>
          </w:p>
        </w:tc>
        <w:tc>
          <w:tcPr>
            <w:tcW w:w="935" w:type="pct"/>
          </w:tcPr>
          <w:p w14:paraId="00A3FCDC"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281000000</w:t>
            </w:r>
          </w:p>
        </w:tc>
        <w:tc>
          <w:tcPr>
            <w:tcW w:w="777" w:type="pct"/>
          </w:tcPr>
          <w:p w14:paraId="2E284722"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r>
      <w:tr w:rsidR="005A0345" w:rsidRPr="00DA1F85" w14:paraId="6DE28647" w14:textId="77777777" w:rsidTr="005A0345">
        <w:trPr>
          <w:trHeight w:val="311"/>
          <w:jc w:val="center"/>
        </w:trPr>
        <w:tc>
          <w:tcPr>
            <w:tcW w:w="800" w:type="pct"/>
          </w:tcPr>
          <w:p w14:paraId="0D2B4281" w14:textId="4855F380"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Financial</w:t>
            </w:r>
          </w:p>
        </w:tc>
        <w:tc>
          <w:tcPr>
            <w:tcW w:w="803" w:type="pct"/>
          </w:tcPr>
          <w:p w14:paraId="4FA3075C"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3C5E2C9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03E254DC"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42616633.63</w:t>
            </w:r>
          </w:p>
        </w:tc>
        <w:tc>
          <w:tcPr>
            <w:tcW w:w="935" w:type="pct"/>
          </w:tcPr>
          <w:p w14:paraId="1CDE3CE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5,000,000</w:t>
            </w:r>
          </w:p>
        </w:tc>
        <w:tc>
          <w:tcPr>
            <w:tcW w:w="777" w:type="pct"/>
          </w:tcPr>
          <w:p w14:paraId="14D2967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5,000,000</w:t>
            </w:r>
          </w:p>
        </w:tc>
      </w:tr>
      <w:tr w:rsidR="005A0345" w:rsidRPr="00DA1F85" w14:paraId="3BCC2F34" w14:textId="77777777" w:rsidTr="005A0345">
        <w:trPr>
          <w:trHeight w:val="311"/>
          <w:jc w:val="center"/>
        </w:trPr>
        <w:tc>
          <w:tcPr>
            <w:tcW w:w="800" w:type="pct"/>
          </w:tcPr>
          <w:p w14:paraId="26463D18" w14:textId="1A9CF56A"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Non-Financial</w:t>
            </w:r>
          </w:p>
        </w:tc>
        <w:tc>
          <w:tcPr>
            <w:tcW w:w="803" w:type="pct"/>
          </w:tcPr>
          <w:p w14:paraId="6FA2796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4717C998"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769DA528" w14:textId="509BEC0D"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935" w:type="pct"/>
          </w:tcPr>
          <w:p w14:paraId="18D5E0A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777" w:type="pct"/>
          </w:tcPr>
          <w:p w14:paraId="60190B1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r>
      <w:tr w:rsidR="005A0345" w:rsidRPr="00DA1F85" w14:paraId="54264383" w14:textId="77777777" w:rsidTr="005A0345">
        <w:trPr>
          <w:trHeight w:val="311"/>
          <w:jc w:val="center"/>
        </w:trPr>
        <w:tc>
          <w:tcPr>
            <w:tcW w:w="800" w:type="pct"/>
          </w:tcPr>
          <w:p w14:paraId="233BA54D"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miner</w:t>
            </w:r>
          </w:p>
        </w:tc>
        <w:tc>
          <w:tcPr>
            <w:tcW w:w="803" w:type="pct"/>
          </w:tcPr>
          <w:p w14:paraId="4241326B"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5A381C98"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35ADD85F"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208900000</w:t>
            </w:r>
          </w:p>
        </w:tc>
        <w:tc>
          <w:tcPr>
            <w:tcW w:w="935" w:type="pct"/>
          </w:tcPr>
          <w:p w14:paraId="69529697"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34011726.68</w:t>
            </w:r>
          </w:p>
        </w:tc>
        <w:tc>
          <w:tcPr>
            <w:tcW w:w="777" w:type="pct"/>
          </w:tcPr>
          <w:p w14:paraId="20681625"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4,700,000</w:t>
            </w:r>
          </w:p>
        </w:tc>
      </w:tr>
      <w:tr w:rsidR="005A0345" w:rsidRPr="00DA1F85" w14:paraId="73C322EA" w14:textId="77777777" w:rsidTr="005A0345">
        <w:trPr>
          <w:trHeight w:val="311"/>
          <w:jc w:val="center"/>
        </w:trPr>
        <w:tc>
          <w:tcPr>
            <w:tcW w:w="800" w:type="pct"/>
          </w:tcPr>
          <w:p w14:paraId="5AF8C9A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Energy</w:t>
            </w:r>
          </w:p>
        </w:tc>
        <w:tc>
          <w:tcPr>
            <w:tcW w:w="803" w:type="pct"/>
          </w:tcPr>
          <w:p w14:paraId="155D46C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03" w:type="pct"/>
          </w:tcPr>
          <w:p w14:paraId="36709609"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882" w:type="pct"/>
          </w:tcPr>
          <w:p w14:paraId="1838A007" w14:textId="08BB9AEC"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935" w:type="pct"/>
          </w:tcPr>
          <w:p w14:paraId="4F5FEE54"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0</w:t>
            </w:r>
          </w:p>
        </w:tc>
        <w:tc>
          <w:tcPr>
            <w:tcW w:w="777" w:type="pct"/>
          </w:tcPr>
          <w:p w14:paraId="2E46F8CA"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46000000</w:t>
            </w:r>
          </w:p>
        </w:tc>
      </w:tr>
      <w:tr w:rsidR="005A0345" w:rsidRPr="00DA1F85" w14:paraId="2DEAE0FA" w14:textId="77777777" w:rsidTr="005A0345">
        <w:trPr>
          <w:trHeight w:val="297"/>
          <w:jc w:val="center"/>
        </w:trPr>
        <w:tc>
          <w:tcPr>
            <w:tcW w:w="800" w:type="pct"/>
          </w:tcPr>
          <w:p w14:paraId="201F5A6E"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TOTAL</w:t>
            </w:r>
          </w:p>
        </w:tc>
        <w:tc>
          <w:tcPr>
            <w:tcW w:w="803" w:type="pct"/>
          </w:tcPr>
          <w:p w14:paraId="6DDCE555"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582439312.8</w:t>
            </w:r>
          </w:p>
        </w:tc>
        <w:tc>
          <w:tcPr>
            <w:tcW w:w="803" w:type="pct"/>
          </w:tcPr>
          <w:p w14:paraId="4E56D0A2"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2055021234</w:t>
            </w:r>
          </w:p>
        </w:tc>
        <w:tc>
          <w:tcPr>
            <w:tcW w:w="882" w:type="pct"/>
          </w:tcPr>
          <w:p w14:paraId="738EC046"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930274352.6</w:t>
            </w:r>
          </w:p>
        </w:tc>
        <w:tc>
          <w:tcPr>
            <w:tcW w:w="935" w:type="pct"/>
          </w:tcPr>
          <w:p w14:paraId="46732D13"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193042824</w:t>
            </w:r>
          </w:p>
        </w:tc>
        <w:tc>
          <w:tcPr>
            <w:tcW w:w="777" w:type="pct"/>
          </w:tcPr>
          <w:p w14:paraId="4B94FE41" w14:textId="77777777" w:rsidR="00035D7E" w:rsidRPr="00DA1F85" w:rsidRDefault="00035D7E" w:rsidP="00DA1F85">
            <w:pPr>
              <w:pStyle w:val="SemEspaamento"/>
              <w:jc w:val="center"/>
              <w:rPr>
                <w:rFonts w:ascii="Times New Roman" w:hAnsi="Times New Roman" w:cs="Times New Roman"/>
                <w:lang w:val="pt-BR" w:eastAsia="pt-PT"/>
              </w:rPr>
            </w:pPr>
            <w:r w:rsidRPr="00DA1F85">
              <w:rPr>
                <w:rFonts w:ascii="Times New Roman" w:hAnsi="Times New Roman" w:cs="Times New Roman"/>
                <w:lang w:val="pt-BR" w:eastAsia="pt-PT"/>
              </w:rPr>
              <w:t>5609473332</w:t>
            </w:r>
          </w:p>
        </w:tc>
      </w:tr>
    </w:tbl>
    <w:p w14:paraId="26C596BC" w14:textId="77777777" w:rsidR="00035D7E" w:rsidRPr="00575C1F" w:rsidRDefault="00035D7E" w:rsidP="00035D7E">
      <w:pPr>
        <w:shd w:val="clear" w:color="auto" w:fill="FFFFFF"/>
        <w:spacing w:after="0" w:line="360" w:lineRule="auto"/>
        <w:jc w:val="both"/>
        <w:rPr>
          <w:rFonts w:ascii="Times New Roman" w:eastAsia="Times New Roman" w:hAnsi="Times New Roman" w:cs="Times New Roman"/>
          <w:bCs/>
          <w:kern w:val="0"/>
          <w:sz w:val="24"/>
          <w:szCs w:val="24"/>
          <w:lang w:val="pt-BR" w:eastAsia="pt-PT"/>
          <w14:ligatures w14:val="none"/>
        </w:rPr>
      </w:pPr>
      <w:r w:rsidRPr="00575C1F">
        <w:rPr>
          <w:rFonts w:ascii="Times New Roman" w:eastAsia="Times New Roman" w:hAnsi="Times New Roman" w:cs="Times New Roman"/>
          <w:bCs/>
          <w:kern w:val="0"/>
          <w:sz w:val="24"/>
          <w:szCs w:val="24"/>
          <w:lang w:val="pt-BR" w:eastAsia="pt-PT"/>
          <w14:ligatures w14:val="none"/>
        </w:rPr>
        <w:t>Source: AIPIEX</w:t>
      </w:r>
    </w:p>
    <w:p w14:paraId="1E0A7200" w14:textId="77777777"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lastRenderedPageBreak/>
        <w:t xml:space="preserve">Globally, there was a significant increase in FDI pre-pandemic (2018-2019), with growth of 1,472,581,921.2 billion kwanzas. However, in 2021 FDI fell drastically to 193,042,824 billion kwanzas, reflecting the global economic impacts of the pandemic and the contraction of international capital flows (UNCTAD, 2021).</w:t>
      </w:r>
    </w:p>
    <w:p w14:paraId="00D7FAF4" w14:textId="77777777" w:rsidR="004B5E99" w:rsidRPr="00634FD7" w:rsidRDefault="004B5E99" w:rsidP="004B5E9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On the other hand, social sectors such as health and education received sporadic investments, without significant continuity. For example, health saw inflows in 2018 and 2022, but none in the intervening years, demonstrating the weakness in attracting foreign capital to services essential for social inclusion. As Cuesta (2020) emphasizes, the sustainability of development in Africa depends on channeling FDI into areas that promote social well-being and not just economic return.</w:t>
      </w:r>
    </w:p>
    <w:p w14:paraId="11C42FD6" w14:textId="77777777" w:rsidR="00035D7E" w:rsidRPr="008C694C" w:rsidRDefault="00035D7E" w:rsidP="00035D7E">
      <w:pPr>
        <w:spacing w:after="200" w:line="240" w:lineRule="auto"/>
        <w:jc w:val="both"/>
        <w:rPr>
          <w:rFonts w:ascii="Times New Roman" w:eastAsia="Times New Roman" w:hAnsi="Times New Roman" w:cs="Times New Roman"/>
          <w:kern w:val="0"/>
          <w:sz w:val="24"/>
          <w:szCs w:val="24"/>
          <w:lang w:val="pt-BR" w:eastAsia="pt-PT"/>
          <w14:ligatures w14:val="none"/>
        </w:rPr>
      </w:pPr>
      <w:bookmarkStart w:id="2" w:name="_Toc193051435"/>
      <w:r w:rsidRPr="008C694C">
        <w:rPr>
          <w:rFonts w:ascii="Times New Roman" w:eastAsia="Calibri" w:hAnsi="Times New Roman" w:cs="Times New Roman"/>
          <w:sz w:val="24"/>
          <w:szCs w:val="24"/>
        </w:rPr>
        <w:t xml:space="preserve">Table</w:t>
      </w:r>
      <w:r w:rsidRPr="008C694C">
        <w:rPr>
          <w:rFonts w:ascii="Times New Roman" w:eastAsia="Calibri" w:hAnsi="Times New Roman" w:cs="Times New Roman"/>
          <w:sz w:val="24"/>
          <w:szCs w:val="24"/>
        </w:rPr>
        <w:fldChar w:fldCharType="begin"/>
      </w:r>
      <w:r w:rsidRPr="008C694C">
        <w:rPr>
          <w:rFonts w:ascii="Times New Roman" w:eastAsia="Calibri" w:hAnsi="Times New Roman" w:cs="Times New Roman"/>
          <w:sz w:val="24"/>
          <w:szCs w:val="24"/>
        </w:rPr>
        <w:instrText xml:space="preserve"> SEQ Tabela \* ROMAN </w:instrText>
      </w:r>
      <w:r w:rsidRPr="008C694C">
        <w:rPr>
          <w:rFonts w:ascii="Times New Roman" w:eastAsia="Calibri" w:hAnsi="Times New Roman" w:cs="Times New Roman"/>
          <w:sz w:val="24"/>
          <w:szCs w:val="24"/>
        </w:rPr>
        <w:fldChar w:fldCharType="separate"/>
      </w:r>
      <w:r w:rsidRPr="008C694C">
        <w:rPr>
          <w:rFonts w:ascii="Times New Roman" w:eastAsia="Calibri" w:hAnsi="Times New Roman" w:cs="Times New Roman"/>
          <w:noProof/>
          <w:sz w:val="24"/>
          <w:szCs w:val="24"/>
        </w:rPr>
        <w:t>II</w:t>
      </w:r>
      <w:r w:rsidRPr="008C694C">
        <w:rPr>
          <w:rFonts w:ascii="Times New Roman" w:eastAsia="Calibri" w:hAnsi="Times New Roman" w:cs="Times New Roman"/>
          <w:sz w:val="24"/>
          <w:szCs w:val="24"/>
        </w:rPr>
        <w:fldChar w:fldCharType="end"/>
      </w:r>
      <w:r w:rsidRPr="008C694C">
        <w:rPr>
          <w:rFonts w:ascii="Times New Roman" w:eastAsia="Calibri" w:hAnsi="Times New Roman" w:cs="Times New Roman"/>
          <w:sz w:val="24"/>
          <w:szCs w:val="24"/>
        </w:rPr>
        <w:t xml:space="preserve">- FDI by Province during the period 2018 – 2022 (Billions of kwanzas)</w:t>
      </w:r>
      <w:bookmarkEnd w:id="2"/>
    </w:p>
    <w:tbl>
      <w:tblPr>
        <w:tblStyle w:val="TabelaSimples21"/>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32"/>
        <w:gridCol w:w="1401"/>
        <w:gridCol w:w="1529"/>
        <w:gridCol w:w="1401"/>
        <w:gridCol w:w="1656"/>
      </w:tblGrid>
      <w:tr w:rsidR="00035D7E" w:rsidRPr="008C694C" w14:paraId="746C0CC6" w14:textId="77777777" w:rsidTr="004B5E99">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bottom w:val="none" w:sz="0" w:space="0" w:color="auto"/>
            </w:tcBorders>
            <w:noWrap/>
            <w:hideMark/>
          </w:tcPr>
          <w:p w14:paraId="2E6BE34F"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Provinces</w:t>
            </w:r>
          </w:p>
        </w:tc>
        <w:tc>
          <w:tcPr>
            <w:tcW w:w="1432" w:type="dxa"/>
            <w:tcBorders>
              <w:bottom w:val="none" w:sz="0" w:space="0" w:color="auto"/>
            </w:tcBorders>
            <w:noWrap/>
            <w:hideMark/>
          </w:tcPr>
          <w:p w14:paraId="7BFC1ADF" w14:textId="77777777" w:rsidR="00035D7E" w:rsidRPr="004F7DD2" w:rsidRDefault="00035D7E" w:rsidP="004F7DD2">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F7DD2">
              <w:rPr>
                <w:rFonts w:ascii="Times New Roman" w:hAnsi="Times New Roman" w:cs="Times New Roman"/>
                <w:b w:val="0"/>
                <w:bCs w:val="0"/>
              </w:rPr>
              <w:t>2018</w:t>
            </w:r>
          </w:p>
        </w:tc>
        <w:tc>
          <w:tcPr>
            <w:tcW w:w="1401" w:type="dxa"/>
            <w:tcBorders>
              <w:bottom w:val="none" w:sz="0" w:space="0" w:color="auto"/>
            </w:tcBorders>
            <w:noWrap/>
            <w:hideMark/>
          </w:tcPr>
          <w:p w14:paraId="119FE0AA" w14:textId="77777777" w:rsidR="00035D7E" w:rsidRPr="004F7DD2" w:rsidRDefault="00035D7E" w:rsidP="004F7DD2">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F7DD2">
              <w:rPr>
                <w:rFonts w:ascii="Times New Roman" w:hAnsi="Times New Roman" w:cs="Times New Roman"/>
                <w:b w:val="0"/>
                <w:bCs w:val="0"/>
              </w:rPr>
              <w:t>2019</w:t>
            </w:r>
          </w:p>
        </w:tc>
        <w:tc>
          <w:tcPr>
            <w:tcW w:w="1529" w:type="dxa"/>
            <w:tcBorders>
              <w:bottom w:val="none" w:sz="0" w:space="0" w:color="auto"/>
            </w:tcBorders>
            <w:noWrap/>
            <w:hideMark/>
          </w:tcPr>
          <w:p w14:paraId="3D7A92C7" w14:textId="77777777" w:rsidR="00035D7E" w:rsidRPr="004F7DD2" w:rsidRDefault="00035D7E" w:rsidP="004F7DD2">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F7DD2">
              <w:rPr>
                <w:rFonts w:ascii="Times New Roman" w:hAnsi="Times New Roman" w:cs="Times New Roman"/>
                <w:b w:val="0"/>
                <w:bCs w:val="0"/>
              </w:rPr>
              <w:t>2020</w:t>
            </w:r>
          </w:p>
        </w:tc>
        <w:tc>
          <w:tcPr>
            <w:tcW w:w="1401" w:type="dxa"/>
            <w:tcBorders>
              <w:bottom w:val="none" w:sz="0" w:space="0" w:color="auto"/>
            </w:tcBorders>
            <w:noWrap/>
            <w:hideMark/>
          </w:tcPr>
          <w:p w14:paraId="225DBEE7" w14:textId="77777777" w:rsidR="00035D7E" w:rsidRPr="004F7DD2" w:rsidRDefault="00035D7E" w:rsidP="004F7DD2">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F7DD2">
              <w:rPr>
                <w:rFonts w:ascii="Times New Roman" w:hAnsi="Times New Roman" w:cs="Times New Roman"/>
                <w:b w:val="0"/>
                <w:bCs w:val="0"/>
              </w:rPr>
              <w:t>2021</w:t>
            </w:r>
          </w:p>
        </w:tc>
        <w:tc>
          <w:tcPr>
            <w:tcW w:w="1656" w:type="dxa"/>
            <w:tcBorders>
              <w:bottom w:val="none" w:sz="0" w:space="0" w:color="auto"/>
            </w:tcBorders>
            <w:noWrap/>
            <w:hideMark/>
          </w:tcPr>
          <w:p w14:paraId="017158E5" w14:textId="77777777" w:rsidR="00035D7E" w:rsidRPr="004F7DD2" w:rsidRDefault="00035D7E" w:rsidP="004F7DD2">
            <w:pPr>
              <w:pStyle w:val="SemEspaamen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F7DD2">
              <w:rPr>
                <w:rFonts w:ascii="Times New Roman" w:hAnsi="Times New Roman" w:cs="Times New Roman"/>
                <w:b w:val="0"/>
                <w:bCs w:val="0"/>
              </w:rPr>
              <w:t>2022</w:t>
            </w:r>
          </w:p>
        </w:tc>
      </w:tr>
      <w:tr w:rsidR="00035D7E" w:rsidRPr="008C694C" w14:paraId="5C4690F8"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703301FD"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Luanda</w:t>
            </w:r>
          </w:p>
        </w:tc>
        <w:tc>
          <w:tcPr>
            <w:tcW w:w="1432" w:type="dxa"/>
            <w:tcBorders>
              <w:top w:val="none" w:sz="0" w:space="0" w:color="auto"/>
              <w:bottom w:val="none" w:sz="0" w:space="0" w:color="auto"/>
            </w:tcBorders>
            <w:noWrap/>
            <w:hideMark/>
          </w:tcPr>
          <w:p w14:paraId="6FE0283D"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269,975,570.55</w:t>
            </w:r>
          </w:p>
        </w:tc>
        <w:tc>
          <w:tcPr>
            <w:tcW w:w="1401" w:type="dxa"/>
            <w:tcBorders>
              <w:top w:val="none" w:sz="0" w:space="0" w:color="auto"/>
              <w:bottom w:val="none" w:sz="0" w:space="0" w:color="auto"/>
            </w:tcBorders>
            <w:noWrap/>
            <w:hideMark/>
          </w:tcPr>
          <w:p w14:paraId="0574AA91"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1,280,106,952.88</w:t>
            </w:r>
          </w:p>
        </w:tc>
        <w:tc>
          <w:tcPr>
            <w:tcW w:w="1529" w:type="dxa"/>
            <w:tcBorders>
              <w:top w:val="none" w:sz="0" w:space="0" w:color="auto"/>
              <w:bottom w:val="none" w:sz="0" w:space="0" w:color="auto"/>
            </w:tcBorders>
            <w:noWrap/>
            <w:hideMark/>
          </w:tcPr>
          <w:p w14:paraId="67C040A2"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337 932 987.30</w:t>
            </w:r>
          </w:p>
        </w:tc>
        <w:tc>
          <w:tcPr>
            <w:tcW w:w="1401" w:type="dxa"/>
            <w:tcBorders>
              <w:top w:val="none" w:sz="0" w:space="0" w:color="auto"/>
              <w:bottom w:val="none" w:sz="0" w:space="0" w:color="auto"/>
            </w:tcBorders>
            <w:noWrap/>
            <w:hideMark/>
          </w:tcPr>
          <w:p w14:paraId="557C7D63"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543 429 058,01</w:t>
            </w:r>
          </w:p>
        </w:tc>
        <w:tc>
          <w:tcPr>
            <w:tcW w:w="1656" w:type="dxa"/>
            <w:tcBorders>
              <w:top w:val="none" w:sz="0" w:space="0" w:color="auto"/>
              <w:bottom w:val="none" w:sz="0" w:space="0" w:color="auto"/>
            </w:tcBorders>
            <w:noWrap/>
            <w:hideMark/>
          </w:tcPr>
          <w:p w14:paraId="23E32671"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602 211 295.32</w:t>
            </w:r>
          </w:p>
        </w:tc>
      </w:tr>
      <w:tr w:rsidR="00035D7E" w:rsidRPr="008C694C" w14:paraId="00776D0F"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1A3464B8"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Bengo</w:t>
            </w:r>
          </w:p>
        </w:tc>
        <w:tc>
          <w:tcPr>
            <w:tcW w:w="1432" w:type="dxa"/>
            <w:noWrap/>
            <w:hideMark/>
          </w:tcPr>
          <w:p w14:paraId="6708AC8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57,691,913.29</w:t>
            </w:r>
          </w:p>
        </w:tc>
        <w:tc>
          <w:tcPr>
            <w:tcW w:w="1401" w:type="dxa"/>
            <w:noWrap/>
            <w:hideMark/>
          </w:tcPr>
          <w:p w14:paraId="52CF8E09"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550,000.00</w:t>
            </w:r>
          </w:p>
        </w:tc>
        <w:tc>
          <w:tcPr>
            <w:tcW w:w="1529" w:type="dxa"/>
            <w:noWrap/>
            <w:hideMark/>
          </w:tcPr>
          <w:p w14:paraId="7F88C4AF"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42 088 216,00</w:t>
            </w:r>
          </w:p>
        </w:tc>
        <w:tc>
          <w:tcPr>
            <w:tcW w:w="1401" w:type="dxa"/>
            <w:noWrap/>
            <w:hideMark/>
          </w:tcPr>
          <w:p w14:paraId="3CEE7079"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49,228,530.00</w:t>
            </w:r>
          </w:p>
        </w:tc>
        <w:tc>
          <w:tcPr>
            <w:tcW w:w="1656" w:type="dxa"/>
            <w:noWrap/>
            <w:hideMark/>
          </w:tcPr>
          <w:p w14:paraId="225DB86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802 685 085,00</w:t>
            </w:r>
          </w:p>
        </w:tc>
      </w:tr>
      <w:tr w:rsidR="00035D7E" w:rsidRPr="008C694C" w14:paraId="46586F70"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009F89AE"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Benguela</w:t>
            </w:r>
          </w:p>
        </w:tc>
        <w:tc>
          <w:tcPr>
            <w:tcW w:w="1432" w:type="dxa"/>
            <w:tcBorders>
              <w:top w:val="none" w:sz="0" w:space="0" w:color="auto"/>
              <w:bottom w:val="none" w:sz="0" w:space="0" w:color="auto"/>
            </w:tcBorders>
            <w:noWrap/>
            <w:hideMark/>
          </w:tcPr>
          <w:p w14:paraId="037198A8"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20 905 171,00</w:t>
            </w:r>
          </w:p>
        </w:tc>
        <w:tc>
          <w:tcPr>
            <w:tcW w:w="1401" w:type="dxa"/>
            <w:tcBorders>
              <w:top w:val="none" w:sz="0" w:space="0" w:color="auto"/>
              <w:bottom w:val="none" w:sz="0" w:space="0" w:color="auto"/>
            </w:tcBorders>
            <w:noWrap/>
            <w:hideMark/>
          </w:tcPr>
          <w:p w14:paraId="37FA05BC"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526 218 864.70</w:t>
            </w:r>
          </w:p>
        </w:tc>
        <w:tc>
          <w:tcPr>
            <w:tcW w:w="1529" w:type="dxa"/>
            <w:tcBorders>
              <w:top w:val="none" w:sz="0" w:space="0" w:color="auto"/>
              <w:bottom w:val="none" w:sz="0" w:space="0" w:color="auto"/>
            </w:tcBorders>
            <w:noWrap/>
            <w:hideMark/>
          </w:tcPr>
          <w:p w14:paraId="0DBADE4E"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24,188,495.27</w:t>
            </w:r>
          </w:p>
        </w:tc>
        <w:tc>
          <w:tcPr>
            <w:tcW w:w="1401" w:type="dxa"/>
            <w:tcBorders>
              <w:top w:val="none" w:sz="0" w:space="0" w:color="auto"/>
              <w:bottom w:val="none" w:sz="0" w:space="0" w:color="auto"/>
            </w:tcBorders>
            <w:noWrap/>
            <w:hideMark/>
          </w:tcPr>
          <w:p w14:paraId="54EF0B02"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1,500,000.00</w:t>
            </w:r>
          </w:p>
        </w:tc>
        <w:tc>
          <w:tcPr>
            <w:tcW w:w="1656" w:type="dxa"/>
            <w:tcBorders>
              <w:top w:val="none" w:sz="0" w:space="0" w:color="auto"/>
              <w:bottom w:val="none" w:sz="0" w:space="0" w:color="auto"/>
            </w:tcBorders>
            <w:noWrap/>
            <w:hideMark/>
          </w:tcPr>
          <w:p w14:paraId="7186402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162,783,819.00</w:t>
            </w:r>
          </w:p>
        </w:tc>
      </w:tr>
      <w:tr w:rsidR="00035D7E" w:rsidRPr="008C694C" w14:paraId="41F7FAC8"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49B7EFFB"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Huambo</w:t>
            </w:r>
          </w:p>
        </w:tc>
        <w:tc>
          <w:tcPr>
            <w:tcW w:w="1432" w:type="dxa"/>
            <w:noWrap/>
            <w:hideMark/>
          </w:tcPr>
          <w:p w14:paraId="307E5749"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12,884,567.43</w:t>
            </w:r>
          </w:p>
        </w:tc>
        <w:tc>
          <w:tcPr>
            <w:tcW w:w="1401" w:type="dxa"/>
            <w:noWrap/>
            <w:hideMark/>
          </w:tcPr>
          <w:p w14:paraId="79E762F5"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3CCC503C"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052ED1C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444,916.00</w:t>
            </w:r>
          </w:p>
        </w:tc>
        <w:tc>
          <w:tcPr>
            <w:tcW w:w="1656" w:type="dxa"/>
            <w:noWrap/>
            <w:hideMark/>
          </w:tcPr>
          <w:p w14:paraId="7031CFA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30,000.00</w:t>
            </w:r>
          </w:p>
        </w:tc>
      </w:tr>
      <w:tr w:rsidR="00035D7E" w:rsidRPr="008C694C" w14:paraId="1D2EBC9A"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615C9EA6"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Huíla</w:t>
            </w:r>
          </w:p>
        </w:tc>
        <w:tc>
          <w:tcPr>
            <w:tcW w:w="1432" w:type="dxa"/>
            <w:tcBorders>
              <w:top w:val="none" w:sz="0" w:space="0" w:color="auto"/>
              <w:bottom w:val="none" w:sz="0" w:space="0" w:color="auto"/>
            </w:tcBorders>
            <w:noWrap/>
            <w:hideMark/>
          </w:tcPr>
          <w:p w14:paraId="393F37E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6,914,720.00</w:t>
            </w:r>
          </w:p>
        </w:tc>
        <w:tc>
          <w:tcPr>
            <w:tcW w:w="1401" w:type="dxa"/>
            <w:tcBorders>
              <w:top w:val="none" w:sz="0" w:space="0" w:color="auto"/>
              <w:bottom w:val="none" w:sz="0" w:space="0" w:color="auto"/>
            </w:tcBorders>
            <w:noWrap/>
            <w:hideMark/>
          </w:tcPr>
          <w:p w14:paraId="4950341E"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38,867,128.34</w:t>
            </w:r>
          </w:p>
        </w:tc>
        <w:tc>
          <w:tcPr>
            <w:tcW w:w="1529" w:type="dxa"/>
            <w:tcBorders>
              <w:top w:val="none" w:sz="0" w:space="0" w:color="auto"/>
              <w:bottom w:val="none" w:sz="0" w:space="0" w:color="auto"/>
            </w:tcBorders>
            <w:noWrap/>
            <w:hideMark/>
          </w:tcPr>
          <w:p w14:paraId="24EC3A44"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200,015,000.00</w:t>
            </w:r>
          </w:p>
        </w:tc>
        <w:tc>
          <w:tcPr>
            <w:tcW w:w="1401" w:type="dxa"/>
            <w:tcBorders>
              <w:top w:val="none" w:sz="0" w:space="0" w:color="auto"/>
              <w:bottom w:val="none" w:sz="0" w:space="0" w:color="auto"/>
            </w:tcBorders>
            <w:noWrap/>
            <w:hideMark/>
          </w:tcPr>
          <w:p w14:paraId="1584149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2,775,917.58</w:t>
            </w:r>
          </w:p>
        </w:tc>
        <w:tc>
          <w:tcPr>
            <w:tcW w:w="1656" w:type="dxa"/>
            <w:tcBorders>
              <w:top w:val="none" w:sz="0" w:space="0" w:color="auto"/>
              <w:bottom w:val="none" w:sz="0" w:space="0" w:color="auto"/>
            </w:tcBorders>
            <w:noWrap/>
            <w:hideMark/>
          </w:tcPr>
          <w:p w14:paraId="07171FE1"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4,637,097.00</w:t>
            </w:r>
          </w:p>
        </w:tc>
      </w:tr>
      <w:tr w:rsidR="00035D7E" w:rsidRPr="008C694C" w14:paraId="5CC92227"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25062CD3"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Cunene</w:t>
            </w:r>
          </w:p>
        </w:tc>
        <w:tc>
          <w:tcPr>
            <w:tcW w:w="1432" w:type="dxa"/>
            <w:noWrap/>
            <w:hideMark/>
          </w:tcPr>
          <w:p w14:paraId="78F25C10"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6,300,587.00</w:t>
            </w:r>
          </w:p>
        </w:tc>
        <w:tc>
          <w:tcPr>
            <w:tcW w:w="1401" w:type="dxa"/>
            <w:noWrap/>
            <w:hideMark/>
          </w:tcPr>
          <w:p w14:paraId="04C2C19C"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3E8A317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1,000,000.00</w:t>
            </w:r>
          </w:p>
        </w:tc>
        <w:tc>
          <w:tcPr>
            <w:tcW w:w="1401" w:type="dxa"/>
            <w:noWrap/>
            <w:hideMark/>
          </w:tcPr>
          <w:p w14:paraId="5697CFF5"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7,860,000.00</w:t>
            </w:r>
          </w:p>
        </w:tc>
        <w:tc>
          <w:tcPr>
            <w:tcW w:w="1656" w:type="dxa"/>
            <w:noWrap/>
            <w:hideMark/>
          </w:tcPr>
          <w:p w14:paraId="1911D94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r>
      <w:tr w:rsidR="00035D7E" w:rsidRPr="008C694C" w14:paraId="28A239BA"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2B301633"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Cabinda</w:t>
            </w:r>
          </w:p>
        </w:tc>
        <w:tc>
          <w:tcPr>
            <w:tcW w:w="1432" w:type="dxa"/>
            <w:tcBorders>
              <w:top w:val="none" w:sz="0" w:space="0" w:color="auto"/>
              <w:bottom w:val="none" w:sz="0" w:space="0" w:color="auto"/>
            </w:tcBorders>
            <w:noWrap/>
            <w:hideMark/>
          </w:tcPr>
          <w:p w14:paraId="6ED068CF"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4C51B593"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14,604,038.00</w:t>
            </w:r>
          </w:p>
        </w:tc>
        <w:tc>
          <w:tcPr>
            <w:tcW w:w="1529" w:type="dxa"/>
            <w:tcBorders>
              <w:top w:val="none" w:sz="0" w:space="0" w:color="auto"/>
              <w:bottom w:val="none" w:sz="0" w:space="0" w:color="auto"/>
            </w:tcBorders>
            <w:noWrap/>
            <w:hideMark/>
          </w:tcPr>
          <w:p w14:paraId="75AFA34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6E183462"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7,050,000.00</w:t>
            </w:r>
          </w:p>
        </w:tc>
        <w:tc>
          <w:tcPr>
            <w:tcW w:w="1656" w:type="dxa"/>
            <w:tcBorders>
              <w:top w:val="none" w:sz="0" w:space="0" w:color="auto"/>
              <w:bottom w:val="none" w:sz="0" w:space="0" w:color="auto"/>
            </w:tcBorders>
            <w:noWrap/>
            <w:hideMark/>
          </w:tcPr>
          <w:p w14:paraId="319E800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349 601 877.06</w:t>
            </w:r>
          </w:p>
        </w:tc>
      </w:tr>
      <w:tr w:rsidR="00035D7E" w:rsidRPr="008C694C" w14:paraId="75FD12A4"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728D5C59"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Lunda Norte</w:t>
            </w:r>
          </w:p>
        </w:tc>
        <w:tc>
          <w:tcPr>
            <w:tcW w:w="1432" w:type="dxa"/>
            <w:noWrap/>
            <w:hideMark/>
          </w:tcPr>
          <w:p w14:paraId="341CC2FC"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4E7112BD"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62E8CAA7"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8,979,615.00</w:t>
            </w:r>
          </w:p>
        </w:tc>
        <w:tc>
          <w:tcPr>
            <w:tcW w:w="1401" w:type="dxa"/>
            <w:noWrap/>
            <w:hideMark/>
          </w:tcPr>
          <w:p w14:paraId="17B35B6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656" w:type="dxa"/>
            <w:noWrap/>
            <w:hideMark/>
          </w:tcPr>
          <w:p w14:paraId="56C59BF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1,700,000.00</w:t>
            </w:r>
          </w:p>
        </w:tc>
      </w:tr>
      <w:tr w:rsidR="00035D7E" w:rsidRPr="008C694C" w14:paraId="66DECC64"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08C11B76"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Lunda Sul</w:t>
            </w:r>
          </w:p>
        </w:tc>
        <w:tc>
          <w:tcPr>
            <w:tcW w:w="1432" w:type="dxa"/>
            <w:tcBorders>
              <w:top w:val="none" w:sz="0" w:space="0" w:color="auto"/>
              <w:bottom w:val="none" w:sz="0" w:space="0" w:color="auto"/>
            </w:tcBorders>
            <w:noWrap/>
            <w:hideMark/>
          </w:tcPr>
          <w:p w14:paraId="7347375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2,798,051.62</w:t>
            </w:r>
          </w:p>
        </w:tc>
        <w:tc>
          <w:tcPr>
            <w:tcW w:w="1401" w:type="dxa"/>
            <w:tcBorders>
              <w:top w:val="none" w:sz="0" w:space="0" w:color="auto"/>
              <w:bottom w:val="none" w:sz="0" w:space="0" w:color="auto"/>
            </w:tcBorders>
            <w:noWrap/>
            <w:hideMark/>
          </w:tcPr>
          <w:p w14:paraId="0E22C44C"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18,218,795.00</w:t>
            </w:r>
          </w:p>
        </w:tc>
        <w:tc>
          <w:tcPr>
            <w:tcW w:w="1529" w:type="dxa"/>
            <w:tcBorders>
              <w:top w:val="none" w:sz="0" w:space="0" w:color="auto"/>
              <w:bottom w:val="none" w:sz="0" w:space="0" w:color="auto"/>
            </w:tcBorders>
            <w:noWrap/>
            <w:hideMark/>
          </w:tcPr>
          <w:p w14:paraId="66D15A5E"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1,494,250.00</w:t>
            </w:r>
          </w:p>
        </w:tc>
        <w:tc>
          <w:tcPr>
            <w:tcW w:w="1401" w:type="dxa"/>
            <w:tcBorders>
              <w:top w:val="none" w:sz="0" w:space="0" w:color="auto"/>
              <w:bottom w:val="none" w:sz="0" w:space="0" w:color="auto"/>
            </w:tcBorders>
            <w:noWrap/>
            <w:hideMark/>
          </w:tcPr>
          <w:p w14:paraId="0884C249"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4,031,522.00</w:t>
            </w:r>
          </w:p>
        </w:tc>
        <w:tc>
          <w:tcPr>
            <w:tcW w:w="1656" w:type="dxa"/>
            <w:tcBorders>
              <w:top w:val="none" w:sz="0" w:space="0" w:color="auto"/>
              <w:bottom w:val="none" w:sz="0" w:space="0" w:color="auto"/>
            </w:tcBorders>
            <w:noWrap/>
            <w:hideMark/>
          </w:tcPr>
          <w:p w14:paraId="681E20D7"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9,153,791.00</w:t>
            </w:r>
          </w:p>
        </w:tc>
      </w:tr>
      <w:tr w:rsidR="00035D7E" w:rsidRPr="008C694C" w14:paraId="3EBBE61D"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0C5414F0"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Cuanza Norte</w:t>
            </w:r>
          </w:p>
        </w:tc>
        <w:tc>
          <w:tcPr>
            <w:tcW w:w="1432" w:type="dxa"/>
            <w:noWrap/>
            <w:hideMark/>
          </w:tcPr>
          <w:p w14:paraId="10B3F14A"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623C5CE7"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354,000.00</w:t>
            </w:r>
          </w:p>
        </w:tc>
        <w:tc>
          <w:tcPr>
            <w:tcW w:w="1529" w:type="dxa"/>
            <w:noWrap/>
            <w:hideMark/>
          </w:tcPr>
          <w:p w14:paraId="40C4EC8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20 065 189,00</w:t>
            </w:r>
          </w:p>
        </w:tc>
        <w:tc>
          <w:tcPr>
            <w:tcW w:w="1401" w:type="dxa"/>
            <w:noWrap/>
            <w:hideMark/>
          </w:tcPr>
          <w:p w14:paraId="5DB2AC04"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3,570,809.10</w:t>
            </w:r>
          </w:p>
        </w:tc>
        <w:tc>
          <w:tcPr>
            <w:tcW w:w="1656" w:type="dxa"/>
            <w:noWrap/>
            <w:hideMark/>
          </w:tcPr>
          <w:p w14:paraId="2A7DFF67"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2,403,678.59</w:t>
            </w:r>
          </w:p>
        </w:tc>
      </w:tr>
      <w:tr w:rsidR="00035D7E" w:rsidRPr="008C694C" w14:paraId="253D8921"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4977BC41"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Cuanza Sul</w:t>
            </w:r>
          </w:p>
        </w:tc>
        <w:tc>
          <w:tcPr>
            <w:tcW w:w="1432" w:type="dxa"/>
            <w:tcBorders>
              <w:top w:val="none" w:sz="0" w:space="0" w:color="auto"/>
              <w:bottom w:val="none" w:sz="0" w:space="0" w:color="auto"/>
            </w:tcBorders>
            <w:noWrap/>
            <w:hideMark/>
          </w:tcPr>
          <w:p w14:paraId="117DDBA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2460B844"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1,500,000.00</w:t>
            </w:r>
          </w:p>
        </w:tc>
        <w:tc>
          <w:tcPr>
            <w:tcW w:w="1529" w:type="dxa"/>
            <w:tcBorders>
              <w:top w:val="none" w:sz="0" w:space="0" w:color="auto"/>
              <w:bottom w:val="none" w:sz="0" w:space="0" w:color="auto"/>
            </w:tcBorders>
            <w:noWrap/>
            <w:hideMark/>
          </w:tcPr>
          <w:p w14:paraId="2D89C253"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27,850,000.00</w:t>
            </w:r>
          </w:p>
        </w:tc>
        <w:tc>
          <w:tcPr>
            <w:tcW w:w="1401" w:type="dxa"/>
            <w:tcBorders>
              <w:top w:val="none" w:sz="0" w:space="0" w:color="auto"/>
              <w:bottom w:val="none" w:sz="0" w:space="0" w:color="auto"/>
            </w:tcBorders>
            <w:noWrap/>
            <w:hideMark/>
          </w:tcPr>
          <w:p w14:paraId="18F0B7C8"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2,949,806.33</w:t>
            </w:r>
          </w:p>
        </w:tc>
        <w:tc>
          <w:tcPr>
            <w:tcW w:w="1656" w:type="dxa"/>
            <w:tcBorders>
              <w:top w:val="none" w:sz="0" w:space="0" w:color="auto"/>
              <w:bottom w:val="none" w:sz="0" w:space="0" w:color="auto"/>
            </w:tcBorders>
            <w:noWrap/>
            <w:hideMark/>
          </w:tcPr>
          <w:p w14:paraId="65C72E0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3,631,919.00</w:t>
            </w:r>
          </w:p>
        </w:tc>
      </w:tr>
      <w:tr w:rsidR="00035D7E" w:rsidRPr="008C694C" w14:paraId="76CFF668"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44C26E83"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Malange</w:t>
            </w:r>
          </w:p>
        </w:tc>
        <w:tc>
          <w:tcPr>
            <w:tcW w:w="1432" w:type="dxa"/>
            <w:noWrap/>
            <w:hideMark/>
          </w:tcPr>
          <w:p w14:paraId="721661EA"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111,934,127.88</w:t>
            </w:r>
          </w:p>
        </w:tc>
        <w:tc>
          <w:tcPr>
            <w:tcW w:w="1401" w:type="dxa"/>
            <w:noWrap/>
            <w:hideMark/>
          </w:tcPr>
          <w:p w14:paraId="5FB75567"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30,050,000.00</w:t>
            </w:r>
          </w:p>
        </w:tc>
        <w:tc>
          <w:tcPr>
            <w:tcW w:w="1529" w:type="dxa"/>
            <w:noWrap/>
            <w:hideMark/>
          </w:tcPr>
          <w:p w14:paraId="175432F4"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15 160 600.00</w:t>
            </w:r>
          </w:p>
        </w:tc>
        <w:tc>
          <w:tcPr>
            <w:tcW w:w="1401" w:type="dxa"/>
            <w:noWrap/>
            <w:hideMark/>
          </w:tcPr>
          <w:p w14:paraId="143368A6"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656" w:type="dxa"/>
            <w:noWrap/>
            <w:hideMark/>
          </w:tcPr>
          <w:p w14:paraId="13427004"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2,888,243.46</w:t>
            </w:r>
          </w:p>
        </w:tc>
      </w:tr>
      <w:tr w:rsidR="00035D7E" w:rsidRPr="008C694C" w14:paraId="231FDD87" w14:textId="77777777" w:rsidTr="004B5E99">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232CF363"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When Cubango</w:t>
            </w:r>
          </w:p>
        </w:tc>
        <w:tc>
          <w:tcPr>
            <w:tcW w:w="1432" w:type="dxa"/>
            <w:tcBorders>
              <w:top w:val="none" w:sz="0" w:space="0" w:color="auto"/>
              <w:bottom w:val="none" w:sz="0" w:space="0" w:color="auto"/>
            </w:tcBorders>
            <w:noWrap/>
            <w:hideMark/>
          </w:tcPr>
          <w:p w14:paraId="0E81DD55"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2714BA7B"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tcBorders>
              <w:top w:val="none" w:sz="0" w:space="0" w:color="auto"/>
              <w:bottom w:val="none" w:sz="0" w:space="0" w:color="auto"/>
            </w:tcBorders>
            <w:noWrap/>
            <w:hideMark/>
          </w:tcPr>
          <w:p w14:paraId="6142C7C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226,500,000.00</w:t>
            </w:r>
          </w:p>
        </w:tc>
        <w:tc>
          <w:tcPr>
            <w:tcW w:w="1401" w:type="dxa"/>
            <w:tcBorders>
              <w:top w:val="none" w:sz="0" w:space="0" w:color="auto"/>
              <w:bottom w:val="none" w:sz="0" w:space="0" w:color="auto"/>
            </w:tcBorders>
            <w:noWrap/>
            <w:hideMark/>
          </w:tcPr>
          <w:p w14:paraId="59F778AF"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340,000.00</w:t>
            </w:r>
          </w:p>
        </w:tc>
        <w:tc>
          <w:tcPr>
            <w:tcW w:w="1656" w:type="dxa"/>
            <w:tcBorders>
              <w:top w:val="none" w:sz="0" w:space="0" w:color="auto"/>
              <w:bottom w:val="none" w:sz="0" w:space="0" w:color="auto"/>
            </w:tcBorders>
            <w:noWrap/>
            <w:hideMark/>
          </w:tcPr>
          <w:p w14:paraId="05DDA56C"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r>
      <w:tr w:rsidR="00035D7E" w:rsidRPr="008C694C" w14:paraId="77E73242"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18824DDA"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Moxico</w:t>
            </w:r>
          </w:p>
        </w:tc>
        <w:tc>
          <w:tcPr>
            <w:tcW w:w="1432" w:type="dxa"/>
            <w:noWrap/>
            <w:hideMark/>
          </w:tcPr>
          <w:p w14:paraId="59F1547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1A4198B8"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618C959F"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6954D93D"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5,840,000.00</w:t>
            </w:r>
          </w:p>
        </w:tc>
        <w:tc>
          <w:tcPr>
            <w:tcW w:w="1656" w:type="dxa"/>
            <w:noWrap/>
            <w:hideMark/>
          </w:tcPr>
          <w:p w14:paraId="771EE940"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r>
      <w:tr w:rsidR="00035D7E" w:rsidRPr="008C694C" w14:paraId="46A43C03"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7B801179"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Zaire</w:t>
            </w:r>
          </w:p>
        </w:tc>
        <w:tc>
          <w:tcPr>
            <w:tcW w:w="1432" w:type="dxa"/>
            <w:tcBorders>
              <w:top w:val="none" w:sz="0" w:space="0" w:color="auto"/>
              <w:bottom w:val="none" w:sz="0" w:space="0" w:color="auto"/>
            </w:tcBorders>
            <w:noWrap/>
            <w:hideMark/>
          </w:tcPr>
          <w:p w14:paraId="7B2B46C4"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1,850,000.00</w:t>
            </w:r>
          </w:p>
        </w:tc>
        <w:tc>
          <w:tcPr>
            <w:tcW w:w="1401" w:type="dxa"/>
            <w:tcBorders>
              <w:top w:val="none" w:sz="0" w:space="0" w:color="auto"/>
              <w:bottom w:val="none" w:sz="0" w:space="0" w:color="auto"/>
            </w:tcBorders>
            <w:noWrap/>
            <w:hideMark/>
          </w:tcPr>
          <w:p w14:paraId="4646B820"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86 125 455.30</w:t>
            </w:r>
          </w:p>
        </w:tc>
        <w:tc>
          <w:tcPr>
            <w:tcW w:w="1529" w:type="dxa"/>
            <w:tcBorders>
              <w:top w:val="none" w:sz="0" w:space="0" w:color="auto"/>
              <w:bottom w:val="none" w:sz="0" w:space="0" w:color="auto"/>
            </w:tcBorders>
            <w:noWrap/>
            <w:hideMark/>
          </w:tcPr>
          <w:p w14:paraId="22128542"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3B8F0274"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366,713.00</w:t>
            </w:r>
          </w:p>
        </w:tc>
        <w:tc>
          <w:tcPr>
            <w:tcW w:w="1656" w:type="dxa"/>
            <w:tcBorders>
              <w:top w:val="none" w:sz="0" w:space="0" w:color="auto"/>
              <w:bottom w:val="none" w:sz="0" w:space="0" w:color="auto"/>
            </w:tcBorders>
            <w:noWrap/>
            <w:hideMark/>
          </w:tcPr>
          <w:p w14:paraId="785DEEEF"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3,537,980,000.00</w:t>
            </w:r>
          </w:p>
        </w:tc>
      </w:tr>
      <w:tr w:rsidR="00035D7E" w:rsidRPr="008C694C" w14:paraId="5FD4DE48"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259F1C3A"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Uíge</w:t>
            </w:r>
          </w:p>
        </w:tc>
        <w:tc>
          <w:tcPr>
            <w:tcW w:w="1432" w:type="dxa"/>
            <w:noWrap/>
            <w:hideMark/>
          </w:tcPr>
          <w:p w14:paraId="640AAE71"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08D308EF"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230A712C"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62A46F3D"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16,000,000.00</w:t>
            </w:r>
          </w:p>
        </w:tc>
        <w:tc>
          <w:tcPr>
            <w:tcW w:w="1656" w:type="dxa"/>
            <w:noWrap/>
            <w:hideMark/>
          </w:tcPr>
          <w:p w14:paraId="594C5139"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r>
      <w:tr w:rsidR="00035D7E" w:rsidRPr="008C694C" w14:paraId="321D63D1"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0460638D"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lastRenderedPageBreak/>
              <w:t>Namibe</w:t>
            </w:r>
          </w:p>
        </w:tc>
        <w:tc>
          <w:tcPr>
            <w:tcW w:w="1432" w:type="dxa"/>
            <w:tcBorders>
              <w:top w:val="none" w:sz="0" w:space="0" w:color="auto"/>
              <w:bottom w:val="none" w:sz="0" w:space="0" w:color="auto"/>
            </w:tcBorders>
            <w:noWrap/>
            <w:hideMark/>
          </w:tcPr>
          <w:p w14:paraId="00D7C13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49,645,321.00</w:t>
            </w:r>
          </w:p>
        </w:tc>
        <w:tc>
          <w:tcPr>
            <w:tcW w:w="1401" w:type="dxa"/>
            <w:tcBorders>
              <w:top w:val="none" w:sz="0" w:space="0" w:color="auto"/>
              <w:bottom w:val="none" w:sz="0" w:space="0" w:color="auto"/>
            </w:tcBorders>
            <w:noWrap/>
            <w:hideMark/>
          </w:tcPr>
          <w:p w14:paraId="701BF5CD"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3,428,860.10</w:t>
            </w:r>
          </w:p>
        </w:tc>
        <w:tc>
          <w:tcPr>
            <w:tcW w:w="1529" w:type="dxa"/>
            <w:tcBorders>
              <w:top w:val="none" w:sz="0" w:space="0" w:color="auto"/>
              <w:bottom w:val="none" w:sz="0" w:space="0" w:color="auto"/>
            </w:tcBorders>
            <w:noWrap/>
            <w:hideMark/>
          </w:tcPr>
          <w:p w14:paraId="7BB1BAB9"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tcBorders>
              <w:top w:val="none" w:sz="0" w:space="0" w:color="auto"/>
              <w:bottom w:val="none" w:sz="0" w:space="0" w:color="auto"/>
            </w:tcBorders>
            <w:noWrap/>
            <w:hideMark/>
          </w:tcPr>
          <w:p w14:paraId="6C553D52"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656" w:type="dxa"/>
            <w:tcBorders>
              <w:top w:val="none" w:sz="0" w:space="0" w:color="auto"/>
              <w:bottom w:val="none" w:sz="0" w:space="0" w:color="auto"/>
            </w:tcBorders>
            <w:noWrap/>
            <w:hideMark/>
          </w:tcPr>
          <w:p w14:paraId="1D1E6535"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46,000,000.00</w:t>
            </w:r>
          </w:p>
        </w:tc>
      </w:tr>
      <w:tr w:rsidR="00035D7E" w:rsidRPr="008C694C" w14:paraId="73CFE849"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2C8B204B"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Bie</w:t>
            </w:r>
          </w:p>
        </w:tc>
        <w:tc>
          <w:tcPr>
            <w:tcW w:w="1432" w:type="dxa"/>
            <w:noWrap/>
            <w:hideMark/>
          </w:tcPr>
          <w:p w14:paraId="7062AF24"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14E5E660"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529" w:type="dxa"/>
            <w:noWrap/>
            <w:hideMark/>
          </w:tcPr>
          <w:p w14:paraId="52C3B2BC"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401" w:type="dxa"/>
            <w:noWrap/>
            <w:hideMark/>
          </w:tcPr>
          <w:p w14:paraId="38ACC98A"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c>
          <w:tcPr>
            <w:tcW w:w="1656" w:type="dxa"/>
            <w:noWrap/>
            <w:hideMark/>
          </w:tcPr>
          <w:p w14:paraId="57BC748B"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0.00</w:t>
            </w:r>
          </w:p>
        </w:tc>
      </w:tr>
      <w:tr w:rsidR="00035D7E" w:rsidRPr="008C694C" w14:paraId="1E3C25D7" w14:textId="77777777" w:rsidTr="004B5E99">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63" w:type="dxa"/>
            <w:tcBorders>
              <w:top w:val="none" w:sz="0" w:space="0" w:color="auto"/>
              <w:bottom w:val="none" w:sz="0" w:space="0" w:color="auto"/>
            </w:tcBorders>
            <w:noWrap/>
            <w:hideMark/>
          </w:tcPr>
          <w:p w14:paraId="0A0F3906"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Multilocalized</w:t>
            </w:r>
          </w:p>
        </w:tc>
        <w:tc>
          <w:tcPr>
            <w:tcW w:w="1432" w:type="dxa"/>
            <w:tcBorders>
              <w:top w:val="none" w:sz="0" w:space="0" w:color="auto"/>
              <w:bottom w:val="none" w:sz="0" w:space="0" w:color="auto"/>
            </w:tcBorders>
            <w:noWrap/>
            <w:hideMark/>
          </w:tcPr>
          <w:p w14:paraId="050B6271"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41,539,283.00</w:t>
            </w:r>
          </w:p>
        </w:tc>
        <w:tc>
          <w:tcPr>
            <w:tcW w:w="1401" w:type="dxa"/>
            <w:tcBorders>
              <w:top w:val="none" w:sz="0" w:space="0" w:color="auto"/>
              <w:bottom w:val="none" w:sz="0" w:space="0" w:color="auto"/>
            </w:tcBorders>
            <w:noWrap/>
            <w:hideMark/>
          </w:tcPr>
          <w:p w14:paraId="20CC3290"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54 997 140.00</w:t>
            </w:r>
          </w:p>
        </w:tc>
        <w:tc>
          <w:tcPr>
            <w:tcW w:w="1529" w:type="dxa"/>
            <w:tcBorders>
              <w:top w:val="none" w:sz="0" w:space="0" w:color="auto"/>
              <w:bottom w:val="none" w:sz="0" w:space="0" w:color="auto"/>
            </w:tcBorders>
            <w:noWrap/>
            <w:hideMark/>
          </w:tcPr>
          <w:p w14:paraId="54BC89EA"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25,000,000.00</w:t>
            </w:r>
          </w:p>
        </w:tc>
        <w:tc>
          <w:tcPr>
            <w:tcW w:w="1401" w:type="dxa"/>
            <w:tcBorders>
              <w:top w:val="none" w:sz="0" w:space="0" w:color="auto"/>
              <w:bottom w:val="none" w:sz="0" w:space="0" w:color="auto"/>
            </w:tcBorders>
            <w:noWrap/>
            <w:hideMark/>
          </w:tcPr>
          <w:p w14:paraId="6003BA69"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1,285,040,970.00</w:t>
            </w:r>
          </w:p>
        </w:tc>
        <w:tc>
          <w:tcPr>
            <w:tcW w:w="1656" w:type="dxa"/>
            <w:tcBorders>
              <w:top w:val="none" w:sz="0" w:space="0" w:color="auto"/>
              <w:bottom w:val="none" w:sz="0" w:space="0" w:color="auto"/>
            </w:tcBorders>
            <w:noWrap/>
            <w:hideMark/>
          </w:tcPr>
          <w:p w14:paraId="0A133746" w14:textId="77777777" w:rsidR="00035D7E" w:rsidRPr="004F7DD2" w:rsidRDefault="00035D7E" w:rsidP="004F7DD2">
            <w:pPr>
              <w:pStyle w:val="SemEspaamen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83,766,526.44</w:t>
            </w:r>
          </w:p>
        </w:tc>
      </w:tr>
      <w:tr w:rsidR="00035D7E" w:rsidRPr="008C694C" w14:paraId="1F037C73" w14:textId="77777777" w:rsidTr="004B5E99">
        <w:trPr>
          <w:trHeight w:val="361"/>
          <w:jc w:val="center"/>
        </w:trPr>
        <w:tc>
          <w:tcPr>
            <w:cnfStyle w:val="001000000000" w:firstRow="0" w:lastRow="0" w:firstColumn="1" w:lastColumn="0" w:oddVBand="0" w:evenVBand="0" w:oddHBand="0" w:evenHBand="0" w:firstRowFirstColumn="0" w:firstRowLastColumn="0" w:lastRowFirstColumn="0" w:lastRowLastColumn="0"/>
            <w:tcW w:w="1363" w:type="dxa"/>
            <w:noWrap/>
            <w:hideMark/>
          </w:tcPr>
          <w:p w14:paraId="04845F6F" w14:textId="77777777" w:rsidR="00035D7E" w:rsidRPr="004F7DD2" w:rsidRDefault="00035D7E" w:rsidP="004F7DD2">
            <w:pPr>
              <w:pStyle w:val="SemEspaamento"/>
              <w:jc w:val="center"/>
              <w:rPr>
                <w:rFonts w:ascii="Times New Roman" w:hAnsi="Times New Roman" w:cs="Times New Roman"/>
                <w:b w:val="0"/>
                <w:bCs w:val="0"/>
              </w:rPr>
            </w:pPr>
            <w:r w:rsidRPr="004F7DD2">
              <w:rPr>
                <w:rFonts w:ascii="Times New Roman" w:hAnsi="Times New Roman" w:cs="Times New Roman"/>
                <w:b w:val="0"/>
                <w:bCs w:val="0"/>
              </w:rPr>
              <w:t>Total</w:t>
            </w:r>
          </w:p>
        </w:tc>
        <w:tc>
          <w:tcPr>
            <w:tcW w:w="1432" w:type="dxa"/>
            <w:noWrap/>
            <w:hideMark/>
          </w:tcPr>
          <w:p w14:paraId="654DCCE2"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582439312.8</w:t>
            </w:r>
          </w:p>
        </w:tc>
        <w:tc>
          <w:tcPr>
            <w:tcW w:w="1401" w:type="dxa"/>
            <w:noWrap/>
            <w:hideMark/>
          </w:tcPr>
          <w:p w14:paraId="74B9F6B4"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2055021234</w:t>
            </w:r>
          </w:p>
        </w:tc>
        <w:tc>
          <w:tcPr>
            <w:tcW w:w="1529" w:type="dxa"/>
            <w:noWrap/>
            <w:hideMark/>
          </w:tcPr>
          <w:p w14:paraId="1D3A5A38"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930274352.6</w:t>
            </w:r>
          </w:p>
        </w:tc>
        <w:tc>
          <w:tcPr>
            <w:tcW w:w="1401" w:type="dxa"/>
            <w:noWrap/>
            <w:hideMark/>
          </w:tcPr>
          <w:p w14:paraId="62A3CF83"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1930428242</w:t>
            </w:r>
          </w:p>
        </w:tc>
        <w:tc>
          <w:tcPr>
            <w:tcW w:w="1656" w:type="dxa"/>
            <w:noWrap/>
            <w:hideMark/>
          </w:tcPr>
          <w:p w14:paraId="415CC522" w14:textId="77777777" w:rsidR="00035D7E" w:rsidRPr="004F7DD2" w:rsidRDefault="00035D7E" w:rsidP="004F7DD2">
            <w:pPr>
              <w:pStyle w:val="SemEspaamen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7DD2">
              <w:rPr>
                <w:rFonts w:ascii="Times New Roman" w:hAnsi="Times New Roman" w:cs="Times New Roman"/>
              </w:rPr>
              <w:t>5609473332</w:t>
            </w:r>
          </w:p>
        </w:tc>
      </w:tr>
    </w:tbl>
    <w:p w14:paraId="63CA0C1C" w14:textId="77777777" w:rsidR="00035D7E" w:rsidRPr="008C694C" w:rsidRDefault="00035D7E" w:rsidP="00035D7E">
      <w:pPr>
        <w:spacing w:after="240" w:line="360" w:lineRule="auto"/>
        <w:jc w:val="both"/>
        <w:rPr>
          <w:rFonts w:ascii="Times New Roman" w:eastAsia="Calibri" w:hAnsi="Times New Roman" w:cs="Times New Roman"/>
          <w:sz w:val="24"/>
          <w:szCs w:val="24"/>
        </w:rPr>
      </w:pPr>
      <w:r w:rsidRPr="008C694C">
        <w:rPr>
          <w:rFonts w:ascii="Times New Roman" w:eastAsia="Calibri" w:hAnsi="Times New Roman" w:cs="Times New Roman"/>
          <w:sz w:val="24"/>
          <w:szCs w:val="24"/>
        </w:rPr>
        <w:t>Source: AIPIEX.</w:t>
      </w:r>
    </w:p>
    <w:p w14:paraId="593F8130" w14:textId="77777777" w:rsidR="00035D7E" w:rsidRPr="00634FD7"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Table II illustrates the distribution of FDI by province, revealing a strong concentration in Luanda, which absorbed the largest volume of investments throughout the period. In 2022, the province registered 602,211,295.32 billion kwanzas, confirming the trend of FDI centralization in the country's economic and political center.</w:t>
      </w:r>
    </w:p>
    <w:p w14:paraId="744BE14E" w14:textId="77777777" w:rsidR="00035D7E" w:rsidRPr="00634FD7"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 xml:space="preserve">However, investments in provinces such as Bengo (802,685,085 billion in 2022), Benguela (162,783,819 billion in 2022) and Zaire, which recorded a significant value in 2022 (3,537,980,000 billion), also stand out. These results suggest a gradual effort to decentralize investments territorially, although still very timid.</w:t>
      </w:r>
    </w:p>
    <w:p w14:paraId="1E0F697F" w14:textId="77777777" w:rsidR="00035D7E" w:rsidRPr="00634FD7"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Inland provinces, such as Huambo, Huíla, Cunene, and Uíge, showed low or almost non-existent values. This pattern reinforces the thesis that, despite reforms, FDI in Angola continues to reproduce regional asymmetries, favoring areas with greater infrastructure and proximity to Luanda (Silva, 2021).</w:t>
      </w:r>
    </w:p>
    <w:p w14:paraId="504EDFDD" w14:textId="77777777" w:rsidR="00035D7E" w:rsidRPr="00634FD7"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The combined analysis of the two tables reveals that, although Angola has made progress in attracting FDI, particularly in the industry and services sectors, the country still faces two major structural challenges:</w:t>
      </w:r>
    </w:p>
    <w:p w14:paraId="7CEEF9FF" w14:textId="77777777" w:rsidR="00035D7E" w:rsidRPr="00634FD7" w:rsidRDefault="00035D7E" w:rsidP="00035D7E">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4FD7">
        <w:rPr>
          <w:rFonts w:ascii="Times New Roman" w:eastAsia="Times New Roman" w:hAnsi="Times New Roman" w:cs="Times New Roman"/>
          <w:sz w:val="24"/>
          <w:szCs w:val="24"/>
        </w:rPr>
        <w:t xml:space="preserve">The strong geographical concentration of FDI in Luanda, to the detriment of inland provinces;</w:t>
      </w:r>
    </w:p>
    <w:p w14:paraId="76F9AE3C" w14:textId="77777777" w:rsidR="00035D7E" w:rsidRPr="00634FD7" w:rsidRDefault="00035D7E" w:rsidP="00035D7E">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34FD7">
        <w:rPr>
          <w:rFonts w:ascii="Times New Roman" w:eastAsia="Times New Roman" w:hAnsi="Times New Roman" w:cs="Times New Roman"/>
          <w:sz w:val="24"/>
          <w:szCs w:val="24"/>
        </w:rPr>
        <w:t xml:space="preserve">The weak channeling of investments to social sectors, such as health, education, and agriculture, which are fundamental for social inclusion and sustainable development.</w:t>
      </w:r>
    </w:p>
    <w:p w14:paraId="639E24B6" w14:textId="77777777"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34FD7">
        <w:rPr>
          <w:rFonts w:ascii="Times New Roman" w:eastAsia="Times New Roman" w:hAnsi="Times New Roman" w:cs="Times New Roman"/>
          <w:kern w:val="0"/>
          <w:sz w:val="24"/>
          <w:szCs w:val="24"/>
          <w14:ligatures w14:val="none"/>
        </w:rPr>
        <w:t xml:space="preserve">In this sense, as Kaplinsky (2019) points out, the true impact of FDI in developing countries should not be measured solely by its financial volume, but also by its capacity to generate economic diversification, skilled employment, and a reduction in regional inequalities.</w:t>
      </w:r>
    </w:p>
    <w:p w14:paraId="44F35021" w14:textId="040A4051" w:rsidR="00035D7E" w:rsidRPr="0038788D" w:rsidRDefault="0039301A" w:rsidP="00AD2F66">
      <w:pPr>
        <w:pStyle w:val="Ttulo1"/>
        <w:rPr>
          <w:rFonts w:eastAsia="Times New Roman"/>
        </w:rPr>
      </w:pPr>
      <w:r>
        <w:rPr>
          <w:rFonts w:eastAsia="Times New Roman"/>
        </w:rPr>
        <w:t>2.2 Angola's Main Partners in Foreign Direct Investment (FDI)</w:t>
      </w:r>
    </w:p>
    <w:p w14:paraId="4555DF0D"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 xml:space="preserve">Foreign Direct Investment (FDI) in Angola has been strongly driven by strategic partnerships with countries that have significant interests in sectors such as oil, mining, construction, infrastructure, and financial services. According to the Foreign Trade Report of the National Institute of Statistics (INE, 2022), the country maintains privileged relations with economies that, in addition to capital, bring with them technology, knowledge, and new opportunities for economic cooperation.</w:t>
      </w:r>
    </w:p>
    <w:p w14:paraId="0A5AC021" w14:textId="77777777"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 xml:space="preserve">China occupies a prominent position as one of Angola's largest FDI partners. The Asian giant has invested robustly in sectors such as oil, energy, mining, agriculture and, above all, infrastructure projects. The China National Petroleum Corporation (CNPC), in particular, has consolidated its presence in the Angolan oil sector. According to Corkin (2013), the Sino-Angolan relationship has been strategic, guaranteeing China access to energy resources while Angola benefits from financing and large-scale public works.</w:t>
      </w:r>
    </w:p>
    <w:p w14:paraId="72259F75"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bCs/>
          <w:kern w:val="0"/>
          <w:sz w:val="24"/>
          <w:szCs w:val="24"/>
          <w14:ligatures w14:val="none"/>
        </w:rPr>
        <w:t>Portugal</w:t>
      </w:r>
      <w:r w:rsidRPr="00085981">
        <w:rPr>
          <w:rFonts w:ascii="Times New Roman" w:eastAsia="Times New Roman" w:hAnsi="Times New Roman" w:cs="Times New Roman"/>
          <w:kern w:val="0"/>
          <w:sz w:val="24"/>
          <w:szCs w:val="24"/>
          <w14:ligatures w14:val="none"/>
        </w:rPr>
        <w:t xml:space="preserve">Portugal remains a historical and relevant partner, with investments in areas such as banking, energy, trade, services, and construction. The presence of Portuguese banks in Angola, as well as companies in the infrastructure sector, illustrates the strength of this cooperation. Ferreira (2021) observes that the historical and cultural ties between the two countries contribute to maintaining stable investment flows.</w:t>
      </w:r>
    </w:p>
    <w:p w14:paraId="28633FA5"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 xml:space="preserve">France, through TotalEnergies, remains one of the main foreign investors, with a strong presence in the oil and energy sector. The French company has been responsible for large-scale offshore exploration projects, positioning Angola as one of the central bases of its operations in Africa (TotalEnergies, 2022).</w:t>
      </w:r>
    </w:p>
    <w:p w14:paraId="028D6567"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 xml:space="preserve">The United Kingdom also stands out through companies such as BP and Glencore, which invest primarily in the energy and mining sectors. Similarly, the United Arab Emirates has strengthened its presence in Angola, particularly in infrastructure, mining, and energy projects, as part of a strategy to diversify its investment destinations (World Bank, 2022).</w:t>
      </w:r>
    </w:p>
    <w:p w14:paraId="0577C656"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lastRenderedPageBreak/>
        <w:t xml:space="preserve">Brazil is another important partner, with investments encompassing civil construction, agriculture, energy, and the exploration of natural resources. This cooperation has benefited from cultural and linguistic affinities. Spain, through companies like Repsol, focuses primarily on the energy sector and tourism projects, while India has invested mainly in the oil and pharmaceutical sectors (UNCTAD, 2021).</w:t>
      </w:r>
    </w:p>
    <w:p w14:paraId="5F008146" w14:textId="77777777" w:rsidR="00035D7E" w:rsidRPr="00085981"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 xml:space="preserve">Russia, in turn, maintains strategic partnerships in the oil and nuclear energy sectors, reinforcing the geopolitical weight of its relationship with Angola. South Africa stands out as a relevant regional partner, especially in diamond mining and the banking sector (Cilliers &amp; Okeke, 2020).</w:t>
      </w:r>
    </w:p>
    <w:p w14:paraId="316C3576" w14:textId="77777777" w:rsidR="00035D7E"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85981">
        <w:rPr>
          <w:rFonts w:ascii="Times New Roman" w:eastAsia="Times New Roman" w:hAnsi="Times New Roman" w:cs="Times New Roman"/>
          <w:kern w:val="0"/>
          <w:sz w:val="24"/>
          <w:szCs w:val="24"/>
          <w14:ligatures w14:val="none"/>
        </w:rPr>
        <w:t>In general, these partners have contributed significantly to boosting the Angolan economy. However, the challenge remains of channeling FDI beyond the oil sector, in order to foster productive diversification, industrialization and social inclusion, reducing structural dependence on oil (Kaplinsky, 2019).</w:t>
      </w:r>
    </w:p>
    <w:p w14:paraId="3578451D" w14:textId="1E20664B" w:rsidR="00035D7E" w:rsidRDefault="0039301A" w:rsidP="00E533D4">
      <w:pPr>
        <w:pStyle w:val="Ttulo1"/>
      </w:pPr>
      <w:r>
        <w:t>3. Methodology and Data Processing</w:t>
      </w:r>
    </w:p>
    <w:p w14:paraId="55310572" w14:textId="30214F62" w:rsidR="00234C8A" w:rsidRPr="00234C8A" w:rsidRDefault="0039301A" w:rsidP="00AD2F66">
      <w:pPr>
        <w:pStyle w:val="Ttulo1"/>
        <w:rPr>
          <w:lang w:val="pt-BR"/>
        </w:rPr>
      </w:pPr>
      <w:r>
        <w:rPr>
          <w:lang w:val="pt-BR"/>
        </w:rPr>
        <w:t>3.1 Type and approach of the research</w:t>
      </w:r>
    </w:p>
    <w:p w14:paraId="1D5D0783" w14:textId="77777777" w:rsidR="00234C8A" w:rsidRDefault="00234C8A" w:rsidP="00234C8A">
      <w:pPr>
        <w:spacing w:line="360" w:lineRule="auto"/>
        <w:jc w:val="both"/>
        <w:rPr>
          <w:rFonts w:ascii="Times New Roman" w:hAnsi="Times New Roman" w:cs="Times New Roman"/>
          <w:sz w:val="24"/>
          <w:szCs w:val="24"/>
          <w:lang w:val="pt-BR"/>
        </w:rPr>
      </w:pPr>
      <w:r w:rsidRPr="00234C8A">
        <w:rPr>
          <w:rFonts w:ascii="Times New Roman" w:hAnsi="Times New Roman" w:cs="Times New Roman"/>
          <w:sz w:val="24"/>
          <w:szCs w:val="24"/>
          <w:lang w:val="pt-BR"/>
        </w:rPr>
        <w:t xml:space="preserve">This study adopts a quantitative approach, of an explanatory and correlational nature, with the objective of identifying and measuring the impact of Foreign Direct Investment (FDI), the exchange rate (TR) and the trade balance (TB) on Angola's economic growth in the period from 2014 to 2023.</w:t>
      </w:r>
      <w:proofErr w:type="spellStart"/>
      <w:proofErr w:type="spellEnd"/>
    </w:p>
    <w:p w14:paraId="54AACCFD" w14:textId="6FD36F2D" w:rsidR="00234C8A" w:rsidRDefault="00234C8A" w:rsidP="00234C8A">
      <w:pPr>
        <w:spacing w:line="360" w:lineRule="auto"/>
        <w:jc w:val="both"/>
        <w:rPr>
          <w:rFonts w:ascii="Times New Roman" w:hAnsi="Times New Roman" w:cs="Times New Roman"/>
          <w:sz w:val="24"/>
          <w:szCs w:val="24"/>
          <w:lang w:val="pt-BR"/>
        </w:rPr>
      </w:pPr>
      <w:r w:rsidRPr="00234C8A">
        <w:rPr>
          <w:rFonts w:ascii="Times New Roman" w:hAnsi="Times New Roman" w:cs="Times New Roman"/>
          <w:sz w:val="24"/>
          <w:szCs w:val="24"/>
          <w:lang w:val="pt-BR"/>
        </w:rPr>
        <w:t>Quantitative research was chosen because it allows for the objective treatment of numerical data and the application of statistical and econometric techniques capable of verifying causal relationships between macroeconomic variables.</w:t>
      </w:r>
    </w:p>
    <w:p w14:paraId="051C1D37" w14:textId="5DE2E1BA" w:rsidR="008D46A8" w:rsidRPr="008D46A8" w:rsidRDefault="0039301A" w:rsidP="00AD2F66">
      <w:pPr>
        <w:pStyle w:val="Ttulo1"/>
        <w:rPr>
          <w:lang w:val="pt-BR"/>
        </w:rPr>
      </w:pPr>
      <w:r>
        <w:rPr>
          <w:lang w:val="pt-BR"/>
        </w:rPr>
        <w:t>3.2 Econometric model</w:t>
      </w:r>
    </w:p>
    <w:p w14:paraId="54816FAF" w14:textId="74497431" w:rsidR="008D46A8" w:rsidRPr="00234C8A" w:rsidRDefault="008D46A8" w:rsidP="008D46A8">
      <w:pPr>
        <w:spacing w:line="360" w:lineRule="auto"/>
        <w:jc w:val="both"/>
        <w:rPr>
          <w:rFonts w:ascii="Times New Roman" w:hAnsi="Times New Roman" w:cs="Times New Roman"/>
          <w:sz w:val="24"/>
          <w:szCs w:val="24"/>
          <w:lang w:val="pt-BR"/>
        </w:rPr>
      </w:pPr>
      <w:r w:rsidRPr="008D46A8">
        <w:rPr>
          <w:rFonts w:ascii="Times New Roman" w:hAnsi="Times New Roman" w:cs="Times New Roman"/>
          <w:sz w:val="24"/>
          <w:szCs w:val="24"/>
          <w:lang w:val="pt-BR"/>
        </w:rPr>
        <w:t>To estimate the influence of independent variables on economic growth, a multiple linear regression model is used, defined as follows:</w:t>
      </w:r>
    </w:p>
    <w:p w14:paraId="29CDB3CD" w14:textId="3894EE8B" w:rsidR="00A81689" w:rsidRPr="00674EC6" w:rsidRDefault="00764E2B" w:rsidP="00A81689">
      <w:pPr>
        <w:rPr>
          <w:rFonts w:eastAsiaTheme="minorEastAsia"/>
          <w:b/>
          <w:bCs/>
          <w:lang w:val="pt-BR"/>
        </w:rPr>
      </w:pPr>
      <m:oMathPara>
        <m:oMath>
          <m:sSub>
            <m:sSubPr>
              <m:ctrlPr>
                <w:rPr>
                  <w:rFonts w:ascii="Cambria Math" w:hAnsi="Cambria Math"/>
                  <w:b/>
                  <w:bCs/>
                  <w:i/>
                  <w:lang w:val="pt-BR"/>
                </w:rPr>
              </m:ctrlPr>
            </m:sSubPr>
            <m:e>
              <m:r>
                <m:rPr>
                  <m:sty m:val="bi"/>
                </m:rPr>
                <w:rPr>
                  <w:rFonts w:ascii="Cambria Math" w:hAnsi="Cambria Math"/>
                  <w:lang w:val="pt-BR"/>
                </w:rPr>
                <m:t>PIB</m:t>
              </m:r>
            </m:e>
            <m:sub>
              <m:r>
                <m:rPr>
                  <m:sty m:val="bi"/>
                </m:rPr>
                <w:rPr>
                  <w:rFonts w:ascii="Cambria Math" w:hAnsi="Cambria Math"/>
                  <w:lang w:val="pt-BR"/>
                </w:rPr>
                <m:t>t</m:t>
              </m:r>
            </m:sub>
          </m:sSub>
          <m:r>
            <m:rPr>
              <m:sty m:val="bi"/>
            </m:rPr>
            <w:rPr>
              <w:rFonts w:ascii="Cambria Math" w:hAnsi="Cambria Math"/>
              <w:lang w:val="pt-BR"/>
            </w:rPr>
            <m:t>=</m:t>
          </m:r>
          <m:sSub>
            <m:sSubPr>
              <m:ctrlPr>
                <w:rPr>
                  <w:rFonts w:ascii="Cambria Math" w:hAnsi="Cambria Math"/>
                  <w:b/>
                  <w:bCs/>
                  <w:i/>
                  <w:lang w:val="pt-BR"/>
                </w:rPr>
              </m:ctrlPr>
            </m:sSubPr>
            <m:e>
              <m:r>
                <m:rPr>
                  <m:sty m:val="bi"/>
                </m:rPr>
                <w:rPr>
                  <w:rFonts w:ascii="Cambria Math" w:hAnsi="Cambria Math"/>
                  <w:lang w:val="pt-BR"/>
                </w:rPr>
                <m:t>β</m:t>
              </m:r>
            </m:e>
            <m:sub>
              <m:r>
                <m:rPr>
                  <m:sty m:val="bi"/>
                </m:rPr>
                <w:rPr>
                  <w:rFonts w:ascii="Cambria Math" w:hAnsi="Cambria Math"/>
                  <w:lang w:val="pt-BR"/>
                </w:rPr>
                <m:t>0</m:t>
              </m:r>
            </m:sub>
          </m:sSub>
          <m:r>
            <m:rPr>
              <m:sty m:val="bi"/>
            </m:rPr>
            <w:rPr>
              <w:rFonts w:ascii="Cambria Math" w:hAnsi="Cambria Math"/>
              <w:lang w:val="pt-BR"/>
            </w:rPr>
            <m:t>+</m:t>
          </m:r>
          <m:sSub>
            <m:sSubPr>
              <m:ctrlPr>
                <w:rPr>
                  <w:rFonts w:ascii="Cambria Math" w:hAnsi="Cambria Math"/>
                  <w:b/>
                  <w:bCs/>
                  <w:i/>
                  <w:lang w:val="pt-BR"/>
                </w:rPr>
              </m:ctrlPr>
            </m:sSubPr>
            <m:e>
              <m:r>
                <m:rPr>
                  <m:sty m:val="bi"/>
                </m:rPr>
                <w:rPr>
                  <w:rFonts w:ascii="Cambria Math" w:hAnsi="Cambria Math"/>
                  <w:lang w:val="pt-BR"/>
                </w:rPr>
                <m:t>β</m:t>
              </m:r>
            </m:e>
            <m:sub>
              <m:r>
                <m:rPr>
                  <m:sty m:val="bi"/>
                </m:rPr>
                <w:rPr>
                  <w:rFonts w:ascii="Cambria Math" w:hAnsi="Cambria Math"/>
                  <w:lang w:val="pt-BR"/>
                </w:rPr>
                <m:t>1</m:t>
              </m:r>
            </m:sub>
          </m:sSub>
          <m:sSub>
            <m:sSubPr>
              <m:ctrlPr>
                <w:rPr>
                  <w:rFonts w:ascii="Cambria Math" w:hAnsi="Cambria Math"/>
                  <w:b/>
                  <w:bCs/>
                  <w:i/>
                  <w:lang w:val="pt-BR"/>
                </w:rPr>
              </m:ctrlPr>
            </m:sSubPr>
            <m:e>
              <m:r>
                <m:rPr>
                  <m:sty m:val="bi"/>
                </m:rPr>
                <w:rPr>
                  <w:rFonts w:ascii="Cambria Math" w:hAnsi="Cambria Math"/>
                  <w:lang w:val="pt-BR"/>
                </w:rPr>
                <m:t>IDE</m:t>
              </m:r>
            </m:e>
            <m:sub>
              <m:r>
                <m:rPr>
                  <m:sty m:val="bi"/>
                </m:rPr>
                <w:rPr>
                  <w:rFonts w:ascii="Cambria Math" w:hAnsi="Cambria Math"/>
                  <w:lang w:val="pt-BR"/>
                </w:rPr>
                <m:t>t</m:t>
              </m:r>
            </m:sub>
          </m:sSub>
          <m:r>
            <m:rPr>
              <m:sty m:val="bi"/>
            </m:rPr>
            <w:rPr>
              <w:rFonts w:ascii="Cambria Math" w:hAnsi="Cambria Math"/>
              <w:lang w:val="pt-BR"/>
            </w:rPr>
            <m:t>+</m:t>
          </m:r>
          <m:sSub>
            <m:sSubPr>
              <m:ctrlPr>
                <w:rPr>
                  <w:rFonts w:ascii="Cambria Math" w:hAnsi="Cambria Math"/>
                  <w:b/>
                  <w:bCs/>
                  <w:i/>
                  <w:lang w:val="pt-BR"/>
                </w:rPr>
              </m:ctrlPr>
            </m:sSubPr>
            <m:e>
              <m:r>
                <m:rPr>
                  <m:sty m:val="bi"/>
                </m:rPr>
                <w:rPr>
                  <w:rFonts w:ascii="Cambria Math" w:hAnsi="Cambria Math"/>
                  <w:lang w:val="pt-BR"/>
                </w:rPr>
                <m:t>β</m:t>
              </m:r>
            </m:e>
            <m:sub>
              <m:r>
                <m:rPr>
                  <m:sty m:val="bi"/>
                </m:rPr>
                <w:rPr>
                  <w:rFonts w:ascii="Cambria Math" w:hAnsi="Cambria Math"/>
                  <w:lang w:val="pt-BR"/>
                </w:rPr>
                <m:t>2</m:t>
              </m:r>
            </m:sub>
          </m:sSub>
          <m:sSub>
            <m:sSubPr>
              <m:ctrlPr>
                <w:rPr>
                  <w:rFonts w:ascii="Cambria Math" w:hAnsi="Cambria Math"/>
                  <w:b/>
                  <w:bCs/>
                  <w:i/>
                  <w:lang w:val="pt-BR"/>
                </w:rPr>
              </m:ctrlPr>
            </m:sSubPr>
            <m:e>
              <m:r>
                <m:rPr>
                  <m:sty m:val="bi"/>
                </m:rPr>
                <w:rPr>
                  <w:rFonts w:ascii="Cambria Math" w:hAnsi="Cambria Math"/>
                  <w:lang w:val="pt-BR"/>
                </w:rPr>
                <m:t>TC</m:t>
              </m:r>
            </m:e>
            <m:sub>
              <m:r>
                <m:rPr>
                  <m:sty m:val="bi"/>
                </m:rPr>
                <w:rPr>
                  <w:rFonts w:ascii="Cambria Math" w:hAnsi="Cambria Math"/>
                  <w:lang w:val="pt-BR"/>
                </w:rPr>
                <m:t>t</m:t>
              </m:r>
            </m:sub>
          </m:sSub>
          <m:r>
            <m:rPr>
              <m:sty m:val="bi"/>
            </m:rPr>
            <w:rPr>
              <w:rFonts w:ascii="Cambria Math" w:hAnsi="Cambria Math"/>
              <w:lang w:val="pt-BR"/>
            </w:rPr>
            <m:t>+</m:t>
          </m:r>
          <m:sSub>
            <m:sSubPr>
              <m:ctrlPr>
                <w:rPr>
                  <w:rFonts w:ascii="Cambria Math" w:hAnsi="Cambria Math"/>
                  <w:b/>
                  <w:bCs/>
                  <w:i/>
                  <w:lang w:val="pt-BR"/>
                </w:rPr>
              </m:ctrlPr>
            </m:sSubPr>
            <m:e>
              <m:r>
                <m:rPr>
                  <m:sty m:val="bi"/>
                </m:rPr>
                <w:rPr>
                  <w:rFonts w:ascii="Cambria Math" w:hAnsi="Cambria Math"/>
                  <w:lang w:val="pt-BR"/>
                </w:rPr>
                <m:t>β</m:t>
              </m:r>
            </m:e>
            <m:sub>
              <m:r>
                <m:rPr>
                  <m:sty m:val="bi"/>
                </m:rPr>
                <w:rPr>
                  <w:rFonts w:ascii="Cambria Math" w:hAnsi="Cambria Math"/>
                  <w:lang w:val="pt-BR"/>
                </w:rPr>
                <m:t>3</m:t>
              </m:r>
            </m:sub>
          </m:sSub>
          <m:sSub>
            <m:sSubPr>
              <m:ctrlPr>
                <w:rPr>
                  <w:rFonts w:ascii="Cambria Math" w:hAnsi="Cambria Math"/>
                  <w:b/>
                  <w:bCs/>
                  <w:i/>
                  <w:lang w:val="pt-BR"/>
                </w:rPr>
              </m:ctrlPr>
            </m:sSubPr>
            <m:e>
              <m:r>
                <m:rPr>
                  <m:sty m:val="bi"/>
                </m:rPr>
                <w:rPr>
                  <w:rFonts w:ascii="Cambria Math" w:hAnsi="Cambria Math"/>
                  <w:lang w:val="pt-BR"/>
                </w:rPr>
                <m:t>IBC</m:t>
              </m:r>
            </m:e>
            <m:sub>
              <m:r>
                <m:rPr>
                  <m:sty m:val="bi"/>
                </m:rPr>
                <w:rPr>
                  <w:rFonts w:ascii="Cambria Math" w:hAnsi="Cambria Math"/>
                  <w:lang w:val="pt-BR"/>
                </w:rPr>
                <m:t>t</m:t>
              </m:r>
            </m:sub>
          </m:sSub>
          <m:r>
            <m:rPr>
              <m:sty m:val="bi"/>
            </m:rPr>
            <w:rPr>
              <w:rFonts w:ascii="Cambria Math" w:hAnsi="Cambria Math"/>
              <w:lang w:val="pt-BR"/>
            </w:rPr>
            <m:t>+</m:t>
          </m:r>
          <m:sSub>
            <m:sSubPr>
              <m:ctrlPr>
                <w:rPr>
                  <w:rFonts w:ascii="Cambria Math" w:hAnsi="Cambria Math"/>
                  <w:b/>
                  <w:bCs/>
                  <w:i/>
                  <w:lang w:val="pt-BR"/>
                </w:rPr>
              </m:ctrlPr>
            </m:sSubPr>
            <m:e>
              <m:r>
                <m:rPr>
                  <m:sty m:val="bi"/>
                </m:rPr>
                <w:rPr>
                  <w:rFonts w:ascii="Cambria Math" w:hAnsi="Cambria Math"/>
                  <w:lang w:val="pt-BR"/>
                </w:rPr>
                <m:t>ε</m:t>
              </m:r>
            </m:e>
            <m:sub>
              <m:r>
                <m:rPr>
                  <m:sty m:val="bi"/>
                </m:rPr>
                <w:rPr>
                  <w:rFonts w:ascii="Cambria Math" w:hAnsi="Cambria Math"/>
                  <w:lang w:val="pt-BR"/>
                </w:rPr>
                <m:t>t</m:t>
              </m:r>
            </m:sub>
          </m:sSub>
        </m:oMath>
      </m:oMathPara>
    </w:p>
    <w:p w14:paraId="713C1244" w14:textId="77777777" w:rsidR="00674EC6" w:rsidRPr="00674EC6" w:rsidRDefault="00674EC6" w:rsidP="00674EC6">
      <w:pPr>
        <w:spacing w:line="360" w:lineRule="auto"/>
        <w:rPr>
          <w:rFonts w:ascii="Times New Roman" w:hAnsi="Times New Roman" w:cs="Times New Roman"/>
          <w:sz w:val="24"/>
          <w:szCs w:val="24"/>
          <w:lang w:val="pt-BR"/>
        </w:rPr>
      </w:pPr>
      <w:proofErr w:type="gramStart"/>
      <w:r w:rsidRPr="00674EC6">
        <w:rPr>
          <w:rFonts w:ascii="Times New Roman" w:hAnsi="Times New Roman" w:cs="Times New Roman"/>
          <w:sz w:val="24"/>
          <w:szCs w:val="24"/>
          <w:lang w:val="pt-BR"/>
        </w:rPr>
        <w:t>where:</w:t>
      </w:r>
      <w:proofErr w:type="gramEnd"/>
    </w:p>
    <w:p w14:paraId="28959CC9"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r w:rsidRPr="00674EC6">
        <w:rPr>
          <w:rFonts w:ascii="Times New Roman" w:hAnsi="Times New Roman" w:cs="Times New Roman"/>
          <w:b/>
          <w:bCs/>
          <w:sz w:val="24"/>
          <w:szCs w:val="24"/>
          <w:lang w:val="pt-BR"/>
        </w:rPr>
        <w:t>GDP</w:t>
      </w:r>
      <w:r w:rsidRPr="00674EC6">
        <w:rPr>
          <w:rFonts w:ascii="Times New Roman" w:hAnsi="Times New Roman" w:cs="Times New Roman"/>
          <w:sz w:val="24"/>
          <w:szCs w:val="24"/>
          <w:lang w:val="pt-BR"/>
        </w:rPr>
        <w:t xml:space="preserve">– represents economic growth in year t (dependent variable);</w:t>
      </w:r>
    </w:p>
    <w:p w14:paraId="0EAC9C05" w14:textId="4490131A" w:rsidR="00674EC6" w:rsidRPr="00674EC6" w:rsidRDefault="00674EC6" w:rsidP="00674EC6">
      <w:pPr>
        <w:numPr>
          <w:ilvl w:val="0"/>
          <w:numId w:val="14"/>
        </w:numPr>
        <w:spacing w:line="360" w:lineRule="auto"/>
        <w:rPr>
          <w:rFonts w:ascii="Times New Roman" w:hAnsi="Times New Roman" w:cs="Times New Roman"/>
          <w:sz w:val="24"/>
          <w:szCs w:val="24"/>
          <w:lang w:val="pt-BR"/>
        </w:rPr>
      </w:pPr>
      <w:r w:rsidRPr="00674EC6">
        <w:rPr>
          <w:rFonts w:ascii="Times New Roman" w:hAnsi="Times New Roman" w:cs="Times New Roman"/>
          <w:b/>
          <w:bCs/>
          <w:sz w:val="24"/>
          <w:szCs w:val="24"/>
          <w:lang w:val="pt-BR"/>
        </w:rPr>
        <w:lastRenderedPageBreak/>
        <w:t>IDEₜ</w:t>
      </w:r>
      <w:r w:rsidRPr="00674EC6">
        <w:rPr>
          <w:rFonts w:ascii="Times New Roman" w:hAnsi="Times New Roman" w:cs="Times New Roman"/>
          <w:sz w:val="24"/>
          <w:szCs w:val="24"/>
          <w:lang w:val="pt-BR"/>
        </w:rPr>
        <w:t xml:space="preserve">– Annual volume of Foreign Direct Investment (main explanatory variable);</w:t>
      </w:r>
      <w:proofErr w:type="spellStart"/>
      <w:proofErr w:type="spellEnd"/>
    </w:p>
    <w:p w14:paraId="0EEA2CDC"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r w:rsidRPr="00674EC6">
        <w:rPr>
          <w:rFonts w:ascii="Times New Roman" w:hAnsi="Times New Roman" w:cs="Times New Roman"/>
          <w:b/>
          <w:bCs/>
          <w:sz w:val="24"/>
          <w:szCs w:val="24"/>
          <w:lang w:val="pt-BR"/>
        </w:rPr>
        <w:t>TCₜ</w:t>
      </w:r>
      <w:r w:rsidRPr="00674EC6">
        <w:rPr>
          <w:rFonts w:ascii="Times New Roman" w:hAnsi="Times New Roman" w:cs="Times New Roman"/>
          <w:sz w:val="24"/>
          <w:szCs w:val="24"/>
          <w:lang w:val="pt-BR"/>
        </w:rPr>
        <w:t xml:space="preserve">– average annual exchange rate (control explanatory variable);</w:t>
      </w:r>
    </w:p>
    <w:p w14:paraId="48C79A82"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r w:rsidRPr="00674EC6">
        <w:rPr>
          <w:rFonts w:ascii="Times New Roman" w:hAnsi="Times New Roman" w:cs="Times New Roman"/>
          <w:b/>
          <w:bCs/>
          <w:sz w:val="24"/>
          <w:szCs w:val="24"/>
          <w:lang w:val="pt-BR"/>
        </w:rPr>
        <w:t>BCₜ</w:t>
      </w:r>
      <w:r w:rsidRPr="00674EC6">
        <w:rPr>
          <w:rFonts w:ascii="Times New Roman" w:hAnsi="Times New Roman" w:cs="Times New Roman"/>
          <w:sz w:val="24"/>
          <w:szCs w:val="24"/>
          <w:lang w:val="pt-BR"/>
        </w:rPr>
        <w:t xml:space="preserve">– trade balance (exports minus imports);</w:t>
      </w:r>
    </w:p>
    <w:p w14:paraId="2C7F5BF9"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proofErr w:type="gramStart"/>
      <w:r w:rsidRPr="00674EC6">
        <w:rPr>
          <w:rFonts w:ascii="Times New Roman" w:hAnsi="Times New Roman" w:cs="Times New Roman"/>
          <w:b/>
          <w:bCs/>
          <w:sz w:val="24"/>
          <w:szCs w:val="24"/>
          <w:lang w:val="pt-BR"/>
        </w:rPr>
        <w:t>β₀</w:t>
      </w:r>
      <w:proofErr w:type="gramEnd"/>
      <w:r w:rsidRPr="00674EC6">
        <w:rPr>
          <w:rFonts w:ascii="Times New Roman" w:hAnsi="Times New Roman" w:cs="Times New Roman"/>
          <w:sz w:val="24"/>
          <w:szCs w:val="24"/>
          <w:lang w:val="pt-BR"/>
        </w:rPr>
        <w:t xml:space="preserve">– intercept of the model;</w:t>
      </w:r>
    </w:p>
    <w:p w14:paraId="2CF824C4"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proofErr w:type="gramStart"/>
      <w:r w:rsidRPr="00674EC6">
        <w:rPr>
          <w:rFonts w:ascii="Times New Roman" w:hAnsi="Times New Roman" w:cs="Times New Roman"/>
          <w:b/>
          <w:bCs/>
          <w:sz w:val="24"/>
          <w:szCs w:val="24"/>
          <w:lang w:val="pt-BR"/>
        </w:rPr>
        <w:t>β₁, β₂ and β₃</w:t>
      </w:r>
      <w:proofErr w:type="gramEnd"/>
      <w:r w:rsidRPr="00674EC6">
        <w:rPr>
          <w:rFonts w:ascii="Times New Roman" w:hAnsi="Times New Roman" w:cs="Times New Roman"/>
          <w:sz w:val="24"/>
          <w:szCs w:val="24"/>
          <w:lang w:val="pt-BR"/>
        </w:rPr>
        <w:t xml:space="preserve">– regression coefficients to be estimated;</w:t>
      </w:r>
    </w:p>
    <w:p w14:paraId="46A74DB7" w14:textId="77777777" w:rsidR="00674EC6" w:rsidRPr="00674EC6" w:rsidRDefault="00674EC6" w:rsidP="00674EC6">
      <w:pPr>
        <w:numPr>
          <w:ilvl w:val="0"/>
          <w:numId w:val="14"/>
        </w:numPr>
        <w:spacing w:line="360" w:lineRule="auto"/>
        <w:rPr>
          <w:rFonts w:ascii="Times New Roman" w:hAnsi="Times New Roman" w:cs="Times New Roman"/>
          <w:sz w:val="24"/>
          <w:szCs w:val="24"/>
          <w:lang w:val="pt-BR"/>
        </w:rPr>
      </w:pPr>
      <w:proofErr w:type="gramStart"/>
      <w:r w:rsidRPr="00674EC6">
        <w:rPr>
          <w:rFonts w:ascii="Times New Roman" w:hAnsi="Times New Roman" w:cs="Times New Roman"/>
          <w:b/>
          <w:bCs/>
          <w:sz w:val="24"/>
          <w:szCs w:val="24"/>
          <w:lang w:val="pt-BR"/>
        </w:rPr>
        <w:t>εₜ</w:t>
      </w:r>
      <w:proofErr w:type="gramEnd"/>
      <w:r w:rsidRPr="00674EC6">
        <w:rPr>
          <w:rFonts w:ascii="Times New Roman" w:hAnsi="Times New Roman" w:cs="Times New Roman"/>
          <w:sz w:val="24"/>
          <w:szCs w:val="24"/>
          <w:lang w:val="pt-BR"/>
        </w:rPr>
        <w:t xml:space="preserve">– random error term.</w:t>
      </w:r>
    </w:p>
    <w:p w14:paraId="3966F06E" w14:textId="1C14C2DA" w:rsidR="00674EC6" w:rsidRPr="00674EC6" w:rsidRDefault="00674EC6" w:rsidP="00674EC6">
      <w:pPr>
        <w:spacing w:line="360" w:lineRule="auto"/>
        <w:jc w:val="both"/>
        <w:rPr>
          <w:rFonts w:ascii="Times New Roman" w:hAnsi="Times New Roman" w:cs="Times New Roman"/>
          <w:sz w:val="24"/>
          <w:szCs w:val="24"/>
          <w:lang w:val="pt-BR"/>
        </w:rPr>
      </w:pPr>
      <w:r w:rsidRPr="00674EC6">
        <w:rPr>
          <w:rFonts w:ascii="Times New Roman" w:hAnsi="Times New Roman" w:cs="Times New Roman"/>
          <w:sz w:val="24"/>
          <w:szCs w:val="24"/>
          <w:lang w:val="pt-BR"/>
        </w:rPr>
        <w:t xml:space="preserve">Therefore, the expected relationship is that β₁ &gt; 0, indicating a positive impact of FDI on GDP, while β₂ may assume a negative sign (in the case of exchange rate appreciation unfavorable to exports) and β₃ tends to be positive, reflecting the beneficial effect of a trade surplus.</w:t>
      </w:r>
    </w:p>
    <w:p w14:paraId="3DCF7AF0" w14:textId="77777777" w:rsidR="00035D7E" w:rsidRPr="000227F7" w:rsidRDefault="00035D7E" w:rsidP="00035D7E">
      <w:pPr>
        <w:pStyle w:val="Legenda"/>
        <w:ind w:firstLine="0"/>
        <w:rPr>
          <w:rFonts w:ascii="Times New Roman" w:hAnsi="Times New Roman" w:cs="Times New Roman"/>
          <w:i w:val="0"/>
          <w:iCs w:val="0"/>
          <w:color w:val="auto"/>
          <w:sz w:val="32"/>
          <w:szCs w:val="32"/>
        </w:rPr>
      </w:pPr>
      <w:bookmarkStart w:id="3" w:name="_Toc193051437"/>
      <w:r w:rsidRPr="000227F7">
        <w:rPr>
          <w:rFonts w:ascii="Times New Roman" w:hAnsi="Times New Roman" w:cs="Times New Roman"/>
          <w:i w:val="0"/>
          <w:iCs w:val="0"/>
          <w:color w:val="auto"/>
          <w:sz w:val="22"/>
          <w:szCs w:val="22"/>
        </w:rPr>
        <w:t xml:space="preserve">Table</w:t>
      </w:r>
      <w:r w:rsidRPr="000227F7">
        <w:rPr>
          <w:rFonts w:ascii="Times New Roman" w:hAnsi="Times New Roman" w:cs="Times New Roman"/>
          <w:i w:val="0"/>
          <w:iCs w:val="0"/>
          <w:color w:val="auto"/>
          <w:sz w:val="22"/>
          <w:szCs w:val="22"/>
        </w:rPr>
        <w:fldChar w:fldCharType="begin"/>
      </w:r>
      <w:r w:rsidRPr="000227F7">
        <w:rPr>
          <w:rFonts w:ascii="Times New Roman" w:hAnsi="Times New Roman" w:cs="Times New Roman"/>
          <w:i w:val="0"/>
          <w:iCs w:val="0"/>
          <w:color w:val="auto"/>
          <w:sz w:val="22"/>
          <w:szCs w:val="22"/>
        </w:rPr>
        <w:instrText xml:space="preserve"> SEQ Tabela \* ROMAN </w:instrText>
      </w:r>
      <w:r w:rsidRPr="000227F7">
        <w:rPr>
          <w:rFonts w:ascii="Times New Roman" w:hAnsi="Times New Roman" w:cs="Times New Roman"/>
          <w:i w:val="0"/>
          <w:iCs w:val="0"/>
          <w:color w:val="auto"/>
          <w:sz w:val="22"/>
          <w:szCs w:val="22"/>
        </w:rPr>
        <w:fldChar w:fldCharType="separate"/>
      </w:r>
      <w:r w:rsidRPr="000227F7">
        <w:rPr>
          <w:rFonts w:ascii="Times New Roman" w:hAnsi="Times New Roman" w:cs="Times New Roman"/>
          <w:i w:val="0"/>
          <w:iCs w:val="0"/>
          <w:noProof/>
          <w:color w:val="auto"/>
          <w:sz w:val="22"/>
          <w:szCs w:val="22"/>
        </w:rPr>
        <w:t>IV</w:t>
      </w:r>
      <w:r w:rsidRPr="000227F7">
        <w:rPr>
          <w:rFonts w:ascii="Times New Roman" w:hAnsi="Times New Roman" w:cs="Times New Roman"/>
          <w:i w:val="0"/>
          <w:iCs w:val="0"/>
          <w:color w:val="auto"/>
          <w:sz w:val="22"/>
          <w:szCs w:val="22"/>
        </w:rPr>
        <w:fldChar w:fldCharType="end"/>
      </w:r>
      <w:r w:rsidRPr="000227F7">
        <w:rPr>
          <w:rFonts w:ascii="Times New Roman" w:hAnsi="Times New Roman" w:cs="Times New Roman"/>
          <w:i w:val="0"/>
          <w:iCs w:val="0"/>
          <w:color w:val="auto"/>
          <w:sz w:val="22"/>
          <w:szCs w:val="22"/>
        </w:rPr>
        <w:t xml:space="preserve">Summary of model variables, 2014–2023.</w:t>
      </w:r>
      <w:bookmarkEnd w:id="3"/>
    </w:p>
    <w:tbl>
      <w:tblPr>
        <w:tblStyle w:val="Tabelacomgrade"/>
        <w:tblW w:w="5025" w:type="pct"/>
        <w:tblLook w:val="04A0" w:firstRow="1" w:lastRow="0" w:firstColumn="1" w:lastColumn="0" w:noHBand="0" w:noVBand="1"/>
      </w:tblPr>
      <w:tblGrid>
        <w:gridCol w:w="1972"/>
        <w:gridCol w:w="1178"/>
        <w:gridCol w:w="1977"/>
        <w:gridCol w:w="1977"/>
        <w:gridCol w:w="1432"/>
      </w:tblGrid>
      <w:tr w:rsidR="009636E6" w:rsidRPr="000227F7" w14:paraId="2476F26F" w14:textId="77777777" w:rsidTr="009636E6">
        <w:trPr>
          <w:trHeight w:val="304"/>
        </w:trPr>
        <w:tc>
          <w:tcPr>
            <w:tcW w:w="1155" w:type="pct"/>
            <w:noWrap/>
            <w:hideMark/>
          </w:tcPr>
          <w:p w14:paraId="5BAC1A42" w14:textId="77777777" w:rsidR="00035D7E" w:rsidRPr="000227F7" w:rsidRDefault="00035D7E" w:rsidP="00764E2B">
            <w:pPr>
              <w:jc w:val="center"/>
              <w:rPr>
                <w:rFonts w:ascii="Times New Roman" w:eastAsia="Times New Roman" w:hAnsi="Times New Roman" w:cs="Times New Roman"/>
                <w:color w:val="000000"/>
                <w:kern w:val="0"/>
                <w:lang w:eastAsia="pt-PT"/>
              </w:rPr>
            </w:pPr>
            <w:r w:rsidRPr="000227F7">
              <w:rPr>
                <w:rFonts w:ascii="Times New Roman" w:eastAsia="Times New Roman" w:hAnsi="Times New Roman" w:cs="Times New Roman"/>
                <w:color w:val="000000"/>
                <w:kern w:val="0"/>
                <w:lang w:eastAsia="pt-PT"/>
              </w:rPr>
              <w:t>Years</w:t>
            </w:r>
          </w:p>
        </w:tc>
        <w:tc>
          <w:tcPr>
            <w:tcW w:w="690" w:type="pct"/>
            <w:noWrap/>
            <w:hideMark/>
          </w:tcPr>
          <w:p w14:paraId="74784458" w14:textId="72EA5241" w:rsidR="00035D7E" w:rsidRPr="000227F7" w:rsidRDefault="009636E6" w:rsidP="00764E2B">
            <w:pPr>
              <w:jc w:val="center"/>
              <w:rPr>
                <w:rFonts w:ascii="Times New Roman" w:eastAsia="Times New Roman" w:hAnsi="Times New Roman" w:cs="Times New Roman"/>
                <w:color w:val="000000"/>
                <w:kern w:val="0"/>
                <w:lang w:eastAsia="pt-PT"/>
              </w:rPr>
            </w:pPr>
            <w:r>
              <w:rPr>
                <w:rFonts w:ascii="Times New Roman" w:eastAsia="Times New Roman" w:hAnsi="Times New Roman" w:cs="Times New Roman"/>
                <w:color w:val="000000"/>
                <w:kern w:val="0"/>
                <w:lang w:eastAsia="pt-PT"/>
              </w:rPr>
              <w:t>IDE</w:t>
            </w:r>
          </w:p>
        </w:tc>
        <w:tc>
          <w:tcPr>
            <w:tcW w:w="1158" w:type="pct"/>
            <w:noWrap/>
            <w:hideMark/>
          </w:tcPr>
          <w:p w14:paraId="44E2D32A" w14:textId="3ED8434D" w:rsidR="00035D7E" w:rsidRPr="000227F7" w:rsidRDefault="009636E6" w:rsidP="00764E2B">
            <w:pPr>
              <w:jc w:val="center"/>
              <w:rPr>
                <w:rFonts w:ascii="Times New Roman" w:eastAsia="Times New Roman" w:hAnsi="Times New Roman" w:cs="Times New Roman"/>
                <w:color w:val="000000"/>
                <w:kern w:val="0"/>
                <w:lang w:eastAsia="pt-PT"/>
              </w:rPr>
            </w:pPr>
            <w:r>
              <w:rPr>
                <w:rFonts w:ascii="Times New Roman" w:eastAsia="Times New Roman" w:hAnsi="Times New Roman" w:cs="Times New Roman"/>
                <w:color w:val="000000"/>
                <w:kern w:val="0"/>
                <w:lang w:eastAsia="pt-PT"/>
              </w:rPr>
              <w:t>TC</w:t>
            </w:r>
          </w:p>
        </w:tc>
        <w:tc>
          <w:tcPr>
            <w:tcW w:w="1158" w:type="pct"/>
            <w:noWrap/>
            <w:hideMark/>
          </w:tcPr>
          <w:p w14:paraId="4CCBBB03" w14:textId="1E67CB5E" w:rsidR="00035D7E" w:rsidRPr="000227F7" w:rsidRDefault="009636E6" w:rsidP="00764E2B">
            <w:pPr>
              <w:jc w:val="center"/>
              <w:rPr>
                <w:rFonts w:ascii="Times New Roman" w:eastAsia="Times New Roman" w:hAnsi="Times New Roman" w:cs="Times New Roman"/>
                <w:color w:val="000000"/>
                <w:kern w:val="0"/>
                <w:lang w:eastAsia="pt-PT"/>
              </w:rPr>
            </w:pPr>
            <w:r>
              <w:rPr>
                <w:rFonts w:ascii="Times New Roman" w:eastAsia="Times New Roman" w:hAnsi="Times New Roman" w:cs="Times New Roman"/>
                <w:color w:val="000000"/>
                <w:kern w:val="0"/>
                <w:lang w:eastAsia="pt-PT"/>
              </w:rPr>
              <w:t>GDP</w:t>
            </w:r>
          </w:p>
        </w:tc>
        <w:tc>
          <w:tcPr>
            <w:tcW w:w="840" w:type="pct"/>
            <w:noWrap/>
            <w:hideMark/>
          </w:tcPr>
          <w:p w14:paraId="3ED24A3E" w14:textId="77777777" w:rsidR="00035D7E" w:rsidRPr="000227F7" w:rsidRDefault="00035D7E" w:rsidP="00764E2B">
            <w:pPr>
              <w:jc w:val="center"/>
              <w:rPr>
                <w:rFonts w:ascii="Times New Roman" w:eastAsia="Times New Roman" w:hAnsi="Times New Roman" w:cs="Times New Roman"/>
                <w:color w:val="000000"/>
                <w:kern w:val="0"/>
                <w:lang w:eastAsia="pt-PT"/>
              </w:rPr>
            </w:pPr>
            <w:r w:rsidRPr="000227F7">
              <w:rPr>
                <w:rFonts w:ascii="Times New Roman" w:eastAsia="Times New Roman" w:hAnsi="Times New Roman" w:cs="Times New Roman"/>
                <w:color w:val="000000"/>
                <w:kern w:val="0"/>
                <w:lang w:eastAsia="pt-PT"/>
              </w:rPr>
              <w:t>BC</w:t>
            </w:r>
          </w:p>
        </w:tc>
      </w:tr>
      <w:tr w:rsidR="009636E6" w:rsidRPr="000227F7" w14:paraId="35D08AAD" w14:textId="77777777" w:rsidTr="009636E6">
        <w:trPr>
          <w:trHeight w:val="273"/>
        </w:trPr>
        <w:tc>
          <w:tcPr>
            <w:tcW w:w="1155" w:type="pct"/>
          </w:tcPr>
          <w:p w14:paraId="023F51DD"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2014</w:t>
            </w:r>
          </w:p>
        </w:tc>
        <w:tc>
          <w:tcPr>
            <w:tcW w:w="690" w:type="pct"/>
          </w:tcPr>
          <w:p w14:paraId="52342DFA"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0.1</w:t>
            </w:r>
          </w:p>
        </w:tc>
        <w:tc>
          <w:tcPr>
            <w:tcW w:w="1158" w:type="pct"/>
          </w:tcPr>
          <w:p w14:paraId="36D4AD7C"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102.8</w:t>
            </w:r>
          </w:p>
        </w:tc>
        <w:tc>
          <w:tcPr>
            <w:tcW w:w="1158" w:type="pct"/>
          </w:tcPr>
          <w:p w14:paraId="18103A7A"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4.7</w:t>
            </w:r>
          </w:p>
        </w:tc>
        <w:tc>
          <w:tcPr>
            <w:tcW w:w="840" w:type="pct"/>
          </w:tcPr>
          <w:p w14:paraId="41A01849"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18.61</w:t>
            </w:r>
          </w:p>
        </w:tc>
      </w:tr>
      <w:tr w:rsidR="009636E6" w:rsidRPr="000227F7" w14:paraId="3EEB9431" w14:textId="77777777" w:rsidTr="009636E6">
        <w:trPr>
          <w:trHeight w:val="258"/>
        </w:trPr>
        <w:tc>
          <w:tcPr>
            <w:tcW w:w="1155" w:type="pct"/>
          </w:tcPr>
          <w:p w14:paraId="1C64E6BE"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2015</w:t>
            </w:r>
          </w:p>
        </w:tc>
        <w:tc>
          <w:tcPr>
            <w:tcW w:w="690" w:type="pct"/>
          </w:tcPr>
          <w:p w14:paraId="65F4BCF8"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-2.2</w:t>
            </w:r>
          </w:p>
        </w:tc>
        <w:tc>
          <w:tcPr>
            <w:tcW w:w="1158" w:type="pct"/>
          </w:tcPr>
          <w:p w14:paraId="79026DE7"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134.6</w:t>
            </w:r>
          </w:p>
        </w:tc>
        <w:tc>
          <w:tcPr>
            <w:tcW w:w="1158" w:type="pct"/>
          </w:tcPr>
          <w:p w14:paraId="6D3F21C3"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0.8</w:t>
            </w:r>
          </w:p>
        </w:tc>
        <w:tc>
          <w:tcPr>
            <w:tcW w:w="840" w:type="pct"/>
          </w:tcPr>
          <w:p w14:paraId="29FF36F1"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9.49</w:t>
            </w:r>
          </w:p>
        </w:tc>
      </w:tr>
      <w:tr w:rsidR="009636E6" w:rsidRPr="000227F7" w14:paraId="592A2CBE" w14:textId="77777777" w:rsidTr="009636E6">
        <w:trPr>
          <w:trHeight w:val="273"/>
        </w:trPr>
        <w:tc>
          <w:tcPr>
            <w:tcW w:w="1155" w:type="pct"/>
          </w:tcPr>
          <w:p w14:paraId="6EA0F111"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2016</w:t>
            </w:r>
          </w:p>
        </w:tc>
        <w:tc>
          <w:tcPr>
            <w:tcW w:w="690" w:type="pct"/>
          </w:tcPr>
          <w:p w14:paraId="2F4D0E24"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-0.34</w:t>
            </w:r>
          </w:p>
        </w:tc>
        <w:tc>
          <w:tcPr>
            <w:tcW w:w="1158" w:type="pct"/>
          </w:tcPr>
          <w:p w14:paraId="3A244362"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165.06</w:t>
            </w:r>
          </w:p>
        </w:tc>
        <w:tc>
          <w:tcPr>
            <w:tcW w:w="1158" w:type="pct"/>
          </w:tcPr>
          <w:p w14:paraId="1C39EB4F"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-1.7</w:t>
            </w:r>
          </w:p>
        </w:tc>
        <w:tc>
          <w:tcPr>
            <w:tcW w:w="840" w:type="pct"/>
          </w:tcPr>
          <w:p w14:paraId="7504EDF8"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12.67</w:t>
            </w:r>
          </w:p>
        </w:tc>
      </w:tr>
      <w:tr w:rsidR="009636E6" w:rsidRPr="000227F7" w14:paraId="1783F1FE" w14:textId="77777777" w:rsidTr="009636E6">
        <w:trPr>
          <w:trHeight w:val="273"/>
        </w:trPr>
        <w:tc>
          <w:tcPr>
            <w:tcW w:w="1155" w:type="pct"/>
          </w:tcPr>
          <w:p w14:paraId="4203535C"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2017</w:t>
            </w:r>
          </w:p>
        </w:tc>
        <w:tc>
          <w:tcPr>
            <w:tcW w:w="690" w:type="pct"/>
          </w:tcPr>
          <w:p w14:paraId="14A1BE33"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-10.04</w:t>
            </w:r>
          </w:p>
        </w:tc>
        <w:tc>
          <w:tcPr>
            <w:tcW w:w="1158" w:type="pct"/>
          </w:tcPr>
          <w:p w14:paraId="1C0A72D6"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165.09</w:t>
            </w:r>
          </w:p>
        </w:tc>
        <w:tc>
          <w:tcPr>
            <w:tcW w:w="1158" w:type="pct"/>
          </w:tcPr>
          <w:p w14:paraId="57E43A15"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-0.1</w:t>
            </w:r>
          </w:p>
        </w:tc>
        <w:tc>
          <w:tcPr>
            <w:tcW w:w="840" w:type="pct"/>
          </w:tcPr>
          <w:p w14:paraId="69951643"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14.4</w:t>
            </w:r>
          </w:p>
        </w:tc>
      </w:tr>
      <w:tr w:rsidR="009636E6" w:rsidRPr="000227F7" w14:paraId="3B79DF54" w14:textId="77777777" w:rsidTr="009636E6">
        <w:trPr>
          <w:trHeight w:val="273"/>
        </w:trPr>
        <w:tc>
          <w:tcPr>
            <w:tcW w:w="1155" w:type="pct"/>
          </w:tcPr>
          <w:p w14:paraId="3BE75518"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2018</w:t>
            </w:r>
          </w:p>
        </w:tc>
        <w:tc>
          <w:tcPr>
            <w:tcW w:w="690" w:type="pct"/>
          </w:tcPr>
          <w:p w14:paraId="34B85FEC"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-8.13</w:t>
            </w:r>
          </w:p>
        </w:tc>
        <w:tc>
          <w:tcPr>
            <w:tcW w:w="1158" w:type="pct"/>
          </w:tcPr>
          <w:p w14:paraId="2044B149"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649.6</w:t>
            </w:r>
          </w:p>
        </w:tc>
        <w:tc>
          <w:tcPr>
            <w:tcW w:w="1158" w:type="pct"/>
          </w:tcPr>
          <w:p w14:paraId="0651FB1D"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-0.6</w:t>
            </w:r>
          </w:p>
        </w:tc>
        <w:tc>
          <w:tcPr>
            <w:tcW w:w="840" w:type="pct"/>
          </w:tcPr>
          <w:p w14:paraId="121B46DA"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21.87</w:t>
            </w:r>
          </w:p>
        </w:tc>
      </w:tr>
      <w:tr w:rsidR="009636E6" w:rsidRPr="000227F7" w14:paraId="0D8EAB81" w14:textId="77777777" w:rsidTr="009636E6">
        <w:trPr>
          <w:trHeight w:val="273"/>
        </w:trPr>
        <w:tc>
          <w:tcPr>
            <w:tcW w:w="1155" w:type="pct"/>
          </w:tcPr>
          <w:p w14:paraId="4D7973F4"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2019</w:t>
            </w:r>
          </w:p>
        </w:tc>
        <w:tc>
          <w:tcPr>
            <w:tcW w:w="690" w:type="pct"/>
          </w:tcPr>
          <w:p w14:paraId="47623AB2"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-5.78</w:t>
            </w:r>
          </w:p>
        </w:tc>
        <w:tc>
          <w:tcPr>
            <w:tcW w:w="1158" w:type="pct"/>
          </w:tcPr>
          <w:p w14:paraId="1E729D73"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491.6</w:t>
            </w:r>
          </w:p>
        </w:tc>
        <w:tc>
          <w:tcPr>
            <w:tcW w:w="1158" w:type="pct"/>
          </w:tcPr>
          <w:p w14:paraId="2E0F1600"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-0.2</w:t>
            </w:r>
          </w:p>
        </w:tc>
        <w:tc>
          <w:tcPr>
            <w:tcW w:w="840" w:type="pct"/>
          </w:tcPr>
          <w:p w14:paraId="13CBD3F2"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22.68</w:t>
            </w:r>
          </w:p>
        </w:tc>
      </w:tr>
      <w:tr w:rsidR="009636E6" w:rsidRPr="000227F7" w14:paraId="7C95320A" w14:textId="77777777" w:rsidTr="009636E6">
        <w:trPr>
          <w:trHeight w:val="273"/>
        </w:trPr>
        <w:tc>
          <w:tcPr>
            <w:tcW w:w="1155" w:type="pct"/>
          </w:tcPr>
          <w:p w14:paraId="35563D5E"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2020</w:t>
            </w:r>
          </w:p>
        </w:tc>
        <w:tc>
          <w:tcPr>
            <w:tcW w:w="690" w:type="pct"/>
          </w:tcPr>
          <w:p w14:paraId="487D2041"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-3.85</w:t>
            </w:r>
          </w:p>
        </w:tc>
        <w:tc>
          <w:tcPr>
            <w:tcW w:w="1158" w:type="pct"/>
          </w:tcPr>
          <w:p w14:paraId="034B470B"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649.8</w:t>
            </w:r>
          </w:p>
        </w:tc>
        <w:tc>
          <w:tcPr>
            <w:tcW w:w="1158" w:type="pct"/>
          </w:tcPr>
          <w:p w14:paraId="79F113E9"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-4</w:t>
            </w:r>
          </w:p>
        </w:tc>
        <w:tc>
          <w:tcPr>
            <w:tcW w:w="840" w:type="pct"/>
          </w:tcPr>
          <w:p w14:paraId="3095C437"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19.22</w:t>
            </w:r>
          </w:p>
        </w:tc>
      </w:tr>
      <w:tr w:rsidR="009636E6" w:rsidRPr="000227F7" w14:paraId="47EC85DE" w14:textId="77777777" w:rsidTr="009636E6">
        <w:trPr>
          <w:trHeight w:val="273"/>
        </w:trPr>
        <w:tc>
          <w:tcPr>
            <w:tcW w:w="1155" w:type="pct"/>
          </w:tcPr>
          <w:p w14:paraId="02ADB574"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2021</w:t>
            </w:r>
          </w:p>
        </w:tc>
        <w:tc>
          <w:tcPr>
            <w:tcW w:w="690" w:type="pct"/>
          </w:tcPr>
          <w:p w14:paraId="5D16D484"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-6.55</w:t>
            </w:r>
          </w:p>
        </w:tc>
        <w:tc>
          <w:tcPr>
            <w:tcW w:w="1158" w:type="pct"/>
          </w:tcPr>
          <w:p w14:paraId="4FE3C0B1"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554.9</w:t>
            </w:r>
          </w:p>
        </w:tc>
        <w:tc>
          <w:tcPr>
            <w:tcW w:w="1158" w:type="pct"/>
          </w:tcPr>
          <w:p w14:paraId="6F6436FE"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2.1</w:t>
            </w:r>
          </w:p>
        </w:tc>
        <w:tc>
          <w:tcPr>
            <w:tcW w:w="840" w:type="pct"/>
          </w:tcPr>
          <w:p w14:paraId="729E8F4E"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27.39</w:t>
            </w:r>
          </w:p>
        </w:tc>
      </w:tr>
      <w:tr w:rsidR="009636E6" w:rsidRPr="000227F7" w14:paraId="49CE268A" w14:textId="77777777" w:rsidTr="009636E6">
        <w:trPr>
          <w:trHeight w:val="258"/>
        </w:trPr>
        <w:tc>
          <w:tcPr>
            <w:tcW w:w="1155" w:type="pct"/>
          </w:tcPr>
          <w:p w14:paraId="57D86A17"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2022</w:t>
            </w:r>
          </w:p>
        </w:tc>
        <w:tc>
          <w:tcPr>
            <w:tcW w:w="690" w:type="pct"/>
          </w:tcPr>
          <w:p w14:paraId="246AE965"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-6.32</w:t>
            </w:r>
          </w:p>
        </w:tc>
        <w:tc>
          <w:tcPr>
            <w:tcW w:w="1158" w:type="pct"/>
          </w:tcPr>
          <w:p w14:paraId="348896E4"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506.7</w:t>
            </w:r>
          </w:p>
        </w:tc>
        <w:tc>
          <w:tcPr>
            <w:tcW w:w="1158" w:type="pct"/>
          </w:tcPr>
          <w:p w14:paraId="77118270"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4.2</w:t>
            </w:r>
          </w:p>
        </w:tc>
        <w:tc>
          <w:tcPr>
            <w:tcW w:w="840" w:type="pct"/>
          </w:tcPr>
          <w:p w14:paraId="75C60C2E"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23.6</w:t>
            </w:r>
          </w:p>
        </w:tc>
      </w:tr>
      <w:tr w:rsidR="009636E6" w:rsidRPr="000227F7" w14:paraId="216BF587" w14:textId="77777777" w:rsidTr="009636E6">
        <w:trPr>
          <w:trHeight w:val="273"/>
        </w:trPr>
        <w:tc>
          <w:tcPr>
            <w:tcW w:w="1155" w:type="pct"/>
          </w:tcPr>
          <w:p w14:paraId="04A95048" w14:textId="77777777" w:rsidR="00035D7E" w:rsidRPr="000227F7" w:rsidRDefault="00035D7E" w:rsidP="00764E2B">
            <w:pPr>
              <w:jc w:val="center"/>
              <w:rPr>
                <w:rFonts w:ascii="Times New Roman" w:hAnsi="Times New Roman" w:cs="Times New Roman"/>
                <w:b/>
                <w:color w:val="000000" w:themeColor="text1"/>
              </w:rPr>
            </w:pPr>
            <w:r w:rsidRPr="000227F7">
              <w:rPr>
                <w:rFonts w:ascii="Times New Roman" w:hAnsi="Times New Roman" w:cs="Times New Roman"/>
                <w:color w:val="000000" w:themeColor="text1"/>
              </w:rPr>
              <w:t>2023</w:t>
            </w:r>
          </w:p>
        </w:tc>
        <w:tc>
          <w:tcPr>
            <w:tcW w:w="690" w:type="pct"/>
          </w:tcPr>
          <w:p w14:paraId="6E798CF5"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-2.5</w:t>
            </w:r>
          </w:p>
        </w:tc>
        <w:tc>
          <w:tcPr>
            <w:tcW w:w="1158" w:type="pct"/>
          </w:tcPr>
          <w:p w14:paraId="482172B0"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825.5</w:t>
            </w:r>
          </w:p>
        </w:tc>
        <w:tc>
          <w:tcPr>
            <w:tcW w:w="1158" w:type="pct"/>
          </w:tcPr>
          <w:p w14:paraId="4639A221"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1</w:t>
            </w:r>
          </w:p>
        </w:tc>
        <w:tc>
          <w:tcPr>
            <w:tcW w:w="840" w:type="pct"/>
          </w:tcPr>
          <w:p w14:paraId="2C0D9DD0" w14:textId="77777777" w:rsidR="00035D7E" w:rsidRPr="000227F7" w:rsidRDefault="00035D7E" w:rsidP="00764E2B">
            <w:pPr>
              <w:jc w:val="center"/>
              <w:rPr>
                <w:rFonts w:ascii="Times New Roman" w:hAnsi="Times New Roman" w:cs="Times New Roman"/>
                <w:color w:val="000000" w:themeColor="text1"/>
              </w:rPr>
            </w:pPr>
            <w:r w:rsidRPr="000227F7">
              <w:rPr>
                <w:rFonts w:ascii="Times New Roman" w:hAnsi="Times New Roman" w:cs="Times New Roman"/>
                <w:color w:val="000000" w:themeColor="text1"/>
              </w:rPr>
              <w:t>24.3</w:t>
            </w:r>
          </w:p>
        </w:tc>
      </w:tr>
    </w:tbl>
    <w:p w14:paraId="45B70207" w14:textId="77777777" w:rsidR="00035D7E" w:rsidRPr="000227F7" w:rsidRDefault="00035D7E" w:rsidP="00035D7E">
      <w:pPr>
        <w:rPr>
          <w:rFonts w:ascii="Times New Roman" w:hAnsi="Times New Roman" w:cs="Times New Roman"/>
          <w:color w:val="000000" w:themeColor="text1"/>
          <w:sz w:val="20"/>
          <w:szCs w:val="20"/>
        </w:rPr>
      </w:pPr>
      <w:r w:rsidRPr="000227F7">
        <w:rPr>
          <w:rFonts w:ascii="Times New Roman" w:hAnsi="Times New Roman" w:cs="Times New Roman"/>
          <w:color w:val="000000" w:themeColor="text1"/>
          <w:sz w:val="20"/>
          <w:szCs w:val="20"/>
        </w:rPr>
        <w:t xml:space="preserve">Source:</w:t>
      </w:r>
      <w:r w:rsidR="00764E2B">
        <w:fldChar w:fldCharType="begin"/>
      </w:r>
      <w:r w:rsidR="00764E2B">
        <w:instrText xml:space="preserve"> HYPERLINK "https://pt.countryeconomy.com/governo/juro/angola" </w:instrText>
      </w:r>
      <w:r w:rsidR="00764E2B">
        <w:fldChar w:fldCharType="separate"/>
      </w:r>
      <w:r w:rsidRPr="000227F7">
        <w:rPr>
          <w:rStyle w:val="Hyperlink"/>
          <w:rFonts w:ascii="Times New Roman" w:hAnsi="Times New Roman" w:cs="Times New Roman"/>
          <w:sz w:val="20"/>
          <w:szCs w:val="20"/>
        </w:rPr>
        <w:t>https://pt.countryeconomy.com/governo/juro/angola</w:t>
      </w:r>
      <w:r w:rsidR="00764E2B">
        <w:rPr>
          <w:rStyle w:val="Hyperlink"/>
          <w:rFonts w:ascii="Times New Roman" w:hAnsi="Times New Roman" w:cs="Times New Roman"/>
          <w:sz w:val="20"/>
          <w:szCs w:val="20"/>
        </w:rPr>
        <w:fldChar w:fldCharType="end"/>
      </w:r>
    </w:p>
    <w:p w14:paraId="6EF9F31C" w14:textId="3EFDA051" w:rsidR="00B87671" w:rsidRPr="00B87671" w:rsidRDefault="0039301A" w:rsidP="00AD2F66">
      <w:pPr>
        <w:pStyle w:val="Ttulo1"/>
        <w:rPr>
          <w:lang w:val="pt-BR"/>
        </w:rPr>
      </w:pPr>
      <w:r>
        <w:rPr>
          <w:lang w:val="pt-BR"/>
        </w:rPr>
        <w:t>3.3 Data processing and analysis procedures</w:t>
      </w:r>
    </w:p>
    <w:p w14:paraId="05F06645" w14:textId="4EAD379B" w:rsidR="00B87671" w:rsidRPr="00B87671" w:rsidRDefault="00B87671" w:rsidP="00B87671">
      <w:pPr>
        <w:pStyle w:val="Corpodetexto"/>
        <w:spacing w:line="360" w:lineRule="auto"/>
        <w:jc w:val="both"/>
        <w:rPr>
          <w:rFonts w:ascii="Times New Roman" w:hAnsi="Times New Roman" w:cs="Times New Roman"/>
          <w:lang w:val="pt-BR"/>
        </w:rPr>
      </w:pPr>
      <w:r w:rsidRPr="00B87671">
        <w:rPr>
          <w:rFonts w:ascii="Times New Roman" w:hAnsi="Times New Roman" w:cs="Times New Roman"/>
          <w:lang w:val="pt-BR"/>
        </w:rPr>
        <w:t>The data will be processed and analyzed using the statistical software, EViews, which will facilitate:</w:t>
      </w:r>
      <w:proofErr w:type="spellStart"/>
      <w:proofErr w:type="spellEnd"/>
    </w:p>
    <w:p w14:paraId="72902A86" w14:textId="77777777" w:rsidR="00B87671" w:rsidRPr="00B87671" w:rsidRDefault="00B87671" w:rsidP="00B87671">
      <w:pPr>
        <w:pStyle w:val="Corpodetexto"/>
        <w:numPr>
          <w:ilvl w:val="0"/>
          <w:numId w:val="15"/>
        </w:numPr>
        <w:spacing w:line="360" w:lineRule="auto"/>
        <w:jc w:val="both"/>
        <w:rPr>
          <w:rFonts w:ascii="Times New Roman" w:hAnsi="Times New Roman" w:cs="Times New Roman"/>
          <w:lang w:val="pt-BR"/>
        </w:rPr>
      </w:pPr>
      <w:proofErr w:type="gramStart"/>
      <w:r w:rsidRPr="00B87671">
        <w:rPr>
          <w:rFonts w:ascii="Times New Roman" w:hAnsi="Times New Roman" w:cs="Times New Roman"/>
          <w:lang w:val="pt-BR"/>
        </w:rPr>
        <w:t>Calculate descriptive statistics (means, standard deviations, correlations);</w:t>
      </w:r>
      <w:proofErr w:type="gramEnd"/>
    </w:p>
    <w:p w14:paraId="1FBC3F22" w14:textId="77777777" w:rsidR="00B87671" w:rsidRPr="00B87671" w:rsidRDefault="00B87671" w:rsidP="00B87671">
      <w:pPr>
        <w:pStyle w:val="Corpodetexto"/>
        <w:numPr>
          <w:ilvl w:val="0"/>
          <w:numId w:val="15"/>
        </w:numPr>
        <w:spacing w:line="360" w:lineRule="auto"/>
        <w:jc w:val="both"/>
        <w:rPr>
          <w:rFonts w:ascii="Times New Roman" w:hAnsi="Times New Roman" w:cs="Times New Roman"/>
          <w:lang w:val="pt-BR"/>
        </w:rPr>
      </w:pPr>
      <w:proofErr w:type="gramStart"/>
      <w:r w:rsidRPr="00B87671">
        <w:rPr>
          <w:rFonts w:ascii="Times New Roman" w:hAnsi="Times New Roman" w:cs="Times New Roman"/>
          <w:lang w:val="pt-BR"/>
        </w:rPr>
        <w:t>to estimate the multiple linear regression model;</w:t>
      </w:r>
      <w:proofErr w:type="gramEnd"/>
    </w:p>
    <w:p w14:paraId="13CEB6EC" w14:textId="77777777" w:rsidR="00B87671" w:rsidRPr="00B87671" w:rsidRDefault="00B87671" w:rsidP="00B87671">
      <w:pPr>
        <w:pStyle w:val="Corpodetexto"/>
        <w:numPr>
          <w:ilvl w:val="0"/>
          <w:numId w:val="15"/>
        </w:numPr>
        <w:spacing w:line="360" w:lineRule="auto"/>
        <w:jc w:val="both"/>
        <w:rPr>
          <w:rFonts w:ascii="Times New Roman" w:hAnsi="Times New Roman" w:cs="Times New Roman"/>
          <w:lang w:val="pt-BR"/>
        </w:rPr>
      </w:pPr>
      <w:proofErr w:type="gramStart"/>
      <w:r w:rsidRPr="00B87671">
        <w:rPr>
          <w:rFonts w:ascii="Times New Roman" w:hAnsi="Times New Roman" w:cs="Times New Roman"/>
          <w:lang w:val="pt-BR"/>
        </w:rPr>
        <w:t>and apply statistical significance tests, such as:</w:t>
      </w:r>
      <w:proofErr w:type="gramEnd"/>
    </w:p>
    <w:p w14:paraId="7C4C3EB8" w14:textId="77777777" w:rsidR="00B87671" w:rsidRPr="00B87671" w:rsidRDefault="00B87671" w:rsidP="00B87671">
      <w:pPr>
        <w:pStyle w:val="Corpodetexto"/>
        <w:numPr>
          <w:ilvl w:val="1"/>
          <w:numId w:val="15"/>
        </w:numPr>
        <w:spacing w:line="360" w:lineRule="auto"/>
        <w:jc w:val="both"/>
        <w:rPr>
          <w:rFonts w:ascii="Times New Roman" w:hAnsi="Times New Roman" w:cs="Times New Roman"/>
          <w:lang w:val="pt-BR"/>
        </w:rPr>
      </w:pPr>
      <w:r w:rsidRPr="00B87671">
        <w:rPr>
          <w:rFonts w:ascii="Times New Roman" w:hAnsi="Times New Roman" w:cs="Times New Roman"/>
          <w:lang w:val="pt-BR"/>
        </w:rPr>
        <w:t xml:space="preserve">Student's t-test, to verify the individual significance of the coefficients;</w:t>
      </w:r>
      <w:proofErr w:type="spellStart"/>
      <w:proofErr w:type="spellEnd"/>
    </w:p>
    <w:p w14:paraId="140F0186" w14:textId="77777777" w:rsidR="00B87671" w:rsidRPr="00B87671" w:rsidRDefault="00B87671" w:rsidP="00B87671">
      <w:pPr>
        <w:pStyle w:val="Corpodetexto"/>
        <w:numPr>
          <w:ilvl w:val="1"/>
          <w:numId w:val="15"/>
        </w:numPr>
        <w:spacing w:line="360" w:lineRule="auto"/>
        <w:jc w:val="both"/>
        <w:rPr>
          <w:rFonts w:ascii="Times New Roman" w:hAnsi="Times New Roman" w:cs="Times New Roman"/>
          <w:lang w:val="pt-BR"/>
        </w:rPr>
      </w:pPr>
      <w:r w:rsidRPr="00B87671">
        <w:rPr>
          <w:rFonts w:ascii="Times New Roman" w:hAnsi="Times New Roman" w:cs="Times New Roman"/>
          <w:lang w:val="pt-BR"/>
        </w:rPr>
        <w:t>F-test, for the overall significance of the model;</w:t>
      </w:r>
    </w:p>
    <w:p w14:paraId="1EBA1BB8" w14:textId="77777777" w:rsidR="00B87671" w:rsidRPr="00B87671" w:rsidRDefault="00B87671" w:rsidP="00B87671">
      <w:pPr>
        <w:pStyle w:val="Corpodetexto"/>
        <w:numPr>
          <w:ilvl w:val="1"/>
          <w:numId w:val="15"/>
        </w:numPr>
        <w:spacing w:line="360" w:lineRule="auto"/>
        <w:jc w:val="both"/>
        <w:rPr>
          <w:rFonts w:ascii="Times New Roman" w:hAnsi="Times New Roman" w:cs="Times New Roman"/>
          <w:lang w:val="pt-BR"/>
        </w:rPr>
      </w:pPr>
      <w:r w:rsidRPr="00B87671">
        <w:rPr>
          <w:rFonts w:ascii="Times New Roman" w:hAnsi="Times New Roman" w:cs="Times New Roman"/>
          <w:lang w:val="pt-BR"/>
        </w:rPr>
        <w:t xml:space="preserve">Durbin-Watson test, to detect autocorrelation of residuals;</w:t>
      </w:r>
      <w:proofErr w:type="spellStart"/>
      <w:proofErr w:type="spellEnd"/>
      <w:proofErr w:type="spellStart"/>
      <w:proofErr w:type="spellEnd"/>
      <w:proofErr w:type="spellStart"/>
      <w:proofErr w:type="spellEnd"/>
    </w:p>
    <w:p w14:paraId="64C6117F" w14:textId="77777777" w:rsidR="00B87671" w:rsidRPr="00B87671" w:rsidRDefault="00B87671" w:rsidP="00B87671">
      <w:pPr>
        <w:pStyle w:val="Corpodetexto"/>
        <w:numPr>
          <w:ilvl w:val="1"/>
          <w:numId w:val="15"/>
        </w:numPr>
        <w:spacing w:line="360" w:lineRule="auto"/>
        <w:jc w:val="both"/>
        <w:rPr>
          <w:rFonts w:ascii="Times New Roman" w:hAnsi="Times New Roman" w:cs="Times New Roman"/>
          <w:lang w:val="pt-BR"/>
        </w:rPr>
      </w:pPr>
      <w:proofErr w:type="gramStart"/>
      <w:r w:rsidRPr="00B87671">
        <w:rPr>
          <w:rFonts w:ascii="Times New Roman" w:hAnsi="Times New Roman" w:cs="Times New Roman"/>
          <w:lang w:val="pt-BR"/>
        </w:rPr>
        <w:lastRenderedPageBreak/>
        <w:t>and VIF (Variance Inflation Factor), to assess multicollinearity between variables.</w:t>
      </w:r>
      <w:proofErr w:type="gramEnd"/>
      <w:proofErr w:type="spellStart"/>
      <w:proofErr w:type="spellEnd"/>
      <w:proofErr w:type="spellStart"/>
      <w:proofErr w:type="spellEnd"/>
      <w:proofErr w:type="spellStart"/>
      <w:proofErr w:type="spellEnd"/>
    </w:p>
    <w:p w14:paraId="1D9A230F" w14:textId="77777777" w:rsidR="00B87671" w:rsidRPr="00B87671" w:rsidRDefault="00B87671" w:rsidP="00B87671">
      <w:pPr>
        <w:pStyle w:val="Corpodetexto"/>
        <w:spacing w:line="360" w:lineRule="auto"/>
        <w:jc w:val="both"/>
        <w:rPr>
          <w:rFonts w:ascii="Times New Roman" w:hAnsi="Times New Roman" w:cs="Times New Roman"/>
          <w:lang w:val="pt-BR"/>
        </w:rPr>
      </w:pPr>
      <w:r w:rsidRPr="00B87671">
        <w:rPr>
          <w:rFonts w:ascii="Times New Roman" w:hAnsi="Times New Roman" w:cs="Times New Roman"/>
          <w:lang w:val="pt-BR"/>
        </w:rPr>
        <w:t>Additionally, the adequacy of the model will be evaluated using the coefficient of determination (R²) and the normality adjustment of the residuals, ensuring the robustness of the estimates.</w:t>
      </w:r>
    </w:p>
    <w:p w14:paraId="1D2A4640" w14:textId="0E91F6EF" w:rsidR="00035D7E" w:rsidRPr="000E7099" w:rsidRDefault="0039301A" w:rsidP="00AD2F66">
      <w:pPr>
        <w:pStyle w:val="Ttulo1"/>
      </w:pPr>
      <w:r>
        <w:t>3. Empirical Analysis: Parameter Estimation by Ordinary Least Squares</w:t>
      </w:r>
    </w:p>
    <w:p w14:paraId="79D5CD8D" w14:textId="77777777" w:rsidR="00035D7E" w:rsidRDefault="00035D7E" w:rsidP="0039301A">
      <w:pPr>
        <w:spacing w:before="240" w:line="360" w:lineRule="auto"/>
        <w:jc w:val="both"/>
        <w:rPr>
          <w:rFonts w:ascii="Times New Roman" w:hAnsi="Times New Roman" w:cs="Times New Roman"/>
          <w:bCs/>
          <w:sz w:val="24"/>
          <w:szCs w:val="24"/>
        </w:rPr>
      </w:pPr>
      <w:r w:rsidRPr="000E7099">
        <w:rPr>
          <w:rFonts w:ascii="Times New Roman" w:hAnsi="Times New Roman" w:cs="Times New Roman"/>
          <w:bCs/>
          <w:sz w:val="24"/>
          <w:szCs w:val="24"/>
        </w:rPr>
        <w:t>This section presents the modeling of the GDP growth rate, Foreign Direct Investment (FDI), exchange rate, and trade balance series between 2014 and 2023. After data collection and processing, a series of ten (10) observations was constructed. For this purpose, the exchange rate, FDI, and trade balance (TXCt, IDEt, and BCt) were considered as exogenous variables, and the GDP growth rate () as an endogenous variable, i.e., a function of the exchange rate, Foreign Direct Investment, and trade balance (.</w:t>
      </w:r>
      <m:oMath>
        <m:sSub>
          <m:sSubPr>
            <m:ctrlPr>
              <w:rPr>
                <w:rFonts w:ascii="Cambria Math" w:hAnsi="Cambria Math" w:cs="Times New Roman"/>
                <w:bCs/>
                <w:sz w:val="24"/>
                <w:szCs w:val="24"/>
              </w:rPr>
            </m:ctrlPr>
          </m:sSubPr>
          <m:e>
            <m:r>
              <w:rPr>
                <w:rFonts w:ascii="Cambria Math" w:hAnsi="Cambria Math" w:cs="Times New Roman"/>
                <w:sz w:val="24"/>
                <w:szCs w:val="24"/>
              </w:rPr>
              <m:t>TxCrPIB</m:t>
            </m:r>
          </m:e>
          <m:sub>
            <m:r>
              <w:rPr>
                <w:rFonts w:ascii="Cambria Math" w:hAnsi="Cambria Math" w:cs="Times New Roman"/>
                <w:sz w:val="24"/>
                <w:szCs w:val="24"/>
              </w:rPr>
              <m:t>t</m:t>
            </m:r>
          </m:sub>
        </m:sSub>
      </m:oMath>
      <m:oMath>
        <m:sSub>
          <m:sSubPr>
            <m:ctrlPr>
              <w:rPr>
                <w:rFonts w:ascii="Cambria Math" w:hAnsi="Cambria Math" w:cs="Times New Roman"/>
                <w:bCs/>
                <w:sz w:val="24"/>
                <w:szCs w:val="24"/>
              </w:rPr>
            </m:ctrlPr>
          </m:sSubPr>
          <m:e>
            <m:r>
              <w:rPr>
                <w:rFonts w:ascii="Cambria Math" w:hAnsi="Cambria Math" w:cs="Times New Roman"/>
                <w:sz w:val="24"/>
                <w:szCs w:val="24"/>
              </w:rPr>
              <m:t>TxCrPIB</m:t>
            </m:r>
          </m:e>
          <m:sub>
            <m:r>
              <w:rPr>
                <w:rFonts w:ascii="Cambria Math" w:hAnsi="Cambria Math" w:cs="Times New Roman"/>
                <w:sz w:val="24"/>
                <w:szCs w:val="24"/>
              </w:rPr>
              <m:t>t</m:t>
            </m:r>
          </m:sub>
        </m:sSub>
        <m:r>
          <w:rPr>
            <w:rFonts w:ascii="Cambria Math" w:hAnsi="Cambria Math" w:cs="Times New Roman"/>
            <w:sz w:val="24"/>
            <w:szCs w:val="24"/>
          </w:rPr>
          <m:t>=f(TXCt, IDEt e BCt))</m:t>
        </m:r>
      </m:oMath>
    </w:p>
    <w:p w14:paraId="64723523" w14:textId="77777777" w:rsidR="009C7324" w:rsidRPr="000E7099" w:rsidRDefault="009C7324" w:rsidP="009C7324">
      <w:pPr>
        <w:spacing w:line="360" w:lineRule="auto"/>
        <w:jc w:val="both"/>
        <w:rPr>
          <w:rFonts w:ascii="Times New Roman" w:hAnsi="Times New Roman" w:cs="Times New Roman"/>
          <w:sz w:val="24"/>
          <w:szCs w:val="24"/>
        </w:rPr>
      </w:pPr>
      <w:bookmarkStart w:id="4" w:name="_Toc193052050"/>
      <w:r w:rsidRPr="000E7099">
        <w:rPr>
          <w:rFonts w:ascii="Times New Roman" w:hAnsi="Times New Roman" w:cs="Times New Roman"/>
          <w:sz w:val="24"/>
          <w:szCs w:val="24"/>
        </w:rPr>
        <w:t xml:space="preserve">Figure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Figura \* ARABIC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1</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 Evolutionary behavior of GDP growth rate, exchange rate, and the Trade Balance and Foreign Direct Investment in the period 2014-2023.</w:t>
      </w:r>
      <w:bookmarkEnd w:id="4"/>
    </w:p>
    <w:p w14:paraId="1A3BA54B" w14:textId="77777777" w:rsidR="00035D7E" w:rsidRPr="000E7099" w:rsidRDefault="00035D7E" w:rsidP="00035D7E">
      <w:pPr>
        <w:spacing w:line="360" w:lineRule="auto"/>
        <w:jc w:val="both"/>
        <w:rPr>
          <w:rFonts w:ascii="Times New Roman" w:hAnsi="Times New Roman" w:cs="Times New Roman"/>
          <w:bCs/>
          <w:sz w:val="24"/>
          <w:szCs w:val="24"/>
        </w:rPr>
      </w:pPr>
      <w:r w:rsidRPr="000E7099">
        <w:rPr>
          <w:rFonts w:ascii="Times New Roman" w:hAnsi="Times New Roman" w:cs="Times New Roman"/>
          <w:bCs/>
          <w:noProof/>
          <w:sz w:val="24"/>
          <w:szCs w:val="24"/>
          <w:lang w:val="pt-BR" w:eastAsia="pt-BR"/>
        </w:rPr>
        <w:drawing>
          <wp:inline distT="0" distB="0" distL="0" distR="0" wp14:anchorId="557EAE59" wp14:editId="02AD28A2">
            <wp:extent cx="5514974" cy="3066415"/>
            <wp:effectExtent l="0" t="0" r="0" b="0"/>
            <wp:docPr id="277" name="Imagem 277"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m 277" descr="Gráfic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557" cy="3092872"/>
                    </a:xfrm>
                    <a:prstGeom prst="rect">
                      <a:avLst/>
                    </a:prstGeom>
                    <a:noFill/>
                  </pic:spPr>
                </pic:pic>
              </a:graphicData>
            </a:graphic>
          </wp:inline>
        </w:drawing>
      </w:r>
    </w:p>
    <w:p w14:paraId="3DD83F9A" w14:textId="77777777" w:rsidR="00035D7E" w:rsidRPr="000E7099" w:rsidRDefault="00035D7E" w:rsidP="00035D7E">
      <w:pPr>
        <w:spacing w:line="360" w:lineRule="auto"/>
        <w:jc w:val="both"/>
        <w:rPr>
          <w:rFonts w:ascii="Times New Roman" w:hAnsi="Times New Roman" w:cs="Times New Roman"/>
          <w:bCs/>
          <w:sz w:val="24"/>
          <w:szCs w:val="24"/>
        </w:rPr>
      </w:pPr>
      <w:r w:rsidRPr="000E7099">
        <w:rPr>
          <w:rFonts w:ascii="Times New Roman" w:hAnsi="Times New Roman" w:cs="Times New Roman"/>
          <w:i/>
          <w:iCs/>
          <w:sz w:val="24"/>
          <w:szCs w:val="24"/>
        </w:rPr>
        <w:t>Source: Own elaboration based on Gretl.</w:t>
      </w:r>
    </w:p>
    <w:p w14:paraId="2C0CD548" w14:textId="77777777" w:rsidR="00035D7E" w:rsidRDefault="00035D7E" w:rsidP="00035D7E">
      <w:pPr>
        <w:spacing w:line="360" w:lineRule="auto"/>
        <w:jc w:val="both"/>
        <w:rPr>
          <w:rFonts w:ascii="Times New Roman" w:hAnsi="Times New Roman" w:cs="Times New Roman"/>
          <w:bCs/>
          <w:sz w:val="24"/>
          <w:szCs w:val="24"/>
        </w:rPr>
      </w:pPr>
      <w:r w:rsidRPr="000E7099">
        <w:rPr>
          <w:rFonts w:ascii="Times New Roman" w:hAnsi="Times New Roman" w:cs="Times New Roman"/>
          <w:bCs/>
          <w:sz w:val="24"/>
          <w:szCs w:val="24"/>
        </w:rPr>
        <w:lastRenderedPageBreak/>
        <w:t>It is noticeable from the figure that there is a generally increasing trend between the exchange rate (depreciation) and the trade balance, although not to the same extent. However, it appears that as Angola recorded unit variations in the USD/AOA exchange rate, both appreciating and depreciating, there was a corresponding increase in the export rates of goods and services, particularly oil. As a consequence, given the manipulation of the Central Bank's (BNA) actions via monetary policy to control inflation and maintain a stable exchange rate, the product experienced unsatisfactory growth rates, fundamentally in the last five years of the period under analysis.</w:t>
      </w:r>
    </w:p>
    <w:p w14:paraId="035EF8F0" w14:textId="77777777" w:rsidR="00035D7E" w:rsidRPr="000E7099" w:rsidRDefault="00035D7E" w:rsidP="00035D7E">
      <w:pPr>
        <w:spacing w:line="360" w:lineRule="auto"/>
        <w:jc w:val="both"/>
        <w:rPr>
          <w:rFonts w:ascii="Times New Roman" w:hAnsi="Times New Roman" w:cs="Times New Roman"/>
          <w:bCs/>
          <w:sz w:val="24"/>
          <w:szCs w:val="24"/>
        </w:rPr>
      </w:pPr>
      <w:bookmarkStart w:id="5" w:name="_Toc193051438"/>
      <w:r w:rsidRPr="000E7099">
        <w:rPr>
          <w:rFonts w:ascii="Times New Roman" w:hAnsi="Times New Roman" w:cs="Times New Roman"/>
          <w:sz w:val="24"/>
          <w:szCs w:val="24"/>
        </w:rPr>
        <w:t xml:space="preserve">Table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Tabela \* ROMAN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V</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 Descriptive statistics, using observations from 2014-2023.</w:t>
      </w:r>
      <w:bookmarkEnd w:id="5"/>
    </w:p>
    <w:tbl>
      <w:tblPr>
        <w:tblW w:w="5000" w:type="pct"/>
        <w:jc w:val="center"/>
        <w:tblCellMar>
          <w:left w:w="60" w:type="dxa"/>
          <w:right w:w="60" w:type="dxa"/>
        </w:tblCellMar>
        <w:tblLook w:val="0000" w:firstRow="0" w:lastRow="0" w:firstColumn="0" w:lastColumn="0" w:noHBand="0" w:noVBand="0"/>
      </w:tblPr>
      <w:tblGrid>
        <w:gridCol w:w="1916"/>
        <w:gridCol w:w="1411"/>
        <w:gridCol w:w="1412"/>
        <w:gridCol w:w="1412"/>
        <w:gridCol w:w="1412"/>
        <w:gridCol w:w="941"/>
      </w:tblGrid>
      <w:tr w:rsidR="00035D7E" w:rsidRPr="005D1DAF" w14:paraId="183C96A7" w14:textId="77777777" w:rsidTr="005D1DAF">
        <w:trPr>
          <w:trHeight w:val="262"/>
          <w:jc w:val="center"/>
        </w:trPr>
        <w:tc>
          <w:tcPr>
            <w:tcW w:w="1127" w:type="pct"/>
            <w:tcBorders>
              <w:top w:val="single" w:sz="4" w:space="0" w:color="auto"/>
              <w:left w:val="nil"/>
              <w:bottom w:val="single" w:sz="4" w:space="0" w:color="auto"/>
              <w:right w:val="nil"/>
            </w:tcBorders>
          </w:tcPr>
          <w:p w14:paraId="6D80B121"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Variable</w:t>
            </w:r>
          </w:p>
        </w:tc>
        <w:tc>
          <w:tcPr>
            <w:tcW w:w="830" w:type="pct"/>
            <w:tcBorders>
              <w:top w:val="single" w:sz="4" w:space="0" w:color="auto"/>
              <w:left w:val="nil"/>
              <w:bottom w:val="single" w:sz="4" w:space="0" w:color="auto"/>
              <w:right w:val="nil"/>
            </w:tcBorders>
          </w:tcPr>
          <w:p w14:paraId="7D1823B0"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Average</w:t>
            </w:r>
          </w:p>
        </w:tc>
        <w:tc>
          <w:tcPr>
            <w:tcW w:w="830" w:type="pct"/>
            <w:tcBorders>
              <w:top w:val="single" w:sz="4" w:space="0" w:color="auto"/>
              <w:left w:val="nil"/>
              <w:bottom w:val="single" w:sz="4" w:space="0" w:color="auto"/>
              <w:right w:val="nil"/>
            </w:tcBorders>
          </w:tcPr>
          <w:p w14:paraId="221E1BF0"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Median</w:t>
            </w:r>
          </w:p>
        </w:tc>
        <w:tc>
          <w:tcPr>
            <w:tcW w:w="830" w:type="pct"/>
            <w:tcBorders>
              <w:top w:val="single" w:sz="4" w:space="0" w:color="auto"/>
              <w:left w:val="nil"/>
              <w:bottom w:val="single" w:sz="4" w:space="0" w:color="auto"/>
              <w:right w:val="nil"/>
            </w:tcBorders>
          </w:tcPr>
          <w:p w14:paraId="7822898C"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DP</w:t>
            </w:r>
          </w:p>
        </w:tc>
        <w:tc>
          <w:tcPr>
            <w:tcW w:w="830" w:type="pct"/>
            <w:tcBorders>
              <w:top w:val="single" w:sz="4" w:space="0" w:color="auto"/>
              <w:left w:val="nil"/>
              <w:bottom w:val="single" w:sz="4" w:space="0" w:color="auto"/>
              <w:right w:val="nil"/>
            </w:tcBorders>
          </w:tcPr>
          <w:p w14:paraId="6003A503"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Min</w:t>
            </w:r>
          </w:p>
        </w:tc>
        <w:tc>
          <w:tcPr>
            <w:tcW w:w="553" w:type="pct"/>
            <w:tcBorders>
              <w:top w:val="single" w:sz="4" w:space="0" w:color="auto"/>
              <w:left w:val="nil"/>
              <w:bottom w:val="single" w:sz="4" w:space="0" w:color="auto"/>
              <w:right w:val="nil"/>
            </w:tcBorders>
          </w:tcPr>
          <w:p w14:paraId="06DE4653"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Max</w:t>
            </w:r>
          </w:p>
        </w:tc>
      </w:tr>
      <w:tr w:rsidR="00035D7E" w:rsidRPr="005D1DAF" w14:paraId="46731076" w14:textId="77777777" w:rsidTr="005D1DAF">
        <w:trPr>
          <w:trHeight w:val="454"/>
          <w:jc w:val="center"/>
        </w:trPr>
        <w:tc>
          <w:tcPr>
            <w:tcW w:w="1127" w:type="pct"/>
            <w:tcBorders>
              <w:top w:val="single" w:sz="4" w:space="0" w:color="auto"/>
              <w:left w:val="nil"/>
              <w:bottom w:val="nil"/>
              <w:right w:val="nil"/>
            </w:tcBorders>
          </w:tcPr>
          <w:p w14:paraId="676C367E"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Varpib</w:t>
            </w:r>
          </w:p>
        </w:tc>
        <w:tc>
          <w:tcPr>
            <w:tcW w:w="830" w:type="pct"/>
            <w:tcBorders>
              <w:top w:val="single" w:sz="4" w:space="0" w:color="auto"/>
              <w:left w:val="nil"/>
              <w:bottom w:val="nil"/>
              <w:right w:val="nil"/>
            </w:tcBorders>
          </w:tcPr>
          <w:p w14:paraId="3D7377F5"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0.620</w:t>
            </w:r>
          </w:p>
        </w:tc>
        <w:tc>
          <w:tcPr>
            <w:tcW w:w="830" w:type="pct"/>
            <w:tcBorders>
              <w:top w:val="single" w:sz="4" w:space="0" w:color="auto"/>
              <w:left w:val="nil"/>
              <w:bottom w:val="nil"/>
              <w:right w:val="nil"/>
            </w:tcBorders>
          </w:tcPr>
          <w:p w14:paraId="11CDD955"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0.350</w:t>
            </w:r>
          </w:p>
        </w:tc>
        <w:tc>
          <w:tcPr>
            <w:tcW w:w="830" w:type="pct"/>
            <w:tcBorders>
              <w:top w:val="single" w:sz="4" w:space="0" w:color="auto"/>
              <w:left w:val="nil"/>
              <w:bottom w:val="nil"/>
              <w:right w:val="nil"/>
            </w:tcBorders>
          </w:tcPr>
          <w:p w14:paraId="211757DD"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2.61</w:t>
            </w:r>
          </w:p>
        </w:tc>
        <w:tc>
          <w:tcPr>
            <w:tcW w:w="830" w:type="pct"/>
            <w:tcBorders>
              <w:top w:val="single" w:sz="4" w:space="0" w:color="auto"/>
              <w:left w:val="nil"/>
              <w:bottom w:val="nil"/>
              <w:right w:val="nil"/>
            </w:tcBorders>
          </w:tcPr>
          <w:p w14:paraId="179285CA"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-4.00</w:t>
            </w:r>
          </w:p>
        </w:tc>
        <w:tc>
          <w:tcPr>
            <w:tcW w:w="553" w:type="pct"/>
            <w:tcBorders>
              <w:top w:val="single" w:sz="4" w:space="0" w:color="auto"/>
              <w:left w:val="nil"/>
              <w:bottom w:val="nil"/>
              <w:right w:val="nil"/>
            </w:tcBorders>
          </w:tcPr>
          <w:p w14:paraId="6B235B51"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4.70</w:t>
            </w:r>
          </w:p>
        </w:tc>
      </w:tr>
      <w:tr w:rsidR="00035D7E" w:rsidRPr="005D1DAF" w14:paraId="0EAE9EB5" w14:textId="77777777" w:rsidTr="005D1DAF">
        <w:trPr>
          <w:trHeight w:val="454"/>
          <w:jc w:val="center"/>
        </w:trPr>
        <w:tc>
          <w:tcPr>
            <w:tcW w:w="1127" w:type="pct"/>
            <w:tcBorders>
              <w:top w:val="nil"/>
              <w:left w:val="nil"/>
              <w:right w:val="nil"/>
            </w:tcBorders>
          </w:tcPr>
          <w:p w14:paraId="474B5735"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Txcambio</w:t>
            </w:r>
          </w:p>
        </w:tc>
        <w:tc>
          <w:tcPr>
            <w:tcW w:w="830" w:type="pct"/>
            <w:tcBorders>
              <w:top w:val="nil"/>
              <w:left w:val="nil"/>
              <w:right w:val="nil"/>
            </w:tcBorders>
          </w:tcPr>
          <w:p w14:paraId="305D6C03"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425</w:t>
            </w:r>
          </w:p>
        </w:tc>
        <w:tc>
          <w:tcPr>
            <w:tcW w:w="830" w:type="pct"/>
            <w:tcBorders>
              <w:top w:val="nil"/>
              <w:left w:val="nil"/>
              <w:right w:val="nil"/>
            </w:tcBorders>
          </w:tcPr>
          <w:p w14:paraId="0B058E2D"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499</w:t>
            </w:r>
          </w:p>
        </w:tc>
        <w:tc>
          <w:tcPr>
            <w:tcW w:w="830" w:type="pct"/>
            <w:tcBorders>
              <w:top w:val="nil"/>
              <w:left w:val="nil"/>
              <w:right w:val="nil"/>
            </w:tcBorders>
          </w:tcPr>
          <w:p w14:paraId="6F2C1B14"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261</w:t>
            </w:r>
          </w:p>
        </w:tc>
        <w:tc>
          <w:tcPr>
            <w:tcW w:w="830" w:type="pct"/>
            <w:tcBorders>
              <w:top w:val="nil"/>
              <w:left w:val="nil"/>
              <w:right w:val="nil"/>
            </w:tcBorders>
          </w:tcPr>
          <w:p w14:paraId="0A17BA17"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103</w:t>
            </w:r>
          </w:p>
        </w:tc>
        <w:tc>
          <w:tcPr>
            <w:tcW w:w="553" w:type="pct"/>
            <w:tcBorders>
              <w:top w:val="nil"/>
              <w:left w:val="nil"/>
              <w:right w:val="nil"/>
            </w:tcBorders>
          </w:tcPr>
          <w:p w14:paraId="4B4AC684"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826</w:t>
            </w:r>
          </w:p>
        </w:tc>
      </w:tr>
      <w:tr w:rsidR="00035D7E" w:rsidRPr="005D1DAF" w14:paraId="2E5109C2" w14:textId="77777777" w:rsidTr="005D1DAF">
        <w:trPr>
          <w:trHeight w:val="454"/>
          <w:jc w:val="center"/>
        </w:trPr>
        <w:tc>
          <w:tcPr>
            <w:tcW w:w="1127" w:type="pct"/>
            <w:tcBorders>
              <w:top w:val="nil"/>
              <w:left w:val="nil"/>
              <w:bottom w:val="nil"/>
              <w:right w:val="nil"/>
            </w:tcBorders>
          </w:tcPr>
          <w:p w14:paraId="5C0B36AE"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Invextr</w:t>
            </w:r>
          </w:p>
        </w:tc>
        <w:tc>
          <w:tcPr>
            <w:tcW w:w="830" w:type="pct"/>
            <w:tcBorders>
              <w:top w:val="nil"/>
              <w:left w:val="nil"/>
              <w:bottom w:val="nil"/>
              <w:right w:val="nil"/>
            </w:tcBorders>
          </w:tcPr>
          <w:p w14:paraId="353DA281"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-4.56</w:t>
            </w:r>
          </w:p>
        </w:tc>
        <w:tc>
          <w:tcPr>
            <w:tcW w:w="830" w:type="pct"/>
            <w:tcBorders>
              <w:top w:val="nil"/>
              <w:left w:val="nil"/>
              <w:bottom w:val="nil"/>
              <w:right w:val="nil"/>
            </w:tcBorders>
          </w:tcPr>
          <w:p w14:paraId="188FFAEB"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-4.82</w:t>
            </w:r>
          </w:p>
        </w:tc>
        <w:tc>
          <w:tcPr>
            <w:tcW w:w="830" w:type="pct"/>
            <w:tcBorders>
              <w:top w:val="nil"/>
              <w:left w:val="nil"/>
              <w:bottom w:val="nil"/>
              <w:right w:val="nil"/>
            </w:tcBorders>
          </w:tcPr>
          <w:p w14:paraId="6699CADB"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3.35</w:t>
            </w:r>
          </w:p>
        </w:tc>
        <w:tc>
          <w:tcPr>
            <w:tcW w:w="830" w:type="pct"/>
            <w:tcBorders>
              <w:top w:val="nil"/>
              <w:left w:val="nil"/>
              <w:bottom w:val="nil"/>
              <w:right w:val="nil"/>
            </w:tcBorders>
          </w:tcPr>
          <w:p w14:paraId="35082A52"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-10.0</w:t>
            </w:r>
          </w:p>
        </w:tc>
        <w:tc>
          <w:tcPr>
            <w:tcW w:w="553" w:type="pct"/>
            <w:tcBorders>
              <w:top w:val="nil"/>
              <w:left w:val="nil"/>
              <w:bottom w:val="nil"/>
              <w:right w:val="nil"/>
            </w:tcBorders>
          </w:tcPr>
          <w:p w14:paraId="154C61CF"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0.100</w:t>
            </w:r>
          </w:p>
        </w:tc>
      </w:tr>
      <w:tr w:rsidR="00035D7E" w:rsidRPr="005D1DAF" w14:paraId="48EE965C" w14:textId="77777777" w:rsidTr="005D1DAF">
        <w:trPr>
          <w:trHeight w:val="454"/>
          <w:jc w:val="center"/>
        </w:trPr>
        <w:tc>
          <w:tcPr>
            <w:tcW w:w="1127" w:type="pct"/>
            <w:tcBorders>
              <w:top w:val="nil"/>
              <w:left w:val="nil"/>
              <w:bottom w:val="single" w:sz="4" w:space="0" w:color="auto"/>
              <w:right w:val="nil"/>
            </w:tcBorders>
          </w:tcPr>
          <w:p w14:paraId="75F01CDB"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BC</w:t>
            </w:r>
          </w:p>
        </w:tc>
        <w:tc>
          <w:tcPr>
            <w:tcW w:w="830" w:type="pct"/>
            <w:tcBorders>
              <w:top w:val="nil"/>
              <w:left w:val="nil"/>
              <w:bottom w:val="single" w:sz="4" w:space="0" w:color="auto"/>
              <w:right w:val="nil"/>
            </w:tcBorders>
          </w:tcPr>
          <w:p w14:paraId="17900568"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19.4</w:t>
            </w:r>
          </w:p>
        </w:tc>
        <w:tc>
          <w:tcPr>
            <w:tcW w:w="830" w:type="pct"/>
            <w:tcBorders>
              <w:top w:val="nil"/>
              <w:left w:val="nil"/>
              <w:bottom w:val="single" w:sz="4" w:space="0" w:color="auto"/>
              <w:right w:val="nil"/>
            </w:tcBorders>
          </w:tcPr>
          <w:p w14:paraId="0B2C2666"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20.5</w:t>
            </w:r>
          </w:p>
        </w:tc>
        <w:tc>
          <w:tcPr>
            <w:tcW w:w="830" w:type="pct"/>
            <w:tcBorders>
              <w:top w:val="nil"/>
              <w:left w:val="nil"/>
              <w:bottom w:val="single" w:sz="4" w:space="0" w:color="auto"/>
              <w:right w:val="nil"/>
            </w:tcBorders>
          </w:tcPr>
          <w:p w14:paraId="37C9D2B3"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5.69</w:t>
            </w:r>
          </w:p>
        </w:tc>
        <w:tc>
          <w:tcPr>
            <w:tcW w:w="830" w:type="pct"/>
            <w:tcBorders>
              <w:top w:val="nil"/>
              <w:left w:val="nil"/>
              <w:bottom w:val="single" w:sz="4" w:space="0" w:color="auto"/>
              <w:right w:val="nil"/>
            </w:tcBorders>
          </w:tcPr>
          <w:p w14:paraId="54A4E6FB"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9.49</w:t>
            </w:r>
          </w:p>
        </w:tc>
        <w:tc>
          <w:tcPr>
            <w:tcW w:w="553" w:type="pct"/>
            <w:tcBorders>
              <w:top w:val="nil"/>
              <w:left w:val="nil"/>
              <w:bottom w:val="single" w:sz="4" w:space="0" w:color="auto"/>
              <w:right w:val="nil"/>
            </w:tcBorders>
          </w:tcPr>
          <w:p w14:paraId="553E0FBD" w14:textId="77777777" w:rsidR="00035D7E" w:rsidRPr="005D1DAF" w:rsidRDefault="00035D7E" w:rsidP="005D1DAF">
            <w:pPr>
              <w:pStyle w:val="SemEspaamento"/>
              <w:rPr>
                <w:rFonts w:ascii="Times New Roman" w:hAnsi="Times New Roman" w:cs="Times New Roman"/>
                <w:sz w:val="24"/>
                <w:szCs w:val="24"/>
              </w:rPr>
            </w:pPr>
            <w:r w:rsidRPr="005D1DAF">
              <w:rPr>
                <w:rFonts w:ascii="Times New Roman" w:hAnsi="Times New Roman" w:cs="Times New Roman"/>
                <w:sz w:val="24"/>
                <w:szCs w:val="24"/>
              </w:rPr>
              <w:t>27.4</w:t>
            </w:r>
          </w:p>
        </w:tc>
      </w:tr>
    </w:tbl>
    <w:p w14:paraId="040B12F4"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 xml:space="preserve">          Source: Own elaboration based on Gretl</w:t>
      </w:r>
    </w:p>
    <w:p w14:paraId="37E2D1B7"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 xml:space="preserve">Table V shows the mean, median, minimum, and maximum values ​​of the variables studied, as well as the standard deviation around the mean.</w:t>
      </w:r>
    </w:p>
    <w:p w14:paraId="1394205E"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 xml:space="preserve">Visual inspection reveals that the minimum and maximum values ​​for the GDP growth rate during the period 2014-2023 were approximately -4 and 4.70 percentage points per billion Kwanzas, respectively. Consequently, the indicator dividing the GDP value into two equal parts was 0.35 percentage points, and the average value observed was 0.62 percent per billion Kwanzas, with a deviation around the average of 2.61 percent per billion Kwanzas.</w:t>
      </w:r>
    </w:p>
    <w:p w14:paraId="34AA632E"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 xml:space="preserve">Regarding the exchange rate, 103 USD/AOA and 826 USD/AOA correspond to the minimum and maximum values ​​observed during the period under analysis, while the median is 499 USD/AOA and 425 USD/AOA corresponds to the average value of this variable with a deviation around the average of 261 USD/AOA monetary units.</w:t>
      </w:r>
    </w:p>
    <w:p w14:paraId="07ABBBEC"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Foreign Direct Investment, its minimum and maximum values ​​observed in the aforementioned period were -10.0 and 0.1 percent, respectively, with the value divided into two equal parts being -4.82 percent, having an average value of 4.56 and a deviation around the average of 3.35 percent.</w:t>
      </w:r>
    </w:p>
    <w:p w14:paraId="625508E6"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lastRenderedPageBreak/>
        <w:t>The trade balance recorded a minimum and maximum value of 9.49 and 27.4 percent of one billion Kwanzas, respectively. On average, the value of the net export balance was 19.4 percentage points of one billion Kwanzas. The value that divides the volume of the balance of transactions in goods and services into two equal parts was 20.5 percent, and the deviation around the average was 5.59 percentage points of one billion Kwanzas.</w:t>
      </w:r>
    </w:p>
    <w:p w14:paraId="73435A49" w14:textId="13629CE2" w:rsidR="00035D7E" w:rsidRPr="000E7099" w:rsidRDefault="00035D7E" w:rsidP="00035D7E">
      <w:pPr>
        <w:spacing w:line="360" w:lineRule="auto"/>
        <w:jc w:val="both"/>
        <w:rPr>
          <w:rFonts w:ascii="Times New Roman" w:hAnsi="Times New Roman" w:cs="Times New Roman"/>
          <w:sz w:val="24"/>
          <w:szCs w:val="24"/>
        </w:rPr>
      </w:pPr>
      <w:bookmarkStart w:id="6" w:name="_Toc193051439"/>
      <w:r w:rsidRPr="000E7099">
        <w:rPr>
          <w:rFonts w:ascii="Times New Roman" w:hAnsi="Times New Roman" w:cs="Times New Roman"/>
          <w:sz w:val="24"/>
          <w:szCs w:val="24"/>
        </w:rPr>
        <w:t xml:space="preserve">Table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Tabela \* ROMAN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VI</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 Model 1: Least Squares (OLS), using observations from 2015-2023 (T = 9) Dependent variable: TxCrPIB.</w:t>
      </w:r>
      <w:bookmarkEnd w:id="6"/>
    </w:p>
    <w:tbl>
      <w:tblPr>
        <w:tblW w:w="5000" w:type="pct"/>
        <w:jc w:val="center"/>
        <w:tblCellMar>
          <w:left w:w="30" w:type="dxa"/>
          <w:right w:w="30" w:type="dxa"/>
        </w:tblCellMar>
        <w:tblLook w:val="0000" w:firstRow="0" w:lastRow="0" w:firstColumn="0" w:lastColumn="0" w:noHBand="0" w:noVBand="0"/>
      </w:tblPr>
      <w:tblGrid>
        <w:gridCol w:w="1616"/>
        <w:gridCol w:w="2148"/>
        <w:gridCol w:w="2143"/>
        <w:gridCol w:w="1301"/>
        <w:gridCol w:w="1296"/>
      </w:tblGrid>
      <w:tr w:rsidR="005D1DAF" w:rsidRPr="005D1DAF" w14:paraId="74015E7C" w14:textId="77777777" w:rsidTr="005D1DAF">
        <w:trPr>
          <w:trHeight w:val="227"/>
          <w:jc w:val="center"/>
        </w:trPr>
        <w:tc>
          <w:tcPr>
            <w:tcW w:w="950" w:type="pct"/>
            <w:tcBorders>
              <w:top w:val="single" w:sz="4" w:space="0" w:color="auto"/>
              <w:left w:val="nil"/>
              <w:bottom w:val="single" w:sz="4" w:space="0" w:color="auto"/>
              <w:right w:val="nil"/>
            </w:tcBorders>
          </w:tcPr>
          <w:p w14:paraId="79EB9096"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 xml:space="preserve"> </w:t>
            </w:r>
          </w:p>
        </w:tc>
        <w:tc>
          <w:tcPr>
            <w:tcW w:w="1263" w:type="pct"/>
            <w:tcBorders>
              <w:top w:val="single" w:sz="4" w:space="0" w:color="auto"/>
              <w:left w:val="nil"/>
              <w:bottom w:val="single" w:sz="4" w:space="0" w:color="auto"/>
              <w:right w:val="nil"/>
            </w:tcBorders>
          </w:tcPr>
          <w:p w14:paraId="5D16C440"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Coefficient</w:t>
            </w:r>
          </w:p>
        </w:tc>
        <w:tc>
          <w:tcPr>
            <w:tcW w:w="1260" w:type="pct"/>
            <w:tcBorders>
              <w:top w:val="single" w:sz="4" w:space="0" w:color="auto"/>
              <w:left w:val="nil"/>
              <w:bottom w:val="single" w:sz="4" w:space="0" w:color="auto"/>
              <w:right w:val="nil"/>
            </w:tcBorders>
          </w:tcPr>
          <w:p w14:paraId="4D73AB88"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Standard Error</w:t>
            </w:r>
          </w:p>
        </w:tc>
        <w:tc>
          <w:tcPr>
            <w:tcW w:w="765" w:type="pct"/>
            <w:tcBorders>
              <w:top w:val="single" w:sz="4" w:space="0" w:color="auto"/>
              <w:left w:val="nil"/>
              <w:bottom w:val="single" w:sz="4" w:space="0" w:color="auto"/>
              <w:right w:val="nil"/>
            </w:tcBorders>
          </w:tcPr>
          <w:p w14:paraId="698869E7"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t-ratio</w:t>
            </w:r>
          </w:p>
        </w:tc>
        <w:tc>
          <w:tcPr>
            <w:tcW w:w="763" w:type="pct"/>
            <w:tcBorders>
              <w:top w:val="single" w:sz="4" w:space="0" w:color="auto"/>
              <w:left w:val="nil"/>
              <w:bottom w:val="single" w:sz="4" w:space="0" w:color="auto"/>
              <w:right w:val="nil"/>
            </w:tcBorders>
          </w:tcPr>
          <w:p w14:paraId="3153B988" w14:textId="4F993803" w:rsidR="00035D7E" w:rsidRPr="005D1DAF" w:rsidRDefault="005D1DAF" w:rsidP="005D1DAF">
            <w:pPr>
              <w:pStyle w:val="SemEspaamento"/>
              <w:spacing w:line="276" w:lineRule="auto"/>
              <w:rPr>
                <w:rFonts w:ascii="Times New Roman" w:hAnsi="Times New Roman" w:cs="Times New Roman"/>
                <w:sz w:val="24"/>
                <w:szCs w:val="24"/>
              </w:rPr>
            </w:pPr>
            <w:r>
              <w:rPr>
                <w:rFonts w:ascii="Times New Roman" w:hAnsi="Times New Roman" w:cs="Times New Roman"/>
                <w:sz w:val="24"/>
                <w:szCs w:val="24"/>
              </w:rPr>
              <w:t>p-value</w:t>
            </w:r>
          </w:p>
        </w:tc>
      </w:tr>
      <w:tr w:rsidR="005D1DAF" w:rsidRPr="005D1DAF" w14:paraId="479C715D" w14:textId="77777777" w:rsidTr="005D1DAF">
        <w:trPr>
          <w:trHeight w:val="227"/>
          <w:jc w:val="center"/>
        </w:trPr>
        <w:tc>
          <w:tcPr>
            <w:tcW w:w="950" w:type="pct"/>
            <w:tcBorders>
              <w:top w:val="single" w:sz="4" w:space="0" w:color="auto"/>
              <w:left w:val="nil"/>
              <w:bottom w:val="nil"/>
              <w:right w:val="nil"/>
            </w:tcBorders>
          </w:tcPr>
          <w:p w14:paraId="7392B135"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Const</w:t>
            </w:r>
          </w:p>
        </w:tc>
        <w:tc>
          <w:tcPr>
            <w:tcW w:w="1263" w:type="pct"/>
            <w:tcBorders>
              <w:top w:val="single" w:sz="4" w:space="0" w:color="auto"/>
              <w:left w:val="nil"/>
              <w:bottom w:val="nil"/>
              <w:right w:val="nil"/>
            </w:tcBorders>
          </w:tcPr>
          <w:p w14:paraId="5DA52953"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-9.53518</w:t>
            </w:r>
          </w:p>
        </w:tc>
        <w:tc>
          <w:tcPr>
            <w:tcW w:w="1260" w:type="pct"/>
            <w:tcBorders>
              <w:top w:val="single" w:sz="4" w:space="0" w:color="auto"/>
              <w:left w:val="nil"/>
              <w:bottom w:val="nil"/>
              <w:right w:val="nil"/>
            </w:tcBorders>
          </w:tcPr>
          <w:p w14:paraId="242F44B9"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1.56175</w:t>
            </w:r>
          </w:p>
        </w:tc>
        <w:tc>
          <w:tcPr>
            <w:tcW w:w="765" w:type="pct"/>
            <w:tcBorders>
              <w:top w:val="single" w:sz="4" w:space="0" w:color="auto"/>
              <w:left w:val="nil"/>
              <w:bottom w:val="nil"/>
              <w:right w:val="nil"/>
            </w:tcBorders>
          </w:tcPr>
          <w:p w14:paraId="446C3271"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-6.105</w:t>
            </w:r>
          </w:p>
        </w:tc>
        <w:tc>
          <w:tcPr>
            <w:tcW w:w="763" w:type="pct"/>
            <w:tcBorders>
              <w:top w:val="single" w:sz="4" w:space="0" w:color="auto"/>
              <w:left w:val="nil"/>
              <w:bottom w:val="nil"/>
              <w:right w:val="nil"/>
            </w:tcBorders>
          </w:tcPr>
          <w:p w14:paraId="05D7EC9A"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0.0036</w:t>
            </w:r>
          </w:p>
        </w:tc>
      </w:tr>
      <w:tr w:rsidR="005D1DAF" w:rsidRPr="005D1DAF" w14:paraId="3BBD2276" w14:textId="77777777" w:rsidTr="005D1DAF">
        <w:trPr>
          <w:trHeight w:val="227"/>
          <w:jc w:val="center"/>
        </w:trPr>
        <w:tc>
          <w:tcPr>
            <w:tcW w:w="950" w:type="pct"/>
            <w:tcBorders>
              <w:top w:val="nil"/>
              <w:left w:val="nil"/>
              <w:right w:val="nil"/>
            </w:tcBorders>
          </w:tcPr>
          <w:p w14:paraId="57B5D713"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varpib_1</w:t>
            </w:r>
          </w:p>
        </w:tc>
        <w:tc>
          <w:tcPr>
            <w:tcW w:w="1263" w:type="pct"/>
            <w:tcBorders>
              <w:top w:val="nil"/>
              <w:left w:val="nil"/>
              <w:right w:val="nil"/>
            </w:tcBorders>
          </w:tcPr>
          <w:p w14:paraId="7608C905"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0.865553</w:t>
            </w:r>
          </w:p>
        </w:tc>
        <w:tc>
          <w:tcPr>
            <w:tcW w:w="1260" w:type="pct"/>
            <w:tcBorders>
              <w:top w:val="nil"/>
              <w:left w:val="nil"/>
              <w:right w:val="nil"/>
            </w:tcBorders>
          </w:tcPr>
          <w:p w14:paraId="4A14ABD8"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0.166949</w:t>
            </w:r>
          </w:p>
        </w:tc>
        <w:tc>
          <w:tcPr>
            <w:tcW w:w="765" w:type="pct"/>
            <w:tcBorders>
              <w:top w:val="nil"/>
              <w:left w:val="nil"/>
              <w:right w:val="nil"/>
            </w:tcBorders>
          </w:tcPr>
          <w:p w14:paraId="16114E05"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5,185</w:t>
            </w:r>
          </w:p>
        </w:tc>
        <w:tc>
          <w:tcPr>
            <w:tcW w:w="763" w:type="pct"/>
            <w:tcBorders>
              <w:top w:val="nil"/>
              <w:left w:val="nil"/>
              <w:right w:val="nil"/>
            </w:tcBorders>
          </w:tcPr>
          <w:p w14:paraId="30EAD369"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0.0066</w:t>
            </w:r>
          </w:p>
        </w:tc>
      </w:tr>
      <w:tr w:rsidR="005D1DAF" w:rsidRPr="005D1DAF" w14:paraId="0F15062E" w14:textId="77777777" w:rsidTr="005D1DAF">
        <w:trPr>
          <w:trHeight w:val="227"/>
          <w:jc w:val="center"/>
        </w:trPr>
        <w:tc>
          <w:tcPr>
            <w:tcW w:w="950" w:type="pct"/>
            <w:tcBorders>
              <w:left w:val="nil"/>
              <w:right w:val="nil"/>
            </w:tcBorders>
          </w:tcPr>
          <w:p w14:paraId="61DFCF00"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Invextr</w:t>
            </w:r>
          </w:p>
        </w:tc>
        <w:tc>
          <w:tcPr>
            <w:tcW w:w="1263" w:type="pct"/>
            <w:tcBorders>
              <w:left w:val="nil"/>
              <w:right w:val="nil"/>
            </w:tcBorders>
          </w:tcPr>
          <w:p w14:paraId="62150D70"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-0.232056</w:t>
            </w:r>
          </w:p>
        </w:tc>
        <w:tc>
          <w:tcPr>
            <w:tcW w:w="1260" w:type="pct"/>
            <w:tcBorders>
              <w:left w:val="nil"/>
              <w:right w:val="nil"/>
            </w:tcBorders>
          </w:tcPr>
          <w:p w14:paraId="5CB164BE"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0.131971</w:t>
            </w:r>
          </w:p>
        </w:tc>
        <w:tc>
          <w:tcPr>
            <w:tcW w:w="765" w:type="pct"/>
            <w:tcBorders>
              <w:left w:val="nil"/>
              <w:right w:val="nil"/>
            </w:tcBorders>
          </w:tcPr>
          <w:p w14:paraId="1C72ABCF"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-1,758</w:t>
            </w:r>
          </w:p>
        </w:tc>
        <w:tc>
          <w:tcPr>
            <w:tcW w:w="763" w:type="pct"/>
            <w:tcBorders>
              <w:left w:val="nil"/>
              <w:right w:val="nil"/>
            </w:tcBorders>
          </w:tcPr>
          <w:p w14:paraId="7635F56B"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0.1535</w:t>
            </w:r>
          </w:p>
        </w:tc>
      </w:tr>
      <w:tr w:rsidR="005D1DAF" w:rsidRPr="005D1DAF" w14:paraId="651EAEF9" w14:textId="77777777" w:rsidTr="005D1DAF">
        <w:trPr>
          <w:trHeight w:val="227"/>
          <w:jc w:val="center"/>
        </w:trPr>
        <w:tc>
          <w:tcPr>
            <w:tcW w:w="950" w:type="pct"/>
            <w:tcBorders>
              <w:left w:val="nil"/>
              <w:right w:val="nil"/>
            </w:tcBorders>
          </w:tcPr>
          <w:p w14:paraId="349AD360"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Txc</w:t>
            </w:r>
          </w:p>
        </w:tc>
        <w:tc>
          <w:tcPr>
            <w:tcW w:w="1263" w:type="pct"/>
            <w:tcBorders>
              <w:left w:val="nil"/>
              <w:right w:val="nil"/>
            </w:tcBorders>
          </w:tcPr>
          <w:p w14:paraId="32ABDA59"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-0.0151817</w:t>
            </w:r>
          </w:p>
        </w:tc>
        <w:tc>
          <w:tcPr>
            <w:tcW w:w="1260" w:type="pct"/>
            <w:tcBorders>
              <w:left w:val="nil"/>
              <w:right w:val="nil"/>
            </w:tcBorders>
          </w:tcPr>
          <w:p w14:paraId="05E46552"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0.00280828</w:t>
            </w:r>
          </w:p>
        </w:tc>
        <w:tc>
          <w:tcPr>
            <w:tcW w:w="765" w:type="pct"/>
            <w:tcBorders>
              <w:left w:val="nil"/>
              <w:right w:val="nil"/>
            </w:tcBorders>
          </w:tcPr>
          <w:p w14:paraId="260FBE3A"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-5,406</w:t>
            </w:r>
          </w:p>
        </w:tc>
        <w:tc>
          <w:tcPr>
            <w:tcW w:w="763" w:type="pct"/>
            <w:tcBorders>
              <w:left w:val="nil"/>
              <w:right w:val="nil"/>
            </w:tcBorders>
          </w:tcPr>
          <w:p w14:paraId="45017CD4"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0.0057</w:t>
            </w:r>
          </w:p>
        </w:tc>
      </w:tr>
      <w:tr w:rsidR="005D1DAF" w:rsidRPr="005D1DAF" w14:paraId="2FDFF021" w14:textId="77777777" w:rsidTr="005D1DAF">
        <w:trPr>
          <w:trHeight w:val="227"/>
          <w:jc w:val="center"/>
        </w:trPr>
        <w:tc>
          <w:tcPr>
            <w:tcW w:w="950" w:type="pct"/>
            <w:tcBorders>
              <w:left w:val="nil"/>
              <w:bottom w:val="single" w:sz="4" w:space="0" w:color="auto"/>
              <w:right w:val="nil"/>
            </w:tcBorders>
          </w:tcPr>
          <w:p w14:paraId="652B7E1E"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BC</w:t>
            </w:r>
          </w:p>
        </w:tc>
        <w:tc>
          <w:tcPr>
            <w:tcW w:w="1263" w:type="pct"/>
            <w:tcBorders>
              <w:left w:val="nil"/>
              <w:bottom w:val="single" w:sz="4" w:space="0" w:color="auto"/>
              <w:right w:val="nil"/>
            </w:tcBorders>
          </w:tcPr>
          <w:p w14:paraId="509221CF"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0.769299</w:t>
            </w:r>
          </w:p>
        </w:tc>
        <w:tc>
          <w:tcPr>
            <w:tcW w:w="1260" w:type="pct"/>
            <w:tcBorders>
              <w:left w:val="nil"/>
              <w:bottom w:val="single" w:sz="4" w:space="0" w:color="auto"/>
              <w:right w:val="nil"/>
            </w:tcBorders>
          </w:tcPr>
          <w:p w14:paraId="1127E508"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0.125930</w:t>
            </w:r>
          </w:p>
        </w:tc>
        <w:tc>
          <w:tcPr>
            <w:tcW w:w="765" w:type="pct"/>
            <w:tcBorders>
              <w:left w:val="nil"/>
              <w:bottom w:val="single" w:sz="4" w:space="0" w:color="auto"/>
              <w:right w:val="nil"/>
            </w:tcBorders>
          </w:tcPr>
          <w:p w14:paraId="428A2DC9"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6,109</w:t>
            </w:r>
          </w:p>
        </w:tc>
        <w:tc>
          <w:tcPr>
            <w:tcW w:w="763" w:type="pct"/>
            <w:tcBorders>
              <w:left w:val="nil"/>
              <w:bottom w:val="single" w:sz="4" w:space="0" w:color="auto"/>
              <w:right w:val="nil"/>
            </w:tcBorders>
          </w:tcPr>
          <w:p w14:paraId="4A0B559B" w14:textId="77777777" w:rsidR="00035D7E" w:rsidRPr="005D1DAF" w:rsidRDefault="00035D7E" w:rsidP="005D1DAF">
            <w:pPr>
              <w:pStyle w:val="SemEspaamento"/>
              <w:spacing w:line="276" w:lineRule="auto"/>
              <w:rPr>
                <w:rFonts w:ascii="Times New Roman" w:hAnsi="Times New Roman" w:cs="Times New Roman"/>
                <w:sz w:val="24"/>
                <w:szCs w:val="24"/>
              </w:rPr>
            </w:pPr>
            <w:r w:rsidRPr="005D1DAF">
              <w:rPr>
                <w:rFonts w:ascii="Times New Roman" w:hAnsi="Times New Roman" w:cs="Times New Roman"/>
                <w:sz w:val="24"/>
                <w:szCs w:val="24"/>
              </w:rPr>
              <w:t>0.0036</w:t>
            </w:r>
          </w:p>
        </w:tc>
      </w:tr>
    </w:tbl>
    <w:p w14:paraId="0D955F0A" w14:textId="188249D8" w:rsidR="00035D7E" w:rsidRPr="000E7099" w:rsidRDefault="00764E2B" w:rsidP="00035D7E">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0,84</m:t>
        </m:r>
      </m:oMath>
      <w:r w:rsidR="00035D7E" w:rsidRPr="000E7099">
        <w:rPr>
          <w:rFonts w:ascii="Times New Roman" w:hAnsi="Times New Roman" w:cs="Times New Roman"/>
          <w:sz w:val="24"/>
          <w:szCs w:val="24"/>
        </w:rPr>
        <w:t xml:space="preserve">                                   </w:t>
      </w:r>
      <m:oMath>
        <m:r>
          <w:rPr>
            <w:rFonts w:ascii="Cambria Math" w:hAnsi="Cambria Math" w:cs="Times New Roman"/>
            <w:sz w:val="24"/>
            <w:szCs w:val="24"/>
          </w:rPr>
          <m:t xml:space="preserve">F </m:t>
        </m:r>
        <m:d>
          <m:dPr>
            <m:ctrlPr>
              <w:rPr>
                <w:rFonts w:ascii="Cambria Math" w:hAnsi="Cambria Math" w:cs="Times New Roman"/>
                <w:i/>
                <w:sz w:val="24"/>
                <w:szCs w:val="24"/>
              </w:rPr>
            </m:ctrlPr>
          </m:dPr>
          <m:e>
            <m:r>
              <w:rPr>
                <w:rFonts w:ascii="Cambria Math" w:hAnsi="Cambria Math" w:cs="Times New Roman"/>
                <w:sz w:val="24"/>
                <w:szCs w:val="24"/>
              </w:rPr>
              <m:t>1,4</m:t>
            </m:r>
          </m:e>
        </m:d>
        <m:r>
          <w:rPr>
            <w:rFonts w:ascii="Cambria Math" w:hAnsi="Cambria Math" w:cs="Times New Roman"/>
            <w:sz w:val="24"/>
            <w:szCs w:val="24"/>
          </w:rPr>
          <m:t xml:space="preserve">=26,879        Valor P </m:t>
        </m:r>
        <m:d>
          <m:dPr>
            <m:ctrlPr>
              <w:rPr>
                <w:rFonts w:ascii="Cambria Math" w:hAnsi="Cambria Math" w:cs="Times New Roman"/>
                <w:i/>
                <w:sz w:val="24"/>
                <w:szCs w:val="24"/>
              </w:rPr>
            </m:ctrlPr>
          </m:dPr>
          <m:e>
            <m:r>
              <w:rPr>
                <w:rFonts w:ascii="Cambria Math" w:hAnsi="Cambria Math" w:cs="Times New Roman"/>
                <w:sz w:val="24"/>
                <w:szCs w:val="24"/>
              </w:rPr>
              <m:t>F</m:t>
            </m:r>
          </m:e>
        </m:d>
        <m:r>
          <w:rPr>
            <w:rFonts w:ascii="Cambria Math" w:hAnsi="Cambria Math" w:cs="Times New Roman"/>
            <w:sz w:val="24"/>
            <w:szCs w:val="24"/>
          </w:rPr>
          <m:t>=0,0177</m:t>
        </m:r>
      </m:oMath>
      <m:oMath>
        <m:r>
          <w:rPr>
            <w:rFonts w:ascii="Cambria Math" w:hAnsi="Cambria Math" w:cs="Times New Roman"/>
            <w:sz w:val="24"/>
            <w:szCs w:val="24"/>
          </w:rPr>
          <m:t>DW=2,09</m:t>
        </m:r>
      </m:oMath>
    </w:p>
    <w:p w14:paraId="366BB7C2" w14:textId="77777777" w:rsidR="00035D7E" w:rsidRPr="000A3F64" w:rsidRDefault="00035D7E" w:rsidP="00035D7E">
      <w:pPr>
        <w:spacing w:line="360" w:lineRule="auto"/>
        <w:jc w:val="both"/>
        <w:rPr>
          <w:rFonts w:ascii="Times New Roman" w:hAnsi="Times New Roman" w:cs="Times New Roman"/>
          <w:bCs/>
          <w:sz w:val="24"/>
          <w:szCs w:val="24"/>
        </w:rPr>
      </w:pPr>
      <w:r w:rsidRPr="000E7099">
        <w:rPr>
          <w:rFonts w:ascii="Times New Roman" w:hAnsi="Times New Roman" w:cs="Times New Roman"/>
          <w:bCs/>
          <w:sz w:val="24"/>
          <w:szCs w:val="24"/>
        </w:rPr>
        <w:t>Source: Own elaboration based on Gretl</w:t>
      </w:r>
    </w:p>
    <w:p w14:paraId="5D755EFF" w14:textId="53AA50B7" w:rsidR="00035D7E" w:rsidRPr="005D1DAF" w:rsidRDefault="00764E2B" w:rsidP="00035D7E">
      <w:pPr>
        <w:spacing w:line="360" w:lineRule="auto"/>
        <w:jc w:val="both"/>
        <w:rPr>
          <w:rFonts w:ascii="Times New Roman" w:hAnsi="Times New Roman" w:cs="Times New Roman"/>
          <w:b/>
          <w:sz w:val="24"/>
          <w:szCs w:val="24"/>
          <w:lang w:val="en-US"/>
        </w:rPr>
      </w:pPr>
      <m:oMath>
        <m:acc>
          <m:accPr>
            <m:ctrlPr>
              <w:rPr>
                <w:rFonts w:ascii="Cambria Math" w:hAnsi="Cambria Math" w:cs="Times New Roman"/>
                <w:b/>
                <w:i/>
                <w:sz w:val="24"/>
                <w:szCs w:val="24"/>
              </w:rPr>
            </m:ctrlPr>
          </m:accPr>
          <m:e>
            <m:r>
              <m:rPr>
                <m:sty m:val="bi"/>
              </m:rPr>
              <w:rPr>
                <w:rFonts w:ascii="Cambria Math" w:hAnsi="Cambria Math" w:cs="Times New Roman"/>
                <w:sz w:val="24"/>
                <w:szCs w:val="24"/>
              </w:rPr>
              <m:t>TxCrPIB</m:t>
            </m:r>
          </m:e>
        </m:acc>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-9,5</m:t>
        </m:r>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0,86</m:t>
        </m:r>
        <m:sSub>
          <m:sSubPr>
            <m:ctrlPr>
              <w:rPr>
                <w:rFonts w:ascii="Cambria Math" w:hAnsi="Cambria Math" w:cs="Times New Roman"/>
                <w:b/>
                <w:sz w:val="24"/>
                <w:szCs w:val="24"/>
              </w:rPr>
            </m:ctrlPr>
          </m:sSubPr>
          <m:e>
            <m:r>
              <m:rPr>
                <m:sty m:val="b"/>
              </m:rPr>
              <w:rPr>
                <w:rFonts w:ascii="Cambria Math" w:hAnsi="Cambria Math" w:cs="Times New Roman"/>
                <w:sz w:val="24"/>
                <w:szCs w:val="24"/>
                <w:lang w:val="en-US"/>
              </w:rPr>
              <m:t>varpib</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-0,23</m:t>
        </m:r>
        <m:r>
          <m:rPr>
            <m:sty m:val="bi"/>
          </m:rPr>
          <w:rPr>
            <w:rFonts w:ascii="Cambria Math" w:hAnsi="Cambria Math" w:cs="Times New Roman"/>
            <w:sz w:val="24"/>
            <w:szCs w:val="24"/>
          </w:rPr>
          <m:t>nvextr</m:t>
        </m:r>
        <m:r>
          <m:rPr>
            <m:sty m:val="bi"/>
          </m:rPr>
          <w:rPr>
            <w:rFonts w:ascii="Cambria Math" w:hAnsi="Cambria Math" w:cs="Times New Roman"/>
            <w:sz w:val="24"/>
            <w:szCs w:val="24"/>
            <w:lang w:val="en-US"/>
          </w:rPr>
          <m:t>- 0,015</m:t>
        </m:r>
        <m:r>
          <m:rPr>
            <m:sty m:val="bi"/>
          </m:rPr>
          <w:rPr>
            <w:rFonts w:ascii="Cambria Math" w:hAnsi="Cambria Math" w:cs="Times New Roman"/>
            <w:sz w:val="24"/>
            <w:szCs w:val="24"/>
          </w:rPr>
          <m:t>Txc</m:t>
        </m:r>
        <m:r>
          <m:rPr>
            <m:sty m:val="bi"/>
          </m:rPr>
          <w:rPr>
            <w:rFonts w:ascii="Cambria Math" w:hAnsi="Cambria Math" w:cs="Times New Roman"/>
            <w:sz w:val="24"/>
            <w:szCs w:val="24"/>
            <w:lang w:val="en-US"/>
          </w:rPr>
          <m:t xml:space="preserve">  +</m:t>
        </m:r>
      </m:oMath>
      <w:r w:rsidR="00035D7E" w:rsidRPr="005D1DAF">
        <w:rPr>
          <w:rFonts w:ascii="Times New Roman" w:hAnsi="Times New Roman" w:cs="Times New Roman"/>
          <w:b/>
          <w:sz w:val="24"/>
          <w:szCs w:val="24"/>
          <w:lang w:val="en-US"/>
        </w:rPr>
        <w:t>0.76 BC (2)</w:t>
      </w:r>
      <w:proofErr w:type="gramStart"/>
      <w:proofErr w:type="gramEnd"/>
    </w:p>
    <w:p w14:paraId="7ACA4E73" w14:textId="77777777" w:rsidR="00035D7E" w:rsidRPr="000E7099" w:rsidRDefault="00035D7E" w:rsidP="00035D7E">
      <w:pPr>
        <w:spacing w:line="360" w:lineRule="auto"/>
        <w:jc w:val="both"/>
        <w:rPr>
          <w:rFonts w:ascii="Times New Roman" w:hAnsi="Times New Roman" w:cs="Times New Roman"/>
          <w:b/>
          <w:bCs/>
          <w:sz w:val="24"/>
          <w:szCs w:val="24"/>
        </w:rPr>
      </w:pPr>
      <w:r w:rsidRPr="000E7099">
        <w:rPr>
          <w:rFonts w:ascii="Times New Roman" w:hAnsi="Times New Roman" w:cs="Times New Roman"/>
          <w:sz w:val="24"/>
          <w:szCs w:val="24"/>
        </w:rPr>
        <w:t>Equation 2 shows how Foreign Direct Investment, the Trade Balance, and the exchange rate explained the GDP growth rate in Angola during the years 2014-2023. The data indicate that the model captures that 84 percent of the variations in the GDP growth rate were explained by variations in the volume of Foreign Direct Investment, the Trade Balance, the Exchange Rate, and the logarithm of the GDP growth rate. In isolation, only the Foreign Direct Investment estimator shows statistical significance at an admitted risk of 15%. The F-test with 1 degree of freedom in the numerator and 4 in the denominator explains the rejection of the null hypothesis and that there is simultaneous significance in the estimators at the 5% level.</w:t>
      </w:r>
    </w:p>
    <w:p w14:paraId="3E308E9C"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The value of Foreign Direct Investment (FDI) was approximately -0.23 percent, suggesting that when it increased by 1 percent (ceteris paribus), the GDP growth rate decreased by approximately 0.23 percent on average, converging with the sign then expected in the theoretical model of equation 2.</w:t>
      </w:r>
    </w:p>
    <w:p w14:paraId="67DBC1D3"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 xml:space="preserve">Based on Equation 2, we see that the exchange rate observed during the period was -0.015 percentage points. In other words, during the 10 years observed in the Angolan economy, keeping constant the value of Foreign Direct Investment, the Trade Balance, and the logarithmic change in GDP, a positive change (for each depreciation) of 1 percentage point in the exchange rate led, on average, to a decrease of approximately -0.015 percent in the product growth rate.</w:t>
      </w:r>
    </w:p>
    <w:p w14:paraId="74A79C9B" w14:textId="77777777" w:rsidR="00035D7E"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The trade balance surplus was approximately 0.76 percentage points, which implies that, keeping everything else constant, GDP grows by up to 0.79 percent as a result of the trade balance.</w:t>
      </w:r>
    </w:p>
    <w:p w14:paraId="5EAA49EC" w14:textId="77777777" w:rsidR="00B32227" w:rsidRPr="000E7099" w:rsidRDefault="00B32227" w:rsidP="00B32227">
      <w:pPr>
        <w:spacing w:line="360" w:lineRule="auto"/>
        <w:jc w:val="both"/>
        <w:rPr>
          <w:rFonts w:ascii="Times New Roman" w:hAnsi="Times New Roman" w:cs="Times New Roman"/>
          <w:b/>
          <w:sz w:val="24"/>
          <w:szCs w:val="24"/>
        </w:rPr>
      </w:pPr>
      <w:r w:rsidRPr="000E7099">
        <w:rPr>
          <w:rFonts w:ascii="Times New Roman" w:hAnsi="Times New Roman" w:cs="Times New Roman"/>
          <w:b/>
          <w:i/>
          <w:iCs/>
          <w:sz w:val="24"/>
          <w:szCs w:val="24"/>
        </w:rPr>
        <w:t xml:space="preserve">     </w:t>
      </w:r>
      <w:bookmarkStart w:id="7" w:name="_Toc193052051"/>
      <w:r w:rsidRPr="000E7099">
        <w:rPr>
          <w:rFonts w:ascii="Times New Roman" w:hAnsi="Times New Roman" w:cs="Times New Roman"/>
          <w:sz w:val="24"/>
          <w:szCs w:val="24"/>
        </w:rPr>
        <w:t xml:space="preserve">Figure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Figura \* ARABIC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2</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Jack's Test for Normality of Residuals  </w:t>
      </w:r>
      <w:bookmarkEnd w:id="7"/>
    </w:p>
    <w:p w14:paraId="626C3A31" w14:textId="6FAFB056" w:rsidR="00035D7E" w:rsidRPr="000E7099" w:rsidRDefault="00035D7E" w:rsidP="00035D7E">
      <w:pPr>
        <w:spacing w:line="360" w:lineRule="auto"/>
        <w:jc w:val="both"/>
        <w:rPr>
          <w:rFonts w:ascii="Times New Roman" w:hAnsi="Times New Roman" w:cs="Times New Roman"/>
          <w:bCs/>
          <w:sz w:val="24"/>
          <w:szCs w:val="24"/>
        </w:rPr>
      </w:pPr>
      <w:r w:rsidRPr="000E7099">
        <w:rPr>
          <w:rFonts w:ascii="Times New Roman" w:hAnsi="Times New Roman" w:cs="Times New Roman"/>
          <w:noProof/>
          <w:sz w:val="24"/>
          <w:szCs w:val="24"/>
          <w:lang w:val="pt-BR" w:eastAsia="pt-BR"/>
        </w:rPr>
        <w:drawing>
          <wp:inline distT="0" distB="0" distL="0" distR="0" wp14:anchorId="53860AE9" wp14:editId="4D1B9EAA">
            <wp:extent cx="5438775" cy="32861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4424" cy="3295580"/>
                    </a:xfrm>
                    <a:prstGeom prst="rect">
                      <a:avLst/>
                    </a:prstGeom>
                    <a:noFill/>
                    <a:ln>
                      <a:noFill/>
                    </a:ln>
                  </pic:spPr>
                </pic:pic>
              </a:graphicData>
            </a:graphic>
          </wp:inline>
        </w:drawing>
      </w:r>
      <w:r w:rsidRPr="000E7099">
        <w:rPr>
          <w:rFonts w:ascii="Times New Roman" w:hAnsi="Times New Roman" w:cs="Times New Roman"/>
          <w:bCs/>
          <w:sz w:val="24"/>
          <w:szCs w:val="24"/>
        </w:rPr>
        <w:t xml:space="preserve">Source: Own elaboration based on Gretl</w:t>
      </w:r>
    </w:p>
    <w:p w14:paraId="6D016282" w14:textId="77777777" w:rsidR="00035D7E"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Figure 2, representing the Jasck Bera test, shows that the model errors were tested using the normality test of the residuals with a Q-square test statistic (2) = 1.113 and a p-value = 0.5733, admitting the non-rejection of the null, thus proving the normality of the residuals, that is, the model residuals are independent and follow a normal distribution.</w:t>
      </w:r>
    </w:p>
    <w:p w14:paraId="27822609" w14:textId="77777777" w:rsidR="00AD51B8" w:rsidRDefault="00AD51B8" w:rsidP="00035D7E">
      <w:pPr>
        <w:spacing w:line="360" w:lineRule="auto"/>
        <w:jc w:val="both"/>
        <w:rPr>
          <w:rFonts w:ascii="Times New Roman" w:hAnsi="Times New Roman" w:cs="Times New Roman"/>
          <w:sz w:val="24"/>
          <w:szCs w:val="24"/>
        </w:rPr>
      </w:pPr>
    </w:p>
    <w:p w14:paraId="7C0CEEC0" w14:textId="77777777" w:rsidR="00AD51B8" w:rsidRDefault="00AD51B8" w:rsidP="00035D7E">
      <w:pPr>
        <w:spacing w:line="360" w:lineRule="auto"/>
        <w:jc w:val="both"/>
        <w:rPr>
          <w:rFonts w:ascii="Times New Roman" w:hAnsi="Times New Roman" w:cs="Times New Roman"/>
          <w:sz w:val="24"/>
          <w:szCs w:val="24"/>
        </w:rPr>
      </w:pPr>
    </w:p>
    <w:p w14:paraId="206D52C2" w14:textId="77777777" w:rsidR="00AD51B8" w:rsidRDefault="00AD51B8" w:rsidP="00035D7E">
      <w:pPr>
        <w:spacing w:line="360" w:lineRule="auto"/>
        <w:jc w:val="both"/>
        <w:rPr>
          <w:rFonts w:ascii="Times New Roman" w:hAnsi="Times New Roman" w:cs="Times New Roman"/>
          <w:sz w:val="24"/>
          <w:szCs w:val="24"/>
        </w:rPr>
      </w:pPr>
    </w:p>
    <w:p w14:paraId="1D93FFD1" w14:textId="77777777" w:rsidR="00AD51B8" w:rsidRDefault="00AD51B8" w:rsidP="00035D7E">
      <w:pPr>
        <w:spacing w:line="360" w:lineRule="auto"/>
        <w:jc w:val="both"/>
        <w:rPr>
          <w:rFonts w:ascii="Times New Roman" w:hAnsi="Times New Roman" w:cs="Times New Roman"/>
          <w:sz w:val="24"/>
          <w:szCs w:val="24"/>
        </w:rPr>
      </w:pPr>
    </w:p>
    <w:p w14:paraId="489FE5A2" w14:textId="77777777" w:rsidR="00AD51B8" w:rsidRDefault="00AD51B8" w:rsidP="00035D7E">
      <w:pPr>
        <w:spacing w:line="360" w:lineRule="auto"/>
        <w:jc w:val="both"/>
        <w:rPr>
          <w:rFonts w:ascii="Times New Roman" w:hAnsi="Times New Roman" w:cs="Times New Roman"/>
          <w:sz w:val="24"/>
          <w:szCs w:val="24"/>
        </w:rPr>
      </w:pPr>
    </w:p>
    <w:p w14:paraId="01D719C7" w14:textId="77777777" w:rsidR="00AD51B8" w:rsidRDefault="00AD51B8" w:rsidP="00035D7E">
      <w:pPr>
        <w:spacing w:line="360" w:lineRule="auto"/>
        <w:jc w:val="both"/>
        <w:rPr>
          <w:rFonts w:ascii="Times New Roman" w:hAnsi="Times New Roman" w:cs="Times New Roman"/>
          <w:sz w:val="24"/>
          <w:szCs w:val="24"/>
        </w:rPr>
      </w:pPr>
    </w:p>
    <w:p w14:paraId="2146315A" w14:textId="77777777" w:rsidR="00AD51B8" w:rsidRDefault="00AD51B8" w:rsidP="00035D7E">
      <w:pPr>
        <w:spacing w:line="360" w:lineRule="auto"/>
        <w:jc w:val="both"/>
        <w:rPr>
          <w:rFonts w:ascii="Times New Roman" w:hAnsi="Times New Roman" w:cs="Times New Roman"/>
          <w:sz w:val="24"/>
          <w:szCs w:val="24"/>
        </w:rPr>
      </w:pPr>
    </w:p>
    <w:p w14:paraId="2B4FA56B" w14:textId="36C6DFE4" w:rsidR="00035D7E" w:rsidRPr="000E7099" w:rsidRDefault="00035D7E" w:rsidP="00035D7E">
      <w:pPr>
        <w:spacing w:line="360" w:lineRule="auto"/>
        <w:jc w:val="both"/>
        <w:rPr>
          <w:rFonts w:ascii="Times New Roman" w:hAnsi="Times New Roman" w:cs="Times New Roman"/>
          <w:sz w:val="24"/>
          <w:szCs w:val="24"/>
        </w:rPr>
      </w:pPr>
      <w:bookmarkStart w:id="8" w:name="_Toc193051440"/>
      <w:r w:rsidRPr="000E7099">
        <w:rPr>
          <w:rFonts w:ascii="Times New Roman" w:hAnsi="Times New Roman" w:cs="Times New Roman"/>
          <w:sz w:val="24"/>
          <w:szCs w:val="24"/>
        </w:rPr>
        <w:t xml:space="preserve">Table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Tabela \* ROMAN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VII</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White's test for heteroscedasticity</w:t>
      </w:r>
      <w:bookmarkEnd w:id="8"/>
    </w:p>
    <w:tbl>
      <w:tblPr>
        <w:tblStyle w:val="TabelaSimples21"/>
        <w:tblpPr w:leftFromText="141" w:rightFromText="141" w:vertAnchor="text" w:horzAnchor="margin" w:tblpXSpec="center" w:tblpY="242"/>
        <w:tblW w:w="4994" w:type="pct"/>
        <w:tblLook w:val="0000" w:firstRow="0" w:lastRow="0" w:firstColumn="0" w:lastColumn="0" w:noHBand="0" w:noVBand="0"/>
      </w:tblPr>
      <w:tblGrid>
        <w:gridCol w:w="1698"/>
        <w:gridCol w:w="1699"/>
        <w:gridCol w:w="1699"/>
        <w:gridCol w:w="1699"/>
        <w:gridCol w:w="1699"/>
      </w:tblGrid>
      <w:tr w:rsidR="00307E0F" w:rsidRPr="001A77F6" w14:paraId="00AD8D37" w14:textId="12E75426" w:rsidTr="00111435">
        <w:trPr>
          <w:cnfStyle w:val="000000100000" w:firstRow="0" w:lastRow="0" w:firstColumn="0" w:lastColumn="0" w:oddVBand="0" w:evenVBand="0" w:oddHBand="1" w:evenHBand="0" w:firstRowFirstColumn="0" w:firstRowLastColumn="0" w:lastRowFirstColumn="0" w:lastRowLastColumn="0"/>
          <w:trHeight w:val="418"/>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0394DB4B" w14:textId="2F27C7C8" w:rsidR="00307E0F" w:rsidRPr="001A77F6" w:rsidRDefault="00307E0F" w:rsidP="001A77F6">
            <w:pPr>
              <w:pStyle w:val="SemEspaamento"/>
              <w:jc w:val="cente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000" w:type="pct"/>
          </w:tcPr>
          <w:p w14:paraId="7B4EE53B" w14:textId="251462C1"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efficient</w:t>
            </w:r>
          </w:p>
        </w:tc>
        <w:tc>
          <w:tcPr>
            <w:cnfStyle w:val="000010000000" w:firstRow="0" w:lastRow="0" w:firstColumn="0" w:lastColumn="0" w:oddVBand="1" w:evenVBand="0" w:oddHBand="0" w:evenHBand="0" w:firstRowFirstColumn="0" w:firstRowLastColumn="0" w:lastRowFirstColumn="0" w:lastRowLastColumn="0"/>
            <w:tcW w:w="1000" w:type="pct"/>
          </w:tcPr>
          <w:p w14:paraId="00BBF5AC" w14:textId="24281435"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standard error</w:t>
            </w:r>
          </w:p>
        </w:tc>
        <w:tc>
          <w:tcPr>
            <w:cnfStyle w:val="000001000000" w:firstRow="0" w:lastRow="0" w:firstColumn="0" w:lastColumn="0" w:oddVBand="0" w:evenVBand="1" w:oddHBand="0" w:evenHBand="0" w:firstRowFirstColumn="0" w:firstRowLastColumn="0" w:lastRowFirstColumn="0" w:lastRowLastColumn="0"/>
            <w:tcW w:w="1000" w:type="pct"/>
          </w:tcPr>
          <w:p w14:paraId="4F94012F" w14:textId="3467F85C"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t-ratio</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7BFE3792" w14:textId="1C2E9890"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p-value</w:t>
            </w:r>
          </w:p>
        </w:tc>
      </w:tr>
      <w:tr w:rsidR="00307E0F" w:rsidRPr="001A77F6" w14:paraId="18D5D614" w14:textId="62A6D186" w:rsidTr="00111435">
        <w:trPr>
          <w:trHeight w:val="409"/>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68433F89" w14:textId="309BF2D9" w:rsidR="00307E0F" w:rsidRPr="001A77F6" w:rsidRDefault="00307E0F" w:rsidP="00111435">
            <w:pPr>
              <w:pStyle w:val="SemEspaamento"/>
              <w:rPr>
                <w:rFonts w:ascii="Times New Roman" w:hAnsi="Times New Roman" w:cs="Times New Roman"/>
                <w:sz w:val="24"/>
                <w:szCs w:val="24"/>
              </w:rPr>
            </w:pPr>
            <w:r w:rsidRPr="001A77F6">
              <w:rPr>
                <w:rFonts w:ascii="Times New Roman" w:hAnsi="Times New Roman" w:cs="Times New Roman"/>
                <w:sz w:val="24"/>
                <w:szCs w:val="24"/>
              </w:rPr>
              <w:t>const</w:t>
            </w:r>
          </w:p>
          <w:p w14:paraId="1E28A886" w14:textId="03D16509" w:rsidR="00307E0F" w:rsidRPr="001A77F6" w:rsidRDefault="00307E0F" w:rsidP="001A77F6">
            <w:pPr>
              <w:pStyle w:val="SemEspaamento"/>
              <w:jc w:val="center"/>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000" w:type="pct"/>
          </w:tcPr>
          <w:p w14:paraId="188303AD" w14:textId="69C02E25"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1.05161</w:t>
            </w:r>
          </w:p>
        </w:tc>
        <w:tc>
          <w:tcPr>
            <w:cnfStyle w:val="000010000000" w:firstRow="0" w:lastRow="0" w:firstColumn="0" w:lastColumn="0" w:oddVBand="1" w:evenVBand="0" w:oddHBand="0" w:evenHBand="0" w:firstRowFirstColumn="0" w:firstRowLastColumn="0" w:lastRowFirstColumn="0" w:lastRowLastColumn="0"/>
            <w:tcW w:w="1000" w:type="pct"/>
          </w:tcPr>
          <w:p w14:paraId="507F0213" w14:textId="0CB72DF1"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10.8315</w:t>
            </w:r>
          </w:p>
        </w:tc>
        <w:tc>
          <w:tcPr>
            <w:cnfStyle w:val="000001000000" w:firstRow="0" w:lastRow="0" w:firstColumn="0" w:lastColumn="0" w:oddVBand="0" w:evenVBand="1" w:oddHBand="0" w:evenHBand="0" w:firstRowFirstColumn="0" w:firstRowLastColumn="0" w:lastRowFirstColumn="0" w:lastRowLastColumn="0"/>
            <w:tcW w:w="1000" w:type="pct"/>
          </w:tcPr>
          <w:p w14:paraId="34C0FAB1" w14:textId="13AFA77C"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0.09709</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6A5E1930" w14:textId="0B102DD6"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0.9288</w:t>
            </w:r>
          </w:p>
        </w:tc>
      </w:tr>
      <w:tr w:rsidR="00307E0F" w:rsidRPr="001A77F6" w14:paraId="0FF3BB09" w14:textId="36F92BD1" w:rsidTr="00111435">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2E8719C1" w14:textId="6A6A2AA0"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Txcambio</w:t>
            </w:r>
          </w:p>
        </w:tc>
        <w:tc>
          <w:tcPr>
            <w:cnfStyle w:val="000001000000" w:firstRow="0" w:lastRow="0" w:firstColumn="0" w:lastColumn="0" w:oddVBand="0" w:evenVBand="1" w:oddHBand="0" w:evenHBand="0" w:firstRowFirstColumn="0" w:firstRowLastColumn="0" w:lastRowFirstColumn="0" w:lastRowLastColumn="0"/>
            <w:tcW w:w="1000" w:type="pct"/>
          </w:tcPr>
          <w:p w14:paraId="690F9BA8" w14:textId="05F21F2F"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0.0145262</w:t>
            </w:r>
          </w:p>
        </w:tc>
        <w:tc>
          <w:tcPr>
            <w:cnfStyle w:val="000010000000" w:firstRow="0" w:lastRow="0" w:firstColumn="0" w:lastColumn="0" w:oddVBand="1" w:evenVBand="0" w:oddHBand="0" w:evenHBand="0" w:firstRowFirstColumn="0" w:firstRowLastColumn="0" w:lastRowFirstColumn="0" w:lastRowLastColumn="0"/>
            <w:tcW w:w="1000" w:type="pct"/>
          </w:tcPr>
          <w:p w14:paraId="3B531CFF" w14:textId="34A3067F"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0.0361730</w:t>
            </w:r>
          </w:p>
        </w:tc>
        <w:tc>
          <w:tcPr>
            <w:cnfStyle w:val="000001000000" w:firstRow="0" w:lastRow="0" w:firstColumn="0" w:lastColumn="0" w:oddVBand="0" w:evenVBand="1" w:oddHBand="0" w:evenHBand="0" w:firstRowFirstColumn="0" w:firstRowLastColumn="0" w:lastRowFirstColumn="0" w:lastRowLastColumn="0"/>
            <w:tcW w:w="1000" w:type="pct"/>
          </w:tcPr>
          <w:p w14:paraId="1012C18D" w14:textId="54B8ED27"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0.4016</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3A9802C8" w14:textId="73669BF9"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0.7149</w:t>
            </w:r>
          </w:p>
        </w:tc>
      </w:tr>
      <w:tr w:rsidR="00307E0F" w:rsidRPr="001A77F6" w14:paraId="68243614" w14:textId="74AF9436" w:rsidTr="00111435">
        <w:trPr>
          <w:trHeight w:val="428"/>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2300936B" w14:textId="6D3D075B"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Invextr</w:t>
            </w:r>
          </w:p>
        </w:tc>
        <w:tc>
          <w:tcPr>
            <w:cnfStyle w:val="000001000000" w:firstRow="0" w:lastRow="0" w:firstColumn="0" w:lastColumn="0" w:oddVBand="0" w:evenVBand="1" w:oddHBand="0" w:evenHBand="0" w:firstRowFirstColumn="0" w:firstRowLastColumn="0" w:lastRowFirstColumn="0" w:lastRowLastColumn="0"/>
            <w:tcW w:w="1000" w:type="pct"/>
          </w:tcPr>
          <w:p w14:paraId="4A7459EB" w14:textId="59502A5D"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-1.10425</w:t>
            </w:r>
          </w:p>
        </w:tc>
        <w:tc>
          <w:tcPr>
            <w:cnfStyle w:val="000010000000" w:firstRow="0" w:lastRow="0" w:firstColumn="0" w:lastColumn="0" w:oddVBand="1" w:evenVBand="0" w:oddHBand="0" w:evenHBand="0" w:firstRowFirstColumn="0" w:firstRowLastColumn="0" w:lastRowFirstColumn="0" w:lastRowLastColumn="0"/>
            <w:tcW w:w="1000" w:type="pct"/>
          </w:tcPr>
          <w:p w14:paraId="64944A84" w14:textId="737618CF"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2.26818</w:t>
            </w:r>
          </w:p>
        </w:tc>
        <w:tc>
          <w:tcPr>
            <w:cnfStyle w:val="000001000000" w:firstRow="0" w:lastRow="0" w:firstColumn="0" w:lastColumn="0" w:oddVBand="0" w:evenVBand="1" w:oddHBand="0" w:evenHBand="0" w:firstRowFirstColumn="0" w:firstRowLastColumn="0" w:lastRowFirstColumn="0" w:lastRowLastColumn="0"/>
            <w:tcW w:w="1000" w:type="pct"/>
          </w:tcPr>
          <w:p w14:paraId="0ED5C87E" w14:textId="556ED858"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-0.4868</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3A793A67" w14:textId="79392BE9"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0.6597</w:t>
            </w:r>
          </w:p>
        </w:tc>
      </w:tr>
      <w:tr w:rsidR="00307E0F" w:rsidRPr="001A77F6" w14:paraId="2DE70CB0" w14:textId="57C256D6" w:rsidTr="00111435">
        <w:trPr>
          <w:cnfStyle w:val="000000100000" w:firstRow="0" w:lastRow="0" w:firstColumn="0" w:lastColumn="0" w:oddVBand="0" w:evenVBand="0" w:oddHBand="1" w:evenHBand="0" w:firstRowFirstColumn="0" w:firstRowLastColumn="0" w:lastRowFirstColumn="0" w:lastRowLastColumn="0"/>
          <w:trHeight w:val="361"/>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3AF396A5" w14:textId="14A2B40A"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BC</w:t>
            </w:r>
          </w:p>
        </w:tc>
        <w:tc>
          <w:tcPr>
            <w:cnfStyle w:val="000001000000" w:firstRow="0" w:lastRow="0" w:firstColumn="0" w:lastColumn="0" w:oddVBand="0" w:evenVBand="1" w:oddHBand="0" w:evenHBand="0" w:firstRowFirstColumn="0" w:firstRowLastColumn="0" w:lastRowFirstColumn="0" w:lastRowLastColumn="0"/>
            <w:tcW w:w="1000" w:type="pct"/>
          </w:tcPr>
          <w:p w14:paraId="5E654B34" w14:textId="40E19A68"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0.117559</w:t>
            </w:r>
          </w:p>
        </w:tc>
        <w:tc>
          <w:tcPr>
            <w:cnfStyle w:val="000010000000" w:firstRow="0" w:lastRow="0" w:firstColumn="0" w:lastColumn="0" w:oddVBand="1" w:evenVBand="0" w:oddHBand="0" w:evenHBand="0" w:firstRowFirstColumn="0" w:firstRowLastColumn="0" w:lastRowFirstColumn="0" w:lastRowLastColumn="0"/>
            <w:tcW w:w="1000" w:type="pct"/>
          </w:tcPr>
          <w:p w14:paraId="7B4BA2C1" w14:textId="29ED5928"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1.38331</w:t>
            </w:r>
          </w:p>
        </w:tc>
        <w:tc>
          <w:tcPr>
            <w:cnfStyle w:val="000001000000" w:firstRow="0" w:lastRow="0" w:firstColumn="0" w:lastColumn="0" w:oddVBand="0" w:evenVBand="1" w:oddHBand="0" w:evenHBand="0" w:firstRowFirstColumn="0" w:firstRowLastColumn="0" w:lastRowFirstColumn="0" w:lastRowLastColumn="0"/>
            <w:tcW w:w="1000" w:type="pct"/>
          </w:tcPr>
          <w:p w14:paraId="558A2C47" w14:textId="186E8662"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0.08498</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30D18625" w14:textId="06419F84"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0.9376</w:t>
            </w:r>
          </w:p>
        </w:tc>
      </w:tr>
      <w:tr w:rsidR="00307E0F" w:rsidRPr="001A77F6" w14:paraId="2CA8B26C" w14:textId="711417EC" w:rsidTr="00111435">
        <w:trPr>
          <w:trHeight w:val="409"/>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69BDAD27" w14:textId="1182110D"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sq_Txcambio</w:t>
            </w:r>
          </w:p>
        </w:tc>
        <w:tc>
          <w:tcPr>
            <w:cnfStyle w:val="000001000000" w:firstRow="0" w:lastRow="0" w:firstColumn="0" w:lastColumn="0" w:oddVBand="0" w:evenVBand="1" w:oddHBand="0" w:evenHBand="0" w:firstRowFirstColumn="0" w:firstRowLastColumn="0" w:lastRowFirstColumn="0" w:lastRowLastColumn="0"/>
            <w:tcW w:w="1000" w:type="pct"/>
          </w:tcPr>
          <w:p w14:paraId="5FF52B6D" w14:textId="45D4D812"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-1.43499e-05</w:t>
            </w:r>
          </w:p>
        </w:tc>
        <w:tc>
          <w:tcPr>
            <w:cnfStyle w:val="000010000000" w:firstRow="0" w:lastRow="0" w:firstColumn="0" w:lastColumn="0" w:oddVBand="1" w:evenVBand="0" w:oddHBand="0" w:evenHBand="0" w:firstRowFirstColumn="0" w:firstRowLastColumn="0" w:lastRowFirstColumn="0" w:lastRowLastColumn="0"/>
            <w:tcW w:w="1000" w:type="pct"/>
          </w:tcPr>
          <w:p w14:paraId="33D6B481" w14:textId="1171F4CC"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3,29729e-05</w:t>
            </w:r>
          </w:p>
        </w:tc>
        <w:tc>
          <w:tcPr>
            <w:cnfStyle w:val="000001000000" w:firstRow="0" w:lastRow="0" w:firstColumn="0" w:lastColumn="0" w:oddVBand="0" w:evenVBand="1" w:oddHBand="0" w:evenHBand="0" w:firstRowFirstColumn="0" w:firstRowLastColumn="0" w:lastRowFirstColumn="0" w:lastRowLastColumn="0"/>
            <w:tcW w:w="1000" w:type="pct"/>
          </w:tcPr>
          <w:p w14:paraId="2AE6BAD0" w14:textId="63260BFB"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-0.4352</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70997DA0" w14:textId="511B89F1"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0.6928</w:t>
            </w:r>
          </w:p>
        </w:tc>
      </w:tr>
      <w:tr w:rsidR="00307E0F" w:rsidRPr="001A77F6" w14:paraId="192F72C0" w14:textId="4B754894" w:rsidTr="00111435">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135E0696" w14:textId="5BC8E9CF"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sq_Invextr</w:t>
            </w:r>
          </w:p>
        </w:tc>
        <w:tc>
          <w:tcPr>
            <w:cnfStyle w:val="000001000000" w:firstRow="0" w:lastRow="0" w:firstColumn="0" w:lastColumn="0" w:oddVBand="0" w:evenVBand="1" w:oddHBand="0" w:evenHBand="0" w:firstRowFirstColumn="0" w:firstRowLastColumn="0" w:lastRowFirstColumn="0" w:lastRowLastColumn="0"/>
            <w:tcW w:w="1000" w:type="pct"/>
          </w:tcPr>
          <w:p w14:paraId="3B61BD26" w14:textId="45BE90C7"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-0.144025</w:t>
            </w:r>
          </w:p>
        </w:tc>
        <w:tc>
          <w:tcPr>
            <w:cnfStyle w:val="000010000000" w:firstRow="0" w:lastRow="0" w:firstColumn="0" w:lastColumn="0" w:oddVBand="1" w:evenVBand="0" w:oddHBand="0" w:evenHBand="0" w:firstRowFirstColumn="0" w:firstRowLastColumn="0" w:lastRowFirstColumn="0" w:lastRowLastColumn="0"/>
            <w:tcW w:w="1000" w:type="pct"/>
          </w:tcPr>
          <w:p w14:paraId="3CA2D1E7" w14:textId="3AC4EF52"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0.207632</w:t>
            </w:r>
          </w:p>
        </w:tc>
        <w:tc>
          <w:tcPr>
            <w:cnfStyle w:val="000001000000" w:firstRow="0" w:lastRow="0" w:firstColumn="0" w:lastColumn="0" w:oddVBand="0" w:evenVBand="1" w:oddHBand="0" w:evenHBand="0" w:firstRowFirstColumn="0" w:firstRowLastColumn="0" w:lastRowFirstColumn="0" w:lastRowLastColumn="0"/>
            <w:tcW w:w="1000" w:type="pct"/>
          </w:tcPr>
          <w:p w14:paraId="6D6E2D81" w14:textId="45A686BB"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-0.6937</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36D4A29A" w14:textId="5EBED55D"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0.5378</w:t>
            </w:r>
          </w:p>
        </w:tc>
      </w:tr>
      <w:tr w:rsidR="00307E0F" w:rsidRPr="001A77F6" w14:paraId="3A3E7359" w14:textId="166EC7CA" w:rsidTr="00111435">
        <w:trPr>
          <w:trHeight w:val="431"/>
        </w:trPr>
        <w:tc>
          <w:tcPr>
            <w:cnfStyle w:val="000010000000" w:firstRow="0" w:lastRow="0" w:firstColumn="0" w:lastColumn="0" w:oddVBand="1" w:evenVBand="0" w:oddHBand="0" w:evenHBand="0" w:firstRowFirstColumn="0" w:firstRowLastColumn="0" w:lastRowFirstColumn="0" w:lastRowLastColumn="0"/>
            <w:tcW w:w="1000" w:type="pct"/>
            <w:tcBorders>
              <w:left w:val="nil"/>
            </w:tcBorders>
          </w:tcPr>
          <w:p w14:paraId="73EF312D" w14:textId="301DEC24"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sq_BC</w:t>
            </w:r>
          </w:p>
        </w:tc>
        <w:tc>
          <w:tcPr>
            <w:cnfStyle w:val="000001000000" w:firstRow="0" w:lastRow="0" w:firstColumn="0" w:lastColumn="0" w:oddVBand="0" w:evenVBand="1" w:oddHBand="0" w:evenHBand="0" w:firstRowFirstColumn="0" w:firstRowLastColumn="0" w:lastRowFirstColumn="0" w:lastRowLastColumn="0"/>
            <w:tcW w:w="1000" w:type="pct"/>
          </w:tcPr>
          <w:p w14:paraId="799FD414" w14:textId="06F8E245"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-0.00965635</w:t>
            </w:r>
          </w:p>
        </w:tc>
        <w:tc>
          <w:tcPr>
            <w:cnfStyle w:val="000010000000" w:firstRow="0" w:lastRow="0" w:firstColumn="0" w:lastColumn="0" w:oddVBand="1" w:evenVBand="0" w:oddHBand="0" w:evenHBand="0" w:firstRowFirstColumn="0" w:firstRowLastColumn="0" w:lastRowFirstColumn="0" w:lastRowLastColumn="0"/>
            <w:tcW w:w="1000" w:type="pct"/>
          </w:tcPr>
          <w:p w14:paraId="45E1DBE6" w14:textId="150D2598"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0.0352106</w:t>
            </w:r>
          </w:p>
        </w:tc>
        <w:tc>
          <w:tcPr>
            <w:cnfStyle w:val="000001000000" w:firstRow="0" w:lastRow="0" w:firstColumn="0" w:lastColumn="0" w:oddVBand="0" w:evenVBand="1" w:oddHBand="0" w:evenHBand="0" w:firstRowFirstColumn="0" w:firstRowLastColumn="0" w:lastRowFirstColumn="0" w:lastRowLastColumn="0"/>
            <w:tcW w:w="1000" w:type="pct"/>
          </w:tcPr>
          <w:p w14:paraId="32F33BB1" w14:textId="208B9904"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-0.2742</w:t>
            </w:r>
          </w:p>
        </w:tc>
        <w:tc>
          <w:tcPr>
            <w:cnfStyle w:val="000010000000" w:firstRow="0" w:lastRow="0" w:firstColumn="0" w:lastColumn="0" w:oddVBand="1" w:evenVBand="0" w:oddHBand="0" w:evenHBand="0" w:firstRowFirstColumn="0" w:firstRowLastColumn="0" w:lastRowFirstColumn="0" w:lastRowLastColumn="0"/>
            <w:tcW w:w="1000" w:type="pct"/>
            <w:tcBorders>
              <w:right w:val="nil"/>
            </w:tcBorders>
          </w:tcPr>
          <w:p w14:paraId="3845CEB1" w14:textId="14BF4D45" w:rsidR="00307E0F" w:rsidRPr="001A77F6" w:rsidRDefault="00307E0F"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0.8017</w:t>
            </w:r>
          </w:p>
        </w:tc>
      </w:tr>
      <w:tr w:rsidR="001A77F6" w:rsidRPr="001A77F6" w14:paraId="4B16175E" w14:textId="69172A86" w:rsidTr="00111435">
        <w:trPr>
          <w:cnfStyle w:val="000000100000" w:firstRow="0" w:lastRow="0" w:firstColumn="0" w:lastColumn="0" w:oddVBand="0" w:evenVBand="0" w:oddHBand="1" w:evenHBand="0"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5000" w:type="pct"/>
            <w:gridSpan w:val="5"/>
            <w:tcBorders>
              <w:left w:val="nil"/>
              <w:right w:val="nil"/>
            </w:tcBorders>
          </w:tcPr>
          <w:p w14:paraId="50408616" w14:textId="4F26985D" w:rsidR="001A77F6" w:rsidRPr="001A77F6" w:rsidRDefault="001A77F6"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Unadjusted R-squared = 0.646543; Test statistic: TR^2 = 6.465434</w:t>
            </w:r>
          </w:p>
        </w:tc>
      </w:tr>
      <w:tr w:rsidR="001A77F6" w:rsidRPr="001A77F6" w14:paraId="5BA9095A" w14:textId="5664DAE0" w:rsidTr="00111435">
        <w:trPr>
          <w:trHeight w:val="414"/>
        </w:trPr>
        <w:tc>
          <w:tcPr>
            <w:cnfStyle w:val="000010000000" w:firstRow="0" w:lastRow="0" w:firstColumn="0" w:lastColumn="0" w:oddVBand="1" w:evenVBand="0" w:oddHBand="0" w:evenHBand="0" w:firstRowFirstColumn="0" w:firstRowLastColumn="0" w:lastRowFirstColumn="0" w:lastRowLastColumn="0"/>
            <w:tcW w:w="5000" w:type="pct"/>
            <w:gridSpan w:val="5"/>
            <w:tcBorders>
              <w:left w:val="nil"/>
              <w:right w:val="nil"/>
            </w:tcBorders>
          </w:tcPr>
          <w:p w14:paraId="4E2901D5" w14:textId="51BDC0F0" w:rsidR="001A77F6" w:rsidRPr="001A77F6" w:rsidRDefault="001A77F6" w:rsidP="001A77F6">
            <w:pPr>
              <w:pStyle w:val="SemEspaamento"/>
              <w:jc w:val="center"/>
              <w:rPr>
                <w:rFonts w:ascii="Times New Roman" w:hAnsi="Times New Roman" w:cs="Times New Roman"/>
                <w:sz w:val="24"/>
                <w:szCs w:val="24"/>
              </w:rPr>
            </w:pPr>
            <w:r w:rsidRPr="001A77F6">
              <w:rPr>
                <w:rFonts w:ascii="Times New Roman" w:hAnsi="Times New Roman" w:cs="Times New Roman"/>
                <w:sz w:val="24"/>
                <w:szCs w:val="24"/>
              </w:rPr>
              <w:t xml:space="preserve">with p-value = p(Chi-square(6) &gt; 6.465434) = 0.373118</w:t>
            </w:r>
          </w:p>
        </w:tc>
      </w:tr>
    </w:tbl>
    <w:p w14:paraId="47589E3F" w14:textId="36A1D678" w:rsidR="00035D7E" w:rsidRPr="000E7099" w:rsidRDefault="00035D7E" w:rsidP="001A77F6">
      <w:pPr>
        <w:spacing w:before="240" w:line="360" w:lineRule="auto"/>
        <w:jc w:val="both"/>
        <w:rPr>
          <w:rFonts w:ascii="Times New Roman" w:hAnsi="Times New Roman" w:cs="Times New Roman"/>
          <w:sz w:val="24"/>
          <w:szCs w:val="24"/>
        </w:rPr>
      </w:pPr>
      <w:r w:rsidRPr="000E7099">
        <w:rPr>
          <w:rFonts w:ascii="Times New Roman" w:hAnsi="Times New Roman" w:cs="Times New Roman"/>
          <w:sz w:val="24"/>
          <w:szCs w:val="24"/>
        </w:rPr>
        <w:t>Source: Own elaboration based on Gretl</w:t>
      </w:r>
    </w:p>
    <w:p w14:paraId="2DBBB825"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Least Squares (OLS), using observations from 2014-2023 (T = 10)</w:t>
      </w:r>
    </w:p>
    <w:p w14:paraId="15943471"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Dependent variable: uhat^2.</w:t>
      </w:r>
    </w:p>
    <w:p w14:paraId="71AC9416"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White's test for the existence or absence of heteroscedasticity yielded a Chi-square statistic of 6.465434, with 2 degrees of freedom and a p-value of 0.373118, leading to the non-rejection of the nullity of the existence of homoscedasticity, admitting the residuals of the estimated model as homoscedastic or variance-stationary.</w:t>
      </w:r>
    </w:p>
    <w:p w14:paraId="04BA0350"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5% critical value (two-sided) = 0.6319 for n = 10</w:t>
      </w:r>
    </w:p>
    <w:p w14:paraId="6F1DB627" w14:textId="77777777" w:rsidR="00035D7E" w:rsidRPr="000E7099" w:rsidRDefault="00035D7E" w:rsidP="00035D7E">
      <w:pPr>
        <w:spacing w:line="360" w:lineRule="auto"/>
        <w:jc w:val="both"/>
        <w:rPr>
          <w:rFonts w:ascii="Times New Roman" w:hAnsi="Times New Roman" w:cs="Times New Roman"/>
          <w:sz w:val="24"/>
          <w:szCs w:val="24"/>
        </w:rPr>
      </w:pPr>
      <w:bookmarkStart w:id="9" w:name="_Toc193051441"/>
      <w:r w:rsidRPr="000E7099">
        <w:rPr>
          <w:rFonts w:ascii="Times New Roman" w:hAnsi="Times New Roman" w:cs="Times New Roman"/>
          <w:sz w:val="24"/>
          <w:szCs w:val="24"/>
        </w:rPr>
        <w:t xml:space="preserve">Table</w:t>
      </w:r>
      <w:r w:rsidRPr="000E7099">
        <w:rPr>
          <w:rFonts w:ascii="Times New Roman" w:hAnsi="Times New Roman" w:cs="Times New Roman"/>
          <w:sz w:val="24"/>
          <w:szCs w:val="24"/>
        </w:rPr>
        <w:fldChar w:fldCharType="begin"/>
      </w:r>
      <w:r w:rsidRPr="000E7099">
        <w:rPr>
          <w:rFonts w:ascii="Times New Roman" w:hAnsi="Times New Roman" w:cs="Times New Roman"/>
          <w:sz w:val="24"/>
          <w:szCs w:val="24"/>
        </w:rPr>
        <w:instrText xml:space="preserve"> SEQ Tabela \* ROMAN </w:instrText>
      </w:r>
      <w:r w:rsidRPr="000E7099">
        <w:rPr>
          <w:rFonts w:ascii="Times New Roman" w:hAnsi="Times New Roman" w:cs="Times New Roman"/>
          <w:sz w:val="24"/>
          <w:szCs w:val="24"/>
        </w:rPr>
        <w:fldChar w:fldCharType="separate"/>
      </w:r>
      <w:r w:rsidRPr="000E7099">
        <w:rPr>
          <w:rFonts w:ascii="Times New Roman" w:hAnsi="Times New Roman" w:cs="Times New Roman"/>
          <w:sz w:val="24"/>
          <w:szCs w:val="24"/>
        </w:rPr>
        <w:t>VIII</w:t>
      </w:r>
      <w:r w:rsidRPr="000E7099">
        <w:rPr>
          <w:rFonts w:ascii="Times New Roman" w:hAnsi="Times New Roman" w:cs="Times New Roman"/>
          <w:sz w:val="24"/>
          <w:szCs w:val="24"/>
        </w:rPr>
        <w:fldChar w:fldCharType="end"/>
      </w:r>
      <w:r w:rsidRPr="000E7099">
        <w:rPr>
          <w:rFonts w:ascii="Times New Roman" w:hAnsi="Times New Roman" w:cs="Times New Roman"/>
          <w:sz w:val="24"/>
          <w:szCs w:val="24"/>
        </w:rPr>
        <w:t xml:space="preserve">Correlation coefficients, using all observations from 2014 to 2023.</w:t>
      </w:r>
      <w:bookmarkEnd w:id="9"/>
    </w:p>
    <w:tbl>
      <w:tblPr>
        <w:tblW w:w="5000" w:type="pct"/>
        <w:jc w:val="center"/>
        <w:tblBorders>
          <w:top w:val="single" w:sz="4" w:space="0" w:color="auto"/>
          <w:bottom w:val="single" w:sz="4" w:space="0" w:color="auto"/>
        </w:tblBorders>
        <w:tblCellMar>
          <w:left w:w="60" w:type="dxa"/>
          <w:right w:w="60" w:type="dxa"/>
        </w:tblCellMar>
        <w:tblLook w:val="0000" w:firstRow="0" w:lastRow="0" w:firstColumn="0" w:lastColumn="0" w:noHBand="0" w:noVBand="0"/>
      </w:tblPr>
      <w:tblGrid>
        <w:gridCol w:w="1730"/>
        <w:gridCol w:w="1694"/>
        <w:gridCol w:w="1694"/>
        <w:gridCol w:w="1694"/>
        <w:gridCol w:w="1692"/>
      </w:tblGrid>
      <w:tr w:rsidR="00035D7E" w:rsidRPr="00F37C33" w14:paraId="5D012FA0" w14:textId="77777777" w:rsidTr="00111435">
        <w:trPr>
          <w:trHeight w:val="262"/>
          <w:jc w:val="center"/>
        </w:trPr>
        <w:tc>
          <w:tcPr>
            <w:tcW w:w="1017" w:type="pct"/>
          </w:tcPr>
          <w:p w14:paraId="61E1E8CE"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Varpib</w:t>
            </w:r>
          </w:p>
        </w:tc>
        <w:tc>
          <w:tcPr>
            <w:tcW w:w="996" w:type="pct"/>
          </w:tcPr>
          <w:p w14:paraId="32AD23BE"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Txcambio</w:t>
            </w:r>
          </w:p>
        </w:tc>
        <w:tc>
          <w:tcPr>
            <w:tcW w:w="996" w:type="pct"/>
          </w:tcPr>
          <w:p w14:paraId="374101FF"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Invextr</w:t>
            </w:r>
          </w:p>
        </w:tc>
        <w:tc>
          <w:tcPr>
            <w:tcW w:w="996" w:type="pct"/>
          </w:tcPr>
          <w:p w14:paraId="53F66289"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BC</w:t>
            </w:r>
          </w:p>
        </w:tc>
        <w:tc>
          <w:tcPr>
            <w:tcW w:w="995" w:type="pct"/>
          </w:tcPr>
          <w:p w14:paraId="2E2F05E0" w14:textId="77777777" w:rsidR="00035D7E" w:rsidRPr="00F37C33" w:rsidRDefault="00035D7E" w:rsidP="00111435">
            <w:pPr>
              <w:pStyle w:val="SemEspaamento"/>
              <w:spacing w:line="276" w:lineRule="auto"/>
              <w:rPr>
                <w:rFonts w:ascii="Times New Roman" w:hAnsi="Times New Roman" w:cs="Times New Roman"/>
                <w:sz w:val="24"/>
                <w:szCs w:val="24"/>
              </w:rPr>
            </w:pPr>
          </w:p>
        </w:tc>
      </w:tr>
      <w:tr w:rsidR="00035D7E" w:rsidRPr="00F37C33" w14:paraId="18D37FD2" w14:textId="77777777" w:rsidTr="00111435">
        <w:trPr>
          <w:trHeight w:val="262"/>
          <w:jc w:val="center"/>
        </w:trPr>
        <w:tc>
          <w:tcPr>
            <w:tcW w:w="1017" w:type="pct"/>
          </w:tcPr>
          <w:p w14:paraId="118CF162"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1.0000</w:t>
            </w:r>
          </w:p>
        </w:tc>
        <w:tc>
          <w:tcPr>
            <w:tcW w:w="996" w:type="pct"/>
          </w:tcPr>
          <w:p w14:paraId="6714F16D"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-0.2134</w:t>
            </w:r>
          </w:p>
        </w:tc>
        <w:tc>
          <w:tcPr>
            <w:tcW w:w="996" w:type="pct"/>
          </w:tcPr>
          <w:p w14:paraId="297EBE9C"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0.0915</w:t>
            </w:r>
          </w:p>
        </w:tc>
        <w:tc>
          <w:tcPr>
            <w:tcW w:w="996" w:type="pct"/>
          </w:tcPr>
          <w:p w14:paraId="7E63429B"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0.2849</w:t>
            </w:r>
          </w:p>
        </w:tc>
        <w:tc>
          <w:tcPr>
            <w:tcW w:w="995" w:type="pct"/>
          </w:tcPr>
          <w:p w14:paraId="40FF2FA4"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varpib</w:t>
            </w:r>
          </w:p>
        </w:tc>
      </w:tr>
      <w:tr w:rsidR="00035D7E" w:rsidRPr="00F37C33" w14:paraId="13C28176" w14:textId="77777777" w:rsidTr="00111435">
        <w:trPr>
          <w:trHeight w:val="262"/>
          <w:jc w:val="center"/>
        </w:trPr>
        <w:tc>
          <w:tcPr>
            <w:tcW w:w="1017" w:type="pct"/>
          </w:tcPr>
          <w:p w14:paraId="04DB5B95"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6E5510C2"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1.0000</w:t>
            </w:r>
          </w:p>
        </w:tc>
        <w:tc>
          <w:tcPr>
            <w:tcW w:w="996" w:type="pct"/>
          </w:tcPr>
          <w:p w14:paraId="5070D411"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-0.2744</w:t>
            </w:r>
          </w:p>
        </w:tc>
        <w:tc>
          <w:tcPr>
            <w:tcW w:w="996" w:type="pct"/>
          </w:tcPr>
          <w:p w14:paraId="1384781B"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0.7676</w:t>
            </w:r>
          </w:p>
        </w:tc>
        <w:tc>
          <w:tcPr>
            <w:tcW w:w="995" w:type="pct"/>
          </w:tcPr>
          <w:p w14:paraId="5C0054CF"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Txcambio</w:t>
            </w:r>
          </w:p>
        </w:tc>
      </w:tr>
      <w:tr w:rsidR="00035D7E" w:rsidRPr="00F37C33" w14:paraId="296192EF" w14:textId="77777777" w:rsidTr="00111435">
        <w:trPr>
          <w:trHeight w:val="262"/>
          <w:jc w:val="center"/>
        </w:trPr>
        <w:tc>
          <w:tcPr>
            <w:tcW w:w="1017" w:type="pct"/>
          </w:tcPr>
          <w:p w14:paraId="27ED53CD"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56B4A155"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6A9E2D1E"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1.0000</w:t>
            </w:r>
          </w:p>
        </w:tc>
        <w:tc>
          <w:tcPr>
            <w:tcW w:w="996" w:type="pct"/>
          </w:tcPr>
          <w:p w14:paraId="5135BFAC"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-0.3157</w:t>
            </w:r>
          </w:p>
        </w:tc>
        <w:tc>
          <w:tcPr>
            <w:tcW w:w="995" w:type="pct"/>
          </w:tcPr>
          <w:p w14:paraId="16071948"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Invextr</w:t>
            </w:r>
          </w:p>
        </w:tc>
      </w:tr>
      <w:tr w:rsidR="00035D7E" w:rsidRPr="00F37C33" w14:paraId="2FFAFAAF" w14:textId="77777777" w:rsidTr="00111435">
        <w:trPr>
          <w:trHeight w:val="262"/>
          <w:jc w:val="center"/>
        </w:trPr>
        <w:tc>
          <w:tcPr>
            <w:tcW w:w="1017" w:type="pct"/>
          </w:tcPr>
          <w:p w14:paraId="1F4EA202"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26A9EFA2"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605AE993" w14:textId="77777777" w:rsidR="00035D7E" w:rsidRPr="00F37C33" w:rsidRDefault="00035D7E" w:rsidP="00111435">
            <w:pPr>
              <w:pStyle w:val="SemEspaamento"/>
              <w:spacing w:line="276" w:lineRule="auto"/>
              <w:rPr>
                <w:rFonts w:ascii="Times New Roman" w:hAnsi="Times New Roman" w:cs="Times New Roman"/>
                <w:sz w:val="24"/>
                <w:szCs w:val="24"/>
              </w:rPr>
            </w:pPr>
          </w:p>
        </w:tc>
        <w:tc>
          <w:tcPr>
            <w:tcW w:w="996" w:type="pct"/>
          </w:tcPr>
          <w:p w14:paraId="1ABF906F"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1.0000</w:t>
            </w:r>
          </w:p>
        </w:tc>
        <w:tc>
          <w:tcPr>
            <w:tcW w:w="995" w:type="pct"/>
          </w:tcPr>
          <w:p w14:paraId="4214B89B" w14:textId="77777777" w:rsidR="00035D7E" w:rsidRPr="00F37C33" w:rsidRDefault="00035D7E" w:rsidP="00111435">
            <w:pPr>
              <w:pStyle w:val="SemEspaamento"/>
              <w:spacing w:line="276" w:lineRule="auto"/>
              <w:rPr>
                <w:rFonts w:ascii="Times New Roman" w:hAnsi="Times New Roman" w:cs="Times New Roman"/>
                <w:sz w:val="24"/>
                <w:szCs w:val="24"/>
              </w:rPr>
            </w:pPr>
            <w:r w:rsidRPr="00F37C33">
              <w:rPr>
                <w:rFonts w:ascii="Times New Roman" w:hAnsi="Times New Roman" w:cs="Times New Roman"/>
                <w:sz w:val="24"/>
                <w:szCs w:val="24"/>
              </w:rPr>
              <w:t>BC</w:t>
            </w:r>
          </w:p>
        </w:tc>
      </w:tr>
    </w:tbl>
    <w:p w14:paraId="64A5126A" w14:textId="77777777" w:rsidR="00111435" w:rsidRPr="000E7099" w:rsidRDefault="00111435" w:rsidP="00111435">
      <w:pPr>
        <w:spacing w:before="240" w:line="360" w:lineRule="auto"/>
        <w:jc w:val="both"/>
        <w:rPr>
          <w:rFonts w:ascii="Times New Roman" w:hAnsi="Times New Roman" w:cs="Times New Roman"/>
          <w:sz w:val="24"/>
          <w:szCs w:val="24"/>
        </w:rPr>
      </w:pPr>
      <w:r w:rsidRPr="000E7099">
        <w:rPr>
          <w:rFonts w:ascii="Times New Roman" w:hAnsi="Times New Roman" w:cs="Times New Roman"/>
          <w:sz w:val="24"/>
          <w:szCs w:val="24"/>
        </w:rPr>
        <w:t>Source: Own elaboration based on Gretl</w:t>
      </w:r>
    </w:p>
    <w:p w14:paraId="41E64380"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lastRenderedPageBreak/>
        <w:t>Table VIII shows a strong relationship between the exchange rate and the trade balance, on the order of 0.76, which implies the existence of a direct relationship between the variables as exports increase and the exchange rate appreciates, allowing for greater openness in foreign relations.</w:t>
      </w:r>
    </w:p>
    <w:p w14:paraId="39B84FAE" w14:textId="77777777" w:rsidR="00035D7E"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The simple autocorrelation function of the model residuals, in Figure III, does not show a "statistically significant" correlation, indicating that the estimated model captured the essence of the dependence. The Durbin-Watson test yielded a DW statistic of 2.09 with a p-value of 0.0177. Therefore, the hypothesis is rejected, and the error terms in the estimated model indicate an absence of positive autocorrelation.</w:t>
      </w:r>
    </w:p>
    <w:p w14:paraId="1459E26F" w14:textId="3363C017" w:rsidR="00F37C33" w:rsidRPr="001F7D16" w:rsidRDefault="003F6005" w:rsidP="00F37C33">
      <w:pPr>
        <w:spacing w:line="360" w:lineRule="auto"/>
        <w:jc w:val="both"/>
        <w:rPr>
          <w:rFonts w:ascii="Times New Roman" w:hAnsi="Times New Roman" w:cs="Times New Roman"/>
          <w:sz w:val="24"/>
          <w:szCs w:val="24"/>
        </w:rPr>
      </w:pPr>
      <w:r w:rsidRPr="000E7099">
        <w:rPr>
          <w:rFonts w:ascii="Times New Roman" w:hAnsi="Times New Roman" w:cs="Times New Roman"/>
          <w:noProof/>
          <w:sz w:val="24"/>
          <w:szCs w:val="24"/>
          <w:lang w:val="pt-BR" w:eastAsia="pt-BR"/>
        </w:rPr>
        <w:drawing>
          <wp:anchor distT="0" distB="0" distL="114300" distR="114300" simplePos="0" relativeHeight="251659264" behindDoc="1" locked="0" layoutInCell="1" allowOverlap="1" wp14:anchorId="1129009F" wp14:editId="4D2EE313">
            <wp:simplePos x="0" y="0"/>
            <wp:positionH relativeFrom="margin">
              <wp:posOffset>-114300</wp:posOffset>
            </wp:positionH>
            <wp:positionV relativeFrom="paragraph">
              <wp:posOffset>314960</wp:posOffset>
            </wp:positionV>
            <wp:extent cx="5686425" cy="1259205"/>
            <wp:effectExtent l="0" t="0" r="0" b="0"/>
            <wp:wrapTight wrapText="bothSides">
              <wp:wrapPolygon edited="0">
                <wp:start x="9986" y="0"/>
                <wp:lineTo x="1303" y="2287"/>
                <wp:lineTo x="434" y="2614"/>
                <wp:lineTo x="434" y="7189"/>
                <wp:lineTo x="941" y="11110"/>
                <wp:lineTo x="289" y="13398"/>
                <wp:lineTo x="289" y="14051"/>
                <wp:lineTo x="1158" y="16339"/>
                <wp:lineTo x="651" y="17319"/>
                <wp:lineTo x="1230" y="18953"/>
                <wp:lineTo x="9769" y="21241"/>
                <wp:lineTo x="12446" y="21241"/>
                <wp:lineTo x="15630" y="20587"/>
                <wp:lineTo x="21130" y="17973"/>
                <wp:lineTo x="21202" y="2941"/>
                <wp:lineTo x="18886" y="1634"/>
                <wp:lineTo x="11071" y="0"/>
                <wp:lineTo x="9986"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3702" b="50554"/>
                    <a:stretch/>
                  </pic:blipFill>
                  <pic:spPr bwMode="auto">
                    <a:xfrm>
                      <a:off x="0" y="0"/>
                      <a:ext cx="5686425" cy="1259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33" w:rsidRPr="000E7099">
        <w:rPr>
          <w:rFonts w:ascii="Times New Roman" w:hAnsi="Times New Roman" w:cs="Times New Roman"/>
          <w:sz w:val="24"/>
          <w:szCs w:val="24"/>
        </w:rPr>
        <w:t xml:space="preserve">Figure</w:t>
      </w:r>
      <w:r w:rsidR="00F37C33" w:rsidRPr="000E7099">
        <w:rPr>
          <w:rFonts w:ascii="Times New Roman" w:hAnsi="Times New Roman" w:cs="Times New Roman"/>
          <w:sz w:val="24"/>
          <w:szCs w:val="24"/>
        </w:rPr>
        <w:fldChar w:fldCharType="begin"/>
      </w:r>
      <w:r w:rsidR="00F37C33" w:rsidRPr="000E7099">
        <w:rPr>
          <w:rFonts w:ascii="Times New Roman" w:hAnsi="Times New Roman" w:cs="Times New Roman"/>
          <w:sz w:val="24"/>
          <w:szCs w:val="24"/>
        </w:rPr>
        <w:instrText xml:space="preserve"> SEQ Figura \* ARABIC </w:instrText>
      </w:r>
      <w:r w:rsidR="00F37C33" w:rsidRPr="000E7099">
        <w:rPr>
          <w:rFonts w:ascii="Times New Roman" w:hAnsi="Times New Roman" w:cs="Times New Roman"/>
          <w:sz w:val="24"/>
          <w:szCs w:val="24"/>
        </w:rPr>
        <w:fldChar w:fldCharType="separate"/>
      </w:r>
      <w:r w:rsidR="00F37C33" w:rsidRPr="000E7099">
        <w:rPr>
          <w:rFonts w:ascii="Times New Roman" w:hAnsi="Times New Roman" w:cs="Times New Roman"/>
          <w:sz w:val="24"/>
          <w:szCs w:val="24"/>
        </w:rPr>
        <w:t>3</w:t>
      </w:r>
      <w:r w:rsidR="00F37C33" w:rsidRPr="000E7099">
        <w:rPr>
          <w:rFonts w:ascii="Times New Roman" w:hAnsi="Times New Roman" w:cs="Times New Roman"/>
          <w:sz w:val="24"/>
          <w:szCs w:val="24"/>
        </w:rPr>
        <w:fldChar w:fldCharType="end"/>
      </w:r>
      <w:r w:rsidR="00F37C33" w:rsidRPr="000E7099">
        <w:rPr>
          <w:rFonts w:ascii="Times New Roman" w:hAnsi="Times New Roman" w:cs="Times New Roman"/>
          <w:sz w:val="24"/>
          <w:szCs w:val="24"/>
        </w:rPr>
        <w:t xml:space="preserve">–Simple autocorrelation function of the residuals from the estimated model.</w:t>
      </w:r>
    </w:p>
    <w:p w14:paraId="55AAD706" w14:textId="77777777" w:rsidR="003F6005" w:rsidRDefault="003F6005" w:rsidP="00035D7E">
      <w:pPr>
        <w:spacing w:line="360" w:lineRule="auto"/>
        <w:jc w:val="both"/>
        <w:rPr>
          <w:rFonts w:ascii="Times New Roman" w:hAnsi="Times New Roman" w:cs="Times New Roman"/>
          <w:sz w:val="24"/>
          <w:szCs w:val="24"/>
        </w:rPr>
      </w:pPr>
    </w:p>
    <w:p w14:paraId="7C92E733" w14:textId="009E583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Source: Own elaboration based on Gretl</w:t>
      </w:r>
    </w:p>
    <w:p w14:paraId="2ABC7F8C" w14:textId="77777777" w:rsidR="00035D7E" w:rsidRPr="000E7099" w:rsidRDefault="00035D7E" w:rsidP="00035D7E">
      <w:pPr>
        <w:spacing w:line="360" w:lineRule="auto"/>
        <w:jc w:val="both"/>
        <w:rPr>
          <w:rFonts w:ascii="Times New Roman" w:hAnsi="Times New Roman" w:cs="Times New Roman"/>
          <w:sz w:val="24"/>
          <w:szCs w:val="24"/>
        </w:rPr>
      </w:pPr>
      <w:r w:rsidRPr="000E7099">
        <w:rPr>
          <w:rFonts w:ascii="Times New Roman" w:hAnsi="Times New Roman" w:cs="Times New Roman"/>
          <w:sz w:val="24"/>
          <w:szCs w:val="24"/>
        </w:rPr>
        <w:t>The results indicate that FDI did not have a positive and significant impact on GDP growth. The FDI coefficient showed a negative value (-0.23), which means that an increase in FDI did not directly translate into economic growth in the period analyzed.</w:t>
      </w:r>
    </w:p>
    <w:p w14:paraId="0569D5B7" w14:textId="47E829CB" w:rsidR="00035D7E" w:rsidRPr="004E445A" w:rsidRDefault="00035D7E" w:rsidP="00AD2F66">
      <w:pPr>
        <w:pStyle w:val="Ttulo1"/>
      </w:pPr>
      <w:r w:rsidRPr="000E7099">
        <w:t xml:space="preserve">4. Discussion of Results</w:t>
      </w:r>
    </w:p>
    <w:p w14:paraId="483890FE"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05DA">
        <w:rPr>
          <w:rFonts w:ascii="Times New Roman" w:eastAsia="Times New Roman" w:hAnsi="Times New Roman" w:cs="Times New Roman"/>
          <w:kern w:val="0"/>
          <w:sz w:val="24"/>
          <w:szCs w:val="24"/>
          <w14:ligatures w14:val="none"/>
        </w:rPr>
        <w:t>The results obtained in this study reveal that, in the period from 2014 to 2023, Foreign Direct Investment (FDI) did not present a positive and statistically significant contribution to Angola's economic growth. On the contrary, the estimated FDI coefficient on Gross Domestic Product (GDP) showed a negative sign (≈ −0.23), indicating that, in that time interval, the inflow of foreign capital did not translate into an acceleration of economic activity. In contrast, the trade balance demonstrated a significant positive effect (≈ 0.76), while the exchange rate exerted a negative influence (≈ −0.015), suggesting that exchange rate instability and currency depreciation tended to limit growth. The econometric model explains a considerable proportion of the GDP variation (adjusted R² ≈ 0.84) and passed basic normality and heteroscedasticity tests, which confers initial robustness to the results.</w:t>
      </w:r>
    </w:p>
    <w:p w14:paraId="3D1F2D00"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These results converge with other studies that point to the weak capacity of FDI to promote economic growth in Angola. Works by Kunietama (2014) and Gonçalves (2012) had already shown that the almost exclusive dependence of FDI on the oil sector and the lack of diversification limit long-term benefits. Similarly, Haskel, Pereira, and Slaughter (2002) demonstrate that the effects of FDI depend on the absorption capacity of the host economy and the existence of productive linkages. When these conditions are weak, as is the case in Angola, productivity and growth gains tend to be minimal or even negative. Likewise, Rodrik (2011) and Feenstra and Hanson (2003) emphasize that the impact of FDI is strongly conditioned by institutional and structural factors, namely the quality of institutions, the level of human capital, and productive integration policies.</w:t>
      </w:r>
    </w:p>
    <w:p w14:paraId="700E32D6"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05DA">
        <w:rPr>
          <w:rFonts w:ascii="Times New Roman" w:eastAsia="Times New Roman" w:hAnsi="Times New Roman" w:cs="Times New Roman"/>
          <w:kern w:val="0"/>
          <w:sz w:val="24"/>
          <w:szCs w:val="24"/>
          <w14:ligatures w14:val="none"/>
        </w:rPr>
        <w:t>On the other hand, these results diverge from the international literature which, on average, presents FDI as an engine of economic growth. Reports from the OECD (2020), UNCTAD (2020) and the African Development Bank argue that FDI is a privileged instrument for technology transfer, innovation and the creation of skilled jobs. Case studies in emerging economies in Asia and Latin America (Bilas, 2019) corroborate this view by showing that, when there are policies to encourage local integration and solid institutional capacity, FDI contributes robustly to economic development. This divergence between international evidence and the results obtained in Angola suggests that the impact of FDI is strongly dependent on the context, especially the economic structure and governance policies adopted.</w:t>
      </w:r>
    </w:p>
    <w:p w14:paraId="6BC133C6"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05DA">
        <w:rPr>
          <w:rFonts w:ascii="Times New Roman" w:eastAsia="Times New Roman" w:hAnsi="Times New Roman" w:cs="Times New Roman"/>
          <w:kern w:val="0"/>
          <w:sz w:val="24"/>
          <w:szCs w:val="24"/>
          <w14:ligatures w14:val="none"/>
        </w:rPr>
        <w:t>In the Angolan case, the explanation for the negative result found lies mainly in the concentration of FDI in the oil sector, characterized by weak linkages with the local economy and high repatriation of profits by multinationals (Haskel et al., 2002; Gonçalves, 2012). Furthermore, the absence of consistent productive diversification policies reduced the potential for FDI absorption in non-oil sectors, such as agriculture, manufacturing, and services. Macroeconomic instability, expressed in exchange rate volatility and high levels of inflation, also undermined the business environment and limited the multiplier effects of foreign investment. In addition, external shocks, such as the fall in oil prices in 2014–2016 and the COVID-19 pandemic in 2020, strongly impacted FDI flows, restricting their capacity to contribute to growth (UNCTAD, 2020; World Bank, 2023).</w:t>
      </w:r>
    </w:p>
    <w:p w14:paraId="6DEC32D4"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05DA">
        <w:rPr>
          <w:rFonts w:ascii="Times New Roman" w:eastAsia="Times New Roman" w:hAnsi="Times New Roman" w:cs="Times New Roman"/>
          <w:kern w:val="0"/>
          <w:sz w:val="24"/>
          <w:szCs w:val="24"/>
          <w14:ligatures w14:val="none"/>
        </w:rPr>
        <w:t>In terms of implications, the results point to the need for Angola to adopt more selective FDI attraction policies, prioritizing investments that stimulate economic diversification and generate local value chains. The creation of mechanisms requiring local content, combined with incentives for technology transfer, could transform FDI into a more effective engine of growth. Simultaneously, it is fundamental to strengthen the absorption capacity of the national economy, invest in human capital, scientific research, and industrial policies that favor the integration of foreign investment with local small and medium-sized enterprises.</w:t>
      </w:r>
    </w:p>
    <w:p w14:paraId="1966F19E" w14:textId="77777777" w:rsidR="00035D7E" w:rsidRPr="001605DA" w:rsidRDefault="00035D7E" w:rsidP="00035D7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605DA">
        <w:rPr>
          <w:rFonts w:ascii="Times New Roman" w:eastAsia="Times New Roman" w:hAnsi="Times New Roman" w:cs="Times New Roman"/>
          <w:kern w:val="0"/>
          <w:sz w:val="24"/>
          <w:szCs w:val="24"/>
          <w14:ligatures w14:val="none"/>
        </w:rPr>
        <w:t>Thus, this investigation reinforces the idea that FDI, by itself, is not a guarantee of economic growth. In Angola, during the period analyzed, its contribution was negligible or even negative, in line with studies that highlight the vulnerability of economies excessively dependent on a single natural resource sector. On the other hand, the divergence from international literature shows that, when properly framed, FDI can be an engine of growth. The challenge for Angola, therefore, consists of redirecting FDI towards strategic non-oil sectors and creating institutional and macroeconomic conditions that allow this capital to be transformed into sustainable and inclusive development.</w:t>
      </w:r>
    </w:p>
    <w:p w14:paraId="630C1812" w14:textId="291EB98D" w:rsidR="00035D7E" w:rsidRPr="00BB1C9E" w:rsidRDefault="00A46266" w:rsidP="00A46266">
      <w:pPr>
        <w:pStyle w:val="Ttulo1"/>
      </w:pPr>
      <w:r>
        <w:t>5. Conclusions</w:t>
      </w:r>
    </w:p>
    <w:p w14:paraId="62045F6D" w14:textId="77777777" w:rsidR="00035D7E" w:rsidRPr="00F74F13" w:rsidRDefault="00035D7E" w:rsidP="00035D7E">
      <w:pPr>
        <w:spacing w:line="360" w:lineRule="auto"/>
        <w:jc w:val="both"/>
        <w:rPr>
          <w:rFonts w:ascii="Times New Roman" w:hAnsi="Times New Roman" w:cs="Times New Roman"/>
          <w:sz w:val="24"/>
          <w:szCs w:val="24"/>
        </w:rPr>
      </w:pPr>
      <w:r w:rsidRPr="00F74F13">
        <w:rPr>
          <w:rFonts w:ascii="Times New Roman" w:hAnsi="Times New Roman" w:cs="Times New Roman"/>
          <w:sz w:val="24"/>
          <w:szCs w:val="24"/>
        </w:rPr>
        <w:t>This study analyzed the impact of Foreign Direct Investment (FDI) on Angola's economic growth from 2014 to 2023. The empirical analysis revealed that FDI, contrary to what is often argued in the international literature, did not exert a positive and significant influence on Angola's Gross Domestic Product (GDP), even showing a negative effect. This result demonstrates that, in the Angolan context, FDI flows have not contributed decisively to economic growth.</w:t>
      </w:r>
    </w:p>
    <w:p w14:paraId="5CCDC039" w14:textId="77777777" w:rsidR="00035D7E" w:rsidRPr="00F74F13" w:rsidRDefault="00035D7E" w:rsidP="00035D7E">
      <w:pPr>
        <w:spacing w:line="360" w:lineRule="auto"/>
        <w:jc w:val="both"/>
        <w:rPr>
          <w:rFonts w:ascii="Times New Roman" w:hAnsi="Times New Roman" w:cs="Times New Roman"/>
          <w:sz w:val="24"/>
          <w:szCs w:val="24"/>
        </w:rPr>
      </w:pPr>
      <w:r w:rsidRPr="00F74F13">
        <w:rPr>
          <w:rFonts w:ascii="Times New Roman" w:hAnsi="Times New Roman" w:cs="Times New Roman"/>
          <w:sz w:val="24"/>
          <w:szCs w:val="24"/>
        </w:rPr>
        <w:lastRenderedPageBreak/>
        <w:t>The main explanation lies in the high concentration of FDI in the oil sector, characterized by weak integration with the national productive fabric and high repatriation of profits. Structural factors such as macroeconomic instability, currency depreciation, persistent inflation, and weak institutional capacity also contribute, limiting the absorption of potential benefits. Exogenous events, such as the fall in oil prices and the COVID-19 pandemic, exacerbated this situation, making the economy even more vulnerable.</w:t>
      </w:r>
    </w:p>
    <w:p w14:paraId="5C542C90" w14:textId="77777777" w:rsidR="00035D7E" w:rsidRPr="00F74F13" w:rsidRDefault="00035D7E" w:rsidP="00035D7E">
      <w:pPr>
        <w:spacing w:line="360" w:lineRule="auto"/>
        <w:jc w:val="both"/>
        <w:rPr>
          <w:rFonts w:ascii="Times New Roman" w:hAnsi="Times New Roman" w:cs="Times New Roman"/>
          <w:sz w:val="24"/>
          <w:szCs w:val="24"/>
        </w:rPr>
      </w:pPr>
      <w:r w:rsidRPr="00F74F13">
        <w:rPr>
          <w:rFonts w:ascii="Times New Roman" w:hAnsi="Times New Roman" w:cs="Times New Roman"/>
          <w:sz w:val="24"/>
          <w:szCs w:val="24"/>
        </w:rPr>
        <w:t>These results are consistent with previous studies on Angola, which also identified the limited contribution of FDI when not accompanied by policies to diversify and strengthen local productive capacities. At the same time, they diverge from international evidence that points to FDI as an engine of growth in emerging economies with greater institutional stability and clear strategies for technological integration.</w:t>
      </w:r>
    </w:p>
    <w:p w14:paraId="243E72B2" w14:textId="77777777" w:rsidR="00035D7E" w:rsidRPr="00F74F13" w:rsidRDefault="00035D7E" w:rsidP="00035D7E">
      <w:pPr>
        <w:spacing w:line="360" w:lineRule="auto"/>
        <w:jc w:val="both"/>
        <w:rPr>
          <w:rFonts w:ascii="Times New Roman" w:hAnsi="Times New Roman" w:cs="Times New Roman"/>
          <w:sz w:val="24"/>
          <w:szCs w:val="24"/>
        </w:rPr>
      </w:pPr>
      <w:r w:rsidRPr="00F74F13">
        <w:rPr>
          <w:rFonts w:ascii="Times New Roman" w:hAnsi="Times New Roman" w:cs="Times New Roman"/>
          <w:sz w:val="24"/>
          <w:szCs w:val="24"/>
        </w:rPr>
        <w:t>The public policy implications are clear: Angola needs to redirect FDI attraction towards strategic non-oil sectors, such as agriculture, manufacturing, infrastructure, and tourism, in order to reduce dependence on oil and promote more inclusive and sustainable growth. It is equally crucial to invest in human capital, science and innovation, create mechanisms to enforce local content requirements, and ensure greater macroeconomic stability, guaranteeing that FDI flows effectively translate into social and economic benefits.</w:t>
      </w:r>
    </w:p>
    <w:p w14:paraId="0AC2DD1A" w14:textId="77777777" w:rsidR="00035D7E" w:rsidRDefault="00035D7E" w:rsidP="00035D7E">
      <w:pPr>
        <w:spacing w:line="360" w:lineRule="auto"/>
        <w:jc w:val="both"/>
        <w:rPr>
          <w:rFonts w:ascii="Times New Roman" w:hAnsi="Times New Roman" w:cs="Times New Roman"/>
          <w:sz w:val="24"/>
          <w:szCs w:val="24"/>
        </w:rPr>
      </w:pPr>
      <w:r w:rsidRPr="00F74F13">
        <w:rPr>
          <w:rFonts w:ascii="Times New Roman" w:hAnsi="Times New Roman" w:cs="Times New Roman"/>
          <w:sz w:val="24"/>
          <w:szCs w:val="24"/>
        </w:rPr>
        <w:t>It can be concluded, therefore, that FDI, although relevant, is not an automatic engine of growth. Its impact depends heavily on the institutional, structural, and political conditions of the recipient country. In the case of Angola, the experience from 2014 to 2023 demonstrates that, without consistent diversification reforms and without policies for technological absorption, foreign investments will tend to reinforce dependencies and vulnerabilities instead of promoting sustainable development.</w:t>
      </w:r>
    </w:p>
    <w:p w14:paraId="30897FC9" w14:textId="77777777" w:rsidR="006A61FC" w:rsidRDefault="006A61FC" w:rsidP="00035D7E">
      <w:pPr>
        <w:spacing w:line="360" w:lineRule="auto"/>
        <w:jc w:val="both"/>
        <w:rPr>
          <w:rFonts w:ascii="Times New Roman" w:hAnsi="Times New Roman" w:cs="Times New Roman"/>
          <w:sz w:val="24"/>
          <w:szCs w:val="24"/>
        </w:rPr>
      </w:pPr>
    </w:p>
    <w:p w14:paraId="25F814D1" w14:textId="77777777" w:rsidR="006A61FC" w:rsidRDefault="006A61FC" w:rsidP="00035D7E">
      <w:pPr>
        <w:spacing w:line="360" w:lineRule="auto"/>
        <w:jc w:val="both"/>
        <w:rPr>
          <w:rFonts w:ascii="Times New Roman" w:hAnsi="Times New Roman" w:cs="Times New Roman"/>
          <w:sz w:val="24"/>
          <w:szCs w:val="24"/>
        </w:rPr>
      </w:pPr>
    </w:p>
    <w:p w14:paraId="394364C0" w14:textId="77777777" w:rsidR="006A61FC" w:rsidRPr="00054572" w:rsidRDefault="006A61FC" w:rsidP="00035D7E">
      <w:pPr>
        <w:spacing w:line="360" w:lineRule="auto"/>
        <w:jc w:val="both"/>
        <w:rPr>
          <w:rFonts w:ascii="Times New Roman" w:hAnsi="Times New Roman" w:cs="Times New Roman"/>
          <w:sz w:val="24"/>
          <w:szCs w:val="24"/>
        </w:rPr>
      </w:pPr>
    </w:p>
    <w:p w14:paraId="70A8D807" w14:textId="406BE8CD" w:rsidR="00035D7E" w:rsidRDefault="00A46266" w:rsidP="00A46266">
      <w:pPr>
        <w:pStyle w:val="Ttulo1"/>
      </w:pPr>
      <w:r>
        <w:lastRenderedPageBreak/>
        <w:t>6 References</w:t>
      </w:r>
    </w:p>
    <w:p w14:paraId="18747D7B" w14:textId="77777777" w:rsidR="00035D7E" w:rsidRPr="00E74D13"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054572">
        <w:rPr>
          <w:rFonts w:ascii="Times New Roman" w:eastAsia="Times New Roman" w:hAnsi="Times New Roman" w:cs="Times New Roman"/>
          <w:kern w:val="0"/>
          <w:sz w:val="24"/>
          <w:szCs w:val="24"/>
          <w14:ligatures w14:val="none"/>
        </w:rPr>
        <w:t xml:space="preserve">African Development Bank. (2012). Angola: Country Support Strategy 2011–2015. Abidjan: AfDB.</w:t>
      </w:r>
      <w:proofErr w:type="spellStart"/>
      <w:proofErr w:type="spellEnd"/>
    </w:p>
    <w:p w14:paraId="47FE91C1" w14:textId="77777777" w:rsidR="00035D7E" w:rsidRPr="00C120C5"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74D13">
        <w:rPr>
          <w:rFonts w:ascii="Times New Roman" w:eastAsia="Times New Roman" w:hAnsi="Times New Roman" w:cs="Times New Roman"/>
          <w:kern w:val="0"/>
          <w:sz w:val="24"/>
          <w:szCs w:val="24"/>
          <w:lang w:val="en-US"/>
          <w14:ligatures w14:val="none"/>
        </w:rPr>
        <w:t>Bilas, V. (2019). The role of foreign direct investment in economic growth: Empirical evidence. Economic Research-Ekonomska Istraživanja, 32(1), 329–346.</w:t>
      </w:r>
      <w:proofErr w:type="spellEnd"/>
      <w:proofErr w:type="spellStart"/>
      <w:proofErr w:type="spellEnd"/>
      <w:proofErr w:type="spellStart"/>
      <w:proofErr w:type="spellEnd"/>
      <w:hyperlink r:id="rId10" w:history="1">
        <w:r w:rsidRPr="00E74D13">
          <w:rPr>
            <w:rFonts w:ascii="Times New Roman" w:eastAsia="Times New Roman" w:hAnsi="Times New Roman" w:cs="Times New Roman"/>
            <w:color w:val="0000FF"/>
            <w:kern w:val="0"/>
            <w:sz w:val="24"/>
            <w:szCs w:val="24"/>
            <w:u w:val="single"/>
            <w:lang w:val="en-US"/>
            <w14:ligatures w14:val="none"/>
          </w:rPr>
          <w:t>https://doi.org/10.1080/1331677X.2019.1584045</w:t>
        </w:r>
      </w:hyperlink>
      <w:r w:rsidRPr="00C120C5">
        <w:rPr>
          <w:rFonts w:ascii="Times New Roman" w:eastAsia="Times New Roman" w:hAnsi="Times New Roman" w:cs="Times New Roman"/>
          <w:kern w:val="0"/>
          <w:sz w:val="24"/>
          <w:szCs w:val="24"/>
          <w:lang w:val="en-US"/>
          <w14:ligatures w14:val="none"/>
        </w:rPr>
        <w:t>.</w:t>
      </w:r>
    </w:p>
    <w:p w14:paraId="0C2A6A30" w14:textId="77777777" w:rsidR="00035D7E" w:rsidRPr="00054572" w:rsidRDefault="00035D7E" w:rsidP="00035D7E">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E74D13">
        <w:rPr>
          <w:rFonts w:ascii="Times New Roman" w:eastAsia="Times New Roman" w:hAnsi="Times New Roman" w:cs="Times New Roman"/>
          <w:kern w:val="0"/>
          <w:sz w:val="24"/>
          <w:szCs w:val="24"/>
          <w:lang w:val="en-US"/>
          <w14:ligatures w14:val="none"/>
        </w:rPr>
        <w:t>Haskel, J., Pereira, S., &amp; Slaughter, M. J. (2002). Does inward foreign direct investment boost the productivity of domestic firms? Review of Economics and Statistics, 85(3), 482–496.</w:t>
      </w:r>
      <w:proofErr w:type="spellEnd"/>
      <w:r w:rsidR="00764E2B">
        <w:fldChar w:fldCharType="begin"/>
      </w:r>
      <w:r w:rsidR="00764E2B">
        <w:instrText xml:space="preserve"> HYPERLINK "https://doi.org/10.1162/003465303322369838" </w:instrText>
      </w:r>
      <w:r w:rsidR="00764E2B">
        <w:fldChar w:fldCharType="separate"/>
      </w:r>
      <w:r w:rsidRPr="00054572">
        <w:rPr>
          <w:rFonts w:ascii="Times New Roman" w:eastAsia="Times New Roman" w:hAnsi="Times New Roman" w:cs="Times New Roman"/>
          <w:color w:val="0000FF"/>
          <w:kern w:val="0"/>
          <w:sz w:val="24"/>
          <w:szCs w:val="24"/>
          <w:u w:val="single"/>
          <w14:ligatures w14:val="none"/>
        </w:rPr>
        <w:t>https://doi.org/10.1162/003465303322369838</w:t>
      </w:r>
      <w:r w:rsidR="00764E2B">
        <w:rPr>
          <w:rFonts w:ascii="Times New Roman" w:eastAsia="Times New Roman" w:hAnsi="Times New Roman" w:cs="Times New Roman"/>
          <w:color w:val="0000FF"/>
          <w:kern w:val="0"/>
          <w:sz w:val="24"/>
          <w:szCs w:val="24"/>
          <w:u w:val="single"/>
          <w14:ligatures w14:val="none"/>
        </w:rPr>
        <w:fldChar w:fldCharType="end"/>
      </w:r>
      <w:r w:rsidRPr="00054572">
        <w:rPr>
          <w:rFonts w:ascii="Times New Roman" w:eastAsia="Times New Roman" w:hAnsi="Times New Roman" w:cs="Times New Roman"/>
          <w:kern w:val="0"/>
          <w:sz w:val="24"/>
          <w:szCs w:val="24"/>
          <w14:ligatures w14:val="none"/>
        </w:rPr>
        <w:t>.</w:t>
      </w:r>
    </w:p>
    <w:p w14:paraId="52387B71" w14:textId="77777777" w:rsidR="00035D7E" w:rsidRPr="00C120C5"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054572">
        <w:rPr>
          <w:rFonts w:ascii="Times New Roman" w:eastAsia="Times New Roman" w:hAnsi="Times New Roman" w:cs="Times New Roman"/>
          <w:kern w:val="0"/>
          <w:sz w:val="24"/>
          <w:szCs w:val="24"/>
          <w14:ligatures w14:val="none"/>
        </w:rPr>
        <w:t xml:space="preserve">Organisation for Economic Co-operation and Development. (2020). FDI quality indicators: Measuring the sustainable development impacts of investment. Paris: OECD Publishing.</w:t>
      </w:r>
      <w:hyperlink r:id="rId11" w:history="1">
        <w:r w:rsidRPr="00E74D13">
          <w:rPr>
            <w:rFonts w:ascii="Times New Roman" w:eastAsia="Times New Roman" w:hAnsi="Times New Roman" w:cs="Times New Roman"/>
            <w:color w:val="0000FF"/>
            <w:kern w:val="0"/>
            <w:sz w:val="24"/>
            <w:szCs w:val="24"/>
            <w:u w:val="single"/>
            <w:lang w:val="en-US"/>
            <w14:ligatures w14:val="none"/>
          </w:rPr>
          <w:t>https://doi.org/10.1787/9789264848200-en</w:t>
        </w:r>
      </w:hyperlink>
      <w:r w:rsidRPr="00C120C5">
        <w:rPr>
          <w:rFonts w:ascii="Times New Roman" w:eastAsia="Times New Roman" w:hAnsi="Times New Roman" w:cs="Times New Roman"/>
          <w:kern w:val="0"/>
          <w:sz w:val="24"/>
          <w:szCs w:val="24"/>
          <w:lang w:val="en-US"/>
          <w14:ligatures w14:val="none"/>
        </w:rPr>
        <w:t>.</w:t>
      </w:r>
    </w:p>
    <w:p w14:paraId="5BE48D3E" w14:textId="77777777" w:rsidR="00035D7E" w:rsidRPr="00E74D13"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74D13">
        <w:rPr>
          <w:rFonts w:ascii="Times New Roman" w:eastAsia="Times New Roman" w:hAnsi="Times New Roman" w:cs="Times New Roman"/>
          <w:kern w:val="0"/>
          <w:sz w:val="24"/>
          <w:szCs w:val="24"/>
          <w:lang w:val="en-US"/>
          <w14:ligatures w14:val="none"/>
        </w:rPr>
        <w:t>Rodrik, D. (2011). The globalization paradox: Democracy and the future of the world economy. New York: WW Norton &amp; Company.</w:t>
      </w:r>
      <w:proofErr w:type="spellEnd"/>
    </w:p>
    <w:p w14:paraId="6A0B72A4" w14:textId="77777777" w:rsidR="00035D7E" w:rsidRPr="00C120C5"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74D13">
        <w:rPr>
          <w:rFonts w:ascii="Times New Roman" w:eastAsia="Times New Roman" w:hAnsi="Times New Roman" w:cs="Times New Roman"/>
          <w:kern w:val="0"/>
          <w:sz w:val="24"/>
          <w:szCs w:val="24"/>
          <w:lang w:val="en-US"/>
          <w14:ligatures w14:val="none"/>
        </w:rPr>
        <w:t xml:space="preserve">World Bank. (2023). Angola overview. Washington, DC: World Bank.</w:t>
      </w:r>
      <w:hyperlink r:id="rId12" w:history="1">
        <w:r w:rsidRPr="00E74D13">
          <w:rPr>
            <w:rFonts w:ascii="Times New Roman" w:eastAsia="Times New Roman" w:hAnsi="Times New Roman" w:cs="Times New Roman"/>
            <w:color w:val="0000FF"/>
            <w:kern w:val="0"/>
            <w:sz w:val="24"/>
            <w:szCs w:val="24"/>
            <w:u w:val="single"/>
            <w:lang w:val="en-US"/>
            <w14:ligatures w14:val="none"/>
          </w:rPr>
          <w:t>https://www.worldbank.org/en/country/angola/overview</w:t>
        </w:r>
      </w:hyperlink>
      <w:r w:rsidRPr="00C120C5">
        <w:rPr>
          <w:rFonts w:ascii="Times New Roman" w:eastAsia="Times New Roman" w:hAnsi="Times New Roman" w:cs="Times New Roman"/>
          <w:kern w:val="0"/>
          <w:sz w:val="24"/>
          <w:szCs w:val="24"/>
          <w:lang w:val="en-US"/>
          <w14:ligatures w14:val="none"/>
        </w:rPr>
        <w:t>.</w:t>
      </w:r>
    </w:p>
    <w:p w14:paraId="5439E5BA" w14:textId="77777777" w:rsidR="00035D7E" w:rsidRPr="00054572" w:rsidRDefault="00035D7E" w:rsidP="00035D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4572">
        <w:rPr>
          <w:rFonts w:ascii="Times New Roman" w:eastAsia="Times New Roman" w:hAnsi="Times New Roman" w:cs="Times New Roman"/>
          <w:kern w:val="0"/>
          <w:sz w:val="24"/>
          <w:szCs w:val="24"/>
          <w14:ligatures w14:val="none"/>
        </w:rPr>
        <w:t xml:space="preserve">Angola's Private Investment and Export Promotion Agency. (2022). Annual Report on Private Investment in Angola 2021/2022. Luanda: AIPEX.</w:t>
      </w:r>
    </w:p>
    <w:p w14:paraId="4C2EFCD7" w14:textId="77777777" w:rsidR="00035D7E" w:rsidRPr="00C120C5"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054572">
        <w:rPr>
          <w:rFonts w:ascii="Times New Roman" w:eastAsia="Times New Roman" w:hAnsi="Times New Roman" w:cs="Times New Roman"/>
          <w:kern w:val="0"/>
          <w:sz w:val="24"/>
          <w:szCs w:val="24"/>
          <w14:ligatures w14:val="none"/>
        </w:rPr>
        <w:t xml:space="preserve">Organisation for Economic Co-operation and Development. (2020). FDI quality indicators: Measuring the sustainable development impacts of investment. Paris: OECD Publishing.</w:t>
      </w:r>
      <w:hyperlink r:id="rId13" w:history="1">
        <w:r w:rsidRPr="00E74D13">
          <w:rPr>
            <w:rFonts w:ascii="Times New Roman" w:eastAsia="Times New Roman" w:hAnsi="Times New Roman" w:cs="Times New Roman"/>
            <w:color w:val="0000FF"/>
            <w:kern w:val="0"/>
            <w:sz w:val="24"/>
            <w:szCs w:val="24"/>
            <w:u w:val="single"/>
            <w:lang w:val="en-US"/>
            <w14:ligatures w14:val="none"/>
          </w:rPr>
          <w:t>https://doi.org/10.1787/9789264848200-en</w:t>
        </w:r>
      </w:hyperlink>
      <w:r w:rsidRPr="00C120C5">
        <w:rPr>
          <w:rFonts w:ascii="Times New Roman" w:eastAsia="Times New Roman" w:hAnsi="Times New Roman" w:cs="Times New Roman"/>
          <w:kern w:val="0"/>
          <w:sz w:val="24"/>
          <w:szCs w:val="24"/>
          <w:lang w:val="en-US"/>
          <w14:ligatures w14:val="none"/>
        </w:rPr>
        <w:t>.</w:t>
      </w:r>
    </w:p>
    <w:p w14:paraId="41A6B001" w14:textId="77777777" w:rsidR="00035D7E" w:rsidRPr="00C120C5" w:rsidRDefault="00035D7E" w:rsidP="00035D7E">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74D13">
        <w:rPr>
          <w:rFonts w:ascii="Times New Roman" w:eastAsia="Times New Roman" w:hAnsi="Times New Roman" w:cs="Times New Roman"/>
          <w:kern w:val="0"/>
          <w:sz w:val="24"/>
          <w:szCs w:val="24"/>
          <w:lang w:val="en-US"/>
          <w14:ligatures w14:val="none"/>
        </w:rPr>
        <w:t xml:space="preserve">United Nations Conference on Trade and Development. (2022). World Investment Report 2022: International tax reforms and sustainable investment. Geneva: UNCTAD.</w:t>
      </w:r>
    </w:p>
    <w:p w14:paraId="32BADF6B" w14:textId="77777777" w:rsidR="00035D7E" w:rsidRPr="00054572" w:rsidRDefault="00035D7E" w:rsidP="00035D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74D13">
        <w:rPr>
          <w:rFonts w:ascii="Times New Roman" w:eastAsia="Times New Roman" w:hAnsi="Times New Roman" w:cs="Times New Roman"/>
          <w:kern w:val="0"/>
          <w:sz w:val="24"/>
          <w:szCs w:val="24"/>
          <w:lang w:val="en-US"/>
          <w14:ligatures w14:val="none"/>
        </w:rPr>
        <w:t xml:space="preserve">World Bank. (2023). Angola overview. Washington, DC: World Bank.</w:t>
      </w:r>
      <w:hyperlink r:id="rId14" w:history="1">
        <w:r w:rsidRPr="00054572">
          <w:rPr>
            <w:rFonts w:ascii="Times New Roman" w:eastAsia="Times New Roman" w:hAnsi="Times New Roman" w:cs="Times New Roman"/>
            <w:color w:val="0000FF"/>
            <w:kern w:val="0"/>
            <w:sz w:val="24"/>
            <w:szCs w:val="24"/>
            <w:u w:val="single"/>
            <w14:ligatures w14:val="none"/>
          </w:rPr>
          <w:t>https://www.worldbank.org/en/country/angola/overview</w:t>
        </w:r>
      </w:hyperlink>
      <w:r w:rsidRPr="00054572">
        <w:rPr>
          <w:rFonts w:ascii="Times New Roman" w:eastAsia="Times New Roman" w:hAnsi="Times New Roman" w:cs="Times New Roman"/>
          <w:kern w:val="0"/>
          <w:sz w:val="24"/>
          <w:szCs w:val="24"/>
          <w14:ligatures w14:val="none"/>
        </w:rPr>
        <w:t>.</w:t>
      </w:r>
    </w:p>
    <w:p w14:paraId="4619E988" w14:textId="77777777" w:rsidR="00035D7E" w:rsidRPr="00054572" w:rsidRDefault="00035D7E" w:rsidP="00035D7E">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054572">
        <w:rPr>
          <w:rFonts w:ascii="Times New Roman" w:eastAsia="Times New Roman" w:hAnsi="Times New Roman" w:cs="Times New Roman"/>
          <w:kern w:val="0"/>
          <w:sz w:val="24"/>
          <w:szCs w:val="24"/>
          <w:lang w:eastAsia="pt-PT"/>
          <w14:ligatures w14:val="none"/>
        </w:rPr>
        <w:t xml:space="preserve">National Agency of Petroleum, Gas and Biofuels. (2021). Annual Report 2020. Luanda: ANPG.</w:t>
      </w:r>
    </w:p>
    <w:p w14:paraId="6B20E231"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Angola. (2022). Public Finance Report 2021/2022. Luanda: Ministry of Finance.</w:t>
      </w:r>
    </w:p>
    <w:p w14:paraId="67925F32" w14:textId="77777777" w:rsidR="00035D7E" w:rsidRPr="00E74D13" w:rsidRDefault="00035D7E" w:rsidP="00035D7E">
      <w:pPr>
        <w:spacing w:before="100" w:beforeAutospacing="1" w:after="100" w:afterAutospacing="1" w:line="240" w:lineRule="auto"/>
        <w:rPr>
          <w:rFonts w:ascii="Times New Roman" w:hAnsi="Times New Roman" w:cs="Times New Roman"/>
          <w:lang w:val="en-US"/>
        </w:rPr>
      </w:pPr>
      <w:proofErr w:type="spellStart"/>
      <w:r w:rsidRPr="00E74D13">
        <w:rPr>
          <w:rFonts w:ascii="Times New Roman" w:hAnsi="Times New Roman" w:cs="Times New Roman"/>
          <w:lang w:val="en-US"/>
        </w:rPr>
        <w:t>African Development Bank. (2022). African economic outlook 2022: Supporting climate resilience and a just energy transition in Africa. Abidjan: AfDB.</w:t>
      </w:r>
      <w:proofErr w:type="spellEnd"/>
      <w:proofErr w:type="spellStart"/>
      <w:proofErr w:type="spellEnd"/>
      <w:proofErr w:type="spellStart"/>
      <w:proofErr w:type="spellEnd"/>
      <w:proofErr w:type="spellStart"/>
      <w:proofErr w:type="spellEnd"/>
    </w:p>
    <w:p w14:paraId="755AE27E" w14:textId="77777777" w:rsidR="00035D7E" w:rsidRPr="00E74D13" w:rsidRDefault="00035D7E" w:rsidP="00035D7E">
      <w:pPr>
        <w:spacing w:before="100" w:beforeAutospacing="1" w:after="100" w:afterAutospacing="1" w:line="240" w:lineRule="auto"/>
        <w:rPr>
          <w:rFonts w:ascii="Times New Roman" w:hAnsi="Times New Roman" w:cs="Times New Roman"/>
          <w:lang w:val="en-US"/>
        </w:rPr>
      </w:pPr>
      <w:proofErr w:type="spellStart"/>
      <w:r w:rsidRPr="00E74D13">
        <w:rPr>
          <w:rFonts w:ascii="Times New Roman" w:hAnsi="Times New Roman" w:cs="Times New Roman"/>
          <w:lang w:val="en-US"/>
        </w:rPr>
        <w:t>World Bank. (2022). Angola economic update: Accelerating economic diversification. Washington, DC: World Bank.</w:t>
      </w:r>
      <w:proofErr w:type="spellEnd"/>
    </w:p>
    <w:p w14:paraId="3AAFFA1A"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National Bank of Angola. (2017). Annual Report 2016. Luanda: BNA.</w:t>
      </w:r>
    </w:p>
    <w:p w14:paraId="0C1A9AE1"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National Bank of Angola. (2021). Annual Report 2020. Luanda: BNA.</w:t>
      </w:r>
    </w:p>
    <w:p w14:paraId="73B45EA3" w14:textId="77777777" w:rsidR="00035D7E" w:rsidRPr="00E74D13" w:rsidRDefault="00035D7E" w:rsidP="00035D7E">
      <w:pPr>
        <w:spacing w:before="100" w:beforeAutospacing="1" w:after="100" w:afterAutospacing="1" w:line="240" w:lineRule="auto"/>
        <w:rPr>
          <w:rFonts w:ascii="Times New Roman" w:hAnsi="Times New Roman" w:cs="Times New Roman"/>
          <w:lang w:val="en-US"/>
        </w:rPr>
      </w:pPr>
      <w:r w:rsidRPr="00054572">
        <w:rPr>
          <w:rFonts w:ascii="Times New Roman" w:hAnsi="Times New Roman" w:cs="Times New Roman"/>
        </w:rPr>
        <w:lastRenderedPageBreak/>
        <w:t xml:space="preserve">International Monetary Fund. (2019). Angola: IMF Extended Fund Facility Arrangement. Washington, DC: IMF.</w:t>
      </w:r>
    </w:p>
    <w:p w14:paraId="699F7631"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E74D13">
        <w:rPr>
          <w:rFonts w:ascii="Times New Roman" w:hAnsi="Times New Roman" w:cs="Times New Roman"/>
          <w:lang w:val="en-US"/>
        </w:rPr>
        <w:t xml:space="preserve">International Monetary Fund. (2023). World Economic Outlook Update. Washington, DC: IMF.</w:t>
      </w:r>
      <w:proofErr w:type="spellStart"/>
      <w:proofErr w:type="spellEnd"/>
      <w:proofErr w:type="spellStart"/>
      <w:proofErr w:type="spellEnd"/>
    </w:p>
    <w:p w14:paraId="2586340F"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National Institute of Statistics of Angola. (2019). Survey on poverty and well-being (IBEP). Luanda: INE.</w:t>
      </w:r>
    </w:p>
    <w:p w14:paraId="2887D966"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National Institute of Statistics of Angola. (2021). Quarterly national accounts 2020. Luanda: INE.</w:t>
      </w:r>
    </w:p>
    <w:p w14:paraId="7EABEF80"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National Institute of Statistics of Angola. (2022). National Accounts 2021. Luanda: INE.</w:t>
      </w:r>
    </w:p>
    <w:p w14:paraId="250FEC5A"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International Labour Organization. (2021). Impacts of COVID-19 on the labor market in Angola. Geneva: ILO.</w:t>
      </w:r>
    </w:p>
    <w:p w14:paraId="6EEAED11"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Organization of the Petroleum Exporting Countries. (2022). Annual statistical bulletin 2022. Vienna: OPEC.</w:t>
      </w:r>
    </w:p>
    <w:p w14:paraId="4595A41B"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United Nations Development Programme. (2020). Angola Human Development Report 2020. New York: UNDP.</w:t>
      </w:r>
    </w:p>
    <w:p w14:paraId="18C56E43"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 xml:space="preserve">United Nations Conference on Trade and Development. (2020). World Investment Report 2020: International production beyond the pandemic. Geneva: UNCTAD.</w:t>
      </w:r>
    </w:p>
    <w:p w14:paraId="6923BAA2"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Angola's Private Investment and Export Promotion Agency. (2021). Annual Investment Attraction Report. AIPEX.</w:t>
      </w:r>
    </w:p>
    <w:p w14:paraId="1ABBBED5" w14:textId="77777777" w:rsidR="00035D7E" w:rsidRPr="00C120C5" w:rsidRDefault="00035D7E" w:rsidP="00035D7E">
      <w:pPr>
        <w:spacing w:before="100" w:beforeAutospacing="1" w:after="100" w:afterAutospacing="1" w:line="240" w:lineRule="auto"/>
        <w:rPr>
          <w:rFonts w:ascii="Times New Roman" w:hAnsi="Times New Roman" w:cs="Times New Roman"/>
          <w:lang w:val="en-US"/>
        </w:rPr>
      </w:pPr>
      <w:r w:rsidRPr="00054572">
        <w:rPr>
          <w:rFonts w:ascii="Times New Roman" w:hAnsi="Times New Roman" w:cs="Times New Roman"/>
        </w:rPr>
        <w:t xml:space="preserve">African Development Bank. (2021). African economic outlook 2021: Angola. AfDB.</w:t>
      </w:r>
    </w:p>
    <w:p w14:paraId="2F94AD06" w14:textId="77777777" w:rsidR="00035D7E" w:rsidRPr="00054572" w:rsidRDefault="00035D7E" w:rsidP="00035D7E">
      <w:pPr>
        <w:spacing w:before="100" w:beforeAutospacing="1" w:after="100" w:afterAutospacing="1" w:line="240" w:lineRule="auto"/>
        <w:rPr>
          <w:rFonts w:ascii="Times New Roman" w:hAnsi="Times New Roman" w:cs="Times New Roman"/>
        </w:rPr>
      </w:pPr>
      <w:proofErr w:type="spellStart"/>
      <w:r w:rsidRPr="00C120C5">
        <w:rPr>
          <w:rFonts w:ascii="Times New Roman" w:hAnsi="Times New Roman" w:cs="Times New Roman"/>
          <w:lang w:val="en-US"/>
        </w:rPr>
        <w:t>World Bank. (2022). Doing business in Angola 2022. World Bank.</w:t>
      </w:r>
      <w:proofErr w:type="spellEnd"/>
    </w:p>
    <w:p w14:paraId="75BE8922"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National Bank of Angola. (2021). Annual Report 2020. BNA.</w:t>
      </w:r>
    </w:p>
    <w:p w14:paraId="299FC1E8" w14:textId="77777777" w:rsidR="00035D7E" w:rsidRPr="00C120C5" w:rsidRDefault="00035D7E" w:rsidP="00035D7E">
      <w:pPr>
        <w:spacing w:before="100" w:beforeAutospacing="1" w:after="100" w:afterAutospacing="1" w:line="240" w:lineRule="auto"/>
        <w:rPr>
          <w:rFonts w:ascii="Times New Roman" w:hAnsi="Times New Roman" w:cs="Times New Roman"/>
          <w:lang w:val="en-US"/>
        </w:rPr>
      </w:pPr>
      <w:r w:rsidRPr="00054572">
        <w:rPr>
          <w:rFonts w:ascii="Times New Roman" w:hAnsi="Times New Roman" w:cs="Times New Roman"/>
        </w:rPr>
        <w:t xml:space="preserve">Southern African Development Community. (2020). SADC regional integration report. SADC.</w:t>
      </w:r>
    </w:p>
    <w:p w14:paraId="70DEB220"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Faria, J. (2017). Foreign direct investment and economic development in Africa. Lisbon: Escolar Editora.</w:t>
      </w:r>
    </w:p>
    <w:p w14:paraId="2A647574" w14:textId="77777777" w:rsidR="00035D7E" w:rsidRPr="00054572" w:rsidRDefault="00035D7E" w:rsidP="00035D7E">
      <w:pPr>
        <w:spacing w:before="100" w:beforeAutospacing="1" w:after="100" w:afterAutospacing="1" w:line="240" w:lineRule="auto"/>
        <w:rPr>
          <w:rFonts w:ascii="Times New Roman" w:hAnsi="Times New Roman" w:cs="Times New Roman"/>
        </w:rPr>
      </w:pPr>
      <w:r w:rsidRPr="00054572">
        <w:rPr>
          <w:rFonts w:ascii="Times New Roman" w:hAnsi="Times New Roman" w:cs="Times New Roman"/>
        </w:rPr>
        <w:t>Ministry of Mineral Resources, Petroleum and Gas of Angola. (2022). Annual report of the mining sector. MIREMPET.</w:t>
      </w:r>
    </w:p>
    <w:p w14:paraId="6AFAB87B" w14:textId="77777777" w:rsidR="00035D7E" w:rsidRPr="00054572" w:rsidRDefault="00035D7E" w:rsidP="00035D7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4572">
        <w:rPr>
          <w:rFonts w:ascii="Times New Roman" w:hAnsi="Times New Roman" w:cs="Times New Roman"/>
        </w:rPr>
        <w:t>United Nations Industrial Development Organization. (2020). Investment opportunities in Sub-Saharan Africa. UNIDO.</w:t>
      </w:r>
    </w:p>
    <w:p w14:paraId="2F84429E" w14:textId="77777777" w:rsidR="00035D7E" w:rsidRPr="00054572" w:rsidRDefault="00035D7E" w:rsidP="00035D7E">
      <w:pPr>
        <w:pStyle w:val="NormalWeb"/>
        <w:spacing w:after="0" w:line="360" w:lineRule="auto"/>
        <w:jc w:val="both"/>
      </w:pPr>
      <w:r w:rsidRPr="00054572">
        <w:t>Angola's Private Investment and Export Promotion Agency. (2023). FDI Statistical Report 2018-2022. Luanda: AIPEX.</w:t>
      </w:r>
    </w:p>
    <w:p w14:paraId="7FFC6BA8" w14:textId="77777777" w:rsidR="00035D7E" w:rsidRPr="00054572" w:rsidRDefault="00035D7E" w:rsidP="00035D7E">
      <w:pPr>
        <w:pStyle w:val="NormalWeb"/>
        <w:spacing w:after="0" w:line="360" w:lineRule="auto"/>
        <w:jc w:val="both"/>
      </w:pPr>
      <w:r w:rsidRPr="00054572">
        <w:t>National Bank of Angola. (2022). Annual Report 2021. Luanda: BNA.</w:t>
      </w:r>
    </w:p>
    <w:p w14:paraId="11BAF815" w14:textId="77777777" w:rsidR="00035D7E" w:rsidRPr="00C120C5" w:rsidRDefault="00035D7E" w:rsidP="00035D7E">
      <w:pPr>
        <w:pStyle w:val="NormalWeb"/>
        <w:spacing w:after="0" w:line="360" w:lineRule="auto"/>
        <w:jc w:val="both"/>
        <w:rPr>
          <w:lang w:val="en-US"/>
        </w:rPr>
      </w:pPr>
      <w:r w:rsidRPr="00054572">
        <w:lastRenderedPageBreak/>
        <w:t xml:space="preserve">Cuesta, J. (2020). Foreign Direct Investment and Inclusive Growth in Africa. Journal of African Development, 22(1), 45-67.</w:t>
      </w:r>
    </w:p>
    <w:p w14:paraId="4CCBEE68" w14:textId="77777777" w:rsidR="00035D7E" w:rsidRPr="00054572" w:rsidRDefault="00035D7E" w:rsidP="00035D7E">
      <w:pPr>
        <w:pStyle w:val="NormalWeb"/>
        <w:spacing w:after="0" w:line="360" w:lineRule="auto"/>
        <w:jc w:val="both"/>
      </w:pPr>
      <w:proofErr w:type="spellStart"/>
      <w:r w:rsidRPr="00C120C5">
        <w:rPr>
          <w:lang w:val="en-US"/>
        </w:rPr>
        <w:t>Kaplinsky, R. (2019). Sustainable Growth and Foreign Direct Investment in Africa. Routledge.</w:t>
      </w:r>
      <w:proofErr w:type="spellEnd"/>
    </w:p>
    <w:p w14:paraId="4685EF23" w14:textId="77777777" w:rsidR="00035D7E" w:rsidRPr="00C120C5" w:rsidRDefault="00035D7E" w:rsidP="00035D7E">
      <w:pPr>
        <w:pStyle w:val="NormalWeb"/>
        <w:spacing w:after="0" w:line="360" w:lineRule="auto"/>
        <w:jc w:val="both"/>
        <w:rPr>
          <w:lang w:val="en-US"/>
        </w:rPr>
      </w:pPr>
      <w:r w:rsidRPr="00054572">
        <w:t xml:space="preserve">Silva, A. (2021). Challenges of economic diversification in Angola: the role of private investment. Angolan Journal of Social Sciences, 5(2), 88-112.</w:t>
      </w:r>
      <w:proofErr w:type="spellStart"/>
      <w:proofErr w:type="spellEnd"/>
      <w:proofErr w:type="spellStart"/>
      <w:proofErr w:type="spellEnd"/>
      <w:proofErr w:type="spellStart"/>
      <w:proofErr w:type="spellEnd"/>
      <w:proofErr w:type="spellStart"/>
      <w:proofErr w:type="spellEnd"/>
    </w:p>
    <w:p w14:paraId="1B33E603" w14:textId="77777777" w:rsidR="00035D7E" w:rsidRPr="00C120C5" w:rsidRDefault="00035D7E" w:rsidP="00035D7E">
      <w:pPr>
        <w:pStyle w:val="NormalWeb"/>
        <w:spacing w:after="0" w:line="360" w:lineRule="auto"/>
        <w:jc w:val="both"/>
        <w:rPr>
          <w:lang w:val="en-US"/>
        </w:rPr>
      </w:pPr>
      <w:r w:rsidRPr="00C120C5">
        <w:rPr>
          <w:lang w:val="en-US"/>
        </w:rPr>
        <w:t xml:space="preserve">United Nations Conference on Trade and Development. (2021). World Investment Report Cilliers, J., &amp; Okeke, J. (2020). Africa's foreign partnerships: Trends and implications. Institute for Security Studies.</w:t>
      </w:r>
      <w:proofErr w:type="spellStart"/>
      <w:proofErr w:type="spellEnd"/>
      <w:proofErr w:type="spellStart"/>
      <w:proofErr w:type="spellEnd"/>
    </w:p>
    <w:p w14:paraId="310BC1D4" w14:textId="77777777" w:rsidR="00035D7E" w:rsidRPr="00054572" w:rsidRDefault="00035D7E" w:rsidP="00035D7E">
      <w:pPr>
        <w:pStyle w:val="NormalWeb"/>
        <w:spacing w:after="0" w:line="360" w:lineRule="auto"/>
        <w:jc w:val="both"/>
      </w:pPr>
      <w:proofErr w:type="spellStart"/>
      <w:r w:rsidRPr="00C120C5">
        <w:rPr>
          <w:lang w:val="en-US"/>
        </w:rPr>
        <w:t>Corkin, L. (2013). Uncovering African Agency: Angola's Management of China's Credit Lines. Routledge.</w:t>
      </w:r>
      <w:proofErr w:type="spellEnd"/>
    </w:p>
    <w:p w14:paraId="2B17B975" w14:textId="77777777" w:rsidR="00035D7E" w:rsidRPr="00054572" w:rsidRDefault="00035D7E" w:rsidP="00035D7E">
      <w:pPr>
        <w:pStyle w:val="NormalWeb"/>
        <w:spacing w:after="0" w:line="360" w:lineRule="auto"/>
        <w:jc w:val="both"/>
      </w:pPr>
      <w:r w:rsidRPr="00054572">
        <w:t>Ferreira, M. (2021). Portugal and Angola: Historical ties and new economic opportunities. Lusophone Journal of International Studies, 9(2), 55-72.</w:t>
      </w:r>
    </w:p>
    <w:p w14:paraId="4832965E" w14:textId="77777777" w:rsidR="00035D7E" w:rsidRPr="00C120C5" w:rsidRDefault="00035D7E" w:rsidP="00035D7E">
      <w:pPr>
        <w:pStyle w:val="NormalWeb"/>
        <w:spacing w:after="0" w:line="360" w:lineRule="auto"/>
        <w:jc w:val="both"/>
        <w:rPr>
          <w:lang w:val="en-US"/>
        </w:rPr>
      </w:pPr>
      <w:r w:rsidRPr="00054572">
        <w:t xml:space="preserve">National Institute of Statistics. (2022). Foreign Trade Report 2022. Luanda: INE.</w:t>
      </w:r>
    </w:p>
    <w:p w14:paraId="57BF7E52" w14:textId="77777777" w:rsidR="00035D7E" w:rsidRPr="00C120C5" w:rsidRDefault="00035D7E" w:rsidP="00035D7E">
      <w:pPr>
        <w:pStyle w:val="NormalWeb"/>
        <w:spacing w:after="0" w:line="360" w:lineRule="auto"/>
        <w:jc w:val="both"/>
        <w:rPr>
          <w:lang w:val="en-US"/>
        </w:rPr>
      </w:pPr>
      <w:proofErr w:type="spellStart"/>
      <w:r w:rsidRPr="00C120C5">
        <w:rPr>
          <w:lang w:val="en-US"/>
        </w:rPr>
        <w:t>Kaplinsky, R. (2019). Sustainable Growth and Foreign Direct Investment in Africa. Routledge.</w:t>
      </w:r>
      <w:proofErr w:type="spellEnd"/>
      <w:proofErr w:type="spellStart"/>
      <w:proofErr w:type="spellEnd"/>
    </w:p>
    <w:p w14:paraId="685DF863" w14:textId="77777777" w:rsidR="00035D7E" w:rsidRPr="00C120C5" w:rsidRDefault="00035D7E" w:rsidP="00035D7E">
      <w:pPr>
        <w:pStyle w:val="NormalWeb"/>
        <w:spacing w:after="0" w:line="360" w:lineRule="auto"/>
        <w:jc w:val="both"/>
        <w:rPr>
          <w:lang w:val="en-US"/>
        </w:rPr>
      </w:pPr>
      <w:proofErr w:type="spellStart"/>
      <w:r w:rsidRPr="00C120C5">
        <w:rPr>
          <w:lang w:val="en-US"/>
        </w:rPr>
        <w:t>TotalEnergies. (2022). Africa Sustainability Report. Paris: TotalEnergies.</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14:paraId="780EDDAE" w14:textId="77777777" w:rsidR="00035D7E" w:rsidRPr="00C120C5" w:rsidRDefault="00035D7E" w:rsidP="00035D7E">
      <w:pPr>
        <w:pStyle w:val="NormalWeb"/>
        <w:spacing w:after="0" w:line="360" w:lineRule="auto"/>
        <w:jc w:val="both"/>
        <w:rPr>
          <w:lang w:val="en-US"/>
        </w:rPr>
      </w:pPr>
      <w:r w:rsidRPr="00C120C5">
        <w:rPr>
          <w:lang w:val="en-US"/>
        </w:rPr>
        <w:t>United Nations Conference on Trade and Development. (2021). World Investment Report 2021: Investing in sustainable recovery. UNCTAD.</w:t>
      </w:r>
    </w:p>
    <w:p w14:paraId="6D5B55BE" w14:textId="77777777" w:rsidR="00035D7E" w:rsidRPr="00054572" w:rsidRDefault="00035D7E" w:rsidP="00035D7E">
      <w:pPr>
        <w:pStyle w:val="NormalWeb"/>
        <w:spacing w:after="0" w:line="360" w:lineRule="auto"/>
        <w:jc w:val="both"/>
      </w:pPr>
      <w:r w:rsidRPr="00C120C5">
        <w:rPr>
          <w:lang w:val="en-US"/>
        </w:rPr>
        <w:t xml:space="preserve">World Bank. (2022). Foreign investment in Sub-Saharan Africa: New trends and opportunities. Washington, DC: World Bank. 021. UNCTAD.</w:t>
      </w:r>
      <w:proofErr w:type="gramStart"/>
      <w:proofErr w:type="gramEnd"/>
    </w:p>
    <w:p w14:paraId="63F54BD6" w14:textId="77777777" w:rsidR="00035D7E" w:rsidRPr="00054572" w:rsidRDefault="00035D7E" w:rsidP="00035D7E">
      <w:pPr>
        <w:pStyle w:val="NormalWeb"/>
        <w:spacing w:after="0" w:line="360" w:lineRule="auto"/>
        <w:jc w:val="both"/>
      </w:pPr>
      <w:r w:rsidRPr="00054572">
        <w:t>Gil, AC (2008). Methods and techniques of social research (6th ed.). Atlas.</w:t>
      </w:r>
    </w:p>
    <w:p w14:paraId="546B4DA6" w14:textId="77777777" w:rsidR="00035D7E" w:rsidRPr="00054572" w:rsidRDefault="00035D7E" w:rsidP="00035D7E">
      <w:pPr>
        <w:pStyle w:val="NormalWeb"/>
        <w:spacing w:after="0" w:line="360" w:lineRule="auto"/>
        <w:jc w:val="both"/>
      </w:pPr>
      <w:r w:rsidRPr="00054572">
        <w:t>Köche, JC (2002). Fundamentals of scientific methodology. Vozes.</w:t>
      </w:r>
    </w:p>
    <w:p w14:paraId="338EAB47" w14:textId="77777777" w:rsidR="00035D7E" w:rsidRPr="00054572" w:rsidRDefault="00035D7E" w:rsidP="00035D7E">
      <w:pPr>
        <w:pStyle w:val="NormalWeb"/>
        <w:spacing w:after="0" w:line="360" w:lineRule="auto"/>
        <w:jc w:val="both"/>
      </w:pPr>
      <w:r w:rsidRPr="00054572">
        <w:lastRenderedPageBreak/>
        <w:t>Lakatos, EM, &amp; Marconi, MA (2003). Fundamentals of scientific methodology (5th ed.). Atlas.</w:t>
      </w:r>
    </w:p>
    <w:p w14:paraId="034D91B2" w14:textId="77777777" w:rsidR="00035D7E" w:rsidRPr="00054572" w:rsidRDefault="00035D7E" w:rsidP="00035D7E">
      <w:pPr>
        <w:pStyle w:val="NormalWeb"/>
        <w:spacing w:after="0" w:line="360" w:lineRule="auto"/>
        <w:jc w:val="both"/>
      </w:pPr>
      <w:r w:rsidRPr="00054572">
        <w:t>Marconi, MA (2003). Scientific methodology: planning and execution of research. Atlas.</w:t>
      </w:r>
    </w:p>
    <w:p w14:paraId="51DB1767" w14:textId="77777777" w:rsidR="00035D7E" w:rsidRPr="00054572" w:rsidRDefault="00035D7E" w:rsidP="00035D7E">
      <w:pPr>
        <w:pStyle w:val="NormalWeb"/>
        <w:spacing w:after="0" w:line="360" w:lineRule="auto"/>
        <w:jc w:val="both"/>
      </w:pPr>
      <w:r w:rsidRPr="00054572">
        <w:t>Minayo, MCS (2012). The challenge of knowledge: qualitative research in health. Hucitec.</w:t>
      </w:r>
    </w:p>
    <w:p w14:paraId="5D1DBE09" w14:textId="77777777" w:rsidR="00035D7E" w:rsidRDefault="00035D7E" w:rsidP="00035D7E">
      <w:pPr>
        <w:pStyle w:val="NormalWeb"/>
        <w:spacing w:after="0" w:line="360" w:lineRule="auto"/>
        <w:jc w:val="both"/>
      </w:pPr>
      <w:r w:rsidRPr="00054572">
        <w:t>Prodanov, CC, &amp; Freitas, EC (2013). Methodology of scientific work: methods and techniques of research and academic work (2nd ed.). Feevale.</w:t>
      </w:r>
    </w:p>
    <w:p w14:paraId="48838BC4" w14:textId="45041842" w:rsidR="00035D7E" w:rsidRDefault="00035D7E" w:rsidP="00035D7E">
      <w:pPr>
        <w:pStyle w:val="NormalWeb"/>
        <w:spacing w:after="0" w:line="360" w:lineRule="auto"/>
        <w:jc w:val="both"/>
      </w:pPr>
      <w:r w:rsidRPr="00054572">
        <w:t>Richardson, RJ (1999). Social research: methods and techniques. Atlas.</w:t>
      </w:r>
    </w:p>
    <w:sectPr w:rsidR="00035D7E" w:rsidSect="00E533D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17CF1" w14:textId="77777777" w:rsidR="00C45C77" w:rsidRDefault="00C45C77" w:rsidP="00AD2F66">
      <w:pPr>
        <w:spacing w:after="0" w:line="240" w:lineRule="auto"/>
      </w:pPr>
      <w:r>
        <w:separator/>
      </w:r>
    </w:p>
  </w:endnote>
  <w:endnote w:type="continuationSeparator" w:id="0">
    <w:p w14:paraId="35FC1AF8" w14:textId="77777777" w:rsidR="00C45C77" w:rsidRDefault="00C45C77" w:rsidP="00AD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17421"/>
      <w:docPartObj>
        <w:docPartGallery w:val="Page Numbers (Bottom of Page)"/>
        <w:docPartUnique/>
      </w:docPartObj>
    </w:sdtPr>
    <w:sdtContent>
      <w:p w14:paraId="20D8495F" w14:textId="02FA8E0C" w:rsidR="00764E2B" w:rsidRDefault="00764E2B">
        <w:pPr>
          <w:pStyle w:val="Rodap"/>
          <w:jc w:val="center"/>
        </w:pPr>
        <w:r>
          <w:fldChar w:fldCharType="begin"/>
        </w:r>
        <w:r>
          <w:instrText>PAGE   \* MERGEFORMAT</w:instrText>
        </w:r>
        <w:r>
          <w:fldChar w:fldCharType="separate"/>
        </w:r>
        <w:r w:rsidR="009E3803" w:rsidRPr="009E3803">
          <w:rPr>
            <w:noProof/>
            <w:lang w:val="pt-BR"/>
          </w:rPr>
          <w:t>26</w:t>
        </w:r>
        <w:r>
          <w:fldChar w:fldCharType="end"/>
        </w:r>
      </w:p>
    </w:sdtContent>
  </w:sdt>
  <w:p w14:paraId="248377FD" w14:textId="77777777" w:rsidR="00764E2B" w:rsidRDefault="00764E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FE3DF" w14:textId="77777777" w:rsidR="00C45C77" w:rsidRDefault="00C45C77" w:rsidP="00AD2F66">
      <w:pPr>
        <w:spacing w:after="0" w:line="240" w:lineRule="auto"/>
      </w:pPr>
      <w:r>
        <w:separator/>
      </w:r>
    </w:p>
  </w:footnote>
  <w:footnote w:type="continuationSeparator" w:id="0">
    <w:p w14:paraId="570061BA" w14:textId="77777777" w:rsidR="00C45C77" w:rsidRDefault="00C45C77" w:rsidP="00AD2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5EF"/>
    <w:multiLevelType w:val="hybridMultilevel"/>
    <w:tmpl w:val="582C275A"/>
    <w:lvl w:ilvl="0" w:tplc="08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B848AC"/>
    <w:multiLevelType w:val="multilevel"/>
    <w:tmpl w:val="6A5A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315EB"/>
    <w:multiLevelType w:val="hybridMultilevel"/>
    <w:tmpl w:val="D4BCCD5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D9E6619"/>
    <w:multiLevelType w:val="hybridMultilevel"/>
    <w:tmpl w:val="C540ABE2"/>
    <w:lvl w:ilvl="0" w:tplc="C3C617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3E542B"/>
    <w:multiLevelType w:val="hybridMultilevel"/>
    <w:tmpl w:val="756C3D10"/>
    <w:lvl w:ilvl="0" w:tplc="08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E86378"/>
    <w:multiLevelType w:val="multilevel"/>
    <w:tmpl w:val="658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A3EC4"/>
    <w:multiLevelType w:val="hybridMultilevel"/>
    <w:tmpl w:val="4170E930"/>
    <w:lvl w:ilvl="0" w:tplc="08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585282"/>
    <w:multiLevelType w:val="hybridMultilevel"/>
    <w:tmpl w:val="89528A8E"/>
    <w:lvl w:ilvl="0" w:tplc="0816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D1A056A"/>
    <w:multiLevelType w:val="hybridMultilevel"/>
    <w:tmpl w:val="2AB6FF18"/>
    <w:lvl w:ilvl="0" w:tplc="08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EB20C8"/>
    <w:multiLevelType w:val="hybridMultilevel"/>
    <w:tmpl w:val="66F2CE04"/>
    <w:lvl w:ilvl="0" w:tplc="08160013">
      <w:start w:val="1"/>
      <w:numFmt w:val="upperRoman"/>
      <w:lvlText w:val="%1."/>
      <w:lvlJc w:val="righ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0">
    <w:nsid w:val="2EED6C84"/>
    <w:multiLevelType w:val="hybridMultilevel"/>
    <w:tmpl w:val="7542DEA8"/>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1D16792"/>
    <w:multiLevelType w:val="hybridMultilevel"/>
    <w:tmpl w:val="D24EA014"/>
    <w:lvl w:ilvl="0" w:tplc="08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A1F06E1"/>
    <w:multiLevelType w:val="multilevel"/>
    <w:tmpl w:val="190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41EBD"/>
    <w:multiLevelType w:val="multilevel"/>
    <w:tmpl w:val="D1A8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35183C"/>
    <w:multiLevelType w:val="hybridMultilevel"/>
    <w:tmpl w:val="D506CF04"/>
    <w:lvl w:ilvl="0" w:tplc="D54076B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9DE111E"/>
    <w:multiLevelType w:val="hybridMultilevel"/>
    <w:tmpl w:val="2376D01C"/>
    <w:lvl w:ilvl="0" w:tplc="08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06E52B5"/>
    <w:multiLevelType w:val="multilevel"/>
    <w:tmpl w:val="6E82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E0243"/>
    <w:multiLevelType w:val="multilevel"/>
    <w:tmpl w:val="055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AD5CBA"/>
    <w:multiLevelType w:val="hybridMultilevel"/>
    <w:tmpl w:val="8B9C86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65D55A95"/>
    <w:multiLevelType w:val="hybridMultilevel"/>
    <w:tmpl w:val="C272388E"/>
    <w:lvl w:ilvl="0" w:tplc="0816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76557BCA"/>
    <w:multiLevelType w:val="multilevel"/>
    <w:tmpl w:val="A26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5E12C9"/>
    <w:multiLevelType w:val="multilevel"/>
    <w:tmpl w:val="B6C0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1"/>
  </w:num>
  <w:num w:numId="3">
    <w:abstractNumId w:val="18"/>
  </w:num>
  <w:num w:numId="4">
    <w:abstractNumId w:val="2"/>
  </w:num>
  <w:num w:numId="5">
    <w:abstractNumId w:val="10"/>
  </w:num>
  <w:num w:numId="6">
    <w:abstractNumId w:val="9"/>
  </w:num>
  <w:num w:numId="7">
    <w:abstractNumId w:val="7"/>
  </w:num>
  <w:num w:numId="8">
    <w:abstractNumId w:val="20"/>
  </w:num>
  <w:num w:numId="9">
    <w:abstractNumId w:val="19"/>
  </w:num>
  <w:num w:numId="10">
    <w:abstractNumId w:val="12"/>
  </w:num>
  <w:num w:numId="11">
    <w:abstractNumId w:val="13"/>
  </w:num>
  <w:num w:numId="12">
    <w:abstractNumId w:val="1"/>
  </w:num>
  <w:num w:numId="13">
    <w:abstractNumId w:val="6"/>
  </w:num>
  <w:num w:numId="14">
    <w:abstractNumId w:val="17"/>
  </w:num>
  <w:num w:numId="15">
    <w:abstractNumId w:val="16"/>
  </w:num>
  <w:num w:numId="16">
    <w:abstractNumId w:val="11"/>
  </w:num>
  <w:num w:numId="17">
    <w:abstractNumId w:val="15"/>
  </w:num>
  <w:num w:numId="18">
    <w:abstractNumId w:val="3"/>
  </w:num>
  <w:num w:numId="19">
    <w:abstractNumId w:val="4"/>
  </w:num>
  <w:num w:numId="20">
    <w:abstractNumId w:val="8"/>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7E"/>
    <w:rsid w:val="00035D7E"/>
    <w:rsid w:val="00103EAF"/>
    <w:rsid w:val="00111435"/>
    <w:rsid w:val="001128D1"/>
    <w:rsid w:val="00167EEA"/>
    <w:rsid w:val="001A77F6"/>
    <w:rsid w:val="001E40EA"/>
    <w:rsid w:val="00234C8A"/>
    <w:rsid w:val="002B007F"/>
    <w:rsid w:val="00307E0F"/>
    <w:rsid w:val="0039301A"/>
    <w:rsid w:val="003C246C"/>
    <w:rsid w:val="003F3109"/>
    <w:rsid w:val="003F6005"/>
    <w:rsid w:val="004B5E99"/>
    <w:rsid w:val="004F7DD2"/>
    <w:rsid w:val="00554772"/>
    <w:rsid w:val="00566273"/>
    <w:rsid w:val="00575D77"/>
    <w:rsid w:val="005A0345"/>
    <w:rsid w:val="005A0793"/>
    <w:rsid w:val="005A15B2"/>
    <w:rsid w:val="005D1DAF"/>
    <w:rsid w:val="00674EC6"/>
    <w:rsid w:val="006A61FC"/>
    <w:rsid w:val="00764E2B"/>
    <w:rsid w:val="008D46A8"/>
    <w:rsid w:val="00945535"/>
    <w:rsid w:val="009636E6"/>
    <w:rsid w:val="009C7324"/>
    <w:rsid w:val="009E3803"/>
    <w:rsid w:val="00A46266"/>
    <w:rsid w:val="00A75391"/>
    <w:rsid w:val="00A81689"/>
    <w:rsid w:val="00AD2F66"/>
    <w:rsid w:val="00AD51B8"/>
    <w:rsid w:val="00B14410"/>
    <w:rsid w:val="00B32227"/>
    <w:rsid w:val="00B87671"/>
    <w:rsid w:val="00C45C77"/>
    <w:rsid w:val="00C625AF"/>
    <w:rsid w:val="00DA1F85"/>
    <w:rsid w:val="00DA5D87"/>
    <w:rsid w:val="00E46288"/>
    <w:rsid w:val="00E533D4"/>
    <w:rsid w:val="00E74D13"/>
    <w:rsid w:val="00F14150"/>
    <w:rsid w:val="00F37C33"/>
    <w:rsid w:val="00FC6DF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62EB"/>
  <w15:chartTrackingRefBased/>
  <w15:docId w15:val="{0D3160B1-00FD-4CB0-85F0-8E0D670F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13"/>
    <w:pPr>
      <w:spacing w:line="259" w:lineRule="auto"/>
    </w:pPr>
    <w:rPr>
      <w:kern w:val="2"/>
      <w:sz w:val="22"/>
      <w:szCs w:val="22"/>
      <w:lang w:val="pt-PT"/>
    </w:rPr>
  </w:style>
  <w:style w:type="paragraph" w:styleId="Ttulo1">
    <w:name w:val="heading 1"/>
    <w:basedOn w:val="Normal"/>
    <w:next w:val="Normal"/>
    <w:link w:val="Ttulo1Char"/>
    <w:autoRedefine/>
    <w:uiPriority w:val="9"/>
    <w:qFormat/>
    <w:rsid w:val="00E533D4"/>
    <w:pPr>
      <w:keepNext/>
      <w:keepLines/>
      <w:spacing w:before="360" w:after="80"/>
      <w:outlineLvl w:val="0"/>
    </w:pPr>
    <w:rPr>
      <w:rFonts w:ascii="Times New Roman" w:eastAsiaTheme="majorEastAsia" w:hAnsi="Times New Roman" w:cstheme="majorBidi"/>
      <w:b/>
      <w:sz w:val="24"/>
      <w:szCs w:val="40"/>
    </w:rPr>
  </w:style>
  <w:style w:type="paragraph" w:styleId="Ttulo2">
    <w:name w:val="heading 2"/>
    <w:basedOn w:val="Normal"/>
    <w:next w:val="Normal"/>
    <w:link w:val="Ttulo2Char"/>
    <w:uiPriority w:val="9"/>
    <w:unhideWhenUsed/>
    <w:qFormat/>
    <w:rsid w:val="00035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35D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35D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35D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35D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35D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35D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35D7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33D4"/>
    <w:rPr>
      <w:rFonts w:ascii="Times New Roman" w:eastAsiaTheme="majorEastAsia" w:hAnsi="Times New Roman" w:cstheme="majorBidi"/>
      <w:b/>
      <w:kern w:val="2"/>
      <w:szCs w:val="40"/>
      <w:lang w:val="pt-PT"/>
    </w:rPr>
  </w:style>
  <w:style w:type="character" w:customStyle="1" w:styleId="Ttulo2Char">
    <w:name w:val="Título 2 Char"/>
    <w:basedOn w:val="Fontepargpadro"/>
    <w:link w:val="Ttulo2"/>
    <w:uiPriority w:val="9"/>
    <w:rsid w:val="00035D7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35D7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35D7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35D7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35D7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35D7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35D7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35D7E"/>
    <w:rPr>
      <w:rFonts w:eastAsiaTheme="majorEastAsia" w:cstheme="majorBidi"/>
      <w:color w:val="272727" w:themeColor="text1" w:themeTint="D8"/>
    </w:rPr>
  </w:style>
  <w:style w:type="paragraph" w:styleId="Ttulo">
    <w:name w:val="Title"/>
    <w:basedOn w:val="Normal"/>
    <w:next w:val="Normal"/>
    <w:link w:val="TtuloChar"/>
    <w:uiPriority w:val="10"/>
    <w:qFormat/>
    <w:rsid w:val="00035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35D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35D7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35D7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35D7E"/>
    <w:pPr>
      <w:spacing w:before="160"/>
      <w:jc w:val="center"/>
    </w:pPr>
    <w:rPr>
      <w:i/>
      <w:iCs/>
      <w:color w:val="404040" w:themeColor="text1" w:themeTint="BF"/>
    </w:rPr>
  </w:style>
  <w:style w:type="character" w:customStyle="1" w:styleId="CitaoChar">
    <w:name w:val="Citação Char"/>
    <w:basedOn w:val="Fontepargpadro"/>
    <w:link w:val="Citao"/>
    <w:uiPriority w:val="29"/>
    <w:rsid w:val="00035D7E"/>
    <w:rPr>
      <w:rFonts w:ascii="Times New Roman" w:hAnsi="Times New Roman"/>
      <w:i/>
      <w:iCs/>
      <w:color w:val="404040" w:themeColor="text1" w:themeTint="BF"/>
    </w:rPr>
  </w:style>
  <w:style w:type="paragraph" w:styleId="PargrafodaLista">
    <w:name w:val="List Paragraph"/>
    <w:basedOn w:val="Normal"/>
    <w:link w:val="PargrafodaListaChar"/>
    <w:uiPriority w:val="34"/>
    <w:qFormat/>
    <w:rsid w:val="00035D7E"/>
    <w:pPr>
      <w:ind w:left="720"/>
      <w:contextualSpacing/>
    </w:pPr>
  </w:style>
  <w:style w:type="character" w:styleId="nfaseIntensa">
    <w:name w:val="Intense Emphasis"/>
    <w:basedOn w:val="Fontepargpadro"/>
    <w:uiPriority w:val="21"/>
    <w:qFormat/>
    <w:rsid w:val="00035D7E"/>
    <w:rPr>
      <w:i/>
      <w:iCs/>
      <w:color w:val="2F5496" w:themeColor="accent1" w:themeShade="BF"/>
    </w:rPr>
  </w:style>
  <w:style w:type="paragraph" w:styleId="CitaoIntensa">
    <w:name w:val="Intense Quote"/>
    <w:basedOn w:val="Normal"/>
    <w:next w:val="Normal"/>
    <w:link w:val="CitaoIntensaChar"/>
    <w:uiPriority w:val="30"/>
    <w:qFormat/>
    <w:rsid w:val="00035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35D7E"/>
    <w:rPr>
      <w:rFonts w:ascii="Times New Roman" w:hAnsi="Times New Roman"/>
      <w:i/>
      <w:iCs/>
      <w:color w:val="2F5496" w:themeColor="accent1" w:themeShade="BF"/>
    </w:rPr>
  </w:style>
  <w:style w:type="character" w:styleId="RefernciaIntensa">
    <w:name w:val="Intense Reference"/>
    <w:basedOn w:val="Fontepargpadro"/>
    <w:uiPriority w:val="32"/>
    <w:qFormat/>
    <w:rsid w:val="00035D7E"/>
    <w:rPr>
      <w:b/>
      <w:bCs/>
      <w:smallCaps/>
      <w:color w:val="2F5496" w:themeColor="accent1" w:themeShade="BF"/>
      <w:spacing w:val="5"/>
    </w:rPr>
  </w:style>
  <w:style w:type="character" w:styleId="Hyperlink">
    <w:name w:val="Hyperlink"/>
    <w:basedOn w:val="Fontepargpadro"/>
    <w:uiPriority w:val="99"/>
    <w:unhideWhenUsed/>
    <w:rsid w:val="00035D7E"/>
    <w:rPr>
      <w:color w:val="0563C1" w:themeColor="hyperlink"/>
      <w:u w:val="single"/>
    </w:rPr>
  </w:style>
  <w:style w:type="paragraph" w:styleId="Cabealho">
    <w:name w:val="header"/>
    <w:basedOn w:val="Normal"/>
    <w:link w:val="CabealhoChar"/>
    <w:uiPriority w:val="99"/>
    <w:unhideWhenUsed/>
    <w:rsid w:val="00035D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D7E"/>
    <w:rPr>
      <w:kern w:val="2"/>
      <w:sz w:val="22"/>
      <w:szCs w:val="22"/>
      <w:lang w:val="pt-PT"/>
    </w:rPr>
  </w:style>
  <w:style w:type="paragraph" w:styleId="Rodap">
    <w:name w:val="footer"/>
    <w:basedOn w:val="Normal"/>
    <w:link w:val="RodapChar"/>
    <w:uiPriority w:val="99"/>
    <w:unhideWhenUsed/>
    <w:rsid w:val="00035D7E"/>
    <w:pPr>
      <w:tabs>
        <w:tab w:val="center" w:pos="4252"/>
        <w:tab w:val="right" w:pos="8504"/>
      </w:tabs>
      <w:spacing w:after="0" w:line="240" w:lineRule="auto"/>
    </w:pPr>
  </w:style>
  <w:style w:type="character" w:customStyle="1" w:styleId="RodapChar">
    <w:name w:val="Rodapé Char"/>
    <w:basedOn w:val="Fontepargpadro"/>
    <w:link w:val="Rodap"/>
    <w:uiPriority w:val="99"/>
    <w:rsid w:val="00035D7E"/>
    <w:rPr>
      <w:kern w:val="2"/>
      <w:sz w:val="22"/>
      <w:szCs w:val="22"/>
      <w:lang w:val="pt-PT"/>
    </w:rPr>
  </w:style>
  <w:style w:type="paragraph" w:styleId="NormalWeb">
    <w:name w:val="Normal (Web)"/>
    <w:basedOn w:val="Normal"/>
    <w:uiPriority w:val="99"/>
    <w:unhideWhenUsed/>
    <w:rsid w:val="00035D7E"/>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PargrafodaListaChar">
    <w:name w:val="Parágrafo da Lista Char"/>
    <w:basedOn w:val="Fontepargpadro"/>
    <w:link w:val="PargrafodaLista"/>
    <w:uiPriority w:val="34"/>
    <w:qFormat/>
    <w:rsid w:val="00035D7E"/>
    <w:rPr>
      <w:rFonts w:ascii="Times New Roman" w:hAnsi="Times New Roman"/>
      <w:color w:val="000000" w:themeColor="text1"/>
    </w:rPr>
  </w:style>
  <w:style w:type="table" w:customStyle="1" w:styleId="TabelaSimples21">
    <w:name w:val="Tabela Simples 21"/>
    <w:basedOn w:val="Tabelanormal"/>
    <w:uiPriority w:val="42"/>
    <w:rsid w:val="00035D7E"/>
    <w:pPr>
      <w:spacing w:after="0" w:line="240" w:lineRule="auto"/>
    </w:pPr>
    <w:rPr>
      <w:sz w:val="22"/>
      <w:szCs w:val="22"/>
      <w:lang w:val="pt-PT"/>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egenda">
    <w:name w:val="caption"/>
    <w:basedOn w:val="Normal"/>
    <w:next w:val="Normal"/>
    <w:link w:val="LegendaChar"/>
    <w:uiPriority w:val="35"/>
    <w:unhideWhenUsed/>
    <w:qFormat/>
    <w:rsid w:val="00035D7E"/>
    <w:pPr>
      <w:spacing w:after="200" w:line="240" w:lineRule="auto"/>
      <w:ind w:firstLine="567"/>
      <w:jc w:val="both"/>
    </w:pPr>
    <w:rPr>
      <w:i/>
      <w:iCs/>
      <w:color w:val="44546A" w:themeColor="text2"/>
      <w:sz w:val="18"/>
      <w:szCs w:val="18"/>
    </w:rPr>
  </w:style>
  <w:style w:type="paragraph" w:styleId="Corpodetexto">
    <w:name w:val="Body Text"/>
    <w:basedOn w:val="Normal"/>
    <w:link w:val="CorpodetextoChar"/>
    <w:uiPriority w:val="1"/>
    <w:qFormat/>
    <w:rsid w:val="00035D7E"/>
    <w:pPr>
      <w:autoSpaceDE w:val="0"/>
      <w:autoSpaceDN w:val="0"/>
      <w:adjustRightInd w:val="0"/>
      <w:spacing w:after="0" w:line="240" w:lineRule="auto"/>
    </w:pPr>
    <w:rPr>
      <w:rFonts w:ascii="Calibri" w:hAnsi="Calibri" w:cs="Calibri"/>
      <w:kern w:val="0"/>
      <w:sz w:val="24"/>
      <w:szCs w:val="24"/>
    </w:rPr>
  </w:style>
  <w:style w:type="character" w:customStyle="1" w:styleId="CorpodetextoChar">
    <w:name w:val="Corpo de texto Char"/>
    <w:basedOn w:val="Fontepargpadro"/>
    <w:link w:val="Corpodetexto"/>
    <w:uiPriority w:val="1"/>
    <w:rsid w:val="00035D7E"/>
    <w:rPr>
      <w:rFonts w:ascii="Calibri" w:hAnsi="Calibri" w:cs="Calibri"/>
      <w:lang w:val="pt-PT"/>
    </w:rPr>
  </w:style>
  <w:style w:type="character" w:customStyle="1" w:styleId="LegendaChar">
    <w:name w:val="Legenda Char"/>
    <w:basedOn w:val="Fontepargpadro"/>
    <w:link w:val="Legenda"/>
    <w:uiPriority w:val="35"/>
    <w:rsid w:val="00035D7E"/>
    <w:rPr>
      <w:i/>
      <w:iCs/>
      <w:color w:val="44546A" w:themeColor="text2"/>
      <w:kern w:val="2"/>
      <w:sz w:val="18"/>
      <w:szCs w:val="18"/>
      <w:lang w:val="pt-PT"/>
    </w:rPr>
  </w:style>
  <w:style w:type="paragraph" w:styleId="SemEspaamento">
    <w:name w:val="No Spacing"/>
    <w:uiPriority w:val="1"/>
    <w:qFormat/>
    <w:rsid w:val="00DA1F85"/>
    <w:pPr>
      <w:spacing w:after="0" w:line="240" w:lineRule="auto"/>
    </w:pPr>
    <w:rPr>
      <w:kern w:val="2"/>
      <w:sz w:val="22"/>
      <w:szCs w:val="22"/>
      <w:lang w:val="pt-PT"/>
    </w:rPr>
  </w:style>
  <w:style w:type="table" w:styleId="Tabelacomgrade">
    <w:name w:val="Table Grid"/>
    <w:basedOn w:val="Tabelanormal"/>
    <w:uiPriority w:val="39"/>
    <w:rsid w:val="00A81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D46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3946">
      <w:bodyDiv w:val="1"/>
      <w:marLeft w:val="0"/>
      <w:marRight w:val="0"/>
      <w:marTop w:val="0"/>
      <w:marBottom w:val="0"/>
      <w:divBdr>
        <w:top w:val="none" w:sz="0" w:space="0" w:color="auto"/>
        <w:left w:val="none" w:sz="0" w:space="0" w:color="auto"/>
        <w:bottom w:val="none" w:sz="0" w:space="0" w:color="auto"/>
        <w:right w:val="none" w:sz="0" w:space="0" w:color="auto"/>
      </w:divBdr>
    </w:div>
    <w:div w:id="1224365196">
      <w:bodyDiv w:val="1"/>
      <w:marLeft w:val="0"/>
      <w:marRight w:val="0"/>
      <w:marTop w:val="0"/>
      <w:marBottom w:val="0"/>
      <w:divBdr>
        <w:top w:val="none" w:sz="0" w:space="0" w:color="auto"/>
        <w:left w:val="none" w:sz="0" w:space="0" w:color="auto"/>
        <w:bottom w:val="none" w:sz="0" w:space="0" w:color="auto"/>
        <w:right w:val="none" w:sz="0" w:space="0" w:color="auto"/>
      </w:divBdr>
      <w:divsChild>
        <w:div w:id="1001619144">
          <w:marLeft w:val="0"/>
          <w:marRight w:val="0"/>
          <w:marTop w:val="0"/>
          <w:marBottom w:val="300"/>
          <w:divBdr>
            <w:top w:val="none" w:sz="0" w:space="0" w:color="auto"/>
            <w:left w:val="none" w:sz="0" w:space="0" w:color="auto"/>
            <w:bottom w:val="none" w:sz="0" w:space="0" w:color="auto"/>
            <w:right w:val="none" w:sz="0" w:space="0" w:color="auto"/>
          </w:divBdr>
        </w:div>
        <w:div w:id="1686712295">
          <w:marLeft w:val="0"/>
          <w:marRight w:val="0"/>
          <w:marTop w:val="300"/>
          <w:marBottom w:val="150"/>
          <w:divBdr>
            <w:top w:val="none" w:sz="0" w:space="0" w:color="auto"/>
            <w:left w:val="none" w:sz="0" w:space="0" w:color="auto"/>
            <w:bottom w:val="none" w:sz="0" w:space="0" w:color="auto"/>
            <w:right w:val="none" w:sz="0" w:space="0" w:color="auto"/>
          </w:divBdr>
        </w:div>
        <w:div w:id="1155610947">
          <w:marLeft w:val="0"/>
          <w:marRight w:val="0"/>
          <w:marTop w:val="300"/>
          <w:marBottom w:val="150"/>
          <w:divBdr>
            <w:top w:val="none" w:sz="0" w:space="0" w:color="auto"/>
            <w:left w:val="none" w:sz="0" w:space="0" w:color="auto"/>
            <w:bottom w:val="none" w:sz="0" w:space="0" w:color="auto"/>
            <w:right w:val="none" w:sz="0" w:space="0" w:color="auto"/>
          </w:divBdr>
        </w:div>
      </w:divsChild>
    </w:div>
    <w:div w:id="12676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787/9789264848200-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orldbank.org/en/country/angola/over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9789264848200-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331677X.2019.1584045"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worldbank.org/en/country/angola/overvie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7874</Words>
  <Characters>42522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Costa Sacala</dc:creator>
  <cp:keywords/>
  <dc:description/>
  <cp:lastModifiedBy>cient</cp:lastModifiedBy>
  <cp:revision>5</cp:revision>
  <dcterms:created xsi:type="dcterms:W3CDTF">2025-11-05T18:09:00Z</dcterms:created>
  <dcterms:modified xsi:type="dcterms:W3CDTF">2025-11-06T14:21:00Z</dcterms:modified>
</cp:coreProperties>
</file>