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A4D" w:rsidRDefault="00834EEC">
      <w:pPr>
        <w:spacing w:after="0" w:line="240" w:lineRule="auto"/>
        <w:jc w:val="center"/>
        <w:rPr>
          <w:rFonts w:ascii="Times New Roman" w:eastAsia="DengXian Light" w:hAnsi="Times New Roman" w:cs="Times New Roman"/>
          <w:b/>
          <w:bCs/>
          <w:spacing w:val="-10"/>
          <w:kern w:val="28"/>
          <w:sz w:val="24"/>
          <w:szCs w:val="24"/>
          <w:lang w:val="en-GB" w:eastAsia="zh-CN"/>
          <w14:ligatures w14:val="none"/>
        </w:rPr>
      </w:pPr>
      <w:r>
        <w:rPr>
          <w:rFonts w:ascii="Times New Roman" w:eastAsia="DengXian Light" w:hAnsi="Times New Roman" w:cs="Times New Roman"/>
          <w:b/>
          <w:bCs/>
          <w:spacing w:val="-10"/>
          <w:kern w:val="28"/>
          <w:sz w:val="24"/>
          <w:szCs w:val="24"/>
          <w:lang w:val="en-GB" w:eastAsia="zh-CN"/>
          <w14:ligatures w14:val="none"/>
        </w:rPr>
        <w:t xml:space="preserve">FINANCIAL DEEPING AND NIGERIA’S ECONOMIC GROWTH NEXUS: AN EMPIRICAL INVESTIGATION </w:t>
      </w:r>
    </w:p>
    <w:p w:rsidR="002E7A4D" w:rsidRDefault="002E7A4D">
      <w:pPr>
        <w:spacing w:after="0" w:line="240" w:lineRule="auto"/>
        <w:jc w:val="center"/>
        <w:rPr>
          <w:rFonts w:ascii="Times New Roman" w:eastAsia="DengXian Light" w:hAnsi="Times New Roman" w:cs="Times New Roman"/>
          <w:b/>
          <w:bCs/>
          <w:spacing w:val="-10"/>
          <w:kern w:val="28"/>
          <w:sz w:val="24"/>
          <w:szCs w:val="24"/>
          <w:lang w:val="en-GB" w:eastAsia="zh-CN"/>
          <w14:ligatures w14:val="none"/>
        </w:rPr>
      </w:pPr>
    </w:p>
    <w:p w:rsidR="002E7A4D" w:rsidRDefault="00DE5800">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w:r>
    </w:p>
    <w:p w:rsidR="002E7A4D" w:rsidRDefault="00DE58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2E7A4D" w:rsidRPr="00DE5800" w:rsidRDefault="00DE5800" w:rsidP="00DE5800">
      <w:pPr>
        <w:spacing w:after="0" w:line="240" w:lineRule="auto"/>
        <w:jc w:val="center"/>
        <w:rPr>
          <w:rFonts w:ascii="Times New Roman" w:eastAsiaTheme="minorEastAsia" w:hAnsi="Times New Roman" w:cs="Times New Roman" w:hint="eastAsia"/>
          <w:sz w:val="24"/>
          <w:szCs w:val="24"/>
          <w:lang w:eastAsia="zh-CN"/>
        </w:rPr>
      </w:pPr>
      <w:r>
        <w:rPr>
          <w:rFonts w:ascii="Times New Roman" w:hAnsi="Times New Roman" w:cs="Times New Roman"/>
          <w:sz w:val="24"/>
          <w:szCs w:val="24"/>
        </w:rPr>
        <w:t xml:space="preserve"/>
      </w:r>
      <w:r>
        <w:rPr>
          <w:rFonts w:ascii="Times New Roman" w:hAnsi="Times New Roman" w:cs="Times New Roman"/>
          <w:sz w:val="24"/>
          <w:szCs w:val="24"/>
          <w:lang w:val="en-GB"/>
        </w:rPr>
        <w:t/>
      </w:r>
      <w:r>
        <w:rPr>
          <w:rFonts w:ascii="Times New Roman" w:hAnsi="Times New Roman" w:cs="Times New Roman"/>
          <w:sz w:val="24"/>
          <w:szCs w:val="24"/>
        </w:rPr>
        <w:t/>
      </w:r>
    </w:p>
    <w:p w:rsidR="002E7A4D" w:rsidRPr="00DE5800" w:rsidRDefault="00DE5800">
      <w:pPr>
        <w:spacing w:after="0" w:line="240" w:lineRule="auto"/>
        <w:jc w:val="center"/>
        <w:rPr>
          <w:rFonts w:ascii="Times New Roman" w:eastAsiaTheme="minorEastAsia" w:hAnsi="Times New Roman" w:cs="Times New Roman" w:hint="eastAsia"/>
          <w:b/>
          <w:bCs/>
          <w:sz w:val="24"/>
          <w:szCs w:val="24"/>
          <w:lang w:eastAsia="zh-CN"/>
        </w:rPr>
      </w:pPr>
      <w:r>
        <w:rPr>
          <w:rFonts w:ascii="Times New Roman" w:hAnsi="Times New Roman" w:cs="Times New Roman"/>
          <w:b/>
          <w:bCs/>
          <w:sz w:val="24"/>
          <w:szCs w:val="24"/>
          <w:lang w:val="en-GB"/>
        </w:rPr>
        <w:t/>
      </w:r>
      <w:r>
        <w:rPr>
          <w:rFonts w:ascii="Times New Roman" w:hAnsi="Times New Roman" w:cs="Times New Roman"/>
          <w:b/>
          <w:bCs/>
          <w:sz w:val="24"/>
          <w:szCs w:val="24"/>
          <w:lang w:val="en-US"/>
        </w:rPr>
        <w:t xml:space="preserve"/>
      </w:r>
      <w:r>
        <w:rPr>
          <w:rFonts w:ascii="Times New Roman" w:hAnsi="Times New Roman" w:cs="Times New Roman"/>
          <w:b/>
          <w:bCs/>
          <w:sz w:val="24"/>
          <w:szCs w:val="24"/>
        </w:rPr>
        <w:t/>
      </w:r>
      <w:r>
        <w:rPr>
          <w:rFonts w:ascii="Times New Roman" w:hAnsi="Times New Roman" w:cs="Times New Roman"/>
          <w:b/>
          <w:bCs/>
          <w:sz w:val="24"/>
          <w:szCs w:val="24"/>
          <w:lang w:val="en-US"/>
        </w:rPr>
        <w:t/>
      </w:r>
      <w:r>
        <w:rPr>
          <w:rFonts w:ascii="Times New Roman" w:hAnsi="Times New Roman" w:cs="Times New Roman"/>
          <w:b/>
          <w:bCs/>
          <w:sz w:val="24"/>
          <w:szCs w:val="24"/>
        </w:rPr>
        <w:t/>
      </w:r>
    </w:p>
    <w:p w:rsidR="002E7A4D" w:rsidRDefault="00DE58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2E7A4D" w:rsidRDefault="00DE5800">
      <w:pPr>
        <w:spacing w:after="0" w:line="240" w:lineRule="auto"/>
        <w:jc w:val="center"/>
        <w:rPr>
          <w:rFonts w:ascii="Times New Roman" w:eastAsia="DengXian" w:hAnsi="Times New Roman" w:cs="Times New Roman"/>
          <w:sz w:val="24"/>
          <w:szCs w:val="24"/>
          <w:lang w:val="en-GB" w:eastAsia="zh-CN"/>
        </w:rPr>
      </w:pPr>
      <w:r>
        <w:rPr>
          <w:rFonts w:ascii="Times New Roman" w:eastAsia="DengXian" w:hAnsi="Times New Roman" w:cs="Times New Roman"/>
          <w:sz w:val="24"/>
          <w:szCs w:val="24"/>
          <w:lang w:eastAsia="zh-CN"/>
        </w:rPr>
        <w:t xml:space="preserve"/>
      </w:r>
      <w:r>
        <w:rPr>
          <w:rFonts w:ascii="Times New Roman" w:eastAsia="DengXian" w:hAnsi="Times New Roman" w:cs="Times New Roman"/>
          <w:sz w:val="24"/>
          <w:szCs w:val="24"/>
          <w:lang w:val="en-GB" w:eastAsia="zh-CN"/>
        </w:rPr>
        <w:t/>
      </w:r>
    </w:p>
    <w:p w:rsidR="00DE5800" w:rsidRPr="00DE5800" w:rsidRDefault="00DE5800" w:rsidP="00DE5800">
      <w:pPr>
        <w:spacing w:after="0" w:line="240" w:lineRule="auto"/>
        <w:jc w:val="center"/>
        <w:rPr>
          <w:rFonts w:ascii="Times New Roman" w:eastAsiaTheme="minorEastAsia" w:hAnsi="Times New Roman" w:cs="Times New Roman" w:hint="eastAsia"/>
          <w:b/>
          <w:bCs/>
          <w:sz w:val="24"/>
          <w:szCs w:val="24"/>
          <w:lang w:eastAsia="zh-CN"/>
        </w:rPr>
      </w:pPr>
      <w:r>
        <w:rPr>
          <w:rFonts w:ascii="Times New Roman" w:hAnsi="Times New Roman" w:cs="Times New Roman"/>
          <w:b/>
          <w:bCs/>
          <w:sz w:val="24"/>
          <w:szCs w:val="24"/>
          <w:lang w:val="en-GB"/>
        </w:rPr>
        <w:t/>
      </w:r>
      <w:r>
        <w:rPr>
          <w:rFonts w:ascii="Times New Roman" w:hAnsi="Times New Roman" w:cs="Times New Roman"/>
          <w:b/>
          <w:bCs/>
          <w:sz w:val="24"/>
          <w:szCs w:val="24"/>
          <w:lang w:val="en-US"/>
        </w:rPr>
        <w:t xml:space="preserve"/>
      </w:r>
      <w:r>
        <w:rPr>
          <w:rFonts w:ascii="Times New Roman" w:hAnsi="Times New Roman" w:cs="Times New Roman"/>
          <w:b/>
          <w:bCs/>
          <w:sz w:val="24"/>
          <w:szCs w:val="24"/>
        </w:rPr>
        <w:t/>
      </w:r>
      <w:r>
        <w:rPr>
          <w:rFonts w:ascii="Times New Roman" w:hAnsi="Times New Roman" w:cs="Times New Roman"/>
          <w:b/>
          <w:bCs/>
          <w:sz w:val="24"/>
          <w:szCs w:val="24"/>
          <w:lang w:val="en-US"/>
        </w:rPr>
        <w:t/>
      </w:r>
      <w:r>
        <w:rPr>
          <w:rFonts w:ascii="Times New Roman" w:hAnsi="Times New Roman" w:cs="Times New Roman"/>
          <w:b/>
          <w:bCs/>
          <w:sz w:val="24"/>
          <w:szCs w:val="24"/>
        </w:rPr>
        <w:t/>
      </w:r>
    </w:p>
    <w:p w:rsidR="00DE5800" w:rsidRDefault="00DE5800" w:rsidP="00DE58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DE5800" w:rsidRDefault="00DE5800" w:rsidP="00DE5800">
      <w:pPr>
        <w:spacing w:after="0" w:line="240" w:lineRule="auto"/>
        <w:jc w:val="center"/>
        <w:rPr>
          <w:rFonts w:ascii="Times New Roman" w:eastAsia="DengXian" w:hAnsi="Times New Roman" w:cs="Times New Roman"/>
          <w:sz w:val="24"/>
          <w:szCs w:val="24"/>
          <w:lang w:val="en-GB" w:eastAsia="zh-CN"/>
        </w:rPr>
      </w:pPr>
      <w:r>
        <w:rPr>
          <w:rFonts w:ascii="Times New Roman" w:eastAsia="DengXian" w:hAnsi="Times New Roman" w:cs="Times New Roman"/>
          <w:sz w:val="24"/>
          <w:szCs w:val="24"/>
          <w:lang w:eastAsia="zh-CN"/>
        </w:rPr>
        <w:t xml:space="preserve"/>
      </w:r>
      <w:r w:rsidR="00CC7A7D">
        <w:rPr>
          <w:rFonts w:ascii="Times New Roman" w:eastAsia="DengXian" w:hAnsi="Times New Roman" w:cs="Times New Roman"/>
          <w:sz w:val="24"/>
          <w:szCs w:val="24"/>
          <w:lang w:val="en-GB" w:eastAsia="zh-CN"/>
        </w:rPr>
        <w:t/>
      </w:r>
      <w:bookmarkStart w:id="0" w:name="_GoBack"/>
      <w:bookmarkEnd w:id="0"/>
      <w:r>
        <w:rPr>
          <w:rFonts w:ascii="Times New Roman" w:eastAsia="DengXian" w:hAnsi="Times New Roman" w:cs="Times New Roman"/>
          <w:sz w:val="24"/>
          <w:szCs w:val="24"/>
          <w:lang w:val="en-GB" w:eastAsia="zh-CN"/>
        </w:rPr>
        <w:t/>
      </w:r>
    </w:p>
    <w:p w:rsidR="002E7A4D" w:rsidRDefault="002E7A4D">
      <w:pPr>
        <w:spacing w:after="0" w:line="240" w:lineRule="auto"/>
        <w:rPr>
          <w:rFonts w:ascii="Times New Roman" w:eastAsia="DengXian" w:hAnsi="Times New Roman" w:cs="Times New Roman"/>
          <w:kern w:val="0"/>
          <w:sz w:val="24"/>
          <w:szCs w:val="24"/>
          <w:lang w:val="en-US" w:eastAsia="zh-CN"/>
          <w14:ligatures w14:val="none"/>
        </w:rPr>
      </w:pPr>
    </w:p>
    <w:p w:rsidR="002E7A4D" w:rsidRDefault="00DE5800" w:rsidP="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SimSun" w:hAnsi="Times New Roman" w:cs="Times New Roman"/>
          <w:b/>
          <w:bCs/>
          <w:sz w:val="24"/>
          <w:szCs w:val="24"/>
          <w:lang w:val="en-US"/>
        </w:rPr>
        <w:t>Abstract</w:t>
      </w:r>
    </w:p>
    <w:p w:rsidR="002E7A4D" w:rsidRDefault="00DE5800">
      <w:pPr>
        <w:spacing w:after="360" w:line="240" w:lineRule="auto"/>
        <w:jc w:val="both"/>
        <w:rPr>
          <w:rFonts w:ascii="Times New Roman" w:eastAsia="Times New Roman" w:hAnsi="Times New Roman" w:cs="Times New Roman"/>
          <w:iCs/>
          <w:kern w:val="0"/>
          <w:sz w:val="24"/>
          <w:szCs w:val="24"/>
          <w:lang w:val="en-US"/>
          <w14:ligatures w14:val="none"/>
        </w:rPr>
      </w:pPr>
      <w:r>
        <w:rPr>
          <w:rFonts w:ascii="Times New Roman" w:eastAsia="Times New Roman" w:hAnsi="Times New Roman" w:cs="Times New Roman"/>
          <w:iCs/>
          <w:kern w:val="0"/>
          <w:sz w:val="24"/>
          <w:szCs w:val="24"/>
          <w:lang w:val="en-US"/>
          <w14:ligatures w14:val="none"/>
        </w:rPr>
        <w:t xml:space="preserve">This study investigates the impact of financial inclusion on economic growth in Nigeria over the period 1985–2024. Economic growth is measured by the growth rate of gross domestic product (GRGDP), while financial inclusion indicators include the growth rate of bank customers (GRBC), growth rate of access to credit (GRATCR), growth rate of commercial and microfinance banks in rural areas (GRCBMF), and the monetary policy rate (MPR). Annual time series data were obtained from the Central Bank of Nigeria (CBN) and the National Bureau of Statistics (NBS). The study employs the Autoregressive Distributed Lag (ARDL) approach to examine both short-run and long-run relationships among the variables. </w:t>
      </w:r>
      <w:r>
        <w:rPr>
          <w:rFonts w:ascii="Times New Roman" w:eastAsia="Times New Roman" w:hAnsi="Times New Roman" w:cs="Times New Roman"/>
          <w:iCs/>
          <w:kern w:val="0"/>
          <w:sz w:val="24"/>
          <w:szCs w:val="24"/>
          <w:lang w:val="en-GB"/>
          <w14:ligatures w14:val="none"/>
        </w:rPr>
        <w:t>This study aligns with</w:t>
      </w:r>
      <w:r>
        <w:rPr>
          <w:rFonts w:ascii="Times New Roman" w:eastAsia="Calibri" w:hAnsi="Times New Roman" w:cs="Times New Roman"/>
          <w:bCs/>
          <w:kern w:val="0"/>
          <w:sz w:val="24"/>
          <w:szCs w:val="24"/>
          <w:lang w:val="en-US"/>
          <w14:ligatures w14:val="none"/>
        </w:rPr>
        <w:t xml:space="preserve"> global development goals such as the Sustainable Development Goals (SDGs), </w:t>
      </w:r>
      <w:r>
        <w:rPr>
          <w:rFonts w:ascii="Times New Roman" w:eastAsia="Calibri" w:hAnsi="Times New Roman" w:cs="Times New Roman"/>
          <w:bCs/>
          <w:kern w:val="0"/>
          <w:sz w:val="24"/>
          <w:szCs w:val="24"/>
          <w:lang w:val="en-GB"/>
          <w14:ligatures w14:val="none"/>
        </w:rPr>
        <w:t>particularly the</w:t>
      </w:r>
      <w:r>
        <w:rPr>
          <w:rFonts w:ascii="Times New Roman" w:eastAsia="Calibri" w:hAnsi="Times New Roman" w:cs="Times New Roman"/>
          <w:bCs/>
          <w:kern w:val="0"/>
          <w:sz w:val="24"/>
          <w:szCs w:val="24"/>
          <w:lang w:val="en-US"/>
          <w14:ligatures w14:val="none"/>
        </w:rPr>
        <w:t xml:space="preserve"> SDG 1 (No Poverty), SDG 8 (Decent Work and Economic Growth) and SDG 10 (Reduced Inequalities)</w:t>
      </w:r>
      <w:r>
        <w:rPr>
          <w:rFonts w:ascii="Times New Roman" w:eastAsia="Calibri" w:hAnsi="Times New Roman" w:cs="Times New Roman"/>
          <w:bCs/>
          <w:kern w:val="0"/>
          <w:sz w:val="24"/>
          <w:szCs w:val="24"/>
          <w:lang w:val="en-GB"/>
          <w14:ligatures w14:val="none"/>
        </w:rPr>
        <w:t xml:space="preserve">. </w:t>
      </w:r>
      <w:r>
        <w:rPr>
          <w:rFonts w:ascii="Times New Roman" w:eastAsia="Times New Roman" w:hAnsi="Times New Roman" w:cs="Times New Roman"/>
          <w:iCs/>
          <w:kern w:val="0"/>
          <w:sz w:val="24"/>
          <w:szCs w:val="24"/>
          <w:lang w:val="en-US"/>
          <w14:ligatures w14:val="none"/>
        </w:rPr>
        <w:t>The findings reveal that GRBC, GRATCR, and GRCBMF have positive and statistically significant effects on GRGDP, indicating that improvements in financial inclusion enhance economic growth in Nigeria. In contrast, the monetary policy rate exhibits a negative relationship with economic growth, suggesting that high interest rates hinder investment and productive economic activities. Based on these findings, the study recommends the expansion of inclusive financial policies aimed at increasing access to credit, strengthening rural banking infrastructure, and promoting bank account ownership. Furthermore, the adoption of a growth-supportive monetary policy with moderate interest rates is essential for stimulating investment and sustaining economic growth in Nigeria.</w:t>
      </w:r>
    </w:p>
    <w:p w:rsidR="002E7A4D" w:rsidRDefault="00DE5800">
      <w:pPr>
        <w:spacing w:before="100" w:beforeAutospacing="1" w:after="100" w:afterAutospacing="1" w:line="240" w:lineRule="auto"/>
        <w:jc w:val="both"/>
        <w:rPr>
          <w:rFonts w:ascii="Times New Roman" w:eastAsia="Times New Roman" w:hAnsi="Times New Roman" w:cs="Times New Roman"/>
          <w:iCs/>
          <w:kern w:val="0"/>
          <w:sz w:val="24"/>
          <w:szCs w:val="24"/>
          <w:lang w:val="en-US"/>
          <w14:ligatures w14:val="none"/>
        </w:rPr>
      </w:pPr>
      <w:r>
        <w:rPr>
          <w:rFonts w:ascii="Times New Roman" w:eastAsia="SimSun" w:hAnsi="Times New Roman" w:cs="Times New Roman"/>
          <w:b/>
          <w:bCs/>
          <w:iCs/>
          <w:sz w:val="24"/>
          <w:szCs w:val="24"/>
          <w:lang w:val="en-US"/>
        </w:rPr>
        <w:t>Keywords:</w:t>
      </w:r>
      <w:r>
        <w:rPr>
          <w:rFonts w:ascii="Times New Roman" w:eastAsia="Times New Roman" w:hAnsi="Times New Roman" w:cs="Times New Roman"/>
          <w:iCs/>
          <w:kern w:val="0"/>
          <w:sz w:val="24"/>
          <w:szCs w:val="24"/>
          <w:lang w:val="en-US"/>
          <w14:ligatures w14:val="none"/>
        </w:rPr>
        <w:t xml:space="preserve"> Financial Inclusion; Economic Growth; Access to Credit; Monetary Policy Rate; Nigeria.</w:t>
      </w:r>
    </w:p>
    <w:p w:rsidR="002E7A4D" w:rsidRDefault="00DE5800">
      <w:pPr>
        <w:spacing w:before="100" w:beforeAutospacing="1" w:after="100" w:afterAutospacing="1" w:line="240" w:lineRule="auto"/>
        <w:jc w:val="both"/>
        <w:rPr>
          <w:rFonts w:ascii="Times New Roman" w:eastAsia="Times New Roman" w:hAnsi="Times New Roman" w:cs="Times New Roman"/>
          <w:iCs/>
          <w:kern w:val="0"/>
          <w:sz w:val="24"/>
          <w:szCs w:val="24"/>
          <w:lang w:val="en-US"/>
          <w14:ligatures w14:val="none"/>
        </w:rPr>
      </w:pPr>
      <w:r>
        <w:rPr>
          <w:rFonts w:ascii="Times New Roman" w:eastAsia="SimSun" w:hAnsi="Times New Roman" w:cs="Times New Roman"/>
          <w:b/>
          <w:bCs/>
          <w:iCs/>
          <w:sz w:val="24"/>
          <w:szCs w:val="24"/>
          <w:lang w:val="en-US"/>
        </w:rPr>
        <w:t>JEL Classification:</w:t>
      </w:r>
      <w:r>
        <w:rPr>
          <w:rFonts w:ascii="Times New Roman" w:eastAsia="Times New Roman" w:hAnsi="Times New Roman" w:cs="Times New Roman"/>
          <w:iCs/>
          <w:kern w:val="0"/>
          <w:sz w:val="24"/>
          <w:szCs w:val="24"/>
          <w:lang w:val="en-US"/>
          <w14:ligatures w14:val="none"/>
        </w:rPr>
        <w:t xml:space="preserve"> E44, G21, O16, O40.</w:t>
      </w:r>
    </w:p>
    <w:p w:rsidR="002E7A4D" w:rsidRDefault="00DE5800">
      <w:pPr>
        <w:spacing w:before="100" w:beforeAutospacing="1" w:after="100" w:afterAutospacing="1"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Introduction</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Sustaining economic growth remains a central objective of developing economies, particularly those characterized by structural bottlenecks, financial exclusion, and income inequality. Economic growth becomes sustainable when it is inclusive, resilient, and supported by institutions that enable broad participation in productive activities (Fischer, 1993; Levine, 2005). Among the critical drivers of sustainable growth is </w:t>
      </w:r>
      <w:r>
        <w:rPr>
          <w:rFonts w:ascii="Times New Roman" w:eastAsia="Times New Roman" w:hAnsi="Times New Roman" w:cs="Times New Roman"/>
          <w:sz w:val="24"/>
          <w:szCs w:val="24"/>
        </w:rPr>
        <w:lastRenderedPageBreak/>
        <w:t>financial inclusion defined as the process of ensuring access to affordable and appropriate financial services for individuals and businesses (World Bank, 2022). Empirical evidence suggests that inclusive financial systems enhance capital accumulation, improve resource allocation, reduce poverty, and stimulate productivity growth (Demirgüç-Kunt, Klapper, Singer, &amp; Ansar, 2018).</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despite financial sector reforms spearheaded by the Central Bank of Nigeria, financial exclusion remains substantial, particularly in rural communities where access to formal credit and savings instruments is limited (CBN, 2023). The persistence of rural exclusion reflects structural challenges, including weak banking infrastructure, low financial literacy, income volatility, and geographic barriers.</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inclusion influences economic growth through multiple transmission channels. Access to credit facilitates investment in productive enterprises and small businesses, savings mobilization enhances domestic capital formation, and digital financial services reduce transaction costs and improve efficiency in resource allocation (Levine, 2005; World Bank, 2022). However, persistent rural exclusion, weak credit penetration, and infrastructural deficits constrain the ability of inclusive finance to translate into sustained economic growth in Nigeria.</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inclusion has emerged as a critical driver of sustainable economic development, particularly in developing economies where large segments of the population remain excluded from formal financial systems. Globally, institutions such as the World Bank and the International Monetary Fund emphasize inclusive financial systems as fundamental to achieving Sustainable Development Goals (SDGs), especially SDG 1 (No Poverty), SDG 8 (Decent Work and Economic Growth), and SDG 10 (Reduced Inequalities).</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persistent efforts to foster inclusive growth, financial exclusion remains a critical constraint on economic development in Nigeria. A large segment of the population, especially in rural areas, lacks access to formal financial services, limiting savings, productive investment, and economic participation (Beck, Demirgüç</w:t>
      </w:r>
      <w:r>
        <w:rPr>
          <w:rFonts w:ascii="Times New Roman" w:eastAsia="Times New Roman" w:hAnsi="Times New Roman" w:cs="Times New Roman"/>
          <w:sz w:val="24"/>
          <w:szCs w:val="24"/>
        </w:rPr>
        <w:noBreakHyphen/>
        <w:t>Kunt &amp; Levine, 2007; Allen et al., 2016). Although reforms and interventions have expanded banking presence and credit programs, empirical evidence on how specific dimensions of financial inclusion such as bank penetration in rural areas, bank customer growth, credit access, and monetary policy stance — affect macroeconomic growth in Nigeria is limited and inconclusiv</w:t>
      </w:r>
      <w:r>
        <w:rPr>
          <w:rFonts w:ascii="Times New Roman" w:eastAsia="Times New Roman" w:hAnsi="Times New Roman" w:cs="Times New Roman"/>
          <w:b/>
          <w:bCs/>
          <w:sz w:val="24"/>
          <w:szCs w:val="24"/>
        </w:rPr>
        <w:t>e</w:t>
      </w:r>
      <w:r>
        <w:rPr>
          <w:rFonts w:ascii="Times New Roman" w:eastAsia="Times New Roman" w:hAnsi="Times New Roman" w:cs="Times New Roman"/>
          <w:sz w:val="24"/>
          <w:szCs w:val="24"/>
        </w:rPr>
        <w:t xml:space="preserve"> (Klapper, El</w:t>
      </w:r>
      <w:r>
        <w:rPr>
          <w:rFonts w:ascii="Times New Roman" w:eastAsia="Times New Roman" w:hAnsi="Times New Roman" w:cs="Times New Roman"/>
          <w:sz w:val="24"/>
          <w:szCs w:val="24"/>
        </w:rPr>
        <w:noBreakHyphen/>
        <w:t>Zoghbi &amp; Hess, 2016; Demirgüç</w:t>
      </w:r>
      <w:r>
        <w:rPr>
          <w:rFonts w:ascii="Times New Roman" w:eastAsia="Times New Roman" w:hAnsi="Times New Roman" w:cs="Times New Roman"/>
          <w:sz w:val="24"/>
          <w:szCs w:val="24"/>
        </w:rPr>
        <w:noBreakHyphen/>
        <w:t>Kunt et al., 2018). This knowledge gap hampers the design of targeted policies that can effectively leverage financial inclusion for sustainable economic growth, particularly in the context of Nigeria’s structural challenges and volatile credit environment. Therefore, this study investigates the impact of financial inclusion on Nigeria’s economic growth, aiming to provide robust empirical evidence for policy formulation.</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Aim and Objectives of the Study</w:t>
      </w:r>
    </w:p>
    <w:p w:rsidR="002E7A4D" w:rsidRDefault="00DE58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study is to examine the impact of financial inclusion on economic growth in Nigeria.</w:t>
      </w:r>
    </w:p>
    <w:p w:rsidR="002E7A4D" w:rsidRDefault="00DE58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objectives are to:</w:t>
      </w:r>
    </w:p>
    <w:p w:rsidR="002E7A4D" w:rsidRDefault="00DE5800">
      <w:pPr>
        <w:numPr>
          <w:ilvl w:val="0"/>
          <w:numId w:val="1"/>
        </w:numPr>
        <w:autoSpaceDE w:val="0"/>
        <w:autoSpaceDN w:val="0"/>
        <w:adjustRightInd w:val="0"/>
        <w:spacing w:after="360" w:line="240" w:lineRule="auto"/>
        <w:contextualSpacing/>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To evaluate the impact of number of commercial banks and microfinance banks in rural areas on economic growth in Nigeria</w:t>
      </w:r>
    </w:p>
    <w:p w:rsidR="002E7A4D" w:rsidRDefault="00DE5800">
      <w:pPr>
        <w:numPr>
          <w:ilvl w:val="0"/>
          <w:numId w:val="1"/>
        </w:numPr>
        <w:autoSpaceDE w:val="0"/>
        <w:autoSpaceDN w:val="0"/>
        <w:adjustRightInd w:val="0"/>
        <w:spacing w:after="360" w:line="240" w:lineRule="auto"/>
        <w:contextualSpacing/>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To examine the impact of growth rate of bank customers on economic growth in Nigeria </w:t>
      </w:r>
    </w:p>
    <w:p w:rsidR="002E7A4D" w:rsidRDefault="00DE5800">
      <w:pPr>
        <w:numPr>
          <w:ilvl w:val="0"/>
          <w:numId w:val="1"/>
        </w:numPr>
        <w:autoSpaceDE w:val="0"/>
        <w:autoSpaceDN w:val="0"/>
        <w:adjustRightInd w:val="0"/>
        <w:spacing w:after="360" w:line="240" w:lineRule="auto"/>
        <w:contextualSpacing/>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To evaluate the impact of growth rate of access to credit on the economic growth in Nigeria</w:t>
      </w:r>
    </w:p>
    <w:p w:rsidR="002E7A4D" w:rsidRDefault="00DE5800">
      <w:pPr>
        <w:numPr>
          <w:ilvl w:val="0"/>
          <w:numId w:val="1"/>
        </w:numPr>
        <w:autoSpaceDE w:val="0"/>
        <w:autoSpaceDN w:val="0"/>
        <w:adjustRightInd w:val="0"/>
        <w:spacing w:after="360" w:line="240" w:lineRule="auto"/>
        <w:contextualSpacing/>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To determine the effect of monetary policy rate on economic growth in Nigeria</w:t>
      </w:r>
    </w:p>
    <w:p w:rsidR="002E7A4D" w:rsidRDefault="00DE5800">
      <w:pPr>
        <w:autoSpaceDE w:val="0"/>
        <w:autoSpaceDN w:val="0"/>
        <w:adjustRightInd w:val="0"/>
        <w:spacing w:after="360" w:line="240" w:lineRule="auto"/>
        <w:jc w:val="both"/>
        <w:rPr>
          <w:rFonts w:ascii="Times New Roman" w:eastAsia="Calibri" w:hAnsi="Times New Roman" w:cs="Times New Roman"/>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Literature Review</w:t>
      </w:r>
    </w:p>
    <w:p w:rsidR="002E7A4D" w:rsidRDefault="00DE5800">
      <w:pPr>
        <w:spacing w:before="100" w:beforeAutospacing="1" w:after="100" w:afterAutospacing="1" w:line="240" w:lineRule="auto"/>
        <w:jc w:val="both"/>
        <w:outlineLvl w:val="1"/>
        <w:rPr>
          <w:rStyle w:val="CommentReference"/>
          <w:rFonts w:ascii="Times New Roman" w:eastAsia="SimSun" w:hAnsi="Times New Roman" w:cs="Times New Roman"/>
          <w:b/>
          <w:bCs/>
          <w:i/>
          <w:iCs/>
          <w:kern w:val="0"/>
          <w:sz w:val="24"/>
          <w:szCs w:val="24"/>
          <w:lang w:val="en-US" w:eastAsia="zh-CN"/>
          <w14:ligatures w14:val="none"/>
        </w:rPr>
      </w:pPr>
      <w:bookmarkStart w:id="1" w:name="_Toc212541747"/>
      <w:r>
        <w:rPr>
          <w:rFonts w:ascii="Times New Roman" w:eastAsia="SimSun" w:hAnsi="Times New Roman" w:cs="Times New Roman"/>
          <w:b/>
          <w:bCs/>
          <w:i/>
          <w:iCs/>
          <w:kern w:val="0"/>
          <w:sz w:val="24"/>
          <w:szCs w:val="24"/>
          <w:lang w:val="en-US" w:eastAsia="zh-CN"/>
          <w14:ligatures w14:val="none"/>
        </w:rPr>
        <w:t>Conceptual Review</w:t>
      </w:r>
    </w:p>
    <w:p w:rsidR="002E7A4D" w:rsidRDefault="00DE5800">
      <w:pPr>
        <w:spacing w:before="100" w:beforeAutospacing="1" w:after="100" w:afterAutospacing="1" w:line="240" w:lineRule="auto"/>
        <w:jc w:val="both"/>
        <w:outlineLvl w:val="1"/>
        <w:rPr>
          <w:rStyle w:val="CommentReference"/>
          <w:rFonts w:ascii="Times New Roman" w:eastAsia="SimSun" w:hAnsi="Times New Roman" w:cs="Times New Roman"/>
          <w:kern w:val="0"/>
          <w:sz w:val="24"/>
          <w:szCs w:val="24"/>
          <w:lang w:val="en-US" w:eastAsia="zh-CN"/>
          <w14:ligatures w14:val="none"/>
        </w:rPr>
      </w:pPr>
      <w:r>
        <w:rPr>
          <w:rStyle w:val="CommentReference"/>
          <w:rFonts w:ascii="Times New Roman" w:eastAsia="SimSun" w:hAnsi="Times New Roman" w:cs="Times New Roman"/>
          <w:kern w:val="0"/>
          <w:sz w:val="24"/>
          <w:szCs w:val="24"/>
          <w:lang w:val="en-US" w:eastAsia="zh-CN"/>
          <w14:ligatures w14:val="none"/>
        </w:rPr>
        <w:t>This section clarifies the core variables used in this study to ensure a common understanding of the terms within the Nigerian economic context.</w:t>
      </w:r>
    </w:p>
    <w:p w:rsidR="002E7A4D" w:rsidRDefault="00DE5800">
      <w:pPr>
        <w:autoSpaceDE w:val="0"/>
        <w:autoSpaceDN w:val="0"/>
        <w:adjustRightInd w:val="0"/>
        <w:spacing w:after="360" w:line="240" w:lineRule="auto"/>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sz w:val="24"/>
          <w:szCs w:val="24"/>
          <w:lang w:val="en-US"/>
          <w14:ligatures w14:val="none"/>
        </w:rPr>
        <w:t>Financial</w:t>
      </w:r>
      <w:r>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US"/>
          <w14:ligatures w14:val="none"/>
        </w:rPr>
        <w:t>Inclusion</w:t>
      </w:r>
      <w:r>
        <w:rPr>
          <w:rFonts w:ascii="Times New Roman" w:eastAsia="Calibri" w:hAnsi="Times New Roman" w:cs="Times New Roman"/>
          <w:bCs/>
          <w:kern w:val="0"/>
          <w:sz w:val="24"/>
          <w:szCs w:val="24"/>
          <w:lang w:val="en-US"/>
          <w14:ligatures w14:val="none"/>
        </w:rPr>
        <w:br/>
        <w:t>Financial inclusion refers to the process of ensuring access to appropriate, affordable, and timely financial products and services to all individuals and businesses, particularly the vulnerable and low-income segments of society. According to the World Bank (2020), financial inclusion is achieved when individuals and businesses have access to useful and affordable financial services, including transactions, payments, savings, credit, and insurance, delivered in a responsible and sustainable manner.</w:t>
      </w:r>
      <w:r>
        <w:rPr>
          <w:rFonts w:ascii="Times New Roman" w:eastAsia="Calibri" w:hAnsi="Times New Roman" w:cs="Times New Roman"/>
          <w:bCs/>
          <w:kern w:val="0"/>
          <w:sz w:val="24"/>
          <w:szCs w:val="24"/>
          <w:lang w:val="en-GB"/>
          <w14:ligatures w14:val="none"/>
        </w:rPr>
        <w:t xml:space="preserve"> In this study, it is specifically measured through bank customer growth, access to credit, and the physical expansion of  bank branches.</w:t>
      </w:r>
    </w:p>
    <w:p w:rsidR="002E7A4D" w:rsidRDefault="00DE5800">
      <w:pPr>
        <w:spacing w:before="100" w:beforeAutospacing="1" w:after="100" w:afterAutospacing="1" w:line="240" w:lineRule="auto"/>
        <w:jc w:val="both"/>
        <w:outlineLvl w:val="2"/>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 xml:space="preserve">Poverty and Financial Vulnerability </w:t>
      </w:r>
    </w:p>
    <w:p w:rsidR="002E7A4D" w:rsidRDefault="00DE5800">
      <w:pPr>
        <w:spacing w:before="100" w:beforeAutospacing="1" w:after="100" w:afterAutospacing="1" w:line="240" w:lineRule="auto"/>
        <w:jc w:val="both"/>
        <w:outlineLvl w:val="2"/>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Poverty is a multidimensional concept characterized by the inability to achieve a socially acceptable standard of living. The United Nations Development Programme (UNDP, 2021) defines extreme poverty as a condition of severe deprivation of basic human needs. The Asian Development Bank (2016) further categorizes this into human poverty (lack of capabilities), income poverty (lack of consumption funds), and absolute poverty. Financial inclusion acts as a bridge to move individuals above the "poverty line" by providing the tools necessary to manage risks and invest in income-generating activities.</w:t>
      </w:r>
    </w:p>
    <w:p w:rsidR="002E7A4D" w:rsidRDefault="00DE5800">
      <w:pPr>
        <w:spacing w:before="100" w:beforeAutospacing="1" w:after="100" w:afterAutospacing="1" w:line="240" w:lineRule="auto"/>
        <w:jc w:val="both"/>
        <w:outlineLvl w:val="2"/>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Economic Growth and Sustainability</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growth refers to a sustained increase in an economy’s productive capacity and real output over time. Sustainable economic growth emphasizes stability, inclusiveness, and resilience rather than short-term expansion. Fischer (1993) argues that macroeconomic stability, particularly low and predictable inflation, is a prerequisite for sustained economic growth.</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Nigeria’s growth experience has been characterized by volatility, reflecting fluctuations in inflation, exchange rate instability, and external shocks. Periods of high inflation have often coincided with slowed investment, declining real incomes, and weakened productivity, underscoring the challenge of sustaining growth in an inflation-prone environment.</w:t>
      </w:r>
    </w:p>
    <w:p w:rsidR="002E7A4D" w:rsidRDefault="00DE5800">
      <w:pPr>
        <w:spacing w:before="240" w:after="36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lastRenderedPageBreak/>
        <w:t xml:space="preserve">Theoretical </w:t>
      </w:r>
      <w:bookmarkEnd w:id="1"/>
      <w:r>
        <w:rPr>
          <w:rFonts w:ascii="Times New Roman" w:eastAsia="Times New Roman" w:hAnsi="Times New Roman" w:cs="Times New Roman"/>
          <w:b/>
          <w:bCs/>
          <w:kern w:val="0"/>
          <w:sz w:val="24"/>
          <w:szCs w:val="24"/>
          <w:lang w:val="en-US"/>
          <w14:ligatures w14:val="none"/>
        </w:rPr>
        <w:t>Framework</w:t>
      </w:r>
    </w:p>
    <w:p w:rsidR="002E7A4D" w:rsidRDefault="00DE5800">
      <w:pPr>
        <w:spacing w:before="240" w:after="360" w:line="240" w:lineRule="auto"/>
        <w:jc w:val="both"/>
        <w:rPr>
          <w:rFonts w:ascii="Times New Roman" w:eastAsia="Calibri" w:hAnsi="Times New Roman" w:cs="Times New Roman"/>
          <w:bCs/>
          <w:i/>
          <w:iCs/>
          <w:kern w:val="0"/>
          <w:sz w:val="24"/>
          <w:szCs w:val="24"/>
          <w:lang w:val="en-US"/>
          <w14:ligatures w14:val="none"/>
        </w:rPr>
      </w:pPr>
      <w:r>
        <w:rPr>
          <w:rFonts w:ascii="Times New Roman" w:eastAsia="Calibri" w:hAnsi="Times New Roman" w:cs="Times New Roman"/>
          <w:bCs/>
          <w:i/>
          <w:iCs/>
          <w:kern w:val="0"/>
          <w:sz w:val="24"/>
          <w:szCs w:val="24"/>
          <w:lang w:val="en-US"/>
          <w14:ligatures w14:val="none"/>
        </w:rPr>
        <w:t xml:space="preserve">The Finance-Growth Nexus Theory </w:t>
      </w:r>
    </w:p>
    <w:p w:rsidR="002E7A4D" w:rsidRDefault="00DE5800">
      <w:pPr>
        <w:autoSpaceDE w:val="0"/>
        <w:autoSpaceDN w:val="0"/>
        <w:adjustRightInd w:val="0"/>
        <w:spacing w:after="360" w:line="240" w:lineRule="auto"/>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This theory, proposed by Schumpeter (1911), posits that financial development stimulates economic growth by providing capital for investment and fostering innovation. In the same vein the theoretical thinking and debate on the finance–growth nexus can be traced back to the work of Bagehot during 1870s. There may have been some earlier theoretical thinking before this. But at least according to literature it is a documented “modern” thinking on the importance of financial system on economic growth (Stolbov, 2012). The Bagehot’s theory demonstrated how the financial spheres are linked with real economy. She further showed how financial market in Britain affected capital spillover in the search of profitable ways of application (Stolbov, 2012). She predicted that “capital will run as surely and instantly where it wanted , and where there is most to be made of it , as water runs to find its level” (Bagehot , 1873). </w:t>
      </w:r>
    </w:p>
    <w:p w:rsidR="002E7A4D" w:rsidRDefault="00DE5800">
      <w:pPr>
        <w:spacing w:after="360" w:line="240" w:lineRule="auto"/>
        <w:jc w:val="both"/>
        <w:rPr>
          <w:rFonts w:ascii="Times New Roman" w:eastAsia="Calibri" w:hAnsi="Times New Roman" w:cs="Times New Roman"/>
          <w:bCs/>
          <w:iCs/>
          <w:kern w:val="0"/>
          <w:sz w:val="24"/>
          <w:szCs w:val="24"/>
          <w:lang w:val="en-US"/>
          <w14:ligatures w14:val="none"/>
        </w:rPr>
      </w:pPr>
      <w:r>
        <w:rPr>
          <w:rFonts w:ascii="Times New Roman" w:eastAsia="Calibri" w:hAnsi="Times New Roman" w:cs="Times New Roman"/>
          <w:bCs/>
          <w:iCs/>
          <w:kern w:val="0"/>
          <w:sz w:val="24"/>
          <w:szCs w:val="24"/>
          <w:lang w:val="en-US"/>
          <w14:ligatures w14:val="none"/>
        </w:rPr>
        <w:t>Surprisingly Schumpeter’s idea on the role of financial institution on economics growth was not widely spread. Partly because it was masked by the chaos of the First World War and great depression thereafter which resulted from massive collapse of the stock market subsequently led temporally weakening of the role played by the financial institutions on economic growth. This led to paradigm shift into focusing on real economy development under the influence of Robinson and other followers of Keynesian ideology (Stolbov, 2012). They argued that financial system plays important role but not primary role. Within this framework of theorizing they firmly believed that enterprises lead finance. Therefore within the first two half of the 20 century there were at least two main school of thoughts i.e. those suggesting that finance lead economic growth (Bagehot and Schumpter) and those who argue that growth leads to finance (Keynesian, Robison and others).</w:t>
      </w:r>
    </w:p>
    <w:p w:rsidR="002E7A4D" w:rsidRDefault="00DE5800">
      <w:pPr>
        <w:spacing w:before="240" w:after="360" w:line="240" w:lineRule="auto"/>
        <w:jc w:val="both"/>
        <w:rPr>
          <w:rFonts w:ascii="Times New Roman" w:eastAsia="Times New Roman" w:hAnsi="Times New Roman" w:cs="Times New Roman"/>
          <w:bCs/>
          <w:i/>
          <w:iCs/>
          <w:color w:val="121212"/>
          <w:kern w:val="0"/>
          <w:sz w:val="24"/>
          <w:szCs w:val="24"/>
          <w:lang w:val="en-US"/>
          <w14:ligatures w14:val="none"/>
        </w:rPr>
      </w:pPr>
      <w:r>
        <w:rPr>
          <w:rFonts w:ascii="Times New Roman" w:eastAsia="Times New Roman" w:hAnsi="Times New Roman" w:cs="Times New Roman"/>
          <w:bCs/>
          <w:i/>
          <w:iCs/>
          <w:color w:val="121212"/>
          <w:kern w:val="0"/>
          <w:sz w:val="24"/>
          <w:szCs w:val="24"/>
          <w:lang w:val="en-US"/>
          <w14:ligatures w14:val="none"/>
        </w:rPr>
        <w:t>Harrod-Domar Growth Model</w:t>
      </w:r>
    </w:p>
    <w:p w:rsidR="002E7A4D" w:rsidRDefault="00DE5800">
      <w:pPr>
        <w:spacing w:before="240" w:after="360" w:line="240" w:lineRule="auto"/>
        <w:jc w:val="both"/>
        <w:rPr>
          <w:rFonts w:ascii="Times New Roman" w:eastAsia="Times New Roman" w:hAnsi="Times New Roman" w:cs="Times New Roman"/>
          <w:bCs/>
          <w:color w:val="121212"/>
          <w:kern w:val="0"/>
          <w:sz w:val="24"/>
          <w:szCs w:val="24"/>
          <w:lang w:val="en-US"/>
          <w14:ligatures w14:val="none"/>
        </w:rPr>
      </w:pPr>
      <w:r>
        <w:rPr>
          <w:rFonts w:ascii="Times New Roman" w:eastAsia="Times New Roman" w:hAnsi="Times New Roman" w:cs="Times New Roman"/>
          <w:bCs/>
          <w:color w:val="121212"/>
          <w:kern w:val="0"/>
          <w:sz w:val="24"/>
          <w:szCs w:val="24"/>
          <w:lang w:val="en-US"/>
          <w14:ligatures w14:val="none"/>
        </w:rPr>
        <w:t>This growth theory was developed by Sir Roy Harrod in 1939 and Evsey Domar in 1946. The theory states that the rate of economic growth in an economy is dependent on its level of savings and capital-output ratio. A country with high levels of savings has available funds to borrow and invest. Both economists had two models that differed in detail but the underlying basic idea is similar. Harrod (1939) believed that capital formation plays a crucial role in the development process. Domar believes that investment is crucial for the increase in productive capacity and how it can raise total demand in terms of total income. In this case, productive capacity is optimally utilized at equilibrium, when total supply is equal to total demand (i.e. productive capacity equals income respectively).  (Suman, S. 2015).</w:t>
      </w:r>
    </w:p>
    <w:p w:rsidR="002E7A4D" w:rsidRDefault="00DE5800">
      <w:pPr>
        <w:autoSpaceDE w:val="0"/>
        <w:autoSpaceDN w:val="0"/>
        <w:adjustRightInd w:val="0"/>
        <w:spacing w:after="360" w:line="240" w:lineRule="auto"/>
        <w:jc w:val="both"/>
        <w:rPr>
          <w:rFonts w:ascii="Times New Roman" w:eastAsia="Calibri" w:hAnsi="Times New Roman" w:cs="Times New Roman"/>
          <w:bCs/>
          <w:i/>
          <w:iCs/>
          <w:kern w:val="0"/>
          <w:sz w:val="24"/>
          <w:szCs w:val="24"/>
          <w:lang w:val="en-US"/>
          <w14:ligatures w14:val="none"/>
        </w:rPr>
      </w:pPr>
      <w:r>
        <w:rPr>
          <w:rFonts w:ascii="Times New Roman" w:eastAsia="Calibri" w:hAnsi="Times New Roman" w:cs="Times New Roman"/>
          <w:bCs/>
          <w:i/>
          <w:iCs/>
          <w:kern w:val="0"/>
          <w:sz w:val="24"/>
          <w:szCs w:val="24"/>
          <w:lang w:val="en-US"/>
          <w14:ligatures w14:val="none"/>
        </w:rPr>
        <w:t>Inclusive Growth Theory</w:t>
      </w:r>
    </w:p>
    <w:p w:rsidR="002E7A4D" w:rsidRDefault="00DE5800">
      <w:pPr>
        <w:autoSpaceDE w:val="0"/>
        <w:autoSpaceDN w:val="0"/>
        <w:adjustRightInd w:val="0"/>
        <w:spacing w:after="360" w:line="240" w:lineRule="auto"/>
        <w:jc w:val="both"/>
        <w:rPr>
          <w:rFonts w:ascii="Times New Roman" w:eastAsia="Times New Roman" w:hAnsi="Times New Roman" w:cs="Times New Roman"/>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This framework emphasizes that equitable access to financial services ensures that economic growth benefits all segments of society, thereby reducing poverty and inequality (Beck et al., 2007). Affordable financial products and services—such as transactions, payments, savings, credit and insurance—help people manage risks, build </w:t>
      </w:r>
      <w:r>
        <w:rPr>
          <w:rFonts w:ascii="Times New Roman" w:eastAsia="Calibri" w:hAnsi="Times New Roman" w:cs="Times New Roman"/>
          <w:bCs/>
          <w:kern w:val="0"/>
          <w:sz w:val="24"/>
          <w:szCs w:val="24"/>
          <w:lang w:val="en-US"/>
          <w14:ligatures w14:val="none"/>
        </w:rPr>
        <w:lastRenderedPageBreak/>
        <w:t>wealth and invest in businesses. Financial inclusion means that individuals and businesses have access to and use affordable financial products and services that meet their needs, which are delivered in a responsible and sustainable way. Financial inclusion is a catalyst for achieving seven of the 17 </w:t>
      </w:r>
      <w:hyperlink r:id="rId7" w:history="1">
        <w:r>
          <w:rPr>
            <w:rFonts w:ascii="Calibri" w:eastAsia="Calibri" w:hAnsi="Calibri" w:cs="Times New Roman"/>
            <w:kern w:val="0"/>
            <w:sz w:val="24"/>
            <w:szCs w:val="24"/>
            <w:lang w:val="en-US"/>
            <w14:ligatures w14:val="none"/>
          </w:rPr>
          <w:t>Sustainable Development Goals</w:t>
        </w:r>
      </w:hyperlink>
      <w:r>
        <w:rPr>
          <w:rFonts w:ascii="Times New Roman" w:eastAsia="Calibri" w:hAnsi="Times New Roman" w:cs="Times New Roman"/>
          <w:bCs/>
          <w:kern w:val="0"/>
          <w:sz w:val="24"/>
          <w:szCs w:val="24"/>
          <w:lang w:val="en-US"/>
          <w14:ligatures w14:val="none"/>
        </w:rPr>
        <w:t> (SDGs). It fosters economic growth and employment, promotes economic empowerment of women, and contributes to eliminating poverty.</w:t>
      </w:r>
    </w:p>
    <w:p w:rsidR="002E7A4D" w:rsidRDefault="00DE5800">
      <w:pPr>
        <w:keepNext/>
        <w:keepLines/>
        <w:spacing w:before="40" w:after="0" w:line="240" w:lineRule="auto"/>
        <w:jc w:val="both"/>
        <w:outlineLvl w:val="1"/>
        <w:rPr>
          <w:rFonts w:ascii="Times New Roman" w:eastAsia="Times New Roman" w:hAnsi="Times New Roman" w:cs="Times New Roman"/>
          <w:b/>
          <w:kern w:val="0"/>
          <w:sz w:val="24"/>
          <w:szCs w:val="24"/>
          <w:lang w:val="en-US"/>
          <w14:ligatures w14:val="none"/>
        </w:rPr>
      </w:pPr>
      <w:bookmarkStart w:id="2" w:name="_Toc212541753"/>
      <w:r>
        <w:rPr>
          <w:rFonts w:ascii="Times New Roman" w:eastAsia="Times New Roman" w:hAnsi="Times New Roman" w:cs="Times New Roman"/>
          <w:b/>
          <w:kern w:val="0"/>
          <w:sz w:val="24"/>
          <w:szCs w:val="24"/>
          <w:lang w:val="en-GB"/>
          <w14:ligatures w14:val="none"/>
        </w:rPr>
        <w:t>Empirical Review</w:t>
      </w:r>
      <w:bookmarkEnd w:id="2"/>
      <w:r>
        <w:rPr>
          <w:rFonts w:ascii="Times New Roman" w:eastAsia="Times New Roman" w:hAnsi="Times New Roman" w:cs="Times New Roman"/>
          <w:b/>
          <w:kern w:val="0"/>
          <w:sz w:val="24"/>
          <w:szCs w:val="24"/>
          <w:lang w:val="en-GB"/>
          <w14:ligatures w14:val="none"/>
        </w:rPr>
        <w:t xml:space="preserve"> </w:t>
      </w:r>
    </w:p>
    <w:p w:rsidR="002E7A4D" w:rsidRDefault="00DE5800">
      <w:pPr>
        <w:spacing w:before="100" w:beforeAutospacing="1" w:after="36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Many studies have been carried out empirically to test the relationship between </w:t>
      </w:r>
      <w:r>
        <w:rPr>
          <w:rFonts w:ascii="Times New Roman" w:eastAsia="SimSun" w:hAnsi="Times New Roman" w:cs="Times New Roman"/>
          <w:bCs/>
          <w:sz w:val="24"/>
          <w:szCs w:val="24"/>
        </w:rPr>
        <w:t>between financial inclusion and economic growth, providing mixed but largely positive results.</w:t>
      </w:r>
      <w:r>
        <w:rPr>
          <w:rFonts w:ascii="Times New Roman" w:eastAsia="SimSun" w:hAnsi="Times New Roman" w:cs="Times New Roman"/>
          <w:sz w:val="24"/>
          <w:szCs w:val="24"/>
        </w:rPr>
        <w:t xml:space="preserve"> </w:t>
      </w:r>
    </w:p>
    <w:p w:rsidR="002E7A4D" w:rsidRDefault="00DE5800">
      <w:pPr>
        <w:spacing w:after="360" w:line="240" w:lineRule="auto"/>
        <w:jc w:val="both"/>
        <w:rPr>
          <w:rFonts w:ascii="Times New Roman" w:eastAsia="Calibri" w:hAnsi="Times New Roman" w:cs="Times New Roman"/>
          <w:bCs/>
          <w:color w:val="000000"/>
          <w:kern w:val="0"/>
          <w:sz w:val="24"/>
          <w:szCs w:val="24"/>
          <w:lang w:val="en-US" w:eastAsia="zh-CN"/>
          <w14:ligatures w14:val="none"/>
        </w:rPr>
      </w:pPr>
      <w:bookmarkStart w:id="3" w:name="_Hlk212501266"/>
      <w:r>
        <w:rPr>
          <w:rFonts w:ascii="Times New Roman" w:eastAsia="Calibri" w:hAnsi="Times New Roman" w:cs="Times New Roman"/>
          <w:bCs/>
          <w:color w:val="000000"/>
          <w:kern w:val="0"/>
          <w:sz w:val="24"/>
          <w:szCs w:val="24"/>
          <w:lang w:val="en-US" w:eastAsia="zh-CN"/>
          <w14:ligatures w14:val="none"/>
        </w:rPr>
        <w:t>Abdulmalik and Umar (2024) investigated the effect of financial inclusion on economic development in Nigeria by analysing the interaction between both variables using a review of empirical evidence. Employing annual data from 1981–2022 and the ARDL Bound Testing approach, the study revealed both short- and long-run relationships between financial inclusion and economic growth, measured using GDP per capita. Their findings highlight the complex and multidimensional nature of financial inclusion’s impact on economic performance. These results are consistent with those of Onwukanjo et al. (2024), who examined the effect of financial inclusion on Nigeria’s economic growth for the period 1980–2019 using a Vector Error Correction Model (VECM). Their study found a bidirectional causal relationship between financial inclusion and economic growth. Furthermore, they reported that a one percent increase in financial inclusion indicators</w:t>
      </w:r>
      <w:r>
        <w:rPr>
          <w:rFonts w:ascii="Times New Roman" w:eastAsia="Calibri" w:hAnsi="Times New Roman" w:cs="Times New Roman"/>
          <w:bCs/>
          <w:color w:val="000000"/>
          <w:kern w:val="0"/>
          <w:sz w:val="24"/>
          <w:szCs w:val="24"/>
          <w:lang w:val="en-GB" w:eastAsia="zh-CN"/>
          <w14:ligatures w14:val="none"/>
        </w:rPr>
        <w:t xml:space="preserve"> </w:t>
      </w:r>
      <w:r>
        <w:rPr>
          <w:rFonts w:ascii="Times New Roman" w:eastAsia="Calibri" w:hAnsi="Times New Roman" w:cs="Times New Roman"/>
          <w:bCs/>
          <w:color w:val="000000"/>
          <w:kern w:val="0"/>
          <w:sz w:val="24"/>
          <w:szCs w:val="24"/>
          <w:lang w:val="en-US" w:eastAsia="zh-CN"/>
          <w14:ligatures w14:val="none"/>
        </w:rPr>
        <w:t>such as deposits from rural areas (DRA), loans to rural areas (LRA), account ownership (AA), and electronic banking/payment systems (EMB)</w:t>
      </w:r>
      <w:r>
        <w:rPr>
          <w:rFonts w:ascii="Times New Roman" w:eastAsia="Calibri" w:hAnsi="Times New Roman" w:cs="Times New Roman"/>
          <w:bCs/>
          <w:color w:val="000000"/>
          <w:kern w:val="0"/>
          <w:sz w:val="24"/>
          <w:szCs w:val="24"/>
          <w:lang w:val="en-GB" w:eastAsia="zh-CN"/>
          <w14:ligatures w14:val="none"/>
        </w:rPr>
        <w:t xml:space="preserve"> </w:t>
      </w:r>
      <w:r>
        <w:rPr>
          <w:rFonts w:ascii="Times New Roman" w:eastAsia="Calibri" w:hAnsi="Times New Roman" w:cs="Times New Roman"/>
          <w:bCs/>
          <w:color w:val="000000"/>
          <w:kern w:val="0"/>
          <w:sz w:val="24"/>
          <w:szCs w:val="24"/>
          <w:lang w:val="en-US" w:eastAsia="zh-CN"/>
          <w14:ligatures w14:val="none"/>
        </w:rPr>
        <w:t>at lag (–2) leads to increases of 38%, 92%, 59%, and 3% respectively in per capita income.</w:t>
      </w:r>
      <w:r>
        <w:rPr>
          <w:rFonts w:ascii="Times New Roman" w:eastAsia="Calibri" w:hAnsi="Times New Roman" w:cs="Times New Roman"/>
          <w:bCs/>
          <w:color w:val="000000"/>
          <w:kern w:val="0"/>
          <w:sz w:val="24"/>
          <w:szCs w:val="24"/>
          <w:lang w:val="en-GB" w:eastAsia="zh-CN"/>
          <w14:ligatures w14:val="none"/>
        </w:rPr>
        <w:t xml:space="preserve"> </w:t>
      </w:r>
      <w:r>
        <w:rPr>
          <w:rFonts w:ascii="Times New Roman" w:eastAsia="Calibri" w:hAnsi="Times New Roman" w:cs="Times New Roman"/>
          <w:bCs/>
          <w:color w:val="000000"/>
          <w:kern w:val="0"/>
          <w:sz w:val="24"/>
          <w:szCs w:val="24"/>
          <w:lang w:val="en-US" w:eastAsia="zh-CN"/>
          <w14:ligatures w14:val="none"/>
        </w:rPr>
        <w:t>However, despite these contributions, reliance on GDP per capita as a proxy for economic development raises methodological concerns. GDP per capita may not fully capture structural economic changes, and there is a need to test whether similar relationships hold when alternative measures</w:t>
      </w:r>
      <w:r>
        <w:rPr>
          <w:rFonts w:ascii="Times New Roman" w:eastAsia="Calibri" w:hAnsi="Times New Roman" w:cs="Times New Roman"/>
          <w:bCs/>
          <w:color w:val="000000"/>
          <w:kern w:val="0"/>
          <w:sz w:val="24"/>
          <w:szCs w:val="24"/>
          <w:lang w:val="en-GB" w:eastAsia="zh-CN"/>
          <w14:ligatures w14:val="none"/>
        </w:rPr>
        <w:t xml:space="preserve"> </w:t>
      </w:r>
      <w:r>
        <w:rPr>
          <w:rFonts w:ascii="Times New Roman" w:eastAsia="Calibri" w:hAnsi="Times New Roman" w:cs="Times New Roman"/>
          <w:bCs/>
          <w:color w:val="000000"/>
          <w:kern w:val="0"/>
          <w:sz w:val="24"/>
          <w:szCs w:val="24"/>
          <w:lang w:val="en-US" w:eastAsia="zh-CN"/>
          <w14:ligatures w14:val="none"/>
        </w:rPr>
        <w:t>such as economic growth rate</w:t>
      </w:r>
      <w:r>
        <w:rPr>
          <w:rFonts w:ascii="Times New Roman" w:eastAsia="Calibri" w:hAnsi="Times New Roman" w:cs="Times New Roman"/>
          <w:bCs/>
          <w:color w:val="000000"/>
          <w:kern w:val="0"/>
          <w:sz w:val="24"/>
          <w:szCs w:val="24"/>
          <w:lang w:val="en-GB" w:eastAsia="zh-CN"/>
          <w14:ligatures w14:val="none"/>
        </w:rPr>
        <w:t xml:space="preserve"> </w:t>
      </w:r>
      <w:r>
        <w:rPr>
          <w:rFonts w:ascii="Times New Roman" w:eastAsia="Calibri" w:hAnsi="Times New Roman" w:cs="Times New Roman"/>
          <w:bCs/>
          <w:color w:val="000000"/>
          <w:kern w:val="0"/>
          <w:sz w:val="24"/>
          <w:szCs w:val="24"/>
          <w:lang w:val="en-US" w:eastAsia="zh-CN"/>
          <w14:ligatures w14:val="none"/>
        </w:rPr>
        <w:t>are used.</w:t>
      </w:r>
    </w:p>
    <w:p w:rsidR="002E7A4D" w:rsidRDefault="00DE5800">
      <w:pPr>
        <w:spacing w:after="360" w:line="240" w:lineRule="auto"/>
        <w:jc w:val="both"/>
        <w:rPr>
          <w:rFonts w:ascii="Times New Roman" w:eastAsia="Calibri" w:hAnsi="Times New Roman" w:cs="Times New Roman"/>
          <w:bCs/>
          <w:color w:val="000000"/>
          <w:kern w:val="0"/>
          <w:sz w:val="24"/>
          <w:szCs w:val="24"/>
          <w:lang w:val="en-US" w:eastAsia="zh-CN"/>
          <w14:ligatures w14:val="none"/>
        </w:rPr>
      </w:pPr>
      <w:r>
        <w:rPr>
          <w:rFonts w:ascii="Times New Roman" w:eastAsia="Calibri" w:hAnsi="Times New Roman" w:cs="Times New Roman"/>
          <w:bCs/>
          <w:color w:val="000000"/>
          <w:kern w:val="0"/>
          <w:sz w:val="24"/>
          <w:szCs w:val="24"/>
          <w:lang w:val="en-US" w:eastAsia="zh-CN"/>
          <w14:ligatures w14:val="none"/>
        </w:rPr>
        <w:t>Saranu et al. (2024) examined the effect of financial inclusion on economic growth in Nigeria and found that credit to the private sector exerts a positive and statistically significant impact on growth, while ATM transactions have a positive but statistically insignificant relationship. Also aligned with this literature, Nwansi and Dibiah (2023) analysed the relationship between financial inclusion and economic growth for the period 1991–2021 using Ordinary Least Squares (OLS). Their results showed that the combined influence of broad money supply relative to GDP, credit to the private sector, loan-to-deposit ratio, and commercial bank liquidity ratio significantly affects economic growth in Nigeria.</w:t>
      </w:r>
    </w:p>
    <w:p w:rsidR="002E7A4D" w:rsidRDefault="00DE5800">
      <w:pPr>
        <w:spacing w:after="360" w:line="240" w:lineRule="auto"/>
        <w:jc w:val="both"/>
        <w:rPr>
          <w:rFonts w:ascii="Times New Roman" w:eastAsia="Calibri" w:hAnsi="Times New Roman" w:cs="Times New Roman"/>
          <w:bCs/>
          <w:color w:val="000000"/>
          <w:kern w:val="0"/>
          <w:sz w:val="24"/>
          <w:szCs w:val="24"/>
          <w:lang w:val="en-US" w:eastAsia="zh-CN"/>
          <w14:ligatures w14:val="none"/>
        </w:rPr>
      </w:pPr>
      <w:r>
        <w:rPr>
          <w:rFonts w:ascii="Times New Roman" w:eastAsia="Calibri" w:hAnsi="Times New Roman" w:cs="Times New Roman"/>
          <w:bCs/>
          <w:color w:val="000000"/>
          <w:kern w:val="0"/>
          <w:sz w:val="24"/>
          <w:szCs w:val="24"/>
          <w:lang w:val="en-US" w:eastAsia="zh-CN"/>
          <w14:ligatures w14:val="none"/>
        </w:rPr>
        <w:t>Iwedi (2024) used OLS and Granger causality techniques to analyze the nexus between financial inclusion and economic growth. The findings affirmed a significant positive relationship, especially through the number of bank branches. However, the study identifies infrastructural bottlenecks and high service costs as threats to inclusion. This research builds on such insights by incorporating a broader mix of inclusion indicators, including rural deposits, SME credit access, and customer engagement.</w:t>
      </w:r>
    </w:p>
    <w:p w:rsidR="002E7A4D" w:rsidRDefault="00DE5800">
      <w:pPr>
        <w:spacing w:after="36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Adebayo and Olaniyi (2023) emphasizes that access to credit (ATC) remains the primary engine for real-sector growth in Nigeria. A significant strength of their work is the granular focus on agricultural credit, which provides a direct link between financial intermediation and the most productive sector of the Nigerian economy. However, a notable weakness of their study is the reliance on a relatively short time-series data set and the exclusion of the Monetary Policy Rate (MPR) as a control variable, which may lead to an overestimation of credit’s impact without considering the cost of borrowing. My study fixes these gaps by extending the analysis period to 2024 and incorporating the MPR within an ARDL framework. This allows for a more robust understanding of how credit interacts with interest rate volatility to influence overall GDP growth, providing a more comprehensive policy </w:t>
      </w:r>
      <w:r>
        <w:rPr>
          <w:rFonts w:ascii="Times New Roman" w:eastAsia="SimSun" w:hAnsi="Times New Roman" w:cs="Times New Roman"/>
          <w:sz w:val="24"/>
          <w:szCs w:val="24"/>
          <w:lang w:val="en-GB"/>
        </w:rPr>
        <w:t>road-map</w:t>
      </w:r>
      <w:r>
        <w:rPr>
          <w:rFonts w:ascii="Times New Roman" w:eastAsia="SimSun" w:hAnsi="Times New Roman" w:cs="Times New Roman"/>
          <w:sz w:val="24"/>
          <w:szCs w:val="24"/>
        </w:rPr>
        <w:t xml:space="preserve"> than earlier models.</w:t>
      </w:r>
    </w:p>
    <w:p w:rsidR="002E7A4D" w:rsidRDefault="00DE5800">
      <w:pPr>
        <w:spacing w:after="360" w:line="240" w:lineRule="auto"/>
        <w:jc w:val="both"/>
        <w:rPr>
          <w:rFonts w:ascii="Times New Roman" w:hAnsi="Times New Roman" w:cs="Times New Roman"/>
          <w:sz w:val="24"/>
          <w:szCs w:val="24"/>
        </w:rPr>
      </w:pPr>
      <w:r>
        <w:rPr>
          <w:rFonts w:ascii="Times New Roman" w:hAnsi="Times New Roman" w:cs="Times New Roman"/>
          <w:sz w:val="24"/>
          <w:szCs w:val="24"/>
        </w:rPr>
        <w:t>Okoro (2022) examined the role of microfinance banks in rural economic development in Nigeria, specifically following the post-pandemic recovery period. A primary strength of this research is the emphasis on the physical expansion of microfinance branches (GRCBMF) as a tool for rural financial inclusion, providing evidence that local access to banking remains a critical driver for informal sector productivity. However, a limitation of the study is its focus on a localized regional analysis, which may not fully reflect the macroeconomic complexities of the entire Nigerian federation. This study addresses this weakness by taking a national-level perspective using a 40-year time series (1985–2024), thereby providing a broader and more generalizable conclusion on how rural banking infrastructure influences national GDP growth.</w:t>
      </w:r>
    </w:p>
    <w:p w:rsidR="002E7A4D" w:rsidRDefault="00DE5800">
      <w:pPr>
        <w:pStyle w:val="NormalWeb"/>
        <w:jc w:val="both"/>
      </w:pPr>
      <w:r>
        <w:t>Usman and Bello (2023) investigated the impact of monetary policy rate volatility on credit to the private sector in Nigeria. The strength of their work lies in the clear demonstration of how fluctuations in the MPR act as a barrier to credit accessibility, often neutralizing the positive effects of inclusive banking policies. Despite this contribution, their study was primarily descriptive and did not utilize the ARDL Bounds Testing approach to differentiate between short-run shocks and long-run equilibrium stability. My research fills this gap by employing the ARDL model, which allows us to observe how the negative impact of the MPR (as seen in my results) persists over time and interacts with other inclusion variables to dictate the pace of economic growth.</w:t>
      </w:r>
    </w:p>
    <w:bookmarkEnd w:id="3"/>
    <w:p w:rsidR="002E7A4D" w:rsidRDefault="00DE5800">
      <w:pPr>
        <w:spacing w:before="100" w:beforeAutospacing="1" w:after="36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Uchenna and Odo (2019) analyzed the impact of financial inclusion on economic growth using an Autoregressive Distributed Lag (ARDL) model. Their results revealed that increased access to financial services, particularly credit and mobile banking, significantly contributed to economic growth. They recommended the expansion of financial infrastructure to enhance economic activities in rural areas.</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sz w:val="24"/>
          <w:szCs w:val="24"/>
        </w:rPr>
        <w:t>While this study used ARDL, it primarily focused on credit access and mobile banking as indicators of financial inclusion. My study expands the scope by incorporating rural banking presence, microfinance accessibility, and the total number of bank customers, providing a more holistic view of financial inclusion in Nigeria.</w:t>
      </w:r>
    </w:p>
    <w:p w:rsidR="002E7A4D" w:rsidRDefault="00DE5800">
      <w:pPr>
        <w:spacing w:before="100" w:beforeAutospacing="1" w:after="360" w:line="240" w:lineRule="auto"/>
        <w:jc w:val="both"/>
        <w:rPr>
          <w:rStyle w:val="CommentReference"/>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Beck, Demirgüç-Kunt, and Levine (2007) examined the impact of financial development on economic growth using panel data from multiple countries. Their findings indicated that financial inclusion fosters economic growth by enhancing access to credit and reducing income inequality. The study emphasized that economies with high levels of financial penetration experience higher levels of capital accumulation and productivity.</w:t>
      </w:r>
      <w:r>
        <w:rPr>
          <w:rFonts w:ascii="Times New Roman" w:eastAsia="Times New Roman" w:hAnsi="Times New Roman" w:cs="Times New Roman"/>
          <w:bCs/>
          <w:sz w:val="24"/>
          <w:szCs w:val="24"/>
          <w:lang w:val="en-GB"/>
        </w:rPr>
        <w:t xml:space="preserve"> However t</w:t>
      </w:r>
      <w:r>
        <w:rPr>
          <w:rFonts w:ascii="Times New Roman" w:eastAsia="Times New Roman" w:hAnsi="Times New Roman" w:cs="Times New Roman"/>
          <w:bCs/>
          <w:sz w:val="24"/>
          <w:szCs w:val="24"/>
        </w:rPr>
        <w:t xml:space="preserve">his study focused on financial development as a broad </w:t>
      </w:r>
      <w:r>
        <w:rPr>
          <w:rFonts w:ascii="Times New Roman" w:eastAsia="Times New Roman" w:hAnsi="Times New Roman" w:cs="Times New Roman"/>
          <w:bCs/>
          <w:sz w:val="24"/>
          <w:szCs w:val="24"/>
        </w:rPr>
        <w:lastRenderedPageBreak/>
        <w:t>concept rather than explicitly isolating financial inclusion. Additionally, it used multi-country panel data, which may not capture country-specific financial inclusion dynamics. Unlike this study, my research focuses exclusively on Nigeria, examining financial inclusion variables like rural banking, microfinance institutions, and agency banking as drivers of economic growth.</w:t>
      </w:r>
      <w:r>
        <w:rPr>
          <w:rFonts w:ascii="Times New Roman" w:eastAsia="Times New Roman" w:hAnsi="Times New Roman" w:cs="Times New Roman"/>
          <w:bCs/>
          <w:sz w:val="24"/>
          <w:szCs w:val="24"/>
          <w:lang w:val="en-GB"/>
        </w:rPr>
        <w:t xml:space="preserve"> </w:t>
      </w:r>
    </w:p>
    <w:p w:rsidR="002E7A4D" w:rsidRDefault="00DE5800">
      <w:pPr>
        <w:spacing w:before="100" w:beforeAutospacing="1" w:after="36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Methodology</w:t>
      </w:r>
      <w:bookmarkStart w:id="4" w:name="_Toc212541757"/>
    </w:p>
    <w:p w:rsidR="002E7A4D" w:rsidRDefault="00DE5800">
      <w:pPr>
        <w:spacing w:before="100" w:beforeAutospacing="1" w:after="100" w:afterAutospacing="1" w:line="240" w:lineRule="auto"/>
        <w:jc w:val="both"/>
        <w:rPr>
          <w:rFonts w:ascii="Times New Roman" w:eastAsia="Times New Roman" w:hAnsi="Times New Roman" w:cs="Times New Roman"/>
          <w:bCs/>
          <w:kern w:val="0"/>
          <w:sz w:val="24"/>
          <w:szCs w:val="24"/>
          <w:lang w:val="en-US"/>
          <w14:ligatures w14:val="none"/>
        </w:rPr>
      </w:pPr>
      <w:r>
        <w:rPr>
          <w:rFonts w:ascii="Times New Roman" w:eastAsia="Times New Roman" w:hAnsi="Times New Roman" w:cs="Times New Roman"/>
          <w:bCs/>
          <w:kern w:val="0"/>
          <w:sz w:val="24"/>
          <w:szCs w:val="24"/>
          <w:lang w:val="en-US"/>
          <w14:ligatures w14:val="none"/>
        </w:rPr>
        <w:t>Research Design</w:t>
      </w:r>
      <w:bookmarkStart w:id="5" w:name="_Toc212541759"/>
      <w:bookmarkEnd w:id="4"/>
    </w:p>
    <w:p w:rsidR="002E7A4D" w:rsidRDefault="00DE5800">
      <w:pPr>
        <w:spacing w:before="100" w:beforeAutospacing="1" w:after="100" w:afterAutospacing="1" w:line="24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kern w:val="0"/>
          <w:sz w:val="24"/>
          <w:szCs w:val="24"/>
          <w:lang w:val="en-US"/>
          <w14:ligatures w14:val="none"/>
        </w:rPr>
        <w:t>This study adopted an ex-post facto research design, given that it relied exclusively on secondary data and did not involve any manipulation of the study variables. The ex-post facto design is appropriate for this study as it enables the examination of relationships among variables using historical data that already exist.</w:t>
      </w:r>
    </w:p>
    <w:p w:rsidR="002E7A4D" w:rsidRDefault="002E7A4D">
      <w:pPr>
        <w:keepNext/>
        <w:keepLines/>
        <w:spacing w:before="40" w:after="0" w:line="240" w:lineRule="auto"/>
        <w:outlineLvl w:val="1"/>
        <w:rPr>
          <w:rFonts w:ascii="Times New Roman" w:eastAsia="Times New Roman" w:hAnsi="Times New Roman" w:cs="Times New Roman"/>
          <w:kern w:val="0"/>
          <w:sz w:val="24"/>
          <w:szCs w:val="24"/>
          <w:lang w:val="en-US"/>
          <w14:ligatures w14:val="none"/>
        </w:rPr>
      </w:pPr>
    </w:p>
    <w:p w:rsidR="002E7A4D" w:rsidRDefault="00DE5800">
      <w:pPr>
        <w:keepNext/>
        <w:keepLines/>
        <w:spacing w:before="40" w:after="0" w:line="240" w:lineRule="auto"/>
        <w:outlineLvl w:val="1"/>
        <w:rPr>
          <w:rFonts w:ascii="Times New Roman" w:eastAsia="Calibri" w:hAnsi="Times New Roman" w:cs="Times New Roman"/>
          <w:kern w:val="0"/>
          <w:sz w:val="24"/>
          <w:szCs w:val="24"/>
          <w:lang w:val="en-US"/>
          <w14:ligatures w14:val="none"/>
        </w:rPr>
      </w:pPr>
      <w:bookmarkStart w:id="6" w:name="_Hlk164780707"/>
      <w:bookmarkEnd w:id="5"/>
      <w:r>
        <w:rPr>
          <w:rFonts w:ascii="Times New Roman" w:eastAsia="Calibri" w:hAnsi="Times New Roman" w:cs="Times New Roman"/>
          <w:kern w:val="0"/>
          <w:sz w:val="24"/>
          <w:szCs w:val="24"/>
          <w:lang w:val="en-US"/>
          <w14:ligatures w14:val="none"/>
        </w:rPr>
        <w:t>Model Specification</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the impact of financial inclusion on economic growth in Nigeria. Financial inclusion refers to the provision of accessible, affordable, and efficient financial services to all segments of society, particularly underserved populations. Theoretical and empirical literature suggests that financial inclusion promotes savings mobilization, improves capital allocation, enhances investment, and stimulates economic growth (Beck, Demirgüç-Kunt, &amp; Levine, 2007; Demirgüç-Kunt, Klapper, Singer, &amp; Van Oudheusden, 2018).</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perspective of endogenous growth theory, financial development enhances productivity through improved resource allocation and technological diffusion (Romer, 1990). Similarly, financial intermediation theory posits that expansion in banking infrastructure and credit availability reduces transaction costs and information asymmetry, thereby fostering economic expansion (Levine, 2005).</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functional relationship is specified as:</w:t>
      </w:r>
    </w:p>
    <w:p w:rsidR="002E7A4D" w:rsidRDefault="00DE5800">
      <w:pPr>
        <w:spacing w:line="240" w:lineRule="auto"/>
        <w:rPr>
          <w:rFonts w:ascii="Times New Roman" w:eastAsia="SimSun" w:hAnsi="Times New Roman" w:cs="Times New Roman"/>
          <w:kern w:val="0"/>
          <w:sz w:val="24"/>
          <w:szCs w:val="24"/>
          <w:lang w:val="en-US" w:eastAsia="zh-CN" w:bidi="ar"/>
          <w14:ligatures w14:val="none"/>
        </w:rPr>
      </w:pPr>
      <w:r>
        <w:rPr>
          <w:rFonts w:ascii="Times New Roman" w:eastAsia="SimSun" w:hAnsi="Times New Roman" w:cs="Times New Roman"/>
          <w:kern w:val="0"/>
          <w:sz w:val="24"/>
          <w:szCs w:val="24"/>
          <w:lang w:val="en-US" w:eastAsia="zh-CN" w:bidi="ar"/>
          <w14:ligatures w14:val="none"/>
        </w:rPr>
        <w:t xml:space="preserve">GRGDPt=f(GRBCt,GRATCRt,GRCBMFt,MPRt) </w:t>
      </w:r>
    </w:p>
    <w:p w:rsidR="002E7A4D" w:rsidRDefault="00DE58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GRGDP = Growth Rate of Gross Domestic Product</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GRBC = Growth Rate of Bank Customers</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GRATCR = Growth Rate of Access to Credit</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GRCBMF = Growth Rate of Commercial Banks and Microfinance Banks</w:t>
      </w:r>
    </w:p>
    <w:p w:rsidR="002E7A4D" w:rsidRDefault="00DE5800">
      <w:pPr>
        <w:spacing w:before="100" w:beforeAutospacing="1" w:after="100" w:afterAutospacing="1"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sz w:val="24"/>
          <w:szCs w:val="24"/>
        </w:rPr>
        <w:t>MPR = Monetary Policy Rate</w:t>
      </w:r>
    </w:p>
    <w:p w:rsidR="002E7A4D" w:rsidRDefault="00DE5800">
      <w:pPr>
        <w:spacing w:after="360" w:line="240" w:lineRule="auto"/>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The empirical form of the equation is given as:</w:t>
      </w:r>
    </w:p>
    <w:p w:rsidR="002E7A4D" w:rsidRDefault="00DE5800">
      <w:pPr>
        <w:spacing w:line="240" w:lineRule="auto"/>
        <w:rPr>
          <w:rFonts w:ascii="Times New Roman" w:eastAsia="Calibri" w:hAnsi="Times New Roman" w:cs="Times New Roman"/>
          <w:kern w:val="0"/>
          <w:sz w:val="24"/>
          <w:szCs w:val="24"/>
          <w:lang w:val="en-US"/>
          <w14:ligatures w14:val="none"/>
        </w:rPr>
      </w:pPr>
      <m:oMath>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GRGDP</m:t>
            </m:r>
          </m:e>
          <m:sub>
            <m:r>
              <m:rPr>
                <m:sty m:val="p"/>
              </m:rPr>
              <w:rPr>
                <w:rFonts w:ascii="Cambria Math" w:eastAsia="Calibri" w:hAnsi="Cambria Math" w:cs="Times New Roman"/>
                <w:kern w:val="0"/>
                <w:sz w:val="24"/>
                <w:szCs w:val="24"/>
                <w:lang w:val="en-US"/>
                <w14:ligatures w14:val="none"/>
              </w:rPr>
              <m:t>t</m:t>
            </m:r>
          </m:sub>
        </m:sSub>
      </m:oMath>
      <w:r>
        <w:rPr>
          <w:rFonts w:ascii="Times New Roman" w:eastAsia="Calibri" w:hAnsi="Times New Roman" w:cs="Times New Roman"/>
          <w:bCs/>
          <w:kern w:val="0"/>
          <w:sz w:val="24"/>
          <w:szCs w:val="24"/>
          <w:lang w:val="en-US"/>
          <w14:ligatures w14:val="none"/>
        </w:rPr>
        <w:t xml:space="preserve">= </w:t>
      </w:r>
      <m:oMath>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φ</m:t>
            </m:r>
          </m:e>
          <m:sub>
            <m:r>
              <m:rPr>
                <m:sty m:val="p"/>
              </m:rPr>
              <w:rPr>
                <w:rFonts w:ascii="Cambria Math" w:eastAsia="Calibri" w:hAnsi="Cambria Math" w:cs="Times New Roman"/>
                <w:kern w:val="0"/>
                <w:sz w:val="24"/>
                <w:szCs w:val="24"/>
                <w:lang w:val="en-US"/>
                <w14:ligatures w14:val="none"/>
              </w:rPr>
              <m:t>0i</m:t>
            </m:r>
          </m:sub>
        </m:sSub>
      </m:oMath>
      <w:r>
        <w:rPr>
          <w:rFonts w:ascii="Times New Roman" w:eastAsia="Calibri" w:hAnsi="Times New Roman" w:cs="Times New Roman"/>
          <w:bCs/>
          <w:kern w:val="0"/>
          <w:sz w:val="24"/>
          <w:szCs w:val="24"/>
          <w:lang w:val="en-US"/>
          <w14:ligatures w14:val="none"/>
        </w:rPr>
        <w:t xml:space="preserve"> + </w:t>
      </w:r>
      <m:oMath>
        <m:nary>
          <m:naryPr>
            <m:chr m:val="∑"/>
            <m:limLoc m:val="subSup"/>
            <m:ctrlPr>
              <w:rPr>
                <w:rFonts w:ascii="Cambria Math" w:eastAsia="Calibri" w:hAnsi="Cambria Math" w:cs="Times New Roman"/>
                <w:bCs/>
                <w:kern w:val="0"/>
                <w:sz w:val="24"/>
                <w:szCs w:val="24"/>
                <w:lang w:val="en-US"/>
                <w14:ligatures w14:val="none"/>
              </w:rPr>
            </m:ctrlPr>
          </m:naryPr>
          <m:sub>
            <m:r>
              <m:rPr>
                <m:sty m:val="p"/>
              </m:rPr>
              <w:rPr>
                <w:rFonts w:ascii="Cambria Math" w:eastAsia="Calibri" w:hAnsi="Cambria Math" w:cs="Times New Roman"/>
                <w:kern w:val="0"/>
                <w:sz w:val="24"/>
                <w:szCs w:val="24"/>
                <w:lang w:val="en-US"/>
                <w14:ligatures w14:val="none"/>
              </w:rPr>
              <m:t>i</m:t>
            </m:r>
          </m:sub>
          <m:sup>
            <m:r>
              <m:rPr>
                <m:sty m:val="p"/>
              </m:rPr>
              <w:rPr>
                <w:rFonts w:ascii="Cambria Math" w:eastAsia="Calibri" w:hAnsi="Cambria Math" w:cs="Times New Roman"/>
                <w:kern w:val="0"/>
                <w:sz w:val="24"/>
                <w:szCs w:val="24"/>
                <w:lang w:val="en-US"/>
                <w14:ligatures w14:val="none"/>
              </w:rPr>
              <m:t>a</m:t>
            </m:r>
          </m:sup>
          <m:e>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δ</m:t>
                </m:r>
              </m:e>
              <m:sub>
                <m:r>
                  <m:rPr>
                    <m:sty m:val="p"/>
                  </m:rPr>
                  <w:rPr>
                    <w:rFonts w:ascii="Cambria Math" w:eastAsia="Calibri" w:hAnsi="Cambria Math" w:cs="Times New Roman"/>
                    <w:kern w:val="0"/>
                    <w:sz w:val="24"/>
                    <w:szCs w:val="24"/>
                    <w:lang w:val="en-US"/>
                    <w14:ligatures w14:val="none"/>
                  </w:rPr>
                  <m:t>i</m:t>
                </m:r>
              </m:sub>
            </m:sSub>
          </m:e>
        </m:nary>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GRBC</m:t>
            </m:r>
          </m:e>
          <m:sub>
            <m:r>
              <m:rPr>
                <m:sty m:val="p"/>
              </m:rPr>
              <w:rPr>
                <w:rFonts w:ascii="Cambria Math" w:eastAsia="Calibri" w:hAnsi="Cambria Math" w:cs="Times New Roman"/>
                <w:kern w:val="0"/>
                <w:sz w:val="24"/>
                <w:szCs w:val="24"/>
                <w:lang w:val="en-US"/>
                <w14:ligatures w14:val="none"/>
              </w:rPr>
              <m:t>t-1</m:t>
            </m:r>
          </m:sub>
        </m:sSub>
      </m:oMath>
      <w:r>
        <w:rPr>
          <w:rFonts w:ascii="Times New Roman" w:eastAsia="Calibri" w:hAnsi="Times New Roman" w:cs="Times New Roman"/>
          <w:bCs/>
          <w:kern w:val="0"/>
          <w:sz w:val="24"/>
          <w:szCs w:val="24"/>
          <w:lang w:val="en-US"/>
          <w14:ligatures w14:val="none"/>
        </w:rPr>
        <w:t xml:space="preserve"> + </w:t>
      </w:r>
      <m:oMath>
        <m:nary>
          <m:naryPr>
            <m:chr m:val="∑"/>
            <m:limLoc m:val="subSup"/>
            <m:ctrlPr>
              <w:rPr>
                <w:rFonts w:ascii="Cambria Math" w:eastAsia="Calibri" w:hAnsi="Cambria Math" w:cs="Times New Roman"/>
                <w:bCs/>
                <w:kern w:val="0"/>
                <w:sz w:val="24"/>
                <w:szCs w:val="24"/>
                <w:lang w:val="en-US"/>
                <w14:ligatures w14:val="none"/>
              </w:rPr>
            </m:ctrlPr>
          </m:naryPr>
          <m:sub>
            <m:r>
              <m:rPr>
                <m:sty m:val="p"/>
              </m:rPr>
              <w:rPr>
                <w:rFonts w:ascii="Cambria Math" w:eastAsia="Calibri" w:hAnsi="Cambria Math" w:cs="Times New Roman"/>
                <w:kern w:val="0"/>
                <w:sz w:val="24"/>
                <w:szCs w:val="24"/>
                <w:lang w:val="en-US"/>
                <w14:ligatures w14:val="none"/>
              </w:rPr>
              <m:t>i</m:t>
            </m:r>
          </m:sub>
          <m:sup>
            <m:r>
              <m:rPr>
                <m:sty m:val="p"/>
              </m:rPr>
              <w:rPr>
                <w:rFonts w:ascii="Cambria Math" w:eastAsia="Calibri" w:hAnsi="Cambria Math" w:cs="Times New Roman"/>
                <w:kern w:val="0"/>
                <w:sz w:val="24"/>
                <w:szCs w:val="24"/>
                <w:lang w:val="en-US"/>
                <w14:ligatures w14:val="none"/>
              </w:rPr>
              <m:t>b</m:t>
            </m:r>
          </m:sup>
          <m:e>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β</m:t>
                </m:r>
              </m:e>
              <m:sub>
                <m:r>
                  <m:rPr>
                    <m:sty m:val="p"/>
                  </m:rPr>
                  <w:rPr>
                    <w:rFonts w:ascii="Cambria Math" w:eastAsia="Calibri" w:hAnsi="Cambria Math" w:cs="Times New Roman"/>
                    <w:kern w:val="0"/>
                    <w:sz w:val="24"/>
                    <w:szCs w:val="24"/>
                    <w:lang w:val="en-US"/>
                    <w14:ligatures w14:val="none"/>
                  </w:rPr>
                  <m:t>i</m:t>
                </m:r>
              </m:sub>
            </m:sSub>
          </m:e>
        </m:nary>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GRATCR</m:t>
            </m:r>
          </m:e>
          <m:sub>
            <m:r>
              <m:rPr>
                <m:sty m:val="p"/>
              </m:rPr>
              <w:rPr>
                <w:rFonts w:ascii="Cambria Math" w:eastAsia="Calibri" w:hAnsi="Cambria Math" w:cs="Times New Roman"/>
                <w:kern w:val="0"/>
                <w:sz w:val="24"/>
                <w:szCs w:val="24"/>
                <w:lang w:val="en-US"/>
                <w14:ligatures w14:val="none"/>
              </w:rPr>
              <m:t>t-1</m:t>
            </m:r>
          </m:sub>
        </m:sSub>
      </m:oMath>
      <w:r>
        <w:rPr>
          <w:rFonts w:ascii="Times New Roman" w:eastAsia="Calibri" w:hAnsi="Times New Roman" w:cs="Times New Roman"/>
          <w:bCs/>
          <w:kern w:val="0"/>
          <w:sz w:val="24"/>
          <w:szCs w:val="24"/>
          <w:lang w:val="en-US"/>
          <w14:ligatures w14:val="none"/>
        </w:rPr>
        <w:t xml:space="preserve"> + </w:t>
      </w:r>
      <m:oMath>
        <m:nary>
          <m:naryPr>
            <m:chr m:val="∑"/>
            <m:limLoc m:val="subSup"/>
            <m:ctrlPr>
              <w:rPr>
                <w:rFonts w:ascii="Cambria Math" w:eastAsia="Calibri" w:hAnsi="Cambria Math" w:cs="Times New Roman"/>
                <w:bCs/>
                <w:kern w:val="0"/>
                <w:sz w:val="24"/>
                <w:szCs w:val="24"/>
                <w:lang w:val="en-US"/>
                <w14:ligatures w14:val="none"/>
              </w:rPr>
            </m:ctrlPr>
          </m:naryPr>
          <m:sub>
            <m:r>
              <m:rPr>
                <m:sty m:val="p"/>
              </m:rPr>
              <w:rPr>
                <w:rFonts w:ascii="Cambria Math" w:eastAsia="Calibri" w:hAnsi="Cambria Math" w:cs="Times New Roman"/>
                <w:kern w:val="0"/>
                <w:sz w:val="24"/>
                <w:szCs w:val="24"/>
                <w:lang w:val="en-US"/>
                <w14:ligatures w14:val="none"/>
              </w:rPr>
              <m:t>i</m:t>
            </m:r>
          </m:sub>
          <m:sup>
            <m:r>
              <m:rPr>
                <m:sty m:val="p"/>
              </m:rPr>
              <w:rPr>
                <w:rFonts w:ascii="Cambria Math" w:eastAsia="Calibri" w:hAnsi="Cambria Math" w:cs="Times New Roman"/>
                <w:kern w:val="0"/>
                <w:sz w:val="24"/>
                <w:szCs w:val="24"/>
                <w:lang w:val="en-US"/>
                <w14:ligatures w14:val="none"/>
              </w:rPr>
              <m:t>b</m:t>
            </m:r>
          </m:sup>
          <m:e>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β</m:t>
                </m:r>
              </m:e>
              <m:sub>
                <m:r>
                  <m:rPr>
                    <m:sty m:val="p"/>
                  </m:rPr>
                  <w:rPr>
                    <w:rFonts w:ascii="Cambria Math" w:eastAsia="Calibri" w:hAnsi="Cambria Math" w:cs="Times New Roman"/>
                    <w:kern w:val="0"/>
                    <w:sz w:val="24"/>
                    <w:szCs w:val="24"/>
                    <w:lang w:val="en-US"/>
                    <w14:ligatures w14:val="none"/>
                  </w:rPr>
                  <m:t>i</m:t>
                </m:r>
              </m:sub>
            </m:sSub>
          </m:e>
        </m:nary>
        <m:r>
          <m:rPr>
            <m:sty m:val="p"/>
          </m:rPr>
          <w:rPr>
            <w:rFonts w:ascii="Cambria Math" w:eastAsia="Calibri" w:hAnsi="Cambria Math" w:cs="Times New Roman"/>
            <w:kern w:val="0"/>
            <w:sz w:val="24"/>
            <w:szCs w:val="24"/>
            <w:lang w:val="en-US"/>
            <w14:ligatures w14:val="none"/>
          </w:rPr>
          <m:t>GRCBMF</m:t>
        </m:r>
      </m:oMath>
      <w:r>
        <w:rPr>
          <w:rFonts w:ascii="Times New Roman" w:eastAsia="Calibri" w:hAnsi="Times New Roman" w:cs="Times New Roman"/>
          <w:bCs/>
          <w:kern w:val="0"/>
          <w:sz w:val="24"/>
          <w:szCs w:val="24"/>
          <w:lang w:val="en-US"/>
          <w14:ligatures w14:val="none"/>
        </w:rPr>
        <w:t xml:space="preserve"> + </w:t>
      </w:r>
      <m:oMath>
        <m:nary>
          <m:naryPr>
            <m:chr m:val="∑"/>
            <m:limLoc m:val="subSup"/>
            <m:ctrlPr>
              <w:rPr>
                <w:rFonts w:ascii="Cambria Math" w:eastAsia="Calibri" w:hAnsi="Cambria Math" w:cs="Times New Roman"/>
                <w:bCs/>
                <w:kern w:val="0"/>
                <w:sz w:val="24"/>
                <w:szCs w:val="24"/>
                <w:lang w:val="en-US"/>
                <w14:ligatures w14:val="none"/>
              </w:rPr>
            </m:ctrlPr>
          </m:naryPr>
          <m:sub>
            <m:r>
              <m:rPr>
                <m:sty m:val="p"/>
              </m:rPr>
              <w:rPr>
                <w:rFonts w:ascii="Cambria Math" w:eastAsia="Calibri" w:hAnsi="Cambria Math" w:cs="Times New Roman"/>
                <w:kern w:val="0"/>
                <w:sz w:val="24"/>
                <w:szCs w:val="24"/>
                <w:lang w:val="en-US"/>
                <w14:ligatures w14:val="none"/>
              </w:rPr>
              <m:t>i</m:t>
            </m:r>
          </m:sub>
          <m:sup>
            <m:r>
              <m:rPr>
                <m:sty m:val="p"/>
              </m:rPr>
              <w:rPr>
                <w:rFonts w:ascii="Cambria Math" w:eastAsia="Calibri" w:hAnsi="Cambria Math" w:cs="Times New Roman"/>
                <w:kern w:val="0"/>
                <w:sz w:val="24"/>
                <w:szCs w:val="24"/>
                <w:lang w:val="en-US"/>
                <w14:ligatures w14:val="none"/>
              </w:rPr>
              <m:t>b</m:t>
            </m:r>
          </m:sup>
          <m:e>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β</m:t>
                </m:r>
              </m:e>
              <m:sub>
                <m:r>
                  <m:rPr>
                    <m:sty m:val="p"/>
                  </m:rPr>
                  <w:rPr>
                    <w:rFonts w:ascii="Cambria Math" w:eastAsia="Calibri" w:hAnsi="Cambria Math" w:cs="Times New Roman"/>
                    <w:kern w:val="0"/>
                    <w:sz w:val="24"/>
                    <w:szCs w:val="24"/>
                    <w:lang w:val="en-US"/>
                    <w14:ligatures w14:val="none"/>
                  </w:rPr>
                  <m:t>i</m:t>
                </m:r>
              </m:sub>
            </m:sSub>
          </m:e>
        </m:nary>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MPR</m:t>
            </m:r>
          </m:e>
          <m:sub>
            <m:r>
              <m:rPr>
                <m:sty m:val="p"/>
              </m:rPr>
              <w:rPr>
                <w:rFonts w:ascii="Cambria Math" w:eastAsia="Calibri" w:hAnsi="Cambria Math" w:cs="Times New Roman"/>
                <w:kern w:val="0"/>
                <w:sz w:val="24"/>
                <w:szCs w:val="24"/>
                <w:lang w:val="en-US"/>
                <w14:ligatures w14:val="none"/>
              </w:rPr>
              <m:t>t-1</m:t>
            </m:r>
          </m:sub>
        </m:sSub>
      </m:oMath>
      <w:r>
        <w:rPr>
          <w:rFonts w:ascii="Times New Roman" w:eastAsia="Calibri" w:hAnsi="Times New Roman" w:cs="Times New Roman"/>
          <w:bCs/>
          <w:kern w:val="0"/>
          <w:sz w:val="24"/>
          <w:szCs w:val="24"/>
          <w:lang w:val="en-US"/>
          <w14:ligatures w14:val="none"/>
        </w:rPr>
        <w:t xml:space="preserve">  + </w:t>
      </w:r>
      <m:oMath>
        <m:sSub>
          <m:sSubPr>
            <m:ctrlPr>
              <w:rPr>
                <w:rFonts w:ascii="Cambria Math" w:eastAsia="Calibri" w:hAnsi="Cambria Math" w:cs="Times New Roman"/>
                <w:bCs/>
                <w:kern w:val="0"/>
                <w:sz w:val="24"/>
                <w:szCs w:val="24"/>
                <w:lang w:val="en-US"/>
                <w14:ligatures w14:val="none"/>
              </w:rPr>
            </m:ctrlPr>
          </m:sSubPr>
          <m:e>
            <m:r>
              <m:rPr>
                <m:sty m:val="p"/>
              </m:rPr>
              <w:rPr>
                <w:rFonts w:ascii="Cambria Math" w:eastAsia="Calibri" w:hAnsi="Cambria Math" w:cs="Times New Roman"/>
                <w:kern w:val="0"/>
                <w:sz w:val="24"/>
                <w:szCs w:val="24"/>
                <w:lang w:val="en-US"/>
                <w14:ligatures w14:val="none"/>
              </w:rPr>
              <m:t>ε</m:t>
            </m:r>
          </m:e>
          <m:sub>
            <m:r>
              <m:rPr>
                <m:sty m:val="p"/>
              </m:rPr>
              <w:rPr>
                <w:rFonts w:ascii="Cambria Math" w:eastAsia="Calibri" w:hAnsi="Cambria Math" w:cs="Times New Roman"/>
                <w:kern w:val="0"/>
                <w:sz w:val="24"/>
                <w:szCs w:val="24"/>
                <w:lang w:val="en-US"/>
                <w14:ligatures w14:val="none"/>
              </w:rPr>
              <m:t>it</m:t>
            </m:r>
          </m:sub>
        </m:sSub>
      </m:oMath>
      <w:r>
        <w:rPr>
          <w:rFonts w:ascii="Times New Roman" w:eastAsia="Calibri" w:hAnsi="Times New Roman" w:cs="Times New Roman"/>
          <w:bCs/>
          <w:kern w:val="0"/>
          <w:sz w:val="24"/>
          <w:szCs w:val="24"/>
          <w:lang w:val="en-US"/>
          <w14:ligatures w14:val="none"/>
        </w:rPr>
        <w:t>-</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β₁ &gt; 0: Bank customer growth promotes financial deepening.</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β₂ &gt; 0: Access to credit stimulates investment and output growth.</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β₃ &gt; 0: Expansion of banking institutions enhances financial inclusion.</w:t>
      </w:r>
    </w:p>
    <w:p w:rsidR="002E7A4D" w:rsidRDefault="00DE580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β₄ &lt; 0: Higher monetary policy rates may constrain investment and growth</w:t>
      </w:r>
    </w:p>
    <w:p w:rsidR="002E7A4D" w:rsidRDefault="00DE5800">
      <w:pPr>
        <w:spacing w:before="100" w:beforeAutospacing="1" w:after="100" w:afterAutospacing="1" w:line="240" w:lineRule="auto"/>
        <w:jc w:val="both"/>
        <w:outlineLvl w:val="2"/>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Justification for ARDL Approach</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Autoregressive Distributed Lag (ARDL) model is suitable for this study because variables exhibit a mixed order of integration, I(0) and I(1), as confirmed by unit root tests. Unlike Johansen or Engle-Granger cointegration methods, ARDL does not require all variables to be integrated at the same order. The ARDL approach also estimates short-run dynamics and long-run equilibrium relationships simultaneously, making it ideal for policy-relevant analysis in economies with volatile inflation and currency fluctuations.</w:t>
      </w:r>
    </w:p>
    <w:p w:rsidR="002E7A4D" w:rsidRDefault="00DE5800">
      <w:pPr>
        <w:keepNext/>
        <w:keepLines/>
        <w:spacing w:before="40" w:after="0" w:line="240" w:lineRule="auto"/>
        <w:outlineLvl w:val="1"/>
        <w:rPr>
          <w:rFonts w:ascii="Times New Roman" w:eastAsia="Times New Roman" w:hAnsi="Times New Roman" w:cs="Times New Roman"/>
          <w:bCs/>
          <w:kern w:val="0"/>
          <w:sz w:val="24"/>
          <w:szCs w:val="24"/>
          <w:lang w:val="en-US"/>
          <w14:ligatures w14:val="none"/>
        </w:rPr>
      </w:pPr>
      <w:bookmarkStart w:id="7" w:name="_Toc212541758"/>
      <w:bookmarkStart w:id="8" w:name="_Hlk164779324"/>
      <w:r>
        <w:rPr>
          <w:rFonts w:ascii="Times New Roman" w:eastAsia="Times New Roman" w:hAnsi="Times New Roman" w:cs="Times New Roman"/>
          <w:bCs/>
          <w:kern w:val="0"/>
          <w:sz w:val="24"/>
          <w:szCs w:val="24"/>
          <w:lang w:val="en-GB"/>
          <w14:ligatures w14:val="none"/>
        </w:rPr>
        <w:t>Nature and Sources of Data</w:t>
      </w:r>
      <w:bookmarkEnd w:id="7"/>
    </w:p>
    <w:p w:rsidR="002E7A4D" w:rsidRDefault="00DE5800">
      <w:pPr>
        <w:spacing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This study rel</w:t>
      </w:r>
      <w:r>
        <w:rPr>
          <w:rFonts w:ascii="Times New Roman" w:eastAsia="Times New Roman" w:hAnsi="Times New Roman" w:cs="Times New Roman"/>
          <w:kern w:val="0"/>
          <w:sz w:val="24"/>
          <w:szCs w:val="24"/>
          <w:lang w:val="en-GB"/>
          <w14:ligatures w14:val="none"/>
        </w:rPr>
        <w:t>ies</w:t>
      </w:r>
      <w:r>
        <w:rPr>
          <w:rFonts w:ascii="Times New Roman" w:eastAsia="Times New Roman" w:hAnsi="Times New Roman" w:cs="Times New Roman"/>
          <w:kern w:val="0"/>
          <w:sz w:val="24"/>
          <w:szCs w:val="24"/>
          <w:lang w:val="en-US"/>
          <w14:ligatures w14:val="none"/>
        </w:rPr>
        <w:t xml:space="preserve"> on secondary time series data, to empirically investigate the effect </w:t>
      </w:r>
      <w:r>
        <w:rPr>
          <w:rFonts w:ascii="Times New Roman" w:eastAsia="Times New Roman" w:hAnsi="Times New Roman" w:cs="Times New Roman"/>
          <w:kern w:val="0"/>
          <w:sz w:val="24"/>
          <w:szCs w:val="24"/>
          <w:lang w:val="en-GB"/>
          <w14:ligatures w14:val="none"/>
        </w:rPr>
        <w:t>financial inclusion and economic growth in</w:t>
      </w:r>
      <w:r>
        <w:rPr>
          <w:rFonts w:ascii="Times New Roman" w:eastAsia="Times New Roman" w:hAnsi="Times New Roman" w:cs="Times New Roman"/>
          <w:kern w:val="0"/>
          <w:sz w:val="24"/>
          <w:szCs w:val="24"/>
          <w:lang w:val="en-US"/>
          <w14:ligatures w14:val="none"/>
        </w:rPr>
        <w:t xml:space="preserve"> Nigeria, based on data covering the period 19</w:t>
      </w:r>
      <w:r>
        <w:rPr>
          <w:rFonts w:ascii="Times New Roman" w:eastAsia="Times New Roman" w:hAnsi="Times New Roman" w:cs="Times New Roman"/>
          <w:kern w:val="0"/>
          <w:sz w:val="24"/>
          <w:szCs w:val="24"/>
          <w:lang w:val="en-GB"/>
          <w14:ligatures w14:val="none"/>
        </w:rPr>
        <w:t>85</w:t>
      </w:r>
      <w:r>
        <w:rPr>
          <w:rFonts w:ascii="Times New Roman" w:eastAsia="Times New Roman" w:hAnsi="Times New Roman" w:cs="Times New Roman"/>
          <w:kern w:val="0"/>
          <w:sz w:val="24"/>
          <w:szCs w:val="24"/>
          <w:lang w:val="en-US"/>
          <w14:ligatures w14:val="none"/>
        </w:rPr>
        <w:t xml:space="preserve"> to 202</w:t>
      </w:r>
      <w:r>
        <w:rPr>
          <w:rFonts w:ascii="Times New Roman" w:eastAsia="Times New Roman" w:hAnsi="Times New Roman" w:cs="Times New Roman"/>
          <w:kern w:val="0"/>
          <w:sz w:val="24"/>
          <w:szCs w:val="24"/>
          <w:lang w:val="en-GB"/>
          <w14:ligatures w14:val="none"/>
        </w:rPr>
        <w:t>4</w:t>
      </w:r>
      <w:r>
        <w:rPr>
          <w:rFonts w:ascii="Times New Roman" w:eastAsia="Times New Roman" w:hAnsi="Times New Roman" w:cs="Times New Roman"/>
          <w:kern w:val="0"/>
          <w:sz w:val="24"/>
          <w:szCs w:val="24"/>
          <w:lang w:val="en-US"/>
          <w14:ligatures w14:val="none"/>
        </w:rPr>
        <w:t xml:space="preserve"> which includes data on </w:t>
      </w:r>
      <w:r>
        <w:rPr>
          <w:rFonts w:ascii="Times New Roman" w:eastAsia="Times New Roman" w:hAnsi="Times New Roman" w:cs="Times New Roman"/>
          <w:kern w:val="0"/>
          <w:sz w:val="24"/>
          <w:szCs w:val="24"/>
          <w:lang w:val="en-GB"/>
          <w14:ligatures w14:val="none"/>
        </w:rPr>
        <w:t>gross domestic product</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GB"/>
          <w14:ligatures w14:val="none"/>
        </w:rPr>
        <w:t>bank customers</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GB"/>
          <w14:ligatures w14:val="none"/>
        </w:rPr>
        <w:t>number of commercial and microfinace banks</w:t>
      </w:r>
      <w:r>
        <w:rPr>
          <w:rFonts w:ascii="Times New Roman" w:eastAsia="Times New Roman" w:hAnsi="Times New Roman" w:cs="Times New Roman"/>
          <w:kern w:val="0"/>
          <w:sz w:val="24"/>
          <w:szCs w:val="24"/>
          <w:lang w:val="en-US"/>
          <w14:ligatures w14:val="none"/>
        </w:rPr>
        <w:t xml:space="preserve"> and </w:t>
      </w:r>
      <w:r>
        <w:rPr>
          <w:rFonts w:ascii="Times New Roman" w:eastAsia="Times New Roman" w:hAnsi="Times New Roman" w:cs="Times New Roman"/>
          <w:kern w:val="0"/>
          <w:sz w:val="24"/>
          <w:szCs w:val="24"/>
          <w:lang w:val="en-GB"/>
          <w14:ligatures w14:val="none"/>
        </w:rPr>
        <w:t>monetary policy rate</w:t>
      </w:r>
      <w:r>
        <w:rPr>
          <w:rFonts w:ascii="Times New Roman" w:eastAsia="Times New Roman" w:hAnsi="Times New Roman" w:cs="Times New Roman"/>
          <w:kern w:val="0"/>
          <w:sz w:val="24"/>
          <w:szCs w:val="24"/>
          <w:lang w:val="en-US"/>
          <w14:ligatures w14:val="none"/>
        </w:rPr>
        <w:t xml:space="preserve">. </w:t>
      </w:r>
    </w:p>
    <w:p w:rsidR="002E7A4D" w:rsidRDefault="00DE5800">
      <w:pPr>
        <w:keepNext/>
        <w:keepLines/>
        <w:spacing w:before="40" w:after="0" w:line="240" w:lineRule="auto"/>
        <w:outlineLvl w:val="1"/>
        <w:rPr>
          <w:rFonts w:ascii="Times New Roman" w:eastAsia="Times New Roman" w:hAnsi="Times New Roman" w:cs="Times New Roman"/>
          <w:bCs/>
          <w:kern w:val="0"/>
          <w:sz w:val="24"/>
          <w:szCs w:val="24"/>
          <w:lang w:val="en-US"/>
          <w14:ligatures w14:val="none"/>
        </w:rPr>
      </w:pPr>
      <w:bookmarkStart w:id="9" w:name="_Toc212541760"/>
      <w:bookmarkEnd w:id="8"/>
      <w:r>
        <w:rPr>
          <w:rFonts w:ascii="Times New Roman" w:eastAsia="Times New Roman" w:hAnsi="Times New Roman" w:cs="Times New Roman"/>
          <w:bCs/>
          <w:kern w:val="0"/>
          <w:sz w:val="24"/>
          <w:szCs w:val="24"/>
          <w:lang w:val="en-GB"/>
          <w14:ligatures w14:val="none"/>
        </w:rPr>
        <w:t>Estimation Techniques</w:t>
      </w:r>
      <w:bookmarkEnd w:id="9"/>
    </w:p>
    <w:p w:rsidR="002E7A4D" w:rsidRDefault="00DE5800">
      <w:pPr>
        <w:spacing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This study  </w:t>
      </w:r>
      <w:r>
        <w:rPr>
          <w:rFonts w:ascii="Times New Roman" w:eastAsia="Times New Roman" w:hAnsi="Times New Roman" w:cs="Times New Roman"/>
          <w:kern w:val="0"/>
          <w:sz w:val="24"/>
          <w:szCs w:val="24"/>
          <w:lang w:val="en-GB"/>
          <w14:ligatures w14:val="none"/>
        </w:rPr>
        <w:t>analysed</w:t>
      </w:r>
      <w:r>
        <w:rPr>
          <w:rFonts w:ascii="Times New Roman" w:eastAsia="Times New Roman" w:hAnsi="Times New Roman" w:cs="Times New Roman"/>
          <w:kern w:val="0"/>
          <w:sz w:val="24"/>
          <w:szCs w:val="24"/>
          <w:lang w:val="en-US"/>
          <w14:ligatures w14:val="none"/>
        </w:rPr>
        <w:t xml:space="preserve"> the </w:t>
      </w:r>
      <w:r>
        <w:rPr>
          <w:rFonts w:ascii="Times New Roman" w:eastAsia="Times New Roman" w:hAnsi="Times New Roman" w:cs="Times New Roman"/>
          <w:kern w:val="0"/>
          <w:sz w:val="24"/>
          <w:szCs w:val="24"/>
          <w:lang w:val="en-GB"/>
          <w14:ligatures w14:val="none"/>
        </w:rPr>
        <w:t xml:space="preserve">impact of financial inclusion on economic growth </w:t>
      </w:r>
      <w:r>
        <w:rPr>
          <w:rFonts w:ascii="Times New Roman" w:eastAsia="Times New Roman" w:hAnsi="Times New Roman" w:cs="Times New Roman"/>
          <w:kern w:val="0"/>
          <w:sz w:val="24"/>
          <w:szCs w:val="24"/>
          <w:lang w:val="en-US"/>
          <w14:ligatures w14:val="none"/>
        </w:rPr>
        <w:t xml:space="preserve"> in Nigeria economy. The Autoregressive Distributed Lag Model (ARDL) is used. The choice of the ARDL for the study is guided by the fact that its computational procedure is simple and the estimates obtained from this procedure have optimal properties. </w:t>
      </w:r>
      <w:bookmarkEnd w:id="6"/>
    </w:p>
    <w:p w:rsidR="002E7A4D" w:rsidRDefault="002E7A4D">
      <w:pPr>
        <w:spacing w:line="240" w:lineRule="auto"/>
        <w:rPr>
          <w:rFonts w:ascii="Times New Roman" w:eastAsia="Times New Roman" w:hAnsi="Times New Roman" w:cs="Times New Roman"/>
          <w:kern w:val="0"/>
          <w:sz w:val="24"/>
          <w:szCs w:val="24"/>
          <w:lang w:val="en-US"/>
          <w14:ligatures w14:val="none"/>
        </w:rPr>
      </w:pPr>
    </w:p>
    <w:p w:rsidR="002E7A4D" w:rsidRDefault="00DE5800">
      <w:pPr>
        <w:spacing w:line="240" w:lineRule="auto"/>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b/>
          <w:bCs/>
          <w:kern w:val="0"/>
          <w:sz w:val="24"/>
          <w:szCs w:val="24"/>
          <w:lang w:val="en-US"/>
          <w14:ligatures w14:val="none"/>
        </w:rPr>
        <w:t>Discussion and Findings</w:t>
      </w:r>
    </w:p>
    <w:p w:rsidR="002E7A4D" w:rsidRDefault="00DE580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4.1 Descriptive Statistics of Variables Used in the Study</w:t>
      </w:r>
    </w:p>
    <w:tbl>
      <w:tblPr>
        <w:tblStyle w:val="TableGrid"/>
        <w:tblW w:w="9037" w:type="dxa"/>
        <w:tblInd w:w="-113" w:type="dxa"/>
        <w:tblLook w:val="04A0" w:firstRow="1" w:lastRow="0" w:firstColumn="1" w:lastColumn="0" w:noHBand="0" w:noVBand="1"/>
      </w:tblPr>
      <w:tblGrid>
        <w:gridCol w:w="1654"/>
        <w:gridCol w:w="2032"/>
        <w:gridCol w:w="1539"/>
        <w:gridCol w:w="1354"/>
        <w:gridCol w:w="1269"/>
        <w:gridCol w:w="1189"/>
      </w:tblGrid>
      <w:tr w:rsidR="002E7A4D">
        <w:trPr>
          <w:trHeight w:val="90"/>
        </w:trPr>
        <w:tc>
          <w:tcPr>
            <w:tcW w:w="0" w:type="auto"/>
            <w:tcBorders>
              <w:top w:val="single" w:sz="4" w:space="0" w:color="auto"/>
              <w:left w:val="single" w:sz="4" w:space="0" w:color="auto"/>
              <w:bottom w:val="single" w:sz="4" w:space="0" w:color="auto"/>
              <w:right w:val="single" w:sz="4" w:space="0" w:color="auto"/>
            </w:tcBorders>
          </w:tcPr>
          <w:p w:rsidR="002E7A4D" w:rsidRDefault="00DE5800">
            <w:pPr>
              <w:spacing w:before="100" w:beforeAutospacing="1" w:after="100" w:afterAutospacing="1" w:line="240" w:lineRule="auto"/>
              <w:jc w:val="center"/>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b/>
                <w:bCs/>
                <w:kern w:val="0"/>
                <w:sz w:val="24"/>
                <w:szCs w:val="24"/>
                <w:lang w:val="en-US"/>
                <w14:ligatures w14:val="none"/>
              </w:rPr>
              <w:t>Statistic</w:t>
            </w:r>
          </w:p>
        </w:tc>
        <w:tc>
          <w:tcPr>
            <w:tcW w:w="0" w:type="auto"/>
            <w:tcBorders>
              <w:top w:val="single" w:sz="4" w:space="0" w:color="auto"/>
              <w:left w:val="single" w:sz="4" w:space="0" w:color="auto"/>
              <w:bottom w:val="single" w:sz="4" w:space="0" w:color="auto"/>
              <w:right w:val="single" w:sz="4" w:space="0" w:color="auto"/>
            </w:tcBorders>
          </w:tcPr>
          <w:p w:rsidR="002E7A4D" w:rsidRDefault="00DE5800">
            <w:pPr>
              <w:spacing w:before="100" w:beforeAutospacing="1" w:after="100" w:afterAutospacing="1" w:line="240" w:lineRule="auto"/>
              <w:jc w:val="both"/>
              <w:rPr>
                <w:rFonts w:ascii="Times New Roman" w:eastAsia="Calibri" w:hAnsi="Times New Roman" w:cs="Times New Roman"/>
                <w:b/>
                <w:bCs/>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GRGDP</w:t>
            </w:r>
          </w:p>
        </w:tc>
        <w:tc>
          <w:tcPr>
            <w:tcW w:w="0" w:type="auto"/>
            <w:tcBorders>
              <w:top w:val="single" w:sz="4" w:space="0" w:color="auto"/>
              <w:left w:val="single" w:sz="4" w:space="0" w:color="auto"/>
              <w:bottom w:val="single" w:sz="4" w:space="0" w:color="auto"/>
              <w:right w:val="single" w:sz="4" w:space="0" w:color="auto"/>
            </w:tcBorders>
          </w:tcPr>
          <w:p w:rsidR="002E7A4D" w:rsidRDefault="00DE5800">
            <w:pPr>
              <w:spacing w:before="100" w:beforeAutospacing="1" w:after="100" w:afterAutospacing="1" w:line="240" w:lineRule="auto"/>
              <w:jc w:val="center"/>
              <w:rPr>
                <w:rFonts w:ascii="Times New Roman" w:eastAsia="Calibri" w:hAnsi="Times New Roman" w:cs="Times New Roman"/>
                <w:b/>
                <w:bCs/>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GRBC</w:t>
            </w:r>
          </w:p>
        </w:tc>
        <w:tc>
          <w:tcPr>
            <w:tcW w:w="0" w:type="auto"/>
            <w:tcBorders>
              <w:top w:val="single" w:sz="4" w:space="0" w:color="auto"/>
              <w:left w:val="single" w:sz="4" w:space="0" w:color="auto"/>
              <w:bottom w:val="single" w:sz="4" w:space="0" w:color="auto"/>
              <w:right w:val="single" w:sz="4" w:space="0" w:color="auto"/>
            </w:tcBorders>
          </w:tcPr>
          <w:p w:rsidR="002E7A4D" w:rsidRDefault="00DE5800">
            <w:pPr>
              <w:spacing w:before="100" w:beforeAutospacing="1" w:after="100" w:afterAutospacing="1" w:line="240" w:lineRule="auto"/>
              <w:jc w:val="center"/>
              <w:rPr>
                <w:rFonts w:ascii="Times New Roman" w:eastAsia="Calibri" w:hAnsi="Times New Roman" w:cs="Times New Roman"/>
                <w:b/>
                <w:bCs/>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GRCBMF</w:t>
            </w:r>
          </w:p>
        </w:tc>
        <w:tc>
          <w:tcPr>
            <w:tcW w:w="0" w:type="auto"/>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both"/>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GRATCR</w:t>
            </w:r>
          </w:p>
        </w:tc>
        <w:tc>
          <w:tcPr>
            <w:tcW w:w="0" w:type="auto"/>
            <w:tcBorders>
              <w:top w:val="single" w:sz="4" w:space="0" w:color="auto"/>
              <w:left w:val="single" w:sz="4" w:space="0" w:color="auto"/>
              <w:bottom w:val="single" w:sz="4" w:space="0" w:color="auto"/>
              <w:right w:val="single" w:sz="4" w:space="0" w:color="auto"/>
            </w:tcBorders>
          </w:tcPr>
          <w:p w:rsidR="002E7A4D" w:rsidRDefault="00DE5800">
            <w:pPr>
              <w:spacing w:before="100" w:beforeAutospacing="1" w:after="100" w:afterAutospacing="1" w:line="240" w:lineRule="auto"/>
              <w:jc w:val="center"/>
              <w:rPr>
                <w:rFonts w:ascii="Times New Roman" w:eastAsia="Calibri" w:hAnsi="Times New Roman" w:cs="Times New Roman"/>
                <w:b/>
                <w:bCs/>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MPR</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Mean</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0.04499</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0.132655</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0.098575</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0.057998</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0.140438</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Median</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0.04035</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0.1094</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0.0445</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0.0744</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0.135</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Maximum</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0.1127</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0.5383</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0.966</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0.1458</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0.275</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Minimum</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-0.0179</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0.0484</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-0.397</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-0.6757</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0.06</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Std. Dev.</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0.032671</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0.081913</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0.241728</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0.121465</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0.042313</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Skewness</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0.199991</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3.531233</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1.956432</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-5.69229</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1.089092</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Kurtosis</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2.463518</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17.01987</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8.066633</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35.02839</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5.388456</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Jarque-Bera</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0.746331</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410.7254</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68.30212</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1925.711</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17.41534</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Probability</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0.688551</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0.000165</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Sum</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1.7996</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5.3062</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3.943</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2.3199</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5.6175</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Sum Sq.Dev.</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0.041628</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0.261678</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2.278866</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0.575398</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0.069824</w:t>
            </w:r>
          </w:p>
        </w:tc>
      </w:tr>
      <w:tr w:rsidR="002E7A4D">
        <w:trPr>
          <w:trHeight w:val="90"/>
        </w:trPr>
        <w:tc>
          <w:tcPr>
            <w:tcW w:w="16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 xml:space="preserve"> Observations</w:t>
            </w:r>
          </w:p>
        </w:tc>
        <w:tc>
          <w:tcPr>
            <w:tcW w:w="2032"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40</w:t>
            </w:r>
          </w:p>
        </w:tc>
        <w:tc>
          <w:tcPr>
            <w:tcW w:w="153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40</w:t>
            </w:r>
          </w:p>
        </w:tc>
        <w:tc>
          <w:tcPr>
            <w:tcW w:w="1354"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40</w:t>
            </w:r>
          </w:p>
        </w:tc>
        <w:tc>
          <w:tcPr>
            <w:tcW w:w="126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40</w:t>
            </w:r>
          </w:p>
        </w:tc>
        <w:tc>
          <w:tcPr>
            <w:tcW w:w="1189" w:type="dxa"/>
            <w:tcBorders>
              <w:top w:val="single" w:sz="4" w:space="0" w:color="auto"/>
              <w:left w:val="single" w:sz="4" w:space="0" w:color="auto"/>
              <w:bottom w:val="single" w:sz="4" w:space="0" w:color="auto"/>
              <w:right w:val="single" w:sz="4" w:space="0" w:color="auto"/>
            </w:tcBorders>
            <w:vAlign w:val="bottom"/>
          </w:tcPr>
          <w:p w:rsidR="002E7A4D" w:rsidRDefault="00DE5800">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40</w:t>
            </w:r>
          </w:p>
        </w:tc>
      </w:tr>
    </w:tbl>
    <w:p w:rsidR="002E7A4D" w:rsidRDefault="00DE5800">
      <w:pPr>
        <w:spacing w:before="100" w:beforeAutospacing="1" w:after="100" w:afterAutospacing="1" w:line="240" w:lineRule="auto"/>
        <w:jc w:val="both"/>
        <w:outlineLvl w:val="1"/>
        <w:rPr>
          <w:rFonts w:ascii="Times New Roman" w:eastAsia="Calibri" w:hAnsi="Times New Roman" w:cs="Times New Roman"/>
          <w:kern w:val="0"/>
          <w:sz w:val="24"/>
          <w:szCs w:val="24"/>
          <w:lang w:val="en-US"/>
          <w14:ligatures w14:val="none"/>
        </w:rPr>
      </w:pPr>
      <w:r>
        <w:rPr>
          <w:rFonts w:ascii="Times New Roman" w:eastAsia="Calibri" w:hAnsi="Times New Roman" w:cs="Times New Roman"/>
          <w:b/>
          <w:bCs/>
          <w:kern w:val="0"/>
          <w:sz w:val="24"/>
          <w:szCs w:val="24"/>
          <w:lang w:val="en-US"/>
          <w14:ligatures w14:val="none"/>
        </w:rPr>
        <w:lastRenderedPageBreak/>
        <w:t xml:space="preserve">Source: </w:t>
      </w:r>
      <w:r>
        <w:rPr>
          <w:rFonts w:ascii="Times New Roman" w:eastAsia="Calibri" w:hAnsi="Times New Roman" w:cs="Times New Roman"/>
          <w:kern w:val="0"/>
          <w:sz w:val="24"/>
          <w:szCs w:val="24"/>
          <w:lang w:val="en-US"/>
          <w14:ligatures w14:val="none"/>
        </w:rPr>
        <w:t>Author Computation using Stata 17</w:t>
      </w:r>
    </w:p>
    <w:p w:rsidR="002E7A4D" w:rsidRDefault="00DE5800">
      <w:pPr>
        <w:spacing w:before="100" w:beforeAutospacing="1" w:after="100" w:afterAutospacing="1" w:line="240" w:lineRule="auto"/>
        <w:jc w:val="both"/>
        <w:outlineLvl w:val="1"/>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Table 4.1 presents the summary statistics of the variables used in the study. The Growth Rate of Gross Domestic Product (GRGDP) averaged 4.49%, indicating moderate economic expansion during the period, although the negative minimum value reflects episodes of economic contraction. The distribution appears normal as indicated by the Jarque–Bera probability.</w:t>
      </w:r>
      <w:r>
        <w:rPr>
          <w:rFonts w:ascii="Times New Roman" w:eastAsia="Calibri" w:hAnsi="Times New Roman" w:cs="Times New Roman"/>
          <w:kern w:val="0"/>
          <w:sz w:val="24"/>
          <w:szCs w:val="24"/>
          <w:lang w:val="en-GB"/>
          <w14:ligatures w14:val="none"/>
        </w:rPr>
        <w:t xml:space="preserve"> </w:t>
      </w:r>
    </w:p>
    <w:p w:rsidR="002E7A4D" w:rsidRDefault="00DE5800">
      <w:pPr>
        <w:spacing w:before="100" w:beforeAutospacing="1" w:after="100" w:afterAutospacing="1" w:line="240" w:lineRule="auto"/>
        <w:jc w:val="both"/>
        <w:outlineLvl w:val="1"/>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The Growth Rate of Bank Customers (GRBC) recorded a mean of 13.27%, suggesting steady expansion in financial inclusion through increased banking penetration. However, the high dispersion and strong positive skewness indicate periods of unusually rapid customer growth.</w:t>
      </w:r>
      <w:r>
        <w:rPr>
          <w:rFonts w:ascii="Times New Roman" w:eastAsia="Calibri" w:hAnsi="Times New Roman" w:cs="Times New Roman"/>
          <w:kern w:val="0"/>
          <w:sz w:val="24"/>
          <w:szCs w:val="24"/>
          <w:lang w:val="en-GB"/>
          <w14:ligatures w14:val="none"/>
        </w:rPr>
        <w:t xml:space="preserve"> </w:t>
      </w:r>
      <w:r>
        <w:rPr>
          <w:rFonts w:ascii="Times New Roman" w:eastAsia="Calibri" w:hAnsi="Times New Roman" w:cs="Times New Roman"/>
          <w:kern w:val="0"/>
          <w:sz w:val="24"/>
          <w:szCs w:val="24"/>
          <w:lang w:val="en-US"/>
          <w14:ligatures w14:val="none"/>
        </w:rPr>
        <w:t>Similarly, the Growth Rate of Commercial Banks and Microfinance Banks (GRCBMF) averaged 9.86%, reflecting expansion in financial institutions, though with considerable volatility, including episodes of decline.</w:t>
      </w:r>
    </w:p>
    <w:p w:rsidR="002E7A4D" w:rsidRDefault="00DE5800">
      <w:pPr>
        <w:spacing w:before="100" w:beforeAutospacing="1" w:after="100" w:afterAutospacing="1" w:line="240" w:lineRule="auto"/>
        <w:jc w:val="both"/>
        <w:outlineLvl w:val="1"/>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The Growth Rate of Access to Credit (GRATCR) averaged 5.80%, but exhibited substantial instability, as shown by its wide range and strong negative skewness, suggesting fluctuations in credit availability over time.</w:t>
      </w:r>
      <w:r>
        <w:rPr>
          <w:rFonts w:ascii="Times New Roman" w:eastAsia="Calibri" w:hAnsi="Times New Roman" w:cs="Times New Roman"/>
          <w:kern w:val="0"/>
          <w:sz w:val="24"/>
          <w:szCs w:val="24"/>
          <w:lang w:val="en-GB"/>
          <w14:ligatures w14:val="none"/>
        </w:rPr>
        <w:t xml:space="preserve"> The</w:t>
      </w:r>
      <w:r>
        <w:rPr>
          <w:rFonts w:ascii="Times New Roman" w:eastAsia="Calibri" w:hAnsi="Times New Roman" w:cs="Times New Roman"/>
          <w:kern w:val="0"/>
          <w:sz w:val="24"/>
          <w:szCs w:val="24"/>
          <w:lang w:val="en-US"/>
          <w14:ligatures w14:val="none"/>
        </w:rPr>
        <w:t xml:space="preserve"> Monetary Policy Rate (MPR) averaged 14.04%, indicating a relatively tight monetary policy stance throughout the study period.</w:t>
      </w:r>
    </w:p>
    <w:p w:rsidR="002E7A4D" w:rsidRDefault="00DE5800">
      <w:pPr>
        <w:spacing w:before="100" w:beforeAutospacing="1" w:after="100" w:afterAutospacing="1" w:line="240" w:lineRule="auto"/>
        <w:jc w:val="both"/>
        <w:outlineLvl w:val="1"/>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kern w:val="0"/>
          <w:sz w:val="24"/>
          <w:szCs w:val="24"/>
          <w:lang w:val="en-GB"/>
          <w14:ligatures w14:val="none"/>
        </w:rPr>
        <w:t>Generally</w:t>
      </w:r>
      <w:r>
        <w:rPr>
          <w:rFonts w:ascii="Times New Roman" w:eastAsia="Calibri" w:hAnsi="Times New Roman" w:cs="Times New Roman"/>
          <w:kern w:val="0"/>
          <w:sz w:val="24"/>
          <w:szCs w:val="24"/>
          <w:lang w:val="en-US"/>
          <w14:ligatures w14:val="none"/>
        </w:rPr>
        <w:t>, while economic growth remained relatively stable, financial inclusion indicators displayed significant variability, highlighting structural adjustments within Nigeria’s financial sector during the period under review.</w:t>
      </w:r>
    </w:p>
    <w:p w:rsidR="002E7A4D" w:rsidRDefault="00DE5800">
      <w:pPr>
        <w:keepNext/>
        <w:keepLines/>
        <w:spacing w:before="240" w:after="0" w:line="240" w:lineRule="auto"/>
        <w:outlineLvl w:val="0"/>
        <w:rPr>
          <w:rFonts w:ascii="Times New Roman" w:eastAsia="Times New Roman" w:hAnsi="Times New Roman" w:cs="Times New Roman"/>
          <w:b/>
          <w:kern w:val="0"/>
          <w:sz w:val="24"/>
          <w:szCs w:val="24"/>
          <w:lang w:val="en-GB"/>
          <w14:ligatures w14:val="none"/>
        </w:rPr>
      </w:pPr>
      <w:r>
        <w:rPr>
          <w:rFonts w:ascii="Times New Roman" w:eastAsia="Times New Roman" w:hAnsi="Times New Roman" w:cs="Times New Roman"/>
          <w:b/>
          <w:kern w:val="0"/>
          <w:sz w:val="24"/>
          <w:szCs w:val="24"/>
          <w:lang w:val="en-GB"/>
          <w14:ligatures w14:val="none"/>
        </w:rPr>
        <w:t>Discussion</w:t>
      </w:r>
    </w:p>
    <w:p w:rsidR="002E7A4D" w:rsidRDefault="00DE5800">
      <w:pPr>
        <w:spacing w:line="240" w:lineRule="auto"/>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Unit Root Tests</w:t>
      </w:r>
    </w:p>
    <w:p w:rsidR="002E7A4D" w:rsidRDefault="00DE5800">
      <w:pPr>
        <w:spacing w:line="240" w:lineRule="auto"/>
        <w:jc w:val="both"/>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bCs/>
          <w:kern w:val="0"/>
          <w:sz w:val="24"/>
          <w:szCs w:val="24"/>
          <w:lang w:val="en-US"/>
          <w14:ligatures w14:val="none"/>
        </w:rPr>
        <w:t>To ensure the robustness of the econometric analysis and to avoid spurious regression results, it is essential to examine the stationarity properties of the data. The Augmented Dickey-Fuller (ADF) test was employed to determine the order of integration of the variables used in the study. The results of the unit root tests at both level and first difference are presented in Table 4.2</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4.2: Augmented Dickey–Fuller (ADF) Unit Root Test Results at Levels (5% Level)</w:t>
      </w:r>
    </w:p>
    <w:tbl>
      <w:tblPr>
        <w:tblStyle w:val="TableGrid"/>
        <w:tblW w:w="0" w:type="auto"/>
        <w:tblInd w:w="-113" w:type="dxa"/>
        <w:tblLook w:val="04A0" w:firstRow="1" w:lastRow="0" w:firstColumn="1" w:lastColumn="0" w:noHBand="0" w:noVBand="1"/>
      </w:tblPr>
      <w:tblGrid>
        <w:gridCol w:w="1383"/>
        <w:gridCol w:w="1383"/>
        <w:gridCol w:w="1383"/>
        <w:gridCol w:w="1383"/>
        <w:gridCol w:w="1383"/>
        <w:gridCol w:w="1383"/>
      </w:tblGrid>
      <w:tr w:rsidR="002E7A4D">
        <w:trPr>
          <w:trHeight w:val="749"/>
        </w:trPr>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Variable</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ADF Test Statistic</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5% Critical Value</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p-value</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Order of Integration</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Decision</w:t>
            </w:r>
          </w:p>
        </w:tc>
      </w:tr>
      <w:tr w:rsidR="002E7A4D">
        <w:trPr>
          <w:trHeight w:val="502"/>
        </w:trPr>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GRBC</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0.558</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0.9865</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Non-stationary</w:t>
            </w:r>
          </w:p>
        </w:tc>
      </w:tr>
      <w:tr w:rsidR="002E7A4D">
        <w:trPr>
          <w:trHeight w:val="502"/>
        </w:trPr>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GRATCR</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-0.974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0.7627</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kern w:val="0"/>
                <w:sz w:val="24"/>
                <w:szCs w:val="24"/>
                <w:lang w:val="en-US"/>
                <w14:ligatures w14:val="none"/>
              </w:rPr>
              <w:t xml:space="preserve"> -</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Non-stationary</w:t>
            </w:r>
          </w:p>
        </w:tc>
      </w:tr>
      <w:tr w:rsidR="002E7A4D">
        <w:trPr>
          <w:trHeight w:val="255"/>
        </w:trPr>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GRCBMF</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-3.111</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0.0258</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I(0)</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rPr>
          <w:trHeight w:val="255"/>
        </w:trPr>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GRGDP</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-3.102</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0.0264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I(0)</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rPr>
          <w:trHeight w:val="511"/>
        </w:trPr>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MPR</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ind w:firstLineChars="150" w:firstLine="36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-1.904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ind w:firstLineChars="150" w:firstLine="36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-2.964</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0.3300</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GB"/>
                <w14:ligatures w14:val="none"/>
              </w:rPr>
              <w:t xml:space="preserve">   </w:t>
            </w:r>
            <w:r>
              <w:rPr>
                <w:rFonts w:ascii="Times New Roman" w:eastAsia="Times New Roman" w:hAnsi="Times New Roman" w:cs="Times New Roman"/>
                <w:kern w:val="0"/>
                <w:sz w:val="24"/>
                <w:szCs w:val="24"/>
                <w:lang w:val="en-US"/>
                <w14:ligatures w14:val="none"/>
              </w:rPr>
              <w:t xml:space="preserve"> -</w:t>
            </w:r>
          </w:p>
        </w:tc>
        <w:tc>
          <w:tcPr>
            <w:tcW w:w="1383"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Non-stationary</w:t>
            </w:r>
          </w:p>
        </w:tc>
      </w:tr>
    </w:tbl>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Table 4.2 presents the Augmented Dickey–Fuller (ADF) unit root test results at the 5% significance level. The results show a mixed order of integration among the variables.</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Growth Rate of Commercial Banks and Microfinance Banks (GRCBMF) and the Growth Rate of Gross Domestic Product (GRGDP) are stationary at level, as their ADF statistics (–3.111 and –3.102 respectively) are more negative than the 5% critical value (–2.964), with p-values below 0.05. This indicates that both variables are integrated of order zero, I(0).</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In contrast, the Growth Rate of Bank Customers (GRBC), Growth Rate of Access to Credit (GRATCR), and the Monetary Policy Rate (MPR) are non-stationary at level. Their ADF statistics are less negative than the critical value and their p-values exceed 0.05, implying the presence of unit roots.</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Overall, the results suggest a combination of stationary and non-stationary variables, justifying further testing at first difference and supporting the suitability of an ARDL modeling framework.</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Source:</w:t>
      </w:r>
      <w:r>
        <w:rPr>
          <w:rFonts w:ascii="Times New Roman" w:eastAsia="Times New Roman" w:hAnsi="Times New Roman" w:cs="Times New Roman"/>
          <w:kern w:val="0"/>
          <w:sz w:val="24"/>
          <w:szCs w:val="24"/>
          <w:lang w:val="en-US"/>
          <w14:ligatures w14:val="none"/>
        </w:rPr>
        <w:t xml:space="preserve"> Author’s Computation using Stata 17</w:t>
      </w:r>
    </w:p>
    <w:p w:rsidR="002E7A4D" w:rsidRDefault="00DE580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4.3: Augmented Dickey–Fuller (ADF) Unit Root Test Results at First Difference (5% Level)</w:t>
      </w:r>
    </w:p>
    <w:tbl>
      <w:tblPr>
        <w:tblStyle w:val="TableGrid"/>
        <w:tblW w:w="0" w:type="auto"/>
        <w:tblInd w:w="-113" w:type="dxa"/>
        <w:tblLook w:val="04A0" w:firstRow="1" w:lastRow="0" w:firstColumn="1" w:lastColumn="0" w:noHBand="0" w:noVBand="1"/>
      </w:tblPr>
      <w:tblGrid>
        <w:gridCol w:w="1491"/>
        <w:gridCol w:w="1377"/>
        <w:gridCol w:w="1372"/>
        <w:gridCol w:w="1357"/>
        <w:gridCol w:w="1416"/>
        <w:gridCol w:w="1396"/>
      </w:tblGrid>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Variable</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ADF Test Statistic</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5% Critical Value</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p-value</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Order of Integration</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Decision</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ΔLGRBC</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-3.745</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-2.966</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0.0035</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I(1)</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ΔLGRATCR</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-4.513</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-2.972</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0.0002</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I(1)</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ΔMPR</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-5.285</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-2.966</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0.0000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I(1)</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bl>
    <w:p w:rsidR="002E7A4D" w:rsidRDefault="00DE580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Source:</w:t>
      </w:r>
      <w:r>
        <w:rPr>
          <w:rFonts w:ascii="Times New Roman" w:eastAsia="Times New Roman" w:hAnsi="Times New Roman" w:cs="Times New Roman"/>
          <w:kern w:val="0"/>
          <w:sz w:val="24"/>
          <w:szCs w:val="24"/>
          <w:lang w:val="en-US"/>
          <w14:ligatures w14:val="none"/>
        </w:rPr>
        <w:t xml:space="preserve"> Author’s Computation using Stata 17</w:t>
      </w:r>
    </w:p>
    <w:p w:rsidR="002E7A4D" w:rsidRDefault="00DE58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presents the Augmented Dickey–Fuller (ADF) test results at first difference. The results show that the Growth Rate of Bank Customers (ΔLGRBC), Growth Rate of Access to Credit (ΔLGRATCR), and Monetary Policy Rate (ΔMPR) become stationary after first differencing. Their ADF statistics are more negative than the 5% critical values, with p-values below 0.05.</w:t>
      </w:r>
    </w:p>
    <w:p w:rsidR="002E7A4D" w:rsidRDefault="00DE580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confirms that these variables are integrated of order one, I(1). Combined with the earlier results at levels, the findings indicate a mixture of I(0) and I(1) variables, thereby supporting the appropriateness of the ARDL bounds testing approach for the analysis.</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4.4: Phillips–Perron (PP) Unit Root Test Results at Levels (5% Level)</w:t>
      </w:r>
    </w:p>
    <w:tbl>
      <w:tblPr>
        <w:tblStyle w:val="TableGrid"/>
        <w:tblW w:w="0" w:type="auto"/>
        <w:tblInd w:w="-113" w:type="dxa"/>
        <w:tblLook w:val="04A0" w:firstRow="1" w:lastRow="0" w:firstColumn="1" w:lastColumn="0" w:noHBand="0" w:noVBand="1"/>
      </w:tblPr>
      <w:tblGrid>
        <w:gridCol w:w="1408"/>
        <w:gridCol w:w="1396"/>
        <w:gridCol w:w="1394"/>
        <w:gridCol w:w="1386"/>
        <w:gridCol w:w="1418"/>
        <w:gridCol w:w="1407"/>
      </w:tblGrid>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Variable</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PP Test Statistic (Z-t)</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5% Critical Value</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p-value</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Order of Integration</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Decision</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GRBC</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1.058</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-2.961</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0.9948</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Non-stationary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GRATCR</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-6.078</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-2.961</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0.0000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GRCBMF</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-3.344</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-2.961</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0.0130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GRGDP</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-4.020</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-2.961</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0.0013</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MPR</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-2.238</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-2.961</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0.1928</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Non-stationary</w:t>
            </w:r>
          </w:p>
        </w:tc>
      </w:tr>
    </w:tbl>
    <w:p w:rsidR="002E7A4D" w:rsidRDefault="00DE580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Source:</w:t>
      </w:r>
      <w:r>
        <w:rPr>
          <w:rFonts w:ascii="Times New Roman" w:eastAsia="Times New Roman" w:hAnsi="Times New Roman" w:cs="Times New Roman"/>
          <w:kern w:val="0"/>
          <w:sz w:val="24"/>
          <w:szCs w:val="24"/>
          <w:lang w:val="en-US"/>
          <w14:ligatures w14:val="none"/>
        </w:rPr>
        <w:t xml:space="preserve"> Author’s Computation using Stata17</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presents the Phillips–Perron (PP) unit root test results at the 5% significance level. The findings largely confirm the results obtained from the ADF test, with slight variations.</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Growth Rate of Access to Credit (GRATCR), Growth Rate of Commercial Banks and Microfinance Banks (GRCBMF), and Growth Rate of Gross Domestic Product (GRGDP) are stationary at level, as their PP test statistics are more negative than the 5% critical value (–2.961) and their p-values are below 0.05. This indicates that these variables are integrated of order zero, I(0).</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In contrast, the Growth Rate of Bank Customers (GRBC) and the Monetary Policy Rate (MPR) remain non-stationary at level, given that their test statistics are less negative than the critical value and their p-values exceed 0.05.</w:t>
      </w:r>
    </w:p>
    <w:p w:rsidR="002E7A4D" w:rsidRDefault="00DE580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GB"/>
        </w:rPr>
        <w:t xml:space="preserve">In conclusion </w:t>
      </w:r>
      <w:r>
        <w:rPr>
          <w:rFonts w:ascii="Times New Roman" w:eastAsia="Times New Roman" w:hAnsi="Times New Roman" w:cs="Times New Roman"/>
          <w:sz w:val="24"/>
          <w:szCs w:val="24"/>
        </w:rPr>
        <w:t>the Phillips–Perron results reinforce the presence of a mixed order of integration among the variables, further justifying the application of the ARDL bounds testing framework.</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4.5: Phillips–Perron (PP) Unit Root Test Results at First Difference (5% Level)</w:t>
      </w:r>
    </w:p>
    <w:tbl>
      <w:tblPr>
        <w:tblStyle w:val="TableGrid"/>
        <w:tblW w:w="0" w:type="auto"/>
        <w:tblInd w:w="-113" w:type="dxa"/>
        <w:tblLook w:val="04A0" w:firstRow="1" w:lastRow="0" w:firstColumn="1" w:lastColumn="0" w:noHBand="0" w:noVBand="1"/>
      </w:tblPr>
      <w:tblGrid>
        <w:gridCol w:w="1404"/>
        <w:gridCol w:w="1397"/>
        <w:gridCol w:w="1395"/>
        <w:gridCol w:w="1387"/>
        <w:gridCol w:w="1418"/>
        <w:gridCol w:w="1408"/>
      </w:tblGrid>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Variable</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PP Test Statistic (Z-t)</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5% Critical Value</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p-value</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Order of Integration</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Decision</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ΔLGRBC</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-7.142</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-2.964</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0.0000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I(1)</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r w:rsidR="002E7A4D">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ΔMPR  </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-6.877</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-2.964</w:t>
            </w:r>
          </w:p>
        </w:tc>
        <w:tc>
          <w:tcPr>
            <w:tcW w:w="142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0.0000</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I(1)</w:t>
            </w:r>
          </w:p>
        </w:tc>
        <w:tc>
          <w:tcPr>
            <w:tcW w:w="142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Stationary</w:t>
            </w:r>
          </w:p>
        </w:tc>
      </w:tr>
    </w:tbl>
    <w:p w:rsidR="002E7A4D" w:rsidRDefault="002E7A4D">
      <w:pPr>
        <w:spacing w:line="240" w:lineRule="auto"/>
        <w:jc w:val="both"/>
        <w:rPr>
          <w:rFonts w:ascii="Times New Roman" w:eastAsia="Calibri" w:hAnsi="Times New Roman" w:cs="Times New Roman"/>
          <w:kern w:val="0"/>
          <w:sz w:val="24"/>
          <w:szCs w:val="24"/>
          <w:lang w:val="en-US"/>
          <w14:ligatures w14:val="none"/>
        </w:rPr>
      </w:pPr>
    </w:p>
    <w:p w:rsidR="002E7A4D" w:rsidRDefault="00DE5800">
      <w:pPr>
        <w:spacing w:before="100" w:beforeAutospacing="1" w:after="100" w:afterAutospacing="1"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To ensure robustness, both the Augmented Dickey–Fuller (ADF) and Phillips–Perron (PP) tests were employed at levels and first differences. The tests were conducted at the 5 percent level of significance.</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 root test results reveal a mixture of I(0) and I(1) variables. GRGDP and GRCBMF are consistently stationary at levels under both ADF and PP tests. GRATCR is stationary at levels under the PP test but non-stationary under the ADF test, becoming stationary after first differencing. GRBC and MPR are non-stationary at levels but stationary at first difference under both tests.</w:t>
      </w:r>
    </w:p>
    <w:p w:rsidR="002E7A4D" w:rsidRDefault="00DE5800">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The presence of mixed orders of integration specifically I(0) and I(1) has important implications for model selection. It suggests that econometric techniques capable of handling such combinations, such as the Autoregressive Distributed Lag (ARDL) approach to cointegration, are appropriate for examining the long-run and short-run relationships between financial inclusion and economic growth in Nigeria.</w:t>
      </w:r>
    </w:p>
    <w:p w:rsidR="002E7A4D" w:rsidRDefault="002E7A4D">
      <w:pPr>
        <w:spacing w:after="0" w:line="240" w:lineRule="auto"/>
        <w:jc w:val="both"/>
        <w:rPr>
          <w:rFonts w:ascii="Times New Roman" w:eastAsia="Calibri" w:hAnsi="Times New Roman" w:cs="Times New Roman"/>
          <w:b/>
          <w:bCs/>
          <w:kern w:val="0"/>
          <w:sz w:val="24"/>
          <w:szCs w:val="24"/>
          <w:lang w:val="en-US"/>
          <w14:ligatures w14:val="none"/>
        </w:rPr>
      </w:pPr>
    </w:p>
    <w:p w:rsidR="002E7A4D" w:rsidRDefault="00DE5800">
      <w:pPr>
        <w:spacing w:after="0" w:line="240"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b/>
          <w:bCs/>
          <w:kern w:val="0"/>
          <w:sz w:val="24"/>
          <w:szCs w:val="24"/>
          <w:lang w:val="en-US"/>
          <w14:ligatures w14:val="none"/>
        </w:rPr>
        <w:t>Cointegration Test</w:t>
      </w:r>
    </w:p>
    <w:p w:rsidR="002E7A4D" w:rsidRDefault="00DE5800">
      <w:pPr>
        <w:spacing w:line="240" w:lineRule="auto"/>
        <w:jc w:val="both"/>
        <w:rPr>
          <w:rFonts w:ascii="Times New Roman" w:eastAsia="Times New Roman" w:hAnsi="Times New Roman" w:cs="Times New Roman"/>
          <w:b/>
          <w:bCs/>
          <w:kern w:val="0"/>
          <w:sz w:val="24"/>
          <w:szCs w:val="24"/>
          <w:lang w:val="en-US"/>
          <w14:ligatures w14:val="none"/>
        </w:rPr>
      </w:pPr>
      <w:r>
        <w:rPr>
          <w:rFonts w:ascii="Times New Roman" w:eastAsia="Calibri" w:hAnsi="Times New Roman" w:cs="Times New Roman"/>
          <w:kern w:val="0"/>
          <w:sz w:val="24"/>
          <w:szCs w:val="24"/>
          <w:lang w:val="en-US"/>
          <w14:ligatures w14:val="none"/>
        </w:rPr>
        <w:t>To ascertain the existence of a long-run equilibrium relationship among the variables, the study employed the Bounds Testing approach to cointegration proposed by Pesaran, Shin, and Smith (2001). This method is particularly suitable given that the variables are integrated at mixed orders, i.e., I(0) and I(1), but none at I(2). The results of the bounds test are presented in Table 4.4.</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4.6: ARDL Bounds Test for Cointegration</w:t>
      </w:r>
    </w:p>
    <w:tbl>
      <w:tblPr>
        <w:tblStyle w:val="TableGrid"/>
        <w:tblW w:w="0" w:type="auto"/>
        <w:tblInd w:w="-113" w:type="dxa"/>
        <w:tblLook w:val="04A0" w:firstRow="1" w:lastRow="0" w:firstColumn="1" w:lastColumn="0" w:noHBand="0" w:noVBand="1"/>
      </w:tblPr>
      <w:tblGrid>
        <w:gridCol w:w="4188"/>
        <w:gridCol w:w="4221"/>
      </w:tblGrid>
      <w:tr w:rsidR="002E7A4D">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Test Statistic</w:t>
            </w:r>
          </w:p>
        </w:tc>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Value</w:t>
            </w:r>
          </w:p>
        </w:tc>
      </w:tr>
      <w:tr w:rsidR="002E7A4D">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F-statistic</w:t>
            </w:r>
          </w:p>
        </w:tc>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ind w:firstLineChars="750" w:firstLine="180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2.041</w:t>
            </w:r>
          </w:p>
        </w:tc>
      </w:tr>
      <w:tr w:rsidR="002E7A4D">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t-statistic</w:t>
            </w:r>
          </w:p>
        </w:tc>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ind w:firstLineChars="750" w:firstLine="180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-3.000</w:t>
            </w:r>
          </w:p>
        </w:tc>
      </w:tr>
      <w:tr w:rsidR="002E7A4D">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Number of regressors (k)</w:t>
            </w:r>
          </w:p>
        </w:tc>
        <w:tc>
          <w:tcPr>
            <w:tcW w:w="426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ind w:firstLineChars="800" w:firstLine="1920"/>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4</w:t>
            </w:r>
          </w:p>
        </w:tc>
      </w:tr>
    </w:tbl>
    <w:p w:rsidR="002E7A4D" w:rsidRDefault="00DE580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Table 4.6 presents the ARDL bounds test results for cointegration. The F-statistic is 2.041 and the t-statistic is –3.000, with four regressors included in the model.</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F-statistic to the critical values at the 5% significance level (typically, lower bound = 2.86, upper bound = 4.01 for k = 4), the computed F-statistic falls below the lower bound. This indicates that there is no evidence of a long-run cointegrating relationship among the variables at the 5% significance level.</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words, while the variables may interact in the short run, the bounds test suggests that a stable long-run equilibrium relationship is not statistically supported. This justifies focusing on short-run dynamics and error correction mechanisms in the subsequent ARDL model.</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Critical Values for ARDL Bounds Test (Case III: Unrestricted Intercept, No Trend)</w:t>
      </w:r>
    </w:p>
    <w:tbl>
      <w:tblPr>
        <w:tblStyle w:val="TableGrid"/>
        <w:tblW w:w="0" w:type="auto"/>
        <w:tblInd w:w="-113" w:type="dxa"/>
        <w:tblLook w:val="04A0" w:firstRow="1" w:lastRow="0" w:firstColumn="1" w:lastColumn="0" w:noHBand="0" w:noVBand="1"/>
      </w:tblPr>
      <w:tblGrid>
        <w:gridCol w:w="2811"/>
        <w:gridCol w:w="2799"/>
        <w:gridCol w:w="2799"/>
      </w:tblGrid>
      <w:tr w:rsidR="002E7A4D">
        <w:tc>
          <w:tcPr>
            <w:tcW w:w="284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Significance Level</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I(0) Bound</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I(1) Bound</w:t>
            </w:r>
          </w:p>
        </w:tc>
      </w:tr>
      <w:tr w:rsidR="002E7A4D">
        <w:tc>
          <w:tcPr>
            <w:tcW w:w="284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10%</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2.45</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3.52</w:t>
            </w:r>
          </w:p>
        </w:tc>
      </w:tr>
      <w:tr w:rsidR="002E7A4D">
        <w:tc>
          <w:tcPr>
            <w:tcW w:w="284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5%</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2.86</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4.01</w:t>
            </w:r>
          </w:p>
        </w:tc>
      </w:tr>
      <w:tr w:rsidR="002E7A4D">
        <w:tc>
          <w:tcPr>
            <w:tcW w:w="284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2.5%</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3.25</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4.49</w:t>
            </w:r>
          </w:p>
        </w:tc>
      </w:tr>
      <w:tr w:rsidR="002E7A4D">
        <w:tc>
          <w:tcPr>
            <w:tcW w:w="2840"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1%</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3.74</w:t>
            </w:r>
          </w:p>
        </w:tc>
        <w:tc>
          <w:tcPr>
            <w:tcW w:w="2841"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5.06</w:t>
            </w:r>
          </w:p>
        </w:tc>
      </w:tr>
    </w:tbl>
    <w:p w:rsidR="002E7A4D" w:rsidRDefault="002E7A4D">
      <w:pPr>
        <w:spacing w:after="0" w:line="240" w:lineRule="auto"/>
        <w:rPr>
          <w:rFonts w:ascii="Times New Roman" w:eastAsia="Times New Roman" w:hAnsi="Times New Roman" w:cs="Times New Roman"/>
          <w:kern w:val="0"/>
          <w:sz w:val="24"/>
          <w:szCs w:val="24"/>
          <w:lang w:val="en-US"/>
          <w14:ligatures w14:val="none"/>
        </w:rPr>
      </w:pP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critical values for Case III (unrestricted intercept, no trend), the 5% bounds are: I(0) = 2.86 and I(1) = 4.01.</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computed F-statistic from Table 4.6 is 2.041, which is below the lower bound of 2.86. This confirms that the null hypothesis of no long-run relationship cannot be rejected at the 5% significance level.</w:t>
      </w:r>
    </w:p>
    <w:p w:rsidR="002E7A4D" w:rsidRDefault="00DE58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variables in the model do not exhibit a statistically significant long-run cointegration, suggesting that any interactions among them are primarily short-term rather than stable over time.</w:t>
      </w:r>
    </w:p>
    <w:p w:rsidR="002E7A4D" w:rsidRDefault="00DE5800">
      <w:pPr>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 4.8: Post-Estimation Diagnostic Test Results</w:t>
      </w:r>
    </w:p>
    <w:tbl>
      <w:tblPr>
        <w:tblStyle w:val="TableGrid"/>
        <w:tblW w:w="0" w:type="auto"/>
        <w:tblInd w:w="-113" w:type="dxa"/>
        <w:tblLook w:val="04A0" w:firstRow="1" w:lastRow="0" w:firstColumn="1" w:lastColumn="0" w:noHBand="0" w:noVBand="1"/>
      </w:tblPr>
      <w:tblGrid>
        <w:gridCol w:w="2003"/>
        <w:gridCol w:w="1535"/>
        <w:gridCol w:w="1621"/>
        <w:gridCol w:w="1547"/>
        <w:gridCol w:w="1703"/>
      </w:tblGrid>
      <w:tr w:rsidR="002E7A4D">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lastRenderedPageBreak/>
              <w:t>Diagnostic Test</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Test Statistic</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Probability (p-value)</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jc w:val="center"/>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Decision</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Inference</w:t>
            </w:r>
          </w:p>
        </w:tc>
      </w:tr>
      <w:tr w:rsidR="002E7A4D">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Durbin–Watson Test</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DW =  1.993</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 evidence of serious autocorrelation</w:t>
            </w:r>
          </w:p>
        </w:tc>
      </w:tr>
      <w:tr w:rsidR="002E7A4D">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Breusch–Godfrey LM Test (lag 1)</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χ² = 0.017</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0.8972</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Fail to reject H₀</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No serial correlation</w:t>
            </w:r>
          </w:p>
        </w:tc>
      </w:tr>
      <w:tr w:rsidR="002E7A4D">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White Heteroskedasticity Test</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χ² = 17.00</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0.3856</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Fail to reject H₀</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Homoskedastic residuals</w:t>
            </w:r>
          </w:p>
        </w:tc>
      </w:tr>
      <w:tr w:rsidR="002E7A4D">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Jarque–Bera Normality Test</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JB = 0.7943</w:t>
            </w:r>
          </w:p>
        </w:tc>
        <w:tc>
          <w:tcPr>
            <w:tcW w:w="1704"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0.6722</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Fail to reject H₀</w:t>
            </w:r>
          </w:p>
        </w:tc>
        <w:tc>
          <w:tcPr>
            <w:tcW w:w="1705" w:type="dxa"/>
            <w:tcBorders>
              <w:top w:val="single" w:sz="4" w:space="0" w:color="auto"/>
              <w:left w:val="single" w:sz="4" w:space="0" w:color="auto"/>
              <w:bottom w:val="single" w:sz="4" w:space="0" w:color="auto"/>
              <w:right w:val="single" w:sz="4" w:space="0" w:color="auto"/>
            </w:tcBorders>
            <w:vAlign w:val="center"/>
          </w:tcPr>
          <w:p w:rsidR="002E7A4D" w:rsidRDefault="00DE5800">
            <w:pPr>
              <w:spacing w:after="0" w:line="240" w:lineRule="auto"/>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Residuals are normally distributed</w:t>
            </w:r>
          </w:p>
        </w:tc>
      </w:tr>
    </w:tbl>
    <w:p w:rsidR="002E7A4D" w:rsidRDefault="00DE580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The post-estimation diagnostic tests indicate that the ARDL model is well-specified. The Durbin–Watson statistic (DW = 1.993) and the Breusch–Godfrey LM test (p = 0.8972) suggest no evidence of serial correlation in the residuals. The White heteroskedasticity test (p = 0.3856) confirms that the residuals are homoskedastic, while the Jarque–Bera test (p = 0.6722) indicates that the residuals are normally distributed. Collectively, these results validate the reliability of the estimated model and support the robustness of the empirical findings.</w:t>
      </w:r>
    </w:p>
    <w:p w:rsidR="002E7A4D" w:rsidRDefault="00DE580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br w:type="textWrapping" w:clear="all"/>
        <w:t>Source:</w:t>
      </w:r>
      <w:r>
        <w:rPr>
          <w:rFonts w:ascii="Times New Roman" w:eastAsia="Times New Roman" w:hAnsi="Times New Roman" w:cs="Times New Roman"/>
          <w:kern w:val="0"/>
          <w:sz w:val="24"/>
          <w:szCs w:val="24"/>
          <w:lang w:val="en-US"/>
          <w14:ligatures w14:val="none"/>
        </w:rPr>
        <w:t xml:space="preserve"> Author’s Computation (Post-Estimation Diagnostics)</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major findings of the study, in line with the research objectives, are summarised as follows:</w:t>
      </w:r>
    </w:p>
    <w:p w:rsidR="002E7A4D" w:rsidRDefault="00DE58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growth rate of commercial banks and microfinance banks in rural areas (GRCBMF) has a positive but weak and statistically insignificant long-run effect on economic growth in Nigeria, indicating limited growth impact of rural banking expansion.</w:t>
      </w:r>
    </w:p>
    <w:p w:rsidR="002E7A4D" w:rsidRDefault="00DE58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growth rate of bank customers (GRBC) exerts a positive and statistically significant effect on economic growth in both the short run and long run, highlighting the importance of increased financial participation.</w:t>
      </w:r>
    </w:p>
    <w:p w:rsidR="002E7A4D" w:rsidRDefault="00DE58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growth rate of access to credit (GRATCR) has a positive and statistically significant long-run impact on economic growth, although short-run adjustments suggest temporary inefficiencies.</w:t>
      </w:r>
    </w:p>
    <w:p w:rsidR="002E7A4D" w:rsidRDefault="00DE5800">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monetary policy rate (MPR) has a negative and statistically significant effect on economic growth, confirming that high interest rates constrain investment and output growth.</w:t>
      </w:r>
    </w:p>
    <w:p w:rsidR="002E7A4D" w:rsidRDefault="00DE5800">
      <w:pPr>
        <w:spacing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lang w:val="en-US"/>
          <w14:ligatures w14:val="none"/>
        </w:rPr>
        <w:t>Diagnostic and stability tests confirm that the estimated ARDL model is robust, stable, and suitable for policy inference</w:t>
      </w:r>
    </w:p>
    <w:p w:rsidR="002E7A4D" w:rsidRDefault="002E7A4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US"/>
          <w14:ligatures w14:val="none"/>
        </w:rPr>
      </w:pPr>
    </w:p>
    <w:p w:rsidR="002E7A4D" w:rsidRDefault="002E7A4D">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US"/>
          <w14:ligatures w14:val="none"/>
        </w:rPr>
      </w:pPr>
    </w:p>
    <w:p w:rsidR="002E7A4D" w:rsidRDefault="00DE580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Conclusion</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lastRenderedPageBreak/>
        <w:t>The study concludes that financial inclusion plays a significant role in promoting economic growth in Nigeria, although its impact varies across different channels. Expanding the bank customer base and improving access to credit have proven to be effective drivers of economic growth, particularly when sustained over time. However, the growth impact of rural banking institutions remains limited due to structural and institutional constraints that undermine their intermediation capacity.</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Furthermore, the study establishes that monetary policy exerts a critical moderating influence on the finance–growth relationship. A persistently high monetary policy rate weakens the effectiveness of financial inclusion by discouraging credit expansion and private sector investment. Overall, the findings suggest that financial inclusion alone is insufficient to drive long-term economic growth unless it is supported by sound macroeconomic management, institutional strengthening, and supportive monetary policy.</w:t>
      </w:r>
    </w:p>
    <w:p w:rsidR="002E7A4D" w:rsidRDefault="00DE580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Recommendations</w:t>
      </w:r>
    </w:p>
    <w:p w:rsidR="002E7A4D" w:rsidRDefault="00DE5800">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In line with the findings of the study, the following policy recommendations are proposed:</w:t>
      </w:r>
    </w:p>
    <w:p w:rsidR="002E7A4D" w:rsidRDefault="00DE580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Policymakers should focus on improving the operational capacity of commercial and microfinance banks in rural areas through better regulation, </w:t>
      </w:r>
      <w:r>
        <w:rPr>
          <w:rFonts w:ascii="Times New Roman" w:eastAsia="Times New Roman" w:hAnsi="Times New Roman" w:cs="Times New Roman"/>
          <w:kern w:val="0"/>
          <w:sz w:val="24"/>
          <w:szCs w:val="24"/>
          <w:lang w:val="en-GB"/>
          <w14:ligatures w14:val="none"/>
        </w:rPr>
        <w:t>recapitalization</w:t>
      </w:r>
      <w:r>
        <w:rPr>
          <w:rFonts w:ascii="Times New Roman" w:eastAsia="Times New Roman" w:hAnsi="Times New Roman" w:cs="Times New Roman"/>
          <w:kern w:val="0"/>
          <w:sz w:val="24"/>
          <w:szCs w:val="24"/>
          <w:lang w:val="en-US"/>
          <w14:ligatures w14:val="none"/>
        </w:rPr>
        <w:t>, infrastructure support, and enhanced supervision. Emphasis should be placed on improving the quality of financial services rather than merely expanding physical presence.</w:t>
      </w:r>
    </w:p>
    <w:p w:rsidR="002E7A4D" w:rsidRDefault="00DE580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Central Bank of Nigeria (CBN) and relevant stakeholders should intensify efforts to expand bank account ownership through digital financial services, agent banking, and targeted financial literacy programmes, particularly among low-income and informal sector participants.</w:t>
      </w:r>
    </w:p>
    <w:p w:rsidR="002E7A4D" w:rsidRDefault="00DE580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Credit policies should </w:t>
      </w:r>
      <w:r>
        <w:rPr>
          <w:rFonts w:ascii="Times New Roman" w:eastAsia="Times New Roman" w:hAnsi="Times New Roman" w:cs="Times New Roman"/>
          <w:kern w:val="0"/>
          <w:sz w:val="24"/>
          <w:szCs w:val="24"/>
          <w:lang w:val="en-GB"/>
          <w14:ligatures w14:val="none"/>
        </w:rPr>
        <w:t>prioritize</w:t>
      </w:r>
      <w:r>
        <w:rPr>
          <w:rFonts w:ascii="Times New Roman" w:eastAsia="Times New Roman" w:hAnsi="Times New Roman" w:cs="Times New Roman"/>
          <w:kern w:val="0"/>
          <w:sz w:val="24"/>
          <w:szCs w:val="24"/>
          <w:lang w:val="en-US"/>
          <w14:ligatures w14:val="none"/>
        </w:rPr>
        <w:t xml:space="preserve"> productive sectors such as agriculture, manufacturing, and small and medium-sized enterprises. Strengthening credit appraisal, monitoring frameworks, and risk-sharing mechanisms will help </w:t>
      </w:r>
      <w:r>
        <w:rPr>
          <w:rFonts w:ascii="Times New Roman" w:eastAsia="Times New Roman" w:hAnsi="Times New Roman" w:cs="Times New Roman"/>
          <w:kern w:val="0"/>
          <w:sz w:val="24"/>
          <w:szCs w:val="24"/>
          <w:lang w:val="en-GB"/>
          <w14:ligatures w14:val="none"/>
        </w:rPr>
        <w:t>minimize</w:t>
      </w:r>
      <w:r>
        <w:rPr>
          <w:rFonts w:ascii="Times New Roman" w:eastAsia="Times New Roman" w:hAnsi="Times New Roman" w:cs="Times New Roman"/>
          <w:kern w:val="0"/>
          <w:sz w:val="24"/>
          <w:szCs w:val="24"/>
          <w:lang w:val="en-US"/>
          <w14:ligatures w14:val="none"/>
        </w:rPr>
        <w:t xml:space="preserve"> short-run inefficiencies while </w:t>
      </w:r>
      <w:r>
        <w:rPr>
          <w:rFonts w:ascii="Times New Roman" w:eastAsia="Times New Roman" w:hAnsi="Times New Roman" w:cs="Times New Roman"/>
          <w:kern w:val="0"/>
          <w:sz w:val="24"/>
          <w:szCs w:val="24"/>
          <w:lang w:val="en-GB"/>
          <w14:ligatures w14:val="none"/>
        </w:rPr>
        <w:t>maximizing</w:t>
      </w:r>
      <w:r>
        <w:rPr>
          <w:rFonts w:ascii="Times New Roman" w:eastAsia="Times New Roman" w:hAnsi="Times New Roman" w:cs="Times New Roman"/>
          <w:kern w:val="0"/>
          <w:sz w:val="24"/>
          <w:szCs w:val="24"/>
          <w:lang w:val="en-US"/>
          <w14:ligatures w14:val="none"/>
        </w:rPr>
        <w:t xml:space="preserve"> long-run growth benefits.</w:t>
      </w:r>
    </w:p>
    <w:p w:rsidR="002E7A4D" w:rsidRDefault="00DE5800">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Monetary policy authorities should strike a balance between inflation control and growth objectives. A more accommodative interest rate environment, when macroeconomic conditions permit, would enhance credit expansion and reinforce the growth impact of financial inclusion initiatives.</w:t>
      </w: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2E7A4D">
      <w:pPr>
        <w:spacing w:line="240" w:lineRule="auto"/>
        <w:rPr>
          <w:rFonts w:ascii="Times New Roman" w:eastAsia="SimSun" w:hAnsi="Times New Roman" w:cs="Times New Roman"/>
          <w:b/>
          <w:bCs/>
          <w:kern w:val="0"/>
          <w:sz w:val="24"/>
          <w:szCs w:val="24"/>
          <w:lang w:val="en-US"/>
          <w14:ligatures w14:val="none"/>
        </w:rPr>
      </w:pPr>
    </w:p>
    <w:p w:rsidR="002E7A4D" w:rsidRDefault="00DE5800">
      <w:pPr>
        <w:spacing w:line="240" w:lineRule="auto"/>
        <w:rPr>
          <w:rFonts w:ascii="Times New Roman" w:eastAsia="Calibri" w:hAnsi="Times New Roman" w:cs="Times New Roman"/>
          <w:kern w:val="0"/>
          <w:sz w:val="24"/>
          <w:szCs w:val="24"/>
          <w:lang w:val="en-US"/>
          <w14:ligatures w14:val="none"/>
        </w:rPr>
      </w:pPr>
      <w:r>
        <w:rPr>
          <w:rFonts w:ascii="Times New Roman" w:eastAsia="SimSun" w:hAnsi="Times New Roman" w:cs="Times New Roman"/>
          <w:b/>
          <w:bCs/>
          <w:kern w:val="0"/>
          <w:sz w:val="24"/>
          <w:szCs w:val="24"/>
          <w:lang w:val="en-US"/>
          <w14:ligatures w14:val="none"/>
        </w:rPr>
        <w:t xml:space="preserve">Reference </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Abdulmalik, A., &amp; Umar, M. S. (2024). Financial inclusion and economic development in Nigeria: An empirical evidence from the ARDL bound testing approach. </w:t>
      </w:r>
      <w:r>
        <w:rPr>
          <w:rFonts w:ascii="Times New Roman" w:eastAsia="SimSun" w:hAnsi="Times New Roman" w:cs="Times New Roman"/>
          <w:i/>
          <w:iCs/>
          <w:sz w:val="24"/>
          <w:szCs w:val="24"/>
        </w:rPr>
        <w:t>Journal of Finance and Economic Research</w:t>
      </w:r>
      <w:r>
        <w:rPr>
          <w:rFonts w:ascii="Times New Roman" w:eastAsia="SimSun" w:hAnsi="Times New Roman" w:cs="Times New Roman"/>
          <w:sz w:val="24"/>
          <w:szCs w:val="24"/>
        </w:rPr>
        <w:t>, 9(1), 112-128.</w:t>
      </w:r>
    </w:p>
    <w:p w:rsidR="002E7A4D" w:rsidRDefault="00DE5800">
      <w:pPr>
        <w:spacing w:before="100" w:beforeAutospacing="1" w:after="100" w:afterAutospacing="1" w:line="240" w:lineRule="auto"/>
        <w:ind w:left="480" w:hangingChars="200" w:hanging="480"/>
        <w:jc w:val="both"/>
        <w:rPr>
          <w:rFonts w:ascii="Times New Roman" w:hAnsi="Times New Roman" w:cs="Times New Roman"/>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Adebayo, O., &amp; Olaniyi, E. (2023). Agricultural Credit and GDP Growth: Evidence from Nigeria’s Real Sector. </w:t>
      </w:r>
      <w:r>
        <w:rPr>
          <w:rFonts w:ascii="Times New Roman" w:hAnsi="Times New Roman" w:cs="Times New Roman"/>
          <w:i/>
          <w:iCs/>
          <w:sz w:val="24"/>
          <w:szCs w:val="24"/>
        </w:rPr>
        <w:t>Nigerian Journal of Economic and Social Studies</w:t>
      </w:r>
      <w:r>
        <w:rPr>
          <w:rFonts w:ascii="Times New Roman" w:hAnsi="Times New Roman" w:cs="Times New Roman"/>
          <w:sz w:val="24"/>
          <w:szCs w:val="24"/>
        </w:rPr>
        <w:t>, 65(1), 45-62</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Times New Roman" w:hAnsi="Times New Roman" w:cs="Times New Roman"/>
          <w:sz w:val="24"/>
          <w:szCs w:val="24"/>
        </w:rPr>
        <w:t xml:space="preserve">Allen, F., Demirgüç-Kunt, A., Klapper, L., &amp; Peria, M. S. M. (2016). The foundations of financial inclusion: Understanding ownership and use of formal accounts. </w:t>
      </w:r>
      <w:r>
        <w:rPr>
          <w:rFonts w:ascii="Times New Roman" w:eastAsia="Times New Roman" w:hAnsi="Times New Roman" w:cs="Times New Roman"/>
          <w:i/>
          <w:iCs/>
          <w:sz w:val="24"/>
          <w:szCs w:val="24"/>
        </w:rPr>
        <w:t>Journal of Financial Intermediation, 27</w:t>
      </w:r>
      <w:r>
        <w:rPr>
          <w:rFonts w:ascii="Times New Roman" w:eastAsia="Times New Roman" w:hAnsi="Times New Roman" w:cs="Times New Roman"/>
          <w:sz w:val="24"/>
          <w:szCs w:val="24"/>
        </w:rPr>
        <w:t xml:space="preserve">, 1–30. </w:t>
      </w:r>
      <w:hyperlink r:id="rId8" w:tgtFrame="_new" w:history="1">
        <w:r>
          <w:rPr>
            <w:rFonts w:ascii="Times New Roman" w:eastAsia="SimSun" w:hAnsi="Times New Roman" w:cs="Times New Roman"/>
            <w:color w:val="0563C1"/>
            <w:sz w:val="24"/>
            <w:szCs w:val="24"/>
            <w:u w:val="single"/>
          </w:rPr>
          <w:t>https://doi.org/10.1016/j.jfi.2015.12.003</w:t>
        </w:r>
      </w:hyperlink>
    </w:p>
    <w:p w:rsidR="002E7A4D" w:rsidRDefault="00DE5800">
      <w:pPr>
        <w:spacing w:before="100" w:beforeAutospacing="1" w:after="100" w:afterAutospacing="1" w:line="240" w:lineRule="auto"/>
        <w:ind w:left="480" w:hangingChars="200" w:hanging="480"/>
        <w:jc w:val="both"/>
        <w:rPr>
          <w:rFonts w:ascii="Times New Roman" w:hAnsi="Times New Roman" w:cs="Times New Roman"/>
          <w:sz w:val="24"/>
          <w:szCs w:val="24"/>
          <w:lang w:val="en-GB"/>
        </w:rPr>
      </w:pPr>
      <w:r>
        <w:rPr>
          <w:rFonts w:ascii="Times New Roman" w:eastAsia="Times New Roman" w:hAnsi="Times New Roman" w:cs="Times New Roman"/>
          <w:sz w:val="24"/>
          <w:szCs w:val="24"/>
        </w:rPr>
        <w:t>Asian Development Bank. (2016). Poverty in Asia and the Pacific. Asian Development Bank.</w:t>
      </w:r>
    </w:p>
    <w:p w:rsidR="002E7A4D" w:rsidRDefault="00DE5800">
      <w:pPr>
        <w:spacing w:before="100" w:beforeAutospacing="1" w:after="100" w:afterAutospacing="1"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Bagehot, W. (1873). Lombard Street: A description of the money market. Henry S. King.</w:t>
      </w:r>
    </w:p>
    <w:p w:rsidR="002E7A4D" w:rsidRDefault="00DE5800">
      <w:pPr>
        <w:spacing w:before="100" w:beforeAutospacing="1" w:after="100" w:afterAutospacing="1"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 T., Demirgüç-Kunt, A., &amp; Levine, R. (2007). Finance, inequality and the poor. </w:t>
      </w:r>
      <w:r>
        <w:rPr>
          <w:rFonts w:ascii="Times New Roman" w:eastAsia="Times New Roman" w:hAnsi="Times New Roman" w:cs="Times New Roman"/>
          <w:i/>
          <w:iCs/>
          <w:sz w:val="24"/>
          <w:szCs w:val="24"/>
        </w:rPr>
        <w:t>Journal of Economic Growth, 12</w:t>
      </w:r>
      <w:r>
        <w:rPr>
          <w:rFonts w:ascii="Times New Roman" w:eastAsia="Times New Roman" w:hAnsi="Times New Roman" w:cs="Times New Roman"/>
          <w:sz w:val="24"/>
          <w:szCs w:val="24"/>
        </w:rPr>
        <w:t xml:space="preserve">(1), 27–49. </w:t>
      </w:r>
      <w:hyperlink r:id="rId9" w:tgtFrame="_new" w:history="1">
        <w:r>
          <w:rPr>
            <w:rFonts w:ascii="Times New Roman" w:eastAsia="SimSun" w:hAnsi="Times New Roman" w:cs="Times New Roman"/>
            <w:color w:val="0563C1"/>
            <w:sz w:val="24"/>
            <w:szCs w:val="24"/>
            <w:u w:val="single"/>
          </w:rPr>
          <w:t>https://doi.org/10.1007/s10887-007-9010-6</w:t>
        </w:r>
      </w:hyperlink>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Times New Roman" w:hAnsi="Times New Roman" w:cs="Times New Roman"/>
          <w:bCs/>
          <w:color w:val="000000"/>
          <w:sz w:val="24"/>
          <w:szCs w:val="24"/>
        </w:rPr>
        <w:t xml:space="preserve">Central Bank of Nigeria (CBN). (2021). </w:t>
      </w:r>
      <w:r>
        <w:rPr>
          <w:rFonts w:ascii="Times New Roman" w:eastAsia="Times New Roman" w:hAnsi="Times New Roman" w:cs="Times New Roman"/>
          <w:bCs/>
          <w:i/>
          <w:iCs/>
          <w:color w:val="000000"/>
          <w:sz w:val="24"/>
          <w:szCs w:val="24"/>
        </w:rPr>
        <w:t>Financial inclusion in Nigeria: Progress, challenges, and future directions.</w:t>
      </w:r>
      <w:r>
        <w:rPr>
          <w:rFonts w:ascii="Times New Roman" w:eastAsia="Times New Roman" w:hAnsi="Times New Roman" w:cs="Times New Roman"/>
          <w:bCs/>
          <w:color w:val="000000"/>
          <w:sz w:val="24"/>
          <w:szCs w:val="24"/>
        </w:rPr>
        <w:t xml:space="preserve"> Abuja, Nigeria: Central Bank of Nigeria.</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Times New Roman" w:hAnsi="Times New Roman" w:cs="Times New Roman"/>
          <w:sz w:val="24"/>
          <w:szCs w:val="24"/>
        </w:rPr>
        <w:t xml:space="preserve">Central Bank of Nigeria. (2023). </w:t>
      </w:r>
      <w:r>
        <w:rPr>
          <w:rFonts w:ascii="Times New Roman" w:eastAsia="Times New Roman" w:hAnsi="Times New Roman" w:cs="Times New Roman"/>
          <w:i/>
          <w:iCs/>
          <w:sz w:val="24"/>
          <w:szCs w:val="24"/>
        </w:rPr>
        <w:t>Half</w:t>
      </w:r>
      <w:r>
        <w:rPr>
          <w:rFonts w:ascii="Times New Roman" w:eastAsia="Times New Roman" w:hAnsi="Times New Roman" w:cs="Times New Roman"/>
          <w:i/>
          <w:iCs/>
          <w:sz w:val="24"/>
          <w:szCs w:val="24"/>
        </w:rPr>
        <w:noBreakHyphen/>
        <w:t>Year Economic Report 2023.</w:t>
      </w:r>
      <w:r>
        <w:rPr>
          <w:rFonts w:ascii="Times New Roman" w:eastAsia="Times New Roman" w:hAnsi="Times New Roman" w:cs="Times New Roman"/>
          <w:sz w:val="24"/>
          <w:szCs w:val="24"/>
        </w:rPr>
        <w:t xml:space="preserve"> </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Times New Roman" w:hAnsi="Times New Roman" w:cs="Times New Roman"/>
          <w:sz w:val="24"/>
          <w:szCs w:val="24"/>
        </w:rPr>
        <w:t xml:space="preserve">Central Bank of Nigeria. (2023). </w:t>
      </w:r>
      <w:r>
        <w:rPr>
          <w:rFonts w:ascii="Times New Roman" w:eastAsia="Times New Roman" w:hAnsi="Times New Roman" w:cs="Times New Roman"/>
          <w:i/>
          <w:iCs/>
          <w:sz w:val="24"/>
          <w:szCs w:val="24"/>
        </w:rPr>
        <w:t>Statistical bulletin</w:t>
      </w:r>
      <w:r>
        <w:rPr>
          <w:rFonts w:ascii="Times New Roman" w:eastAsia="Times New Roman" w:hAnsi="Times New Roman" w:cs="Times New Roman"/>
          <w:sz w:val="24"/>
          <w:szCs w:val="24"/>
        </w:rPr>
        <w:t xml:space="preserve">. Central Bank of Nigeria. </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SimSun" w:hAnsi="Times New Roman" w:cs="Times New Roman"/>
          <w:sz w:val="24"/>
          <w:szCs w:val="24"/>
        </w:rPr>
        <w:t xml:space="preserve">Demirgüç-Kunt, A., Klapper, L., Singer, D., &amp; Ansar, S. (2018). </w:t>
      </w:r>
      <w:r>
        <w:rPr>
          <w:rFonts w:ascii="Times New Roman" w:eastAsia="SimSun" w:hAnsi="Times New Roman" w:cs="Times New Roman"/>
          <w:i/>
          <w:iCs/>
          <w:sz w:val="24"/>
          <w:szCs w:val="24"/>
        </w:rPr>
        <w:t>The Global Findex Database 2017: Measuring financial inclusion and the fintech revolution</w:t>
      </w:r>
      <w:r>
        <w:rPr>
          <w:rFonts w:ascii="Times New Roman" w:eastAsia="SimSun" w:hAnsi="Times New Roman" w:cs="Times New Roman"/>
          <w:sz w:val="24"/>
          <w:szCs w:val="24"/>
        </w:rPr>
        <w:t>. World Bank.</w:t>
      </w:r>
    </w:p>
    <w:p w:rsidR="002E7A4D" w:rsidRDefault="00DE5800">
      <w:pPr>
        <w:spacing w:before="100" w:beforeAutospacing="1" w:after="100" w:afterAutospacing="1"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Fischer, S. (1993). The role of macroeconomic factors in growth. </w:t>
      </w:r>
      <w:r>
        <w:rPr>
          <w:rFonts w:ascii="Times New Roman" w:eastAsia="Times New Roman" w:hAnsi="Times New Roman" w:cs="Times New Roman"/>
          <w:i/>
          <w:iCs/>
          <w:sz w:val="24"/>
          <w:szCs w:val="24"/>
        </w:rPr>
        <w:t>Journal of Monetary Economics, 32</w:t>
      </w:r>
      <w:r>
        <w:rPr>
          <w:rFonts w:ascii="Times New Roman" w:eastAsia="Times New Roman" w:hAnsi="Times New Roman" w:cs="Times New Roman"/>
          <w:sz w:val="24"/>
          <w:szCs w:val="24"/>
        </w:rPr>
        <w:t xml:space="preserve">(3), 485–512. </w:t>
      </w:r>
      <w:hyperlink r:id="rId10" w:history="1">
        <w:r>
          <w:rPr>
            <w:rFonts w:ascii="Times New Roman" w:eastAsia="SimSun" w:hAnsi="Times New Roman" w:cs="Times New Roman"/>
            <w:color w:val="0563C1"/>
            <w:sz w:val="24"/>
            <w:szCs w:val="24"/>
            <w:u w:val="single"/>
          </w:rPr>
          <w:t>https://doi.org/10.1016/0304-3932(93)90027-D</w:t>
        </w:r>
      </w:hyperlink>
    </w:p>
    <w:p w:rsidR="002E7A4D" w:rsidRDefault="00DE5800">
      <w:pPr>
        <w:spacing w:before="100" w:beforeAutospacing="1" w:after="100" w:afterAutospacing="1"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Harrod, R. F. (1939). An essay in dynamic theory. </w:t>
      </w:r>
      <w:r>
        <w:rPr>
          <w:rFonts w:ascii="Times New Roman" w:eastAsia="Times New Roman" w:hAnsi="Times New Roman" w:cs="Times New Roman"/>
          <w:i/>
          <w:iCs/>
          <w:sz w:val="24"/>
          <w:szCs w:val="24"/>
        </w:rPr>
        <w:t>The Economic Journal, 49</w:t>
      </w:r>
      <w:r>
        <w:rPr>
          <w:rFonts w:ascii="Times New Roman" w:eastAsia="Times New Roman" w:hAnsi="Times New Roman" w:cs="Times New Roman"/>
          <w:sz w:val="24"/>
          <w:szCs w:val="24"/>
        </w:rPr>
        <w:t xml:space="preserve">(193), 14–33. </w:t>
      </w:r>
      <w:hyperlink r:id="rId11" w:tgtFrame="_new" w:history="1">
        <w:r>
          <w:rPr>
            <w:rFonts w:ascii="Times New Roman" w:eastAsia="SimSun" w:hAnsi="Times New Roman" w:cs="Times New Roman"/>
            <w:color w:val="0563C1"/>
            <w:sz w:val="24"/>
            <w:szCs w:val="24"/>
            <w:u w:val="single"/>
          </w:rPr>
          <w:t>https://doi.org/10.2307/2225181</w:t>
        </w:r>
      </w:hyperlink>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Times New Roman" w:hAnsi="Times New Roman" w:cs="Times New Roman"/>
          <w:sz w:val="24"/>
          <w:szCs w:val="24"/>
        </w:rPr>
        <w:t xml:space="preserve">Levine, R. (2005). Finance and growth: Theory and evidence. In P. Aghion &amp; S. Durlauf (Eds.), </w:t>
      </w:r>
      <w:r>
        <w:rPr>
          <w:rFonts w:ascii="Times New Roman" w:eastAsia="Times New Roman" w:hAnsi="Times New Roman" w:cs="Times New Roman"/>
          <w:i/>
          <w:iCs/>
          <w:sz w:val="24"/>
          <w:szCs w:val="24"/>
        </w:rPr>
        <w:t>Handbook of economic growth</w:t>
      </w:r>
      <w:r>
        <w:rPr>
          <w:rFonts w:ascii="Times New Roman" w:eastAsia="Times New Roman" w:hAnsi="Times New Roman" w:cs="Times New Roman"/>
          <w:sz w:val="24"/>
          <w:szCs w:val="24"/>
        </w:rPr>
        <w:t xml:space="preserve"> (Vol. 1, pp. 865–934). Elsevier. </w:t>
      </w:r>
      <w:hyperlink r:id="rId12" w:history="1">
        <w:r>
          <w:rPr>
            <w:rFonts w:ascii="Times New Roman" w:eastAsia="SimSun" w:hAnsi="Times New Roman" w:cs="Times New Roman"/>
            <w:color w:val="0563C1"/>
            <w:sz w:val="24"/>
            <w:szCs w:val="24"/>
            <w:u w:val="single"/>
          </w:rPr>
          <w:t>https://doi.org/10.1016/S1574-0684(05)01012-9</w:t>
        </w:r>
      </w:hyperlink>
    </w:p>
    <w:p w:rsidR="002E7A4D" w:rsidRDefault="00DE5800">
      <w:pPr>
        <w:spacing w:before="100" w:beforeAutospacing="1" w:after="100" w:afterAutospacing="1" w:line="240" w:lineRule="auto"/>
        <w:ind w:left="480" w:hangingChars="200" w:hanging="480"/>
        <w:jc w:val="both"/>
        <w:rPr>
          <w:rFonts w:ascii="Times New Roman" w:hAnsi="Times New Roman" w:cs="Times New Roman"/>
          <w:sz w:val="24"/>
          <w:szCs w:val="24"/>
        </w:rPr>
      </w:pPr>
      <w:r>
        <w:rPr>
          <w:rFonts w:ascii="Times New Roman" w:eastAsia="SimSun" w:hAnsi="Times New Roman" w:cs="Times New Roman"/>
          <w:sz w:val="24"/>
          <w:szCs w:val="24"/>
        </w:rPr>
        <w:t xml:space="preserve"> </w:t>
      </w:r>
      <w:r>
        <w:rPr>
          <w:rFonts w:ascii="Times New Roman" w:hAnsi="Times New Roman" w:cs="Times New Roman"/>
          <w:sz w:val="24"/>
          <w:szCs w:val="24"/>
        </w:rPr>
        <w:t xml:space="preserve">Okoro, A. S. (2022). Microfinance Banks and Rural Economic Development in Nigeria: A Post-Pandemic Analysis. </w:t>
      </w:r>
      <w:r>
        <w:rPr>
          <w:rFonts w:ascii="Times New Roman" w:hAnsi="Times New Roman" w:cs="Times New Roman"/>
          <w:i/>
          <w:iCs/>
          <w:sz w:val="24"/>
          <w:szCs w:val="24"/>
        </w:rPr>
        <w:t>Journal of African Financial Studies</w:t>
      </w:r>
      <w:r>
        <w:rPr>
          <w:rFonts w:ascii="Times New Roman" w:hAnsi="Times New Roman" w:cs="Times New Roman"/>
          <w:sz w:val="24"/>
          <w:szCs w:val="24"/>
        </w:rPr>
        <w:t>, 14(3), 201-218.</w:t>
      </w:r>
    </w:p>
    <w:p w:rsidR="002E7A4D" w:rsidRDefault="00DE5800">
      <w:pPr>
        <w:spacing w:before="100" w:beforeAutospacing="1" w:after="100" w:afterAutospacing="1"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Park, C.-Y., &amp; Mercado, R. (2018). Financial inclusion, poverty, and income inequality. </w:t>
      </w:r>
      <w:r>
        <w:rPr>
          <w:rFonts w:ascii="Times New Roman" w:eastAsia="Times New Roman" w:hAnsi="Times New Roman" w:cs="Times New Roman"/>
          <w:i/>
          <w:iCs/>
          <w:sz w:val="24"/>
          <w:szCs w:val="24"/>
        </w:rPr>
        <w:t>The Singapore Economic Review, 63</w:t>
      </w:r>
      <w:r>
        <w:rPr>
          <w:rFonts w:ascii="Times New Roman" w:eastAsia="Times New Roman" w:hAnsi="Times New Roman" w:cs="Times New Roman"/>
          <w:sz w:val="24"/>
          <w:szCs w:val="24"/>
        </w:rPr>
        <w:t xml:space="preserve">(1), 185–206. </w:t>
      </w:r>
      <w:hyperlink r:id="rId13" w:tgtFrame="_new" w:history="1">
        <w:r>
          <w:rPr>
            <w:rFonts w:ascii="Times New Roman" w:eastAsia="SimSun" w:hAnsi="Times New Roman" w:cs="Times New Roman"/>
            <w:color w:val="0563C1"/>
            <w:sz w:val="24"/>
            <w:szCs w:val="24"/>
            <w:u w:val="single"/>
          </w:rPr>
          <w:t>https://doi.org/10.1142/S0217590818410059</w:t>
        </w:r>
      </w:hyperlink>
    </w:p>
    <w:p w:rsidR="002E7A4D" w:rsidRDefault="00DE5800">
      <w:pPr>
        <w:spacing w:before="100" w:beforeAutospacing="1" w:after="100" w:afterAutospacing="1" w:line="240" w:lineRule="auto"/>
        <w:ind w:left="48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Pesaran, M. H., Shin, Y., &amp; Smith, R. J. (2001). Bounds testing approaches to the analysis of level relationships. </w:t>
      </w:r>
      <w:r>
        <w:rPr>
          <w:rFonts w:ascii="Times New Roman" w:eastAsia="Times New Roman" w:hAnsi="Times New Roman" w:cs="Times New Roman"/>
          <w:i/>
          <w:iCs/>
          <w:sz w:val="24"/>
          <w:szCs w:val="24"/>
        </w:rPr>
        <w:t>Journal of Applied Econometrics, 16</w:t>
      </w:r>
      <w:r>
        <w:rPr>
          <w:rFonts w:ascii="Times New Roman" w:eastAsia="Times New Roman" w:hAnsi="Times New Roman" w:cs="Times New Roman"/>
          <w:sz w:val="24"/>
          <w:szCs w:val="24"/>
        </w:rPr>
        <w:t xml:space="preserve">(3), 289–326. </w:t>
      </w:r>
      <w:hyperlink r:id="rId14" w:tgtFrame="_new" w:history="1">
        <w:r>
          <w:rPr>
            <w:rFonts w:ascii="Times New Roman" w:eastAsia="SimSun" w:hAnsi="Times New Roman" w:cs="Times New Roman"/>
            <w:color w:val="0563C1"/>
            <w:sz w:val="24"/>
            <w:szCs w:val="24"/>
            <w:u w:val="single"/>
          </w:rPr>
          <w:t>https://doi.org/10.1002/jae.616</w:t>
        </w:r>
      </w:hyperlink>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eastAsia="Times New Roman" w:hAnsi="Times New Roman" w:cs="Times New Roman"/>
          <w:sz w:val="24"/>
          <w:szCs w:val="24"/>
        </w:rPr>
        <w:t xml:space="preserve">Romer, P. M. (1990). Endogenous technological change. </w:t>
      </w:r>
      <w:r>
        <w:rPr>
          <w:rFonts w:ascii="Times New Roman" w:eastAsia="Times New Roman" w:hAnsi="Times New Roman" w:cs="Times New Roman"/>
          <w:i/>
          <w:iCs/>
          <w:sz w:val="24"/>
          <w:szCs w:val="24"/>
        </w:rPr>
        <w:t>Journal of Political Economy, 98</w:t>
      </w:r>
      <w:r>
        <w:rPr>
          <w:rFonts w:ascii="Times New Roman" w:eastAsia="Times New Roman" w:hAnsi="Times New Roman" w:cs="Times New Roman"/>
          <w:sz w:val="24"/>
          <w:szCs w:val="24"/>
        </w:rPr>
        <w:t xml:space="preserve">(5), S71–S102. </w:t>
      </w:r>
      <w:hyperlink r:id="rId15" w:tgtFrame="_new" w:history="1">
        <w:r>
          <w:rPr>
            <w:rFonts w:ascii="Times New Roman" w:eastAsia="SimSun" w:hAnsi="Times New Roman" w:cs="Times New Roman"/>
            <w:color w:val="0563C1"/>
            <w:sz w:val="24"/>
            <w:szCs w:val="24"/>
            <w:u w:val="single"/>
          </w:rPr>
          <w:t>https://doi.org/10.1086/261725</w:t>
        </w:r>
      </w:hyperlink>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Saranu, S., et al. (2024). Credit to the private sector, digital transactions, and economic growth in Nigeria. </w:t>
      </w:r>
      <w:r>
        <w:rPr>
          <w:rFonts w:ascii="Times New Roman" w:eastAsia="SimSun" w:hAnsi="Times New Roman" w:cs="Times New Roman"/>
          <w:i/>
          <w:iCs/>
          <w:sz w:val="24"/>
          <w:szCs w:val="24"/>
        </w:rPr>
        <w:t>Journal of Economics and Sustainable Development</w:t>
      </w:r>
      <w:r>
        <w:rPr>
          <w:rFonts w:ascii="Times New Roman" w:eastAsia="SimSun" w:hAnsi="Times New Roman" w:cs="Times New Roman"/>
          <w:sz w:val="24"/>
          <w:szCs w:val="24"/>
        </w:rPr>
        <w:t>, 15(3), 102-118</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Uchenna, E., &amp; Odo, S. I. (2019). Analysis of the impact of financial inclusion on economic growth in Nigeria using ARDL model. </w:t>
      </w:r>
      <w:r>
        <w:rPr>
          <w:rFonts w:ascii="Times New Roman" w:eastAsia="SimSun" w:hAnsi="Times New Roman" w:cs="Times New Roman"/>
          <w:i/>
          <w:iCs/>
          <w:sz w:val="24"/>
          <w:szCs w:val="24"/>
        </w:rPr>
        <w:t>International Journal of Economics and Financial Issues</w:t>
      </w:r>
      <w:r>
        <w:rPr>
          <w:rFonts w:ascii="Times New Roman" w:eastAsia="SimSun" w:hAnsi="Times New Roman" w:cs="Times New Roman"/>
          <w:sz w:val="24"/>
          <w:szCs w:val="24"/>
        </w:rPr>
        <w:t>, 9(3), 145-156.</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color w:val="0563C1"/>
          <w:sz w:val="24"/>
          <w:szCs w:val="24"/>
          <w:u w:val="single"/>
        </w:rPr>
      </w:pPr>
      <w:r>
        <w:rPr>
          <w:rFonts w:ascii="Times New Roman" w:hAnsi="Times New Roman" w:cs="Times New Roman"/>
          <w:sz w:val="24"/>
          <w:szCs w:val="24"/>
        </w:rPr>
        <w:t xml:space="preserve">Usman, Z., &amp; Bello, A. (2023). The Impact of Monetary Policy Rate Volatility on Credit to the Private Sector in Nigeria. </w:t>
      </w:r>
      <w:r>
        <w:rPr>
          <w:rFonts w:ascii="Times New Roman" w:hAnsi="Times New Roman" w:cs="Times New Roman"/>
          <w:i/>
          <w:iCs/>
          <w:sz w:val="24"/>
          <w:szCs w:val="24"/>
        </w:rPr>
        <w:t>Central Bank of Nigeria Economic and Financial Review</w:t>
      </w:r>
      <w:r>
        <w:rPr>
          <w:rFonts w:ascii="Times New Roman" w:hAnsi="Times New Roman" w:cs="Times New Roman"/>
          <w:sz w:val="24"/>
          <w:szCs w:val="24"/>
        </w:rPr>
        <w:t>, 61(2), 12-35.</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t>World Bank. (2020). Financial inclusion overview. World Bank.</w:t>
      </w:r>
    </w:p>
    <w:p w:rsidR="002E7A4D" w:rsidRDefault="00DE5800">
      <w:pPr>
        <w:spacing w:before="100" w:beforeAutospacing="1" w:after="100" w:afterAutospacing="1" w:line="24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t>World Bank. (2022). Global financial inclusion database (Global Findex). World Bank.</w:t>
      </w:r>
    </w:p>
    <w:p w:rsidR="002E7A4D" w:rsidRDefault="00DE5800">
      <w:pPr>
        <w:spacing w:before="100" w:beforeAutospacing="1" w:after="100" w:afterAutospacing="1" w:line="240" w:lineRule="auto"/>
        <w:ind w:left="480" w:hangingChars="200" w:hanging="480"/>
        <w:jc w:val="both"/>
      </w:pPr>
      <w:r>
        <w:rPr>
          <w:rFonts w:ascii="Times New Roman" w:eastAsia="SimSun" w:hAnsi="Times New Roman" w:cs="Times New Roman"/>
          <w:bCs/>
          <w:color w:val="000000"/>
          <w:sz w:val="24"/>
          <w:szCs w:val="24"/>
        </w:rPr>
        <w:t xml:space="preserve">World Bank. (2022). </w:t>
      </w:r>
      <w:r>
        <w:rPr>
          <w:rFonts w:ascii="Times New Roman" w:eastAsia="SimSun" w:hAnsi="Times New Roman" w:cs="Times New Roman"/>
          <w:bCs/>
          <w:i/>
          <w:iCs/>
          <w:color w:val="000000"/>
          <w:sz w:val="24"/>
          <w:szCs w:val="24"/>
        </w:rPr>
        <w:t>The Global Findex Database 2021: Financial inclusion, digital payments, and resilience in the age of COVID</w:t>
      </w:r>
      <w:r>
        <w:rPr>
          <w:rFonts w:ascii="Times New Roman" w:eastAsia="SimSun" w:hAnsi="Times New Roman" w:cs="Times New Roman"/>
          <w:bCs/>
          <w:i/>
          <w:iCs/>
          <w:color w:val="000000"/>
          <w:sz w:val="24"/>
          <w:szCs w:val="24"/>
        </w:rPr>
        <w:noBreakHyphen/>
        <w:t>19</w:t>
      </w:r>
      <w:r>
        <w:rPr>
          <w:rFonts w:ascii="Times New Roman" w:eastAsia="SimSun" w:hAnsi="Times New Roman" w:cs="Times New Roman"/>
          <w:bCs/>
          <w:color w:val="000000"/>
          <w:sz w:val="24"/>
          <w:szCs w:val="24"/>
        </w:rPr>
        <w:t xml:space="preserve">. World Bank. Retrieved from </w:t>
      </w:r>
      <w:hyperlink r:id="rId16" w:tgtFrame="_new" w:history="1">
        <w:r>
          <w:rPr>
            <w:rFonts w:ascii="Times New Roman" w:eastAsia="SimSun" w:hAnsi="Times New Roman" w:cs="Times New Roman"/>
            <w:bCs/>
            <w:color w:val="000000"/>
            <w:sz w:val="24"/>
            <w:szCs w:val="24"/>
            <w:u w:val="single"/>
          </w:rPr>
          <w:t>https://globalfindex.worldbank.org</w:t>
        </w:r>
      </w:hyperlink>
    </w:p>
    <w:sectPr w:rsidR="002E7A4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E8" w:rsidRDefault="008504E8">
      <w:pPr>
        <w:spacing w:line="240" w:lineRule="auto"/>
      </w:pPr>
      <w:r>
        <w:separator/>
      </w:r>
    </w:p>
  </w:endnote>
  <w:endnote w:type="continuationSeparator" w:id="0">
    <w:p w:rsidR="008504E8" w:rsidRDefault="00850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altName w:val="SimSun"/>
    <w:charset w:val="86"/>
    <w:family w:val="auto"/>
    <w:pitch w:val="default"/>
    <w:sig w:usb0="00000000" w:usb1="00000000" w:usb2="00000016" w:usb3="00000000" w:csb0="0004000F" w:csb1="00000000"/>
  </w:font>
  <w:font w:name="DengXian">
    <w:altName w:val="等线"/>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E8" w:rsidRDefault="008504E8">
      <w:pPr>
        <w:spacing w:after="0"/>
      </w:pPr>
      <w:r>
        <w:separator/>
      </w:r>
    </w:p>
  </w:footnote>
  <w:footnote w:type="continuationSeparator" w:id="0">
    <w:p w:rsidR="008504E8" w:rsidRDefault="008504E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528"/>
    <w:multiLevelType w:val="multilevel"/>
    <w:tmpl w:val="01F365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1783C2A"/>
    <w:multiLevelType w:val="multilevel"/>
    <w:tmpl w:val="21783C2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343323"/>
    <w:multiLevelType w:val="multilevel"/>
    <w:tmpl w:val="5734332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655D9"/>
    <w:rsid w:val="002E7A4D"/>
    <w:rsid w:val="00834EEC"/>
    <w:rsid w:val="008504E8"/>
    <w:rsid w:val="009A243A"/>
    <w:rsid w:val="00C9278F"/>
    <w:rsid w:val="00CC7A7D"/>
    <w:rsid w:val="00DE5800"/>
    <w:rsid w:val="28BA6A08"/>
    <w:rsid w:val="44410F68"/>
    <w:rsid w:val="4A6655D9"/>
    <w:rsid w:val="5DB5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CE93E"/>
  <w15:docId w15:val="{82C27A33-4A15-4C50-BA0B-15EE5EA0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kern w:val="2"/>
      <w:sz w:val="22"/>
      <w:szCs w:val="2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rFonts w:ascii="Calibri" w:eastAsia="Calibri" w:hAnsi="Calibri" w:cs="Times New Roman"/>
      <w:kern w:val="0"/>
      <w:sz w:val="20"/>
      <w:szCs w:val="20"/>
      <w:lang w:val="en-US"/>
      <w14:ligatures w14:val="none"/>
    </w:rPr>
  </w:style>
  <w:style w:type="paragraph" w:styleId="NormalWeb">
    <w:name w:val="Normal (Web)"/>
    <w:uiPriority w:val="99"/>
    <w:semiHidden/>
    <w:unhideWhenUsed/>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16/j.jfi.2015.12.003" TargetMode="External"/><Relationship Id="rId13" Type="http://schemas.openxmlformats.org/officeDocument/2006/relationships/hyperlink" Target="https://doi.org/10.1142/S021759081841005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org/sustainabledevelopment/sustainable-development-goals/" TargetMode="External"/><Relationship Id="rId12" Type="http://schemas.openxmlformats.org/officeDocument/2006/relationships/hyperlink" Target="https://doi.org/10.1016/S1574-0684(05)0101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lobalfindex.worldban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2225181" TargetMode="External"/><Relationship Id="rId5" Type="http://schemas.openxmlformats.org/officeDocument/2006/relationships/footnotes" Target="footnotes.xml"/><Relationship Id="rId15" Type="http://schemas.openxmlformats.org/officeDocument/2006/relationships/hyperlink" Target="https://doi.org/10.1086/261725" TargetMode="External"/><Relationship Id="rId10" Type="http://schemas.openxmlformats.org/officeDocument/2006/relationships/hyperlink" Target="https://doi.org/10.1016/0304-3932(93)90027-D" TargetMode="External"/><Relationship Id="rId4" Type="http://schemas.openxmlformats.org/officeDocument/2006/relationships/webSettings" Target="webSettings.xml"/><Relationship Id="rId9" Type="http://schemas.openxmlformats.org/officeDocument/2006/relationships/hyperlink" Target="https://doi.org/10.1007/s10887-007-9010-6" TargetMode="External"/><Relationship Id="rId14" Type="http://schemas.openxmlformats.org/officeDocument/2006/relationships/hyperlink" Target="https://doi.org/10.1002/jae.6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6124</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650 G1</dc:creator>
  <cp:lastModifiedBy>MY PC</cp:lastModifiedBy>
  <cp:revision>3</cp:revision>
  <dcterms:created xsi:type="dcterms:W3CDTF">2026-06-05T16:13:00Z</dcterms:created>
  <dcterms:modified xsi:type="dcterms:W3CDTF">2026-06-05T16:19:00Z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A4FE7F3C1B0A43FBBAD766B4308B5DE9_13</vt:lpwstr>
  </property>
</Properties>
</file>