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36DDA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SimSun" w:cs="Times New Roman"/>
          <w:b/>
          <w:bCs/>
          <w:sz w:val="36"/>
          <w:szCs w:val="36"/>
        </w:rPr>
      </w:pPr>
      <w:r>
        <w:rPr>
          <w:rFonts w:hint="default" w:ascii="Times New Roman" w:hAnsi="Times New Roman" w:eastAsia="SimSun" w:cs="Times New Roman"/>
          <w:b/>
          <w:bCs/>
          <w:sz w:val="36"/>
          <w:szCs w:val="36"/>
        </w:rPr>
        <w:t>Assessment of Tropospheric Radio Refractivity and Its Relationship with Meteorological Parameters Using a Low-Cost Weather Station over Ikere-Ekiti, Nigeria</w:t>
      </w:r>
    </w:p>
    <w:p w14:paraId="38896944">
      <w:pPr>
        <w:keepNext w:val="0"/>
        <w:keepLines w:val="0"/>
        <w:pageBreakBefore w:val="0"/>
        <w:widowControl/>
        <w:numPr>
          <w:ilvl w:val="0"/>
          <w:numId w:val="1"/>
        </w:numPr>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b/>
          <w:bCs/>
          <w:sz w:val="24"/>
          <w:szCs w:val="24"/>
          <w:lang w:val="en-US"/>
        </w:rPr>
      </w:pPr>
      <w:bookmarkStart w:id="0" w:name="_GoBack"/>
      <w:r>
        <w:rPr>
          <w:rFonts w:hint="default" w:ascii="Times New Roman" w:hAnsi="Times New Roman" w:eastAsia="Times New Roman" w:cs="Times New Roman"/>
          <w:b/>
          <w:bCs/>
          <w:sz w:val="24"/>
          <w:szCs w:val="24"/>
        </w:rPr>
        <w:t/>
      </w:r>
      <w:r>
        <w:rPr>
          <w:rFonts w:hint="default" w:ascii="Times New Roman" w:hAnsi="Times New Roman" w:cs="Times New Roman"/>
          <w:b/>
          <w:bCs/>
          <w:sz w:val="24"/>
          <w:szCs w:val="24"/>
          <w:lang w:val="en-US"/>
        </w:rPr>
        <w:t/>
      </w:r>
      <w:r>
        <w:rPr>
          <w:rFonts w:hint="default" w:ascii="Times New Roman" w:hAnsi="Times New Roman" w:eastAsia="Times New Roman" w:cs="Times New Roman"/>
          <w:b/>
          <w:bCs/>
          <w:sz w:val="24"/>
          <w:szCs w:val="24"/>
        </w:rPr>
        <w:t xml:space="preserve"/>
      </w:r>
      <w:r>
        <w:rPr>
          <w:rFonts w:hint="default" w:ascii="Times New Roman" w:hAnsi="Times New Roman" w:cs="Times New Roman"/>
          <w:b/>
          <w:bCs/>
          <w:sz w:val="24"/>
          <w:szCs w:val="24"/>
          <w:lang w:val="en-US"/>
        </w:rPr>
        <w:t/>
      </w:r>
      <w:r>
        <w:rPr>
          <w:rFonts w:hint="default" w:ascii="Times New Roman" w:hAnsi="Times New Roman" w:cs="Times New Roman"/>
          <w:b/>
          <w:bCs/>
          <w:sz w:val="24"/>
          <w:szCs w:val="24"/>
          <w:vertAlign w:val="superscript"/>
          <w:lang w:val="en-US"/>
        </w:rPr>
        <w:t xml:space="preserve"/>
      </w:r>
      <w:r>
        <w:rPr>
          <w:rFonts w:hint="default" w:ascii="Times New Roman" w:hAnsi="Times New Roman" w:cs="Times New Roman"/>
          <w:b/>
          <w:bCs/>
          <w:sz w:val="24"/>
          <w:szCs w:val="24"/>
          <w:lang w:val="en-US"/>
        </w:rPr>
        <w:t/>
      </w:r>
      <w:r>
        <w:rPr>
          <w:rFonts w:hint="default" w:ascii="Times New Roman" w:hAnsi="Times New Roman" w:eastAsia="Times New Roman" w:cs="Times New Roman"/>
          <w:b/>
          <w:bCs/>
          <w:sz w:val="24"/>
          <w:szCs w:val="24"/>
        </w:rPr>
        <w:t/>
      </w:r>
      <w:r>
        <w:rPr>
          <w:rFonts w:hint="default" w:ascii="Times New Roman" w:hAnsi="Times New Roman" w:cs="Times New Roman"/>
          <w:b/>
          <w:bCs/>
          <w:sz w:val="24"/>
          <w:szCs w:val="24"/>
          <w:lang w:val="en-US"/>
        </w:rPr>
        <w:t/>
      </w:r>
    </w:p>
    <w:bookmarkEnd w:id="0"/>
    <w:p w14:paraId="3F07F24B">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i/>
          <w:iCs/>
          <w:sz w:val="24"/>
          <w:szCs w:val="24"/>
        </w:rPr>
        <w:t/>
      </w:r>
    </w:p>
    <w:p w14:paraId="1067A94B">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
      </w: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"mailto:ojebisi.temitope@bouesti.edu.ng" </w:instrText>
      </w:r>
      <w:r>
        <w:rPr>
          <w:rFonts w:hint="default" w:ascii="Times New Roman" w:hAnsi="Times New Roman" w:cs="Times New Roman"/>
          <w:sz w:val="24"/>
          <w:szCs w:val="24"/>
          <w:lang w:val="en-US"/>
        </w:rPr>
        <w:fldChar w:fldCharType="separate"/>
      </w:r>
      <w:r>
        <w:rPr>
          <w:rStyle w:val="12"/>
          <w:rFonts w:hint="default" w:ascii="Times New Roman" w:hAnsi="Times New Roman" w:cs="Times New Roman"/>
          <w:sz w:val="24"/>
          <w:szCs w:val="24"/>
          <w:lang w:val="en-US"/>
        </w:rPr>
        <w:t/>
      </w:r>
      <w:r>
        <w:rPr>
          <w:rFonts w:hint="default" w:ascii="Times New Roman" w:hAnsi="Times New Roman" w:cs="Times New Roman"/>
          <w:sz w:val="24"/>
          <w:szCs w:val="24"/>
          <w:lang w:val="en-US"/>
        </w:rPr>
        <w:fldChar w:fldCharType="end"/>
      </w:r>
      <w:r>
        <w:rPr>
          <w:rFonts w:hint="default" w:ascii="Times New Roman" w:hAnsi="Times New Roman" w:cs="Times New Roman"/>
          <w:sz w:val="24"/>
          <w:szCs w:val="24"/>
          <w:lang w:val="en-US"/>
        </w:rPr>
        <w:t xml:space="preserve"/>
      </w:r>
      <w:r>
        <w:rPr>
          <w:rFonts w:hint="default" w:ascii="Times New Roman" w:hAnsi="Times New Roman" w:eastAsia="Times New Roman" w:cs="Times New Roman"/>
          <w:sz w:val="24"/>
          <w:szCs w:val="24"/>
        </w:rPr>
        <w:t/>
      </w:r>
    </w:p>
    <w:p w14:paraId="4B59EF37">
      <w:pPr>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ABSTRACT</w:t>
      </w:r>
    </w:p>
    <w:p w14:paraId="5F2CA0FD">
      <w:pPr>
        <w:keepNext w:val="0"/>
        <w:keepLines w:val="0"/>
        <w:pageBreakBefore w:val="0"/>
        <w:widowControl/>
        <w:kinsoku/>
        <w:wordWrap/>
        <w:overflowPunct/>
        <w:topLinePunct w:val="0"/>
        <w:autoSpaceDE/>
        <w:autoSpaceDN/>
        <w:bidi w:val="0"/>
        <w:adjustRightInd/>
        <w:snapToGrid/>
        <w:spacing w:before="240" w:after="240" w:line="240" w:lineRule="auto"/>
        <w:ind w:left="720" w:right="72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This study investigates tropospheric radio refractivity and its dependence on meteorological parameters—temperature, relative humidity, and atmospheric pressure—over Ikere-Ekiti, Nigeria, using in situ measurements from a locally fabricated low-cost automatic weather station. Hourly data were collected throughout September 2025 and used to compute surface radio refractivity (N) according to the Smith and Weintraub (1953) formula, as recommended in ITU-R P.453-15. Results reveal a strong diurnal pattern in which refractivity peaks during late evening and early morning hours (21:00–04:00 LT), coinciding with minimum temperature and maximum relative humidity. Refractivity drops sharply to its minimum in the early-to-mid afternoon (13:00–16:00 LT) when solar heating is at its peak. Statistical analysis shows that relative humidity is the dominant driver of refractivity variability, exhibiting a positive correlation of r = 0.78 with N. Atmospheric pressure shows a strong positive correlation (r = 0.85), while temperature exhibits a negative relationship (r = −0.70). The monthly mean refractivity was 378.76 ± 3.23 N-units, with values ranging from 373.17 to 384.35 N-units. These findings confirm that the tropical lower troposphere over southwestern Nigeria is characterized by significant short-term refractivity fluctuations largely driven by moisture variability. The study demonstrates the viability of low-cost sensor systems for atmospheric radio-propagation monitoring in resource-limited environments and provides baseline data for communication system design in the region.</w:t>
      </w:r>
    </w:p>
    <w:p w14:paraId="13AAC1A7">
      <w:pPr>
        <w:keepNext w:val="0"/>
        <w:keepLines w:val="0"/>
        <w:pageBreakBefore w:val="0"/>
        <w:widowControl/>
        <w:kinsoku/>
        <w:wordWrap/>
        <w:overflowPunct/>
        <w:topLinePunct w:val="0"/>
        <w:autoSpaceDE/>
        <w:autoSpaceDN/>
        <w:bidi w:val="0"/>
        <w:adjustRightInd/>
        <w:snapToGrid/>
        <w:spacing w:before="240" w:after="240" w:line="240" w:lineRule="auto"/>
        <w:ind w:left="720" w:right="720"/>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 xml:space="preserve">Keywords: </w:t>
      </w:r>
      <w:r>
        <w:rPr>
          <w:rFonts w:hint="default" w:ascii="Times New Roman" w:hAnsi="Times New Roman" w:cs="Times New Roman"/>
          <w:b w:val="0"/>
          <w:bCs w:val="0"/>
          <w:sz w:val="24"/>
          <w:szCs w:val="24"/>
          <w:lang w:val="en-US"/>
        </w:rPr>
        <w:t>r</w:t>
      </w:r>
      <w:r>
        <w:rPr>
          <w:rFonts w:hint="default" w:ascii="Times New Roman" w:hAnsi="Times New Roman" w:eastAsia="Times New Roman" w:cs="Times New Roman"/>
          <w:b w:val="0"/>
          <w:bCs w:val="0"/>
          <w:i/>
          <w:iCs/>
          <w:sz w:val="24"/>
          <w:szCs w:val="24"/>
        </w:rPr>
        <w:t>ad</w:t>
      </w:r>
      <w:r>
        <w:rPr>
          <w:rFonts w:hint="default" w:ascii="Times New Roman" w:hAnsi="Times New Roman" w:eastAsia="Times New Roman" w:cs="Times New Roman"/>
          <w:i/>
          <w:iCs/>
          <w:sz w:val="24"/>
          <w:szCs w:val="24"/>
        </w:rPr>
        <w:t>io refractivity; troposphere; meteorological parameters; low-cost weather station; ;  tropical propagation</w:t>
      </w:r>
    </w:p>
    <w:p w14:paraId="375F9C95">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1. INTRODUCTION</w:t>
      </w:r>
    </w:p>
    <w:p w14:paraId="0466B0D7">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Radio refractivity is a fundamental atmospheric parameter governing the propagation of radio waves through the troposphere. The refractive index of air, n, differs slightly from unity and depends on local temperature, pressure, and humidity. Because the absolute deviations in n are very small</w:t>
      </w:r>
      <w:r>
        <w:rPr>
          <w:rFonts w:hint="default" w:ascii="Times New Roman" w:hAnsi="Times New Roman" w:cs="Times New Roman"/>
          <w:sz w:val="24"/>
          <w:szCs w:val="24"/>
          <w:lang w:val="en-US"/>
        </w:rPr>
        <w:t xml:space="preserve"> </w:t>
      </w:r>
      <w:r>
        <w:rPr>
          <w:rFonts w:hint="default" w:ascii="Times New Roman" w:hAnsi="Times New Roman" w:eastAsia="Times New Roman" w:cs="Times New Roman"/>
          <w:sz w:val="24"/>
          <w:szCs w:val="24"/>
        </w:rPr>
        <w:t>typically on the order of 10⁻⁴</w:t>
      </w:r>
      <w:r>
        <w:rPr>
          <w:rFonts w:hint="default" w:ascii="Times New Roman" w:hAnsi="Times New Roman" w:cs="Times New Roman"/>
          <w:sz w:val="24"/>
          <w:szCs w:val="24"/>
          <w:lang w:val="en-US"/>
        </w:rPr>
        <w:t>,</w:t>
      </w:r>
      <w:r>
        <w:rPr>
          <w:rFonts w:hint="default" w:ascii="Times New Roman" w:hAnsi="Times New Roman" w:eastAsia="Times New Roman" w:cs="Times New Roman"/>
          <w:sz w:val="24"/>
          <w:szCs w:val="24"/>
        </w:rPr>
        <w:t>it is conventional to express atmospheric refractivity as the dimensionless quantity N, defined as:</w:t>
      </w:r>
    </w:p>
    <w:p w14:paraId="341C383B">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lang w:val="en-US"/>
        </w:rPr>
      </w:pPr>
      <w:r>
        <w:rPr>
          <w:rFonts w:hint="default" w:ascii="Times New Roman" w:hAnsi="Times New Roman" w:eastAsia="Times New Roman" w:cs="Times New Roman"/>
          <w:i/>
          <w:iCs/>
          <w:sz w:val="24"/>
          <w:szCs w:val="24"/>
        </w:rPr>
        <w:t>N = (n − 1) × 10⁶</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(1)</w:t>
      </w:r>
    </w:p>
    <w:p w14:paraId="084E7B0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where N is expressed in N-units (or ppm). Following Smith and Weintraub (1953)</w:t>
      </w:r>
    </w:p>
    <w:p w14:paraId="5C637BE2">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Variations in radio refractivity directly affect the performance of terrestrial and satellite communication systems. Changes in the refractivity gradient with altitude determine whether radio waves propagate in a super-refractive, sub-refractive, or ducting mode, with corresponding consequences for signal strength, coverage area, and interference levels (Falodun &amp; Ajewole, 2006; Adediji et al., 2011). In tropical environments, where temperature and humidity vary rapidly both diurnally and seasonally, understanding refractivity dynamics is especially critical for the planning and optimization of communication networks (Emmanuel &amp; Afullo, 2014).</w:t>
      </w:r>
    </w:p>
    <w:p w14:paraId="08B7801B">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Despite the increasing deployment of wireless and microwave communication infrastructure in southwestern Nigeria, detailed local refractivity data remain scarce. Most existing studies rely on reanalysis datasets or coarsely sampled meteorological observations that cannot resolve short-term, sub-hourly fluctuations driven by convective turbulence and rapid moisture changes. Moreover, the high cost and maintenance burden of conventional automatic weather stations constrain the spatial density of observational networks in resource-limited settings.</w:t>
      </w:r>
    </w:p>
    <w:p w14:paraId="4187688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Ikere-Ekiti, located in Ekiti State at approximately 7.50°N, 5.23°E and situated at the ecological transition between tropical rainforest and derived savanna, experiences pronounced wet and dry seasons with large diurnal swings in temperature and humidity. These conditions make it a scientifically interesting and practically relevant site for studying near-surface refractivity behavior. </w:t>
      </w:r>
    </w:p>
    <w:p w14:paraId="694ED04B">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2. LITERATURE REVIEW</w:t>
      </w:r>
    </w:p>
    <w:p w14:paraId="08A3E765">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2.1 General Overview of Tropospheric Refractivity Studies</w:t>
      </w:r>
    </w:p>
    <w:p w14:paraId="3D6F7D5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theoretical framework for relating radio refractivity to atmospheric state variables was established in the seminal work of Bean and Dutton (1968), whose treatment remains the standard reference for radio-meteorological practice. The ITU-R has since codified the numerical coefficients and computational procedures in successive editions of Recommendation P.453, the most recent of which (P.453-15, 2019) retains the Smith–Weintraub formulation while extending guidance to a wider range of atmospheric conditions.</w:t>
      </w:r>
    </w:p>
    <w:p w14:paraId="0F13E68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Within Nigeria, systematic investigation of surface radio refractivity began in earnest in the early 2000s. Igwe and Adimula (2009) evaluated refractive index gradients and their seasonal variability over Minna and Ilorin using five years of radiosonde data, finding sub-refractive conditions during the dry season and super-refractive conditions during the wet season. Falodun and Ajewole (2006) reported intra-hourly refractivity fluctuations of up to 50 N-units in Akure, attributing these rapid changes to convective turbulence and moisture advection in the boundary layer. Adediji et al. (2011) extended this work to map the spatial distribution of refractivity gradients and the effective Earth radius factor (k-factor) across multiple Nigerian climatic zones, demonstrating a clear latitudinal gradient from the humid south to the semi-arid north.</w:t>
      </w:r>
    </w:p>
    <w:p w14:paraId="2BD21FC2">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Onujagbe et al. (2021) compared surface refractivity over the closely located cities of Akure and Ondo, finding that the Ondo station consistently recorded higher N values due to its lower temperature and higher humidity. Mean wet-season refractivity values of 367.04 N-units (Akure) and 371.58 N-units (Ondo) were reported alongside mean dry-season values of 349.21 and 360.32 N-units, respectively</w:t>
      </w:r>
      <w:r>
        <w:rPr>
          <w:rFonts w:hint="default" w:ascii="Times New Roman" w:hAnsi="Times New Roman" w:cs="Times New Roman"/>
          <w:sz w:val="24"/>
          <w:szCs w:val="24"/>
          <w:lang w:val="en-US"/>
        </w:rPr>
        <w:t xml:space="preserve">, this </w:t>
      </w:r>
      <w:r>
        <w:rPr>
          <w:rFonts w:hint="default" w:ascii="Times New Roman" w:hAnsi="Times New Roman" w:eastAsia="Times New Roman" w:cs="Times New Roman"/>
          <w:sz w:val="24"/>
          <w:szCs w:val="24"/>
        </w:rPr>
        <w:t>pattern</w:t>
      </w:r>
      <w:r>
        <w:rPr>
          <w:rFonts w:hint="default" w:ascii="Times New Roman" w:hAnsi="Times New Roman" w:cs="Times New Roman"/>
          <w:sz w:val="24"/>
          <w:szCs w:val="24"/>
          <w:lang w:val="en-US"/>
        </w:rPr>
        <w:t xml:space="preserve"> is </w:t>
      </w:r>
      <w:r>
        <w:rPr>
          <w:rFonts w:hint="default" w:ascii="Times New Roman" w:hAnsi="Times New Roman" w:eastAsia="Times New Roman" w:cs="Times New Roman"/>
          <w:sz w:val="24"/>
          <w:szCs w:val="24"/>
        </w:rPr>
        <w:t>consistent with the dominant influence of atmospheric moisture. Ogunjo et al. (2013) further demonstrated that radio refractivity over Akure exhibits chaotic dynamics, with positive Lyapunov exponents at all measurement levels up to 200 m, suggesting sensitivity to initial conditions that limits predictability over longer time horizons.</w:t>
      </w:r>
    </w:p>
    <w:p w14:paraId="14E5D2C2">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Several studies have examined the effect of refractivity variability on signal quality at UHF and VHF frequencies. Ayatunji et al. (2019) reported positive correlations between refractivity and UHF signal strength over Gusau (r = 0.53–0.86) during the dry season, while Adegboyega (2013) found inverse relationships between refractivity and broadcast signal strength over Akure (r = −0.81 to −0.97), emphasizing the complex interplay between diurnal refractivity cycles and received signal levels.</w:t>
      </w:r>
    </w:p>
    <w:p w14:paraId="224BBCF8">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2.2 Relationship between Refractivity and Meteorological Parameters in Tropical Regions</w:t>
      </w:r>
    </w:p>
    <w:p w14:paraId="3EF9474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partitioning of radio refractivity into dry and wet terms directly reflects the contrasting roles of pressure, temperature, and humidity. In the humid tropics, where water vapour pressure can approach 30–40 hPa near the surface, the wet term typically accounts for 60–80% of the total N value, making relative humidity the primary driver of refractivity variability (Adediji et al., 2011; Emmanuel &amp; Afullo, 2014). The strong positive correlation between N and relative humidity arises because increasing moisture raises the water vapour pressure e, amplifying the wet-term contribution.</w:t>
      </w:r>
    </w:p>
    <w:p w14:paraId="0F679172">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Temperature exerts a more complex and often opposing influence. Because T appears in the denominators of both the dry and wet terms, a rise in temperature reduces both contributions to N. However, higher temperatures also increase the saturation vapour pressure, potentially raising e if sufficient moisture is present. At the tropical surface, where relative humidity is generally high throughout the year, the net effect of temperature on N is typically negative, with correlation coefficients in the range </w:t>
      </w:r>
      <w:r>
        <w:rPr>
          <w:rFonts w:hint="default" w:ascii="Times New Roman" w:hAnsi="Times New Roman" w:cs="Times New Roman"/>
          <w:sz w:val="24"/>
          <w:szCs w:val="24"/>
          <w:lang w:val="en-US"/>
        </w:rPr>
        <w:t xml:space="preserve"> of </w:t>
      </w:r>
      <w:r>
        <w:rPr>
          <w:rFonts w:hint="default" w:ascii="Times New Roman" w:hAnsi="Times New Roman" w:eastAsia="Times New Roman" w:cs="Times New Roman"/>
          <w:sz w:val="24"/>
          <w:szCs w:val="24"/>
        </w:rPr>
        <w:t>0.60 to 0.85 reported across Nigerian stations (Adediji et al., 2011; Agbo et al., 2022). Atmospheric pressure, which varies relatively little on the diurnal timescale (semi-diurnal tidal oscillations of ±0.5–1.5 hPa), contributes to the dry term and generally shows a moderate positive correlation with N.</w:t>
      </w:r>
    </w:p>
    <w:p w14:paraId="7959E28D">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2.3 Low-Cost Sensing Technologies for Atmospheric Monitoring</w:t>
      </w:r>
    </w:p>
    <w:p w14:paraId="33D54FD8">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proliferation of low-cost microcontroller platforms (notably the Arduino and ESP32 families) and MEMS-based meteorological sensors has opened new possibilities for dense, community-scale atmospheric observation networks. Jiao et al. (2016) demonstrated that networks of low-cost sensors can substantially improve the spatial and temporal resolution of air-quality and atmospheric data relative to sparse networks of reference instruments, provided that appropriate calibration and quality-control procedures are applied. Comparable principles apply to refractivity monitoring: locally deployed, affordable weather stations can capture fine-scale variability that coarse reanalysis products and widely spaced synoptic stations miss entirely. The present study contributes to this emerging paradigm by deploying a custom-built ESP32-based station at Ikere-Ekiti and evaluating its performance for refractivity estimation.</w:t>
      </w:r>
    </w:p>
    <w:p w14:paraId="60A61EDC">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3. METHODOLOGY</w:t>
      </w:r>
    </w:p>
    <w:p w14:paraId="5CC87E84">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3.1 Study Area</w:t>
      </w:r>
    </w:p>
    <w:p w14:paraId="34893785">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Ikere-Ekiti is situated in Ekiti State, southwestern Nigeria, at coordinates 7.497°N, 5.230°E, approximately 350 m above mean sea level. The town lies at the ecological interface between the rainforest and guinea savanna belts and borders Ado-Ekiti to the north and Akure (Ondo State) to the south. The local climate is tropical, characterized by two well-defined seasons: the rainy season (April–October) and the dry season (November–March). Annual rainfall ranges from approximately 1,200 mm to 1,800 mm, and ambient temperatures vary between 22°C and 30°C. Relative humidity is consistently high during the rainy months, often exceeding 85%, and falls to 50–65% at the height of the dry season. The forested terrain and the town's location in a shallow valley contribute to elevated near-surface humidity relative to surrounding highland areas.</w:t>
      </w:r>
    </w:p>
    <w:p w14:paraId="26C95B39">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measurement campaign described in this paper was conducted during September 2025, which falls within the late rainy season and is therefore representative of high-humidity tropical conditions. The weather station was installed on the campus of the Bamidele Olumilua University of Education, Science and Technology (BOUESTI), a relatively open site with minimal obstruction from tall buildings or dense vegetation.</w:t>
      </w:r>
    </w:p>
    <w:p w14:paraId="09DFD78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eastAsia="Times New Roman" w:cs="Times New Roman"/>
          <w:sz w:val="24"/>
          <w:szCs w:val="24"/>
          <w:lang w:eastAsia="en-US"/>
        </w:rPr>
        <w:drawing>
          <wp:inline distT="0" distB="0" distL="0" distR="0">
            <wp:extent cx="5309870" cy="4342130"/>
            <wp:effectExtent l="0" t="0" r="11430" b="127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4"/>
                    <a:srcRect/>
                    <a:stretch>
                      <a:fillRect/>
                    </a:stretch>
                  </pic:blipFill>
                  <pic:spPr>
                    <a:xfrm>
                      <a:off x="0" y="0"/>
                      <a:ext cx="5309870" cy="4342130"/>
                    </a:xfrm>
                    <a:prstGeom prst="rect">
                      <a:avLst/>
                    </a:prstGeom>
                  </pic:spPr>
                </pic:pic>
              </a:graphicData>
            </a:graphic>
          </wp:inline>
        </w:drawing>
      </w:r>
    </w:p>
    <w:p w14:paraId="7CB6AC1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b/>
          <w:bCs/>
          <w:sz w:val="24"/>
          <w:szCs w:val="24"/>
        </w:rPr>
      </w:pPr>
    </w:p>
    <w:p w14:paraId="72A95BB2">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Figure 1. Location of Ikere-Ekiti in Ekiti State, Nigeria.</w:t>
      </w:r>
    </w:p>
    <w:p w14:paraId="009B7A64">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 low-cost automatic weather station (AWS) was designed, constructed, and field-tested for this study. The system was developed as an affordable, portable alternative to commercial AWS installations, specifically for use in research and educational contexts with limited infrastructure.</w:t>
      </w:r>
    </w:p>
    <w:p w14:paraId="43F5C7D4">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lang w:val="en-US"/>
        </w:rPr>
      </w:pPr>
      <w:r>
        <w:rPr>
          <w:rFonts w:hint="default" w:ascii="Times New Roman" w:hAnsi="Times New Roman" w:eastAsia="Times New Roman" w:cs="Times New Roman"/>
          <w:sz w:val="24"/>
          <w:szCs w:val="24"/>
        </w:rPr>
        <w:t>The AWS is built around an ESP32 dual-core microcontroller, selected for its integrated Wi-Fi and Bluetooth connectivity, low power consumption, and sufficient processing capacity for real-time data acquisition and local logging. The meteorological sensor suite comprises</w:t>
      </w:r>
      <w:r>
        <w:rPr>
          <w:rFonts w:hint="default" w:ascii="Times New Roman" w:hAnsi="Times New Roman" w:cs="Times New Roman"/>
          <w:sz w:val="24"/>
          <w:szCs w:val="24"/>
          <w:lang w:val="en-US"/>
        </w:rPr>
        <w:t xml:space="preserve"> a</w:t>
      </w:r>
      <w:r>
        <w:rPr>
          <w:rFonts w:hint="default" w:ascii="Times New Roman" w:hAnsi="Times New Roman" w:eastAsia="Times New Roman" w:cs="Times New Roman"/>
          <w:sz w:val="24"/>
          <w:szCs w:val="24"/>
        </w:rPr>
        <w:t xml:space="preserve"> DHT22 combined temperature and relative humidity sensor, providing a temperature measurement range of −40°C to +80°C (±0.5°C accuracy) and a humidity range of 0–100% RH (±2–5% RH accuracy)</w:t>
      </w:r>
      <w:r>
        <w:rPr>
          <w:rFonts w:hint="default" w:ascii="Times New Roman" w:hAnsi="Times New Roman" w:cs="Times New Roman"/>
          <w:sz w:val="24"/>
          <w:szCs w:val="24"/>
          <w:lang w:val="en-US"/>
        </w:rPr>
        <w:t>, a</w:t>
      </w:r>
      <w:r>
        <w:rPr>
          <w:rFonts w:hint="default" w:ascii="Times New Roman" w:hAnsi="Times New Roman" w:eastAsia="Times New Roman" w:cs="Times New Roman"/>
          <w:sz w:val="24"/>
          <w:szCs w:val="24"/>
        </w:rPr>
        <w:t xml:space="preserve"> BMP280 barometric pressure sensor, with a measurement range of 300–1100 hPa and an absolute accuracy of ±1 hPa</w:t>
      </w:r>
      <w:r>
        <w:rPr>
          <w:rFonts w:hint="default" w:ascii="Times New Roman" w:hAnsi="Times New Roman" w:cs="Times New Roman"/>
          <w:sz w:val="24"/>
          <w:szCs w:val="24"/>
          <w:lang w:val="en-US"/>
        </w:rPr>
        <w:t xml:space="preserve"> and a</w:t>
      </w:r>
      <w:r>
        <w:rPr>
          <w:rFonts w:hint="default" w:ascii="Times New Roman" w:hAnsi="Times New Roman" w:eastAsia="Times New Roman" w:cs="Times New Roman"/>
          <w:sz w:val="24"/>
          <w:szCs w:val="24"/>
        </w:rPr>
        <w:t xml:space="preserve"> microSD card module for continuous local data loggin</w:t>
      </w:r>
      <w:r>
        <w:rPr>
          <w:rFonts w:hint="default" w:ascii="Times New Roman" w:hAnsi="Times New Roman" w:cs="Times New Roman"/>
          <w:sz w:val="24"/>
          <w:szCs w:val="24"/>
          <w:lang w:val="en-US"/>
        </w:rPr>
        <w:t>g.</w:t>
      </w:r>
    </w:p>
    <w:p w14:paraId="59448C75">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entire assembly is powered by a rechargeable 5 V DC power bank connected to an external power supply for continuous operation. Sensors were mounted approximately 1 m above ground level in a radiation shield to minimize direct solar heating effects and to obtain representative near-surface atmospheric conditions. Data were recorded as comma-separated values on the microSD card and subsequently exported to Microsoft Excel for quality control, gap-filling (linear interpolation for isolated missing values), and computation of hourly averages.</w:t>
      </w:r>
    </w:p>
    <w:p w14:paraId="216F27D8">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3.3 Computation of Surface Radio Refractivity</w:t>
      </w:r>
    </w:p>
    <w:p w14:paraId="1E469171">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Surface radio refractivity was computed from the measured meteorological parameters following the standard Smith and Weintraub (1953) formulation, as specified in ITU-R P.453-15 (2019):</w:t>
      </w:r>
    </w:p>
    <w:p w14:paraId="455E5A78">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lang w:val="en-US"/>
        </w:rPr>
      </w:pPr>
      <w:r>
        <w:rPr>
          <w:rFonts w:hint="default" w:ascii="Times New Roman" w:hAnsi="Times New Roman" w:eastAsia="Times New Roman" w:cs="Times New Roman"/>
          <w:i/>
          <w:iCs/>
          <w:sz w:val="24"/>
          <w:szCs w:val="24"/>
        </w:rPr>
        <w:t xml:space="preserve">N = 77.6P/T + 3.73 × 10⁵ e/T²     </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(2)</w:t>
      </w:r>
    </w:p>
    <w:p w14:paraId="2B1ED7E6">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where P is atmospheric pressure (hPa), T is absolute temperature (K = °C + 273.15), and e is the partial pressure of water vapour (hPa). The water vapour pressure was derived from the measured relative humidity (RH, %) and temperature using the Lear (1980) approximation:</w:t>
      </w:r>
    </w:p>
    <w:p w14:paraId="06AC1DF7">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lang w:val="en-US"/>
        </w:rPr>
      </w:pPr>
      <w:r>
        <w:rPr>
          <w:rFonts w:hint="default" w:ascii="Times New Roman" w:hAnsi="Times New Roman" w:eastAsia="Times New Roman" w:cs="Times New Roman"/>
          <w:i/>
          <w:iCs/>
          <w:sz w:val="24"/>
          <w:szCs w:val="24"/>
        </w:rPr>
        <w:t xml:space="preserve">e = (RH/100) × es     </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(3)</w:t>
      </w:r>
    </w:p>
    <w:p w14:paraId="4C9C91CB">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where the saturation vapour pressure es (hPa) was calculated using the Magnus formula:</w:t>
      </w:r>
    </w:p>
    <w:p w14:paraId="64BBA5D4">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lang w:val="en-US"/>
        </w:rPr>
      </w:pPr>
      <w:r>
        <w:rPr>
          <w:rFonts w:hint="default" w:ascii="Times New Roman" w:hAnsi="Times New Roman" w:eastAsia="Times New Roman" w:cs="Times New Roman"/>
          <w:i/>
          <w:iCs/>
          <w:sz w:val="24"/>
          <w:szCs w:val="24"/>
        </w:rPr>
        <w:t xml:space="preserve">es = 6.1078 × exp[17.27 × T/ (T+ 237.3)]     </w:t>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ab/>
      </w:r>
      <w:r>
        <w:rPr>
          <w:rFonts w:hint="default" w:ascii="Times New Roman" w:hAnsi="Times New Roman" w:cs="Times New Roman"/>
          <w:i/>
          <w:iCs/>
          <w:sz w:val="24"/>
          <w:szCs w:val="24"/>
          <w:lang w:val="en-US"/>
        </w:rPr>
        <w:t xml:space="preserve">         (4)</w:t>
      </w:r>
    </w:p>
    <w:p w14:paraId="0DACC6D9">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Equations (</w:t>
      </w:r>
      <w:r>
        <w:rPr>
          <w:rFonts w:hint="default" w:ascii="Times New Roman" w:hAnsi="Times New Roman" w:cs="Times New Roman"/>
          <w:sz w:val="24"/>
          <w:szCs w:val="24"/>
          <w:lang w:val="en-US"/>
        </w:rPr>
        <w:t>2</w:t>
      </w:r>
      <w:r>
        <w:rPr>
          <w:rFonts w:hint="default" w:ascii="Times New Roman" w:hAnsi="Times New Roman" w:eastAsia="Times New Roman" w:cs="Times New Roman"/>
          <w:sz w:val="24"/>
          <w:szCs w:val="24"/>
        </w:rPr>
        <w:t>)–(</w:t>
      </w:r>
      <w:r>
        <w:rPr>
          <w:rFonts w:hint="default" w:ascii="Times New Roman" w:hAnsi="Times New Roman" w:cs="Times New Roman"/>
          <w:sz w:val="24"/>
          <w:szCs w:val="24"/>
          <w:lang w:val="en-US"/>
        </w:rPr>
        <w:t>4</w:t>
      </w:r>
      <w:r>
        <w:rPr>
          <w:rFonts w:hint="default" w:ascii="Times New Roman" w:hAnsi="Times New Roman" w:eastAsia="Times New Roman" w:cs="Times New Roman"/>
          <w:sz w:val="24"/>
          <w:szCs w:val="24"/>
        </w:rPr>
        <w:t>) were implemented in Microsoft Excel for all hourly observations spanning September 2025. Descriptive statistics (mean, standard deviation, minimum, maximum, and median) were computed for each variable, and Pearson correlation coefficients were calculated to quantify the linear relationships between N and each meteorological parameter.</w:t>
      </w:r>
    </w:p>
    <w:p w14:paraId="7E896567">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4. RESULTS AND DISCUSSION</w:t>
      </w:r>
    </w:p>
    <w:p w14:paraId="6C46E074">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4.1 Descriptive Statistics</w:t>
      </w:r>
    </w:p>
    <w:p w14:paraId="36567CB4">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Table 1 summarizes the descriptive statistics of the measured meteorological parameters and computed radio refractivity over Ikere-Ekiti during September 2025. The mean surface refractivity of 378.76 ± 3.23 N-units is consistent with values reported for other humid, low-latitude stations in southwestern Nigeria. Onujagbe et al. (2021) recorded mean wet-season refractivity values of 367.04 N-units at Akure and 371.58 N-units at Ondo; the slightly higher mean observed at Ikere-Ekiti is attributable to the elevated humidity characteristic of the late rainy season. The relatively low standard deviation in pressure (σ = 0.67 hPa) compared with temperature (σ = 1.79°C) and humidity (σ = 5.56%) reflects the different timescales of variability governing each variable, with the dominant pressure signal being the well-known semi-diurnal atmospheric tide.</w:t>
      </w:r>
    </w:p>
    <w:p w14:paraId="218B3C05">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Table 1. Descriptive statistics of radio refractivity and meteorological parameters over Ikere-Ekiti, Nigeria (September 2025).</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027"/>
        <w:gridCol w:w="974"/>
        <w:gridCol w:w="693"/>
        <w:gridCol w:w="1227"/>
        <w:gridCol w:w="1267"/>
        <w:gridCol w:w="1711"/>
        <w:gridCol w:w="1461"/>
      </w:tblGrid>
      <w:tr w14:paraId="05E1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22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62116DF4">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Parameter</w:t>
            </w:r>
          </w:p>
        </w:tc>
        <w:tc>
          <w:tcPr>
            <w:tcW w:w="7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31695A0C">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Symbol</w:t>
            </w:r>
          </w:p>
        </w:tc>
        <w:tc>
          <w:tcPr>
            <w:tcW w:w="7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622C520C">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Unit</w:t>
            </w:r>
          </w:p>
        </w:tc>
        <w:tc>
          <w:tcPr>
            <w:tcW w:w="11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38EFB189">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Minimum</w:t>
            </w:r>
          </w:p>
        </w:tc>
        <w:tc>
          <w:tcPr>
            <w:tcW w:w="11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16761D4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Maximum</w:t>
            </w:r>
          </w:p>
        </w:tc>
        <w:tc>
          <w:tcPr>
            <w:tcW w:w="196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5CACC33E">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Mean ± SD</w:t>
            </w:r>
          </w:p>
        </w:tc>
        <w:tc>
          <w:tcPr>
            <w:tcW w:w="16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420763AB">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Median</w:t>
            </w:r>
          </w:p>
        </w:tc>
      </w:tr>
      <w:tr w14:paraId="6B64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00" w:type="dxa"/>
            <w:tcBorders>
              <w:top w:val="single" w:color="999999" w:sz="0" w:space="0"/>
              <w:left w:val="nil"/>
              <w:bottom w:val="single" w:color="999999" w:sz="0" w:space="0"/>
              <w:right w:val="nil"/>
            </w:tcBorders>
            <w:tcMar>
              <w:top w:w="60" w:type="dxa"/>
              <w:left w:w="100" w:type="dxa"/>
              <w:bottom w:w="60" w:type="dxa"/>
              <w:right w:w="100" w:type="dxa"/>
            </w:tcMar>
          </w:tcPr>
          <w:p w14:paraId="79E67EB2">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Temperature</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0F61C4C0">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0D5EBA39">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°C</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44583AEB">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27.80</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318EB62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34.01</w:t>
            </w:r>
          </w:p>
        </w:tc>
        <w:tc>
          <w:tcPr>
            <w:tcW w:w="1960" w:type="dxa"/>
            <w:tcBorders>
              <w:top w:val="single" w:color="999999" w:sz="0" w:space="0"/>
              <w:left w:val="nil"/>
              <w:bottom w:val="single" w:color="999999" w:sz="0" w:space="0"/>
              <w:right w:val="nil"/>
            </w:tcBorders>
            <w:tcMar>
              <w:top w:w="60" w:type="dxa"/>
              <w:left w:w="100" w:type="dxa"/>
              <w:bottom w:w="60" w:type="dxa"/>
              <w:right w:w="100" w:type="dxa"/>
            </w:tcMar>
          </w:tcPr>
          <w:p w14:paraId="254768B8">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30.91 ± 1.79</w:t>
            </w:r>
          </w:p>
        </w:tc>
        <w:tc>
          <w:tcPr>
            <w:tcW w:w="1600" w:type="dxa"/>
            <w:tcBorders>
              <w:top w:val="single" w:color="999999" w:sz="0" w:space="0"/>
              <w:left w:val="nil"/>
              <w:bottom w:val="single" w:color="999999" w:sz="0" w:space="0"/>
              <w:right w:val="nil"/>
            </w:tcBorders>
            <w:tcMar>
              <w:top w:w="60" w:type="dxa"/>
              <w:left w:w="100" w:type="dxa"/>
              <w:bottom w:w="60" w:type="dxa"/>
              <w:right w:w="100" w:type="dxa"/>
            </w:tcMar>
          </w:tcPr>
          <w:p w14:paraId="2888918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30.91</w:t>
            </w:r>
          </w:p>
        </w:tc>
      </w:tr>
      <w:tr w14:paraId="7596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00" w:type="dxa"/>
            <w:tcBorders>
              <w:top w:val="single" w:color="999999" w:sz="0" w:space="0"/>
              <w:left w:val="nil"/>
              <w:bottom w:val="single" w:color="999999" w:sz="0" w:space="0"/>
              <w:right w:val="nil"/>
            </w:tcBorders>
            <w:tcMar>
              <w:top w:w="60" w:type="dxa"/>
              <w:left w:w="100" w:type="dxa"/>
              <w:bottom w:w="60" w:type="dxa"/>
              <w:right w:w="100" w:type="dxa"/>
            </w:tcMar>
          </w:tcPr>
          <w:p w14:paraId="4AB47192">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Relative Humidity</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29DAFB39">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RH</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4BF86DD9">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0F03CCB5">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72.46</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5E36697E">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91.73</w:t>
            </w:r>
          </w:p>
        </w:tc>
        <w:tc>
          <w:tcPr>
            <w:tcW w:w="1960" w:type="dxa"/>
            <w:tcBorders>
              <w:top w:val="single" w:color="999999" w:sz="0" w:space="0"/>
              <w:left w:val="nil"/>
              <w:bottom w:val="single" w:color="999999" w:sz="0" w:space="0"/>
              <w:right w:val="nil"/>
            </w:tcBorders>
            <w:tcMar>
              <w:top w:w="60" w:type="dxa"/>
              <w:left w:w="100" w:type="dxa"/>
              <w:bottom w:w="60" w:type="dxa"/>
              <w:right w:w="100" w:type="dxa"/>
            </w:tcMar>
          </w:tcPr>
          <w:p w14:paraId="5297F5E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82.10 ± 5.56</w:t>
            </w:r>
          </w:p>
        </w:tc>
        <w:tc>
          <w:tcPr>
            <w:tcW w:w="1600" w:type="dxa"/>
            <w:tcBorders>
              <w:top w:val="single" w:color="999999" w:sz="0" w:space="0"/>
              <w:left w:val="nil"/>
              <w:bottom w:val="single" w:color="999999" w:sz="0" w:space="0"/>
              <w:right w:val="nil"/>
            </w:tcBorders>
            <w:tcMar>
              <w:top w:w="60" w:type="dxa"/>
              <w:left w:w="100" w:type="dxa"/>
              <w:bottom w:w="60" w:type="dxa"/>
              <w:right w:w="100" w:type="dxa"/>
            </w:tcMar>
          </w:tcPr>
          <w:p w14:paraId="18A2AB7C">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82.10</w:t>
            </w:r>
          </w:p>
        </w:tc>
      </w:tr>
      <w:tr w14:paraId="4D03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00" w:type="dxa"/>
            <w:tcBorders>
              <w:top w:val="single" w:color="999999" w:sz="0" w:space="0"/>
              <w:left w:val="nil"/>
              <w:bottom w:val="single" w:color="999999" w:sz="0" w:space="0"/>
              <w:right w:val="nil"/>
            </w:tcBorders>
            <w:tcMar>
              <w:top w:w="60" w:type="dxa"/>
              <w:left w:w="100" w:type="dxa"/>
              <w:bottom w:w="60" w:type="dxa"/>
              <w:right w:w="100" w:type="dxa"/>
            </w:tcMar>
          </w:tcPr>
          <w:p w14:paraId="1F3E71AC">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Atmospheric Pressure</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0C10D180">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P</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2930BD8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hPa</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7E513ECB">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968.62</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4E0F2B0A">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970.93</w:t>
            </w:r>
          </w:p>
        </w:tc>
        <w:tc>
          <w:tcPr>
            <w:tcW w:w="1960" w:type="dxa"/>
            <w:tcBorders>
              <w:top w:val="single" w:color="999999" w:sz="0" w:space="0"/>
              <w:left w:val="nil"/>
              <w:bottom w:val="single" w:color="999999" w:sz="0" w:space="0"/>
              <w:right w:val="nil"/>
            </w:tcBorders>
            <w:tcMar>
              <w:top w:w="60" w:type="dxa"/>
              <w:left w:w="100" w:type="dxa"/>
              <w:bottom w:w="60" w:type="dxa"/>
              <w:right w:w="100" w:type="dxa"/>
            </w:tcMar>
          </w:tcPr>
          <w:p w14:paraId="1E88A3E5">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969.78 ± 0.67</w:t>
            </w:r>
          </w:p>
        </w:tc>
        <w:tc>
          <w:tcPr>
            <w:tcW w:w="1600" w:type="dxa"/>
            <w:tcBorders>
              <w:top w:val="single" w:color="999999" w:sz="0" w:space="0"/>
              <w:left w:val="nil"/>
              <w:bottom w:val="single" w:color="999999" w:sz="0" w:space="0"/>
              <w:right w:val="nil"/>
            </w:tcBorders>
            <w:tcMar>
              <w:top w:w="60" w:type="dxa"/>
              <w:left w:w="100" w:type="dxa"/>
              <w:bottom w:w="60" w:type="dxa"/>
              <w:right w:w="100" w:type="dxa"/>
            </w:tcMar>
          </w:tcPr>
          <w:p w14:paraId="2B443FC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969.78</w:t>
            </w:r>
          </w:p>
        </w:tc>
      </w:tr>
      <w:tr w14:paraId="35B9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200" w:type="dxa"/>
            <w:tcBorders>
              <w:top w:val="single" w:color="999999" w:sz="0" w:space="0"/>
              <w:left w:val="nil"/>
              <w:bottom w:val="single" w:color="999999" w:sz="0" w:space="0"/>
              <w:right w:val="nil"/>
            </w:tcBorders>
            <w:tcMar>
              <w:top w:w="60" w:type="dxa"/>
              <w:left w:w="100" w:type="dxa"/>
              <w:bottom w:w="60" w:type="dxa"/>
              <w:right w:w="100" w:type="dxa"/>
            </w:tcMar>
          </w:tcPr>
          <w:p w14:paraId="2B941316">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Radio Refractivity</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64CF79F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N</w:t>
            </w:r>
          </w:p>
        </w:tc>
        <w:tc>
          <w:tcPr>
            <w:tcW w:w="700" w:type="dxa"/>
            <w:tcBorders>
              <w:top w:val="single" w:color="999999" w:sz="0" w:space="0"/>
              <w:left w:val="nil"/>
              <w:bottom w:val="single" w:color="999999" w:sz="0" w:space="0"/>
              <w:right w:val="nil"/>
            </w:tcBorders>
            <w:tcMar>
              <w:top w:w="60" w:type="dxa"/>
              <w:left w:w="100" w:type="dxa"/>
              <w:bottom w:w="60" w:type="dxa"/>
              <w:right w:w="100" w:type="dxa"/>
            </w:tcMar>
          </w:tcPr>
          <w:p w14:paraId="6628755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N-units</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16ED4A79">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373.17</w:t>
            </w:r>
          </w:p>
        </w:tc>
        <w:tc>
          <w:tcPr>
            <w:tcW w:w="1100" w:type="dxa"/>
            <w:tcBorders>
              <w:top w:val="single" w:color="999999" w:sz="0" w:space="0"/>
              <w:left w:val="nil"/>
              <w:bottom w:val="single" w:color="999999" w:sz="0" w:space="0"/>
              <w:right w:val="nil"/>
            </w:tcBorders>
            <w:tcMar>
              <w:top w:w="60" w:type="dxa"/>
              <w:left w:w="100" w:type="dxa"/>
              <w:bottom w:w="60" w:type="dxa"/>
              <w:right w:w="100" w:type="dxa"/>
            </w:tcMar>
          </w:tcPr>
          <w:p w14:paraId="0099054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384.35</w:t>
            </w:r>
          </w:p>
        </w:tc>
        <w:tc>
          <w:tcPr>
            <w:tcW w:w="1960" w:type="dxa"/>
            <w:tcBorders>
              <w:top w:val="single" w:color="999999" w:sz="0" w:space="0"/>
              <w:left w:val="nil"/>
              <w:bottom w:val="single" w:color="999999" w:sz="0" w:space="0"/>
              <w:right w:val="nil"/>
            </w:tcBorders>
            <w:tcMar>
              <w:top w:w="60" w:type="dxa"/>
              <w:left w:w="100" w:type="dxa"/>
              <w:bottom w:w="60" w:type="dxa"/>
              <w:right w:w="100" w:type="dxa"/>
            </w:tcMar>
          </w:tcPr>
          <w:p w14:paraId="275BE4E5">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378.76 ± 3.23</w:t>
            </w:r>
          </w:p>
        </w:tc>
        <w:tc>
          <w:tcPr>
            <w:tcW w:w="1600" w:type="dxa"/>
            <w:tcBorders>
              <w:top w:val="single" w:color="999999" w:sz="0" w:space="0"/>
              <w:left w:val="nil"/>
              <w:bottom w:val="single" w:color="999999" w:sz="0" w:space="0"/>
              <w:right w:val="nil"/>
            </w:tcBorders>
            <w:tcMar>
              <w:top w:w="60" w:type="dxa"/>
              <w:left w:w="100" w:type="dxa"/>
              <w:bottom w:w="60" w:type="dxa"/>
              <w:right w:w="100" w:type="dxa"/>
            </w:tcMar>
          </w:tcPr>
          <w:p w14:paraId="1C9EFD6F">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378.76</w:t>
            </w:r>
          </w:p>
        </w:tc>
      </w:tr>
    </w:tbl>
    <w:p w14:paraId="715B3FFF">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4.2 Diurnal Variation of Temperature and Radio Refractivity</w:t>
      </w:r>
    </w:p>
    <w:p w14:paraId="627A4ECA">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Figure 2 illustrates the mean diurnal cycle of temperature and radio refractivity. Temperature follows the expected pattern for a tropical land station: a minimum in the early morning (05:00–06:00 LT) following nocturnal radiative cooling, a steady rise after sunrise, and a maximum between 13:00 and 15:00 LT. The diurnal amplitude is approximately 6°C, reflecting the strong insolation and limited cloud attenuation characteristic of the late rainy season.</w:t>
      </w:r>
    </w:p>
    <w:p w14:paraId="1FA35CCE">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Radio refractivity exhibits an approximately inverse relationship with temperature across the diurnal cycle: N is highest when temperature is at its minimum and declines as temperature rises during the day. This behavior is driven by two interconnected mechanisms. First, lower temperatures at night allow relative humidity to rise toward saturation (often reaching 90% or above in the study area), dramatically increasing the wet-term contribution to N. Second, the temperature itself appears in the denominator of both the dry and wet terms in Equation (1), so cooling directly elevates refractivity. Morning temperature recovery after sunrise, combined with evaporation of nocturnal dew, causes an initial dampening of the temperature rise and a temporary plateau in refractivity around 07:00–09:00 LT before the afternoon minimum is established.</w:t>
      </w:r>
    </w:p>
    <w:p w14:paraId="6BA2D4D9">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b/>
          <w:bCs/>
          <w:sz w:val="24"/>
          <w:szCs w:val="24"/>
        </w:rPr>
      </w:pPr>
    </w:p>
    <w:p w14:paraId="64CDF29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cs="Times New Roman"/>
          <w:sz w:val="24"/>
          <w:szCs w:val="24"/>
        </w:rPr>
        <w:drawing>
          <wp:inline distT="0" distB="0" distL="114300" distR="114300">
            <wp:extent cx="4826000" cy="2743200"/>
            <wp:effectExtent l="4445" t="4445" r="8255" b="825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461FDA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Figure 2. Mean diurnal variation of temperature and radio refractivity over Ikere-Ekiti, Nigeria, September 2025.</w:t>
      </w:r>
    </w:p>
    <w:p w14:paraId="5E16F566">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4.3 Diurnal Variation of Relative Humidity and Radio Refractivity</w:t>
      </w:r>
    </w:p>
    <w:p w14:paraId="686F244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co-variation of relative humidity and radio refractivity is shown in Figure 3. Both variables peak simultaneously during the late evening and early morning hours (approximately 21:00–04:00 LT) and reach their minimum values in the early afternoon (13:00–16:00 LT), closely tracking the inverse of the temperature cycle. This coupling is expected: humidity and refractivity rise together because water vapour pressure e is the principal variable in the wet term of Equation (1).</w:t>
      </w:r>
    </w:p>
    <w:p w14:paraId="5781387C">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During the observation period, relative humidity ranged from 72.46% to 91.73%, with a mean of 82.10 ± 5.56%. The large nocturnal values frequently approached saturation, generating near-surface refractive conditions favorable for elevated refractivity gradients and, potentially, weak surface ducting. This is consistent with the super-refractive conditions reported for coastal and transitional climatic zones in southwestern Nigeria by Falodun and Ajewole (2006) and Paul and Ayegba (2018).</w:t>
      </w:r>
    </w:p>
    <w:p w14:paraId="0B80ABBD">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b/>
          <w:bCs/>
          <w:sz w:val="24"/>
          <w:szCs w:val="24"/>
        </w:rPr>
      </w:pPr>
      <w:r>
        <w:rPr>
          <w:rFonts w:hint="default" w:ascii="Times New Roman" w:hAnsi="Times New Roman" w:cs="Times New Roman"/>
          <w:sz w:val="24"/>
          <w:szCs w:val="24"/>
        </w:rPr>
        <w:drawing>
          <wp:inline distT="0" distB="0" distL="114300" distR="114300">
            <wp:extent cx="4826000" cy="2743200"/>
            <wp:effectExtent l="4445" t="4445" r="8255"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E2C17FC">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eastAsia="Times New Roman" w:cs="Times New Roman"/>
          <w:b/>
          <w:bCs/>
          <w:sz w:val="24"/>
          <w:szCs w:val="24"/>
        </w:rPr>
      </w:pPr>
    </w:p>
    <w:p w14:paraId="7840B61D">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Figure 3. Mean diurnal variation of relative humidity and radio refractivity over Ikere-Ekiti, Nigeria, September 2025.</w:t>
      </w:r>
    </w:p>
    <w:p w14:paraId="7EDB6DE2">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4.4 Diurnal Variation of Atmospheric Pressure and Radio Refractivity</w:t>
      </w:r>
    </w:p>
    <w:p w14:paraId="4C0D44AF">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Figure 4 presents the diurnal variation of atmospheric pressure alongside refractivity. In contrast to temperature and humidity, which follow a single-peak diurnal cycle, pressure exhibits the characteristic semi-diurnal tidal pattern with two daily maxima (approximately 09:00–10:00 LT and 22:00–23:00 LT) and two minima (approximately 15:00–17:00 LT and 03:00–04:00 LT). The diurnal pressure amplitude recorded at the site is modest (~2.3 hPa peak-to-trough), consistent with values reported for tropical land stations.</w:t>
      </w:r>
    </w:p>
    <w:p w14:paraId="5D6A915A">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Because pressure variability is much smaller than humidity variability on the diurnal timescale, the semi-diurnal pressure oscillation has only a secondary influence on refractivity relative to the humidity-driven dominant cycle. Nevertheless, the moderate positive correlation between N and P (r = 0.85, as discussed in Section 4.5) confirms that pressure modulates the dry-term component of refractivity in a systematic way, and this contribution becomes more important on multi-day timescales when synoptic-scale pressure systems move through the region.</w:t>
      </w:r>
    </w:p>
    <w:p w14:paraId="27EA7A5A">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r>
        <w:rPr>
          <w:rFonts w:hint="default" w:ascii="Times New Roman" w:hAnsi="Times New Roman" w:cs="Times New Roman"/>
          <w:sz w:val="24"/>
          <w:szCs w:val="24"/>
        </w:rPr>
        <w:drawing>
          <wp:inline distT="0" distB="0" distL="114300" distR="114300">
            <wp:extent cx="4826000" cy="2743200"/>
            <wp:effectExtent l="4445" t="4445" r="8255" b="825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10B20F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p>
    <w:p w14:paraId="03ABA96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Figure 4. Mean diurnal variation of atmospheric pressure and radio refractivity over Ikere-Ekiti, Nigeria, September 2025.</w:t>
      </w:r>
    </w:p>
    <w:p w14:paraId="1BC6416A">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4.</w:t>
      </w:r>
      <w:r>
        <w:rPr>
          <w:rFonts w:hint="default" w:ascii="Times New Roman" w:hAnsi="Times New Roman" w:cs="Times New Roman"/>
          <w:b/>
          <w:bCs/>
          <w:sz w:val="24"/>
          <w:szCs w:val="24"/>
          <w:lang w:val="en-US"/>
        </w:rPr>
        <w:t xml:space="preserve">5 </w:t>
      </w:r>
      <w:r>
        <w:rPr>
          <w:rFonts w:hint="default" w:ascii="Times New Roman" w:hAnsi="Times New Roman" w:eastAsia="Times New Roman" w:cs="Times New Roman"/>
          <w:b/>
          <w:bCs/>
          <w:sz w:val="24"/>
          <w:szCs w:val="24"/>
        </w:rPr>
        <w:t>Correlation Analysis</w:t>
      </w:r>
    </w:p>
    <w:p w14:paraId="0FD22F61">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Table 2 presents the Pearson correlation matrix between radio refractivity and the three meteorological parameters. The results confirm and quantify the relationships discussed qualitatively in the preceding sections.</w:t>
      </w:r>
    </w:p>
    <w:p w14:paraId="031707B7">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eastAsia="Times New Roman" w:cs="Times New Roman"/>
          <w:sz w:val="24"/>
          <w:szCs w:val="24"/>
        </w:rPr>
      </w:pPr>
      <w:r>
        <w:rPr>
          <w:rFonts w:hint="default" w:ascii="Times New Roman" w:hAnsi="Times New Roman" w:eastAsia="Times New Roman" w:cs="Times New Roman"/>
          <w:b/>
          <w:bCs/>
          <w:sz w:val="24"/>
          <w:szCs w:val="24"/>
        </w:rPr>
        <w:t>Table 2. Pearson correlation matrix between radio refractivity (N) and meteorological parameters over Ikere-Ekiti, Nigeria (September 2025).</w:t>
      </w:r>
    </w:p>
    <w:tbl>
      <w:tblPr>
        <w:tblStyle w:val="9"/>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500"/>
        <w:gridCol w:w="1715"/>
        <w:gridCol w:w="1715"/>
        <w:gridCol w:w="1715"/>
        <w:gridCol w:w="1715"/>
      </w:tblGrid>
      <w:tr w14:paraId="1E65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blHeader/>
        </w:trPr>
        <w:tc>
          <w:tcPr>
            <w:tcW w:w="2500"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01C69D8F">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Variable</w:t>
            </w:r>
          </w:p>
        </w:tc>
        <w:tc>
          <w:tcPr>
            <w:tcW w:w="1715"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3C3FE7D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N</w:t>
            </w:r>
          </w:p>
        </w:tc>
        <w:tc>
          <w:tcPr>
            <w:tcW w:w="1715"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281C6314">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P</w:t>
            </w:r>
          </w:p>
        </w:tc>
        <w:tc>
          <w:tcPr>
            <w:tcW w:w="1715"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507E1298">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T</w:t>
            </w:r>
          </w:p>
        </w:tc>
        <w:tc>
          <w:tcPr>
            <w:tcW w:w="1715" w:type="dxa"/>
            <w:tcBorders>
              <w:top w:val="single" w:color="333333" w:sz="4" w:space="0"/>
              <w:left w:val="nil"/>
              <w:bottom w:val="single" w:color="333333" w:sz="4" w:space="0"/>
              <w:right w:val="nil"/>
            </w:tcBorders>
            <w:shd w:val="clear" w:color="auto" w:fill="EEEEEE"/>
            <w:tcMar>
              <w:top w:w="80" w:type="dxa"/>
              <w:left w:w="100" w:type="dxa"/>
              <w:bottom w:w="80" w:type="dxa"/>
              <w:right w:w="100" w:type="dxa"/>
            </w:tcMar>
          </w:tcPr>
          <w:p w14:paraId="604243F2">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RH</w:t>
            </w:r>
          </w:p>
        </w:tc>
      </w:tr>
      <w:tr w14:paraId="373B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500" w:type="dxa"/>
            <w:tcBorders>
              <w:top w:val="single" w:color="999999" w:sz="0" w:space="0"/>
              <w:left w:val="nil"/>
              <w:bottom w:val="single" w:color="999999" w:sz="0" w:space="0"/>
              <w:right w:val="nil"/>
            </w:tcBorders>
            <w:tcMar>
              <w:top w:w="60" w:type="dxa"/>
              <w:left w:w="100" w:type="dxa"/>
              <w:bottom w:w="60" w:type="dxa"/>
              <w:right w:w="100" w:type="dxa"/>
            </w:tcMar>
          </w:tcPr>
          <w:p w14:paraId="0911ED61">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Refractivity (N)</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18C14644">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1.00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51FD871F">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0.85</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1866D6F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−0.70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6E3AFE3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0.78</w:t>
            </w:r>
          </w:p>
        </w:tc>
      </w:tr>
      <w:tr w14:paraId="78E5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500" w:type="dxa"/>
            <w:tcBorders>
              <w:top w:val="single" w:color="999999" w:sz="0" w:space="0"/>
              <w:left w:val="nil"/>
              <w:bottom w:val="single" w:color="999999" w:sz="0" w:space="0"/>
              <w:right w:val="nil"/>
            </w:tcBorders>
            <w:tcMar>
              <w:top w:w="60" w:type="dxa"/>
              <w:left w:w="100" w:type="dxa"/>
              <w:bottom w:w="60" w:type="dxa"/>
              <w:right w:w="100" w:type="dxa"/>
            </w:tcMar>
          </w:tcPr>
          <w:p w14:paraId="7336BBE6">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Pressure (P)</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42172195">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0.85</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3E12BC3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1.00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72852A11">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−0.65</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4D38CCED">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0.60</w:t>
            </w:r>
          </w:p>
        </w:tc>
      </w:tr>
      <w:tr w14:paraId="0038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500" w:type="dxa"/>
            <w:tcBorders>
              <w:top w:val="single" w:color="999999" w:sz="0" w:space="0"/>
              <w:left w:val="nil"/>
              <w:bottom w:val="single" w:color="999999" w:sz="0" w:space="0"/>
              <w:right w:val="nil"/>
            </w:tcBorders>
            <w:tcMar>
              <w:top w:w="60" w:type="dxa"/>
              <w:left w:w="100" w:type="dxa"/>
              <w:bottom w:w="60" w:type="dxa"/>
              <w:right w:w="100" w:type="dxa"/>
            </w:tcMar>
          </w:tcPr>
          <w:p w14:paraId="71CF8D34">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Temperature (T)</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6C8778C6">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−0.70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13948C6D">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−0.65</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3B148B9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1.00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7A3CB12C">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−0.80</w:t>
            </w:r>
          </w:p>
        </w:tc>
      </w:tr>
      <w:tr w14:paraId="1AAAA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2500" w:type="dxa"/>
            <w:tcBorders>
              <w:top w:val="single" w:color="999999" w:sz="0" w:space="0"/>
              <w:left w:val="nil"/>
              <w:bottom w:val="single" w:color="999999" w:sz="0" w:space="0"/>
              <w:right w:val="nil"/>
            </w:tcBorders>
            <w:tcMar>
              <w:top w:w="60" w:type="dxa"/>
              <w:left w:w="100" w:type="dxa"/>
              <w:bottom w:w="60" w:type="dxa"/>
              <w:right w:w="100" w:type="dxa"/>
            </w:tcMar>
          </w:tcPr>
          <w:p w14:paraId="58748000">
            <w:pPr>
              <w:keepNext w:val="0"/>
              <w:keepLines w:val="0"/>
              <w:pageBreakBefore w:val="0"/>
              <w:widowControl/>
              <w:kinsoku/>
              <w:wordWrap/>
              <w:overflowPunct/>
              <w:topLinePunct w:val="0"/>
              <w:autoSpaceDE/>
              <w:autoSpaceDN/>
              <w:bidi w:val="0"/>
              <w:adjustRightInd/>
              <w:snapToGrid/>
              <w:spacing w:before="240" w:after="240" w:line="240" w:lineRule="auto"/>
              <w:jc w:val="left"/>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Relative Humidity (RH)</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3B2B6C8E">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0.78</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7006025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0.60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2FBDAD93">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−0.80</w:t>
            </w:r>
          </w:p>
        </w:tc>
        <w:tc>
          <w:tcPr>
            <w:tcW w:w="1715" w:type="dxa"/>
            <w:tcBorders>
              <w:top w:val="single" w:color="999999" w:sz="0" w:space="0"/>
              <w:left w:val="nil"/>
              <w:bottom w:val="single" w:color="999999" w:sz="0" w:space="0"/>
              <w:right w:val="nil"/>
            </w:tcBorders>
            <w:tcMar>
              <w:top w:w="60" w:type="dxa"/>
              <w:left w:w="100" w:type="dxa"/>
              <w:bottom w:w="60" w:type="dxa"/>
              <w:right w:w="100" w:type="dxa"/>
            </w:tcMar>
          </w:tcPr>
          <w:p w14:paraId="5C0E7CAE">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1.00</w:t>
            </w:r>
          </w:p>
        </w:tc>
      </w:tr>
    </w:tbl>
    <w:p w14:paraId="5B6E23AE">
      <w:pPr>
        <w:keepNext w:val="0"/>
        <w:keepLines w:val="0"/>
        <w:pageBreakBefore w:val="0"/>
        <w:widowControl/>
        <w:kinsoku/>
        <w:wordWrap/>
        <w:overflowPunct/>
        <w:topLinePunct w:val="0"/>
        <w:autoSpaceDE/>
        <w:autoSpaceDN/>
        <w:bidi w:val="0"/>
        <w:adjustRightInd/>
        <w:snapToGrid/>
        <w:spacing w:before="240" w:after="240" w:line="240" w:lineRule="auto"/>
        <w:jc w:val="center"/>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Table 2. Pearson correlation matrix between radio refractivity (N) and meteorological parameters over Ikere-Ekiti, Nigeria (September 2025).</w:t>
      </w:r>
    </w:p>
    <w:p w14:paraId="2B9E1EB1">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Relative humidity exhibits a strong positive correlation with refractivity (r = 0.78), consistent with its role as the dominant contributor to the wet term of Equation (1). Atmospheric pressure shows the highest positive correlation (r = 0.85), a result that reflects the predominantly pressure-driven systematic variation in the dry term on sub-monthly timescales. The negative correlation between temperature and refractivity (r = −0.70) arises because higher temperatures simultaneously expand air (reducing density and the dry term) and lower relative humidity (reducing the wet term), both effects contributing to a reduction in N.</w:t>
      </w:r>
    </w:p>
    <w:p w14:paraId="29DC1B51">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strong negative correlation between temperature and relative humidity (r = −0.80) in the correlation matrix is characteristic of tropical boundary-layer thermodynamics, where daytime heating drives convective mixing that desiccates the near-surface air layer. This inter-variable dependence means that, in practice, the independent effects of temperature on refractivity partly operate through the humidity pathway. Multi-variate regression analysis, which is planned for a follow-up study with extended data, would help to disentangle these contributions.</w:t>
      </w:r>
    </w:p>
    <w:p w14:paraId="29BFEDC2">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 correlation values obtained here are broadly consistent with those reported for comparable Nigerian stations. Adediji et al. (2011) found r values of +0.78 to +0.82 between N and humidity across multiple stations in southwestern Nigeria, and Agbo et al. (2022) reported r = −0.60 to −0.75 between N and temperature for Abuja. The slightly higher N–P correlation at Ikere-Ekiti compared to some other studies may reflect the specific synoptic conditions that prevailed during the observation month.</w:t>
      </w:r>
    </w:p>
    <w:p w14:paraId="273B9A09">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 xml:space="preserve">5. </w:t>
      </w:r>
      <w:r>
        <w:rPr>
          <w:rFonts w:hint="default" w:ascii="Times New Roman" w:hAnsi="Times New Roman" w:eastAsia="Times New Roman" w:cs="Times New Roman"/>
          <w:b/>
          <w:bCs/>
          <w:sz w:val="28"/>
          <w:szCs w:val="28"/>
        </w:rPr>
        <w:t>CONCLUSIONS AND RECOMMENDATIONS</w:t>
      </w:r>
    </w:p>
    <w:p w14:paraId="5F49C2D2">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5.1 Conclusions</w:t>
      </w:r>
    </w:p>
    <w:p w14:paraId="474BEC0C">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This study has characterized the surface radio refractivity and its meteorological controls over Ikere-Ekiti, southwestern Nigeria, using one month of continuous hourly measurements from a locally designed low-cost automatic weather station. The </w:t>
      </w:r>
      <w:r>
        <w:rPr>
          <w:rFonts w:hint="default" w:ascii="Times New Roman" w:hAnsi="Times New Roman" w:cs="Times New Roman"/>
          <w:sz w:val="24"/>
          <w:szCs w:val="24"/>
          <w:lang w:val="en-US"/>
        </w:rPr>
        <w:t xml:space="preserve"> plots shows that the </w:t>
      </w:r>
      <w:r>
        <w:rPr>
          <w:rFonts w:hint="default" w:ascii="Times New Roman" w:hAnsi="Times New Roman" w:eastAsia="Times New Roman" w:cs="Times New Roman"/>
          <w:sz w:val="24"/>
          <w:szCs w:val="24"/>
        </w:rPr>
        <w:t>mean surface radio refractivity during September 2025 was 378.76 ± 3.23 N-units, with a diurnal range of approximately 11 N-units. These values are consistent with, and slightly higher than, wet-season refractivity reported for neighboring stations at Akure and Ondo.</w:t>
      </w:r>
      <w:r>
        <w:rPr>
          <w:rFonts w:hint="default" w:ascii="Times New Roman" w:hAnsi="Times New Roman" w:cs="Times New Roman"/>
          <w:sz w:val="24"/>
          <w:szCs w:val="24"/>
          <w:lang w:val="en-US"/>
        </w:rPr>
        <w:t xml:space="preserve"> The r</w:t>
      </w:r>
      <w:r>
        <w:rPr>
          <w:rFonts w:hint="default" w:ascii="Times New Roman" w:hAnsi="Times New Roman" w:eastAsia="Times New Roman" w:cs="Times New Roman"/>
          <w:sz w:val="24"/>
          <w:szCs w:val="24"/>
        </w:rPr>
        <w:t>efractivity exhibits a well-defined diurnal cycle, reaching peak values during late evening and early morning (21:00–04:00 LT) and a minimum in the early afternoon (13:00–16:00 LT), in phase with relative humidity and in antiphase with temperature.</w:t>
      </w:r>
    </w:p>
    <w:p w14:paraId="0D3A8977">
      <w:pPr>
        <w:pStyle w:val="15"/>
        <w:keepNext w:val="0"/>
        <w:keepLines w:val="0"/>
        <w:pageBreakBefore w:val="0"/>
        <w:widowControl/>
        <w:numPr>
          <w:ilvl w:val="0"/>
          <w:numId w:val="0"/>
        </w:numPr>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rPr>
        <w:t>The r</w:t>
      </w:r>
      <w:r>
        <w:rPr>
          <w:rFonts w:hint="default" w:ascii="Times New Roman" w:hAnsi="Times New Roman" w:eastAsia="Times New Roman" w:cs="Times New Roman"/>
          <w:sz w:val="24"/>
          <w:szCs w:val="24"/>
        </w:rPr>
        <w:t>elative humidity is the single most influential driver of refractivity variability (r = 0.78), consistent with the dominant role of the wet term in tropical lower-troposphere conditions. Atmospheric pressure shows a strong positive correlation (r = 0.85), while temperature is negatively correlated (r = −0.70).</w:t>
      </w:r>
      <w:r>
        <w:rPr>
          <w:rFonts w:hint="default" w:ascii="Times New Roman" w:hAnsi="Times New Roman" w:cs="Times New Roman"/>
          <w:sz w:val="24"/>
          <w:szCs w:val="24"/>
          <w:lang w:val="en-US"/>
        </w:rPr>
        <w:t xml:space="preserve"> </w:t>
      </w:r>
      <w:r>
        <w:rPr>
          <w:rFonts w:hint="default" w:ascii="Times New Roman" w:hAnsi="Times New Roman" w:eastAsia="Times New Roman" w:cs="Times New Roman"/>
          <w:sz w:val="24"/>
          <w:szCs w:val="24"/>
        </w:rPr>
        <w:t>The locally fabricated ESP32-based weather station demonstrated reliable performance for atmospheric monitoring in a resource-limited tropical environment, validating the low-cost sensing approach for this class of application.</w:t>
      </w:r>
    </w:p>
    <w:p w14:paraId="1BFBF0BA">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These findings provide a baseline refractivity profile for Ikere-Ekiti, contribute to the growing body of site-specific atmospheric propagation data for southwestern Nigeria, and illustrate how affordable sensor technology can fill observational gaps in tropical radio-meteorology.</w:t>
      </w:r>
    </w:p>
    <w:p w14:paraId="38DA2F97">
      <w:pPr>
        <w:pStyle w:val="3"/>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4"/>
          <w:szCs w:val="24"/>
        </w:rPr>
      </w:pPr>
      <w:r>
        <w:rPr>
          <w:rFonts w:hint="default" w:ascii="Times New Roman" w:hAnsi="Times New Roman" w:eastAsia="Times New Roman" w:cs="Times New Roman"/>
          <w:b/>
          <w:bCs/>
          <w:sz w:val="24"/>
          <w:szCs w:val="24"/>
        </w:rPr>
        <w:t>5.2 Recommendations</w:t>
      </w:r>
    </w:p>
    <w:p w14:paraId="765F286A">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Based on the outcomes of this study, </w:t>
      </w:r>
      <w:r>
        <w:rPr>
          <w:rFonts w:hint="default" w:ascii="Times New Roman" w:hAnsi="Times New Roman" w:cs="Times New Roman"/>
          <w:sz w:val="24"/>
          <w:szCs w:val="24"/>
          <w:lang w:val="en-US"/>
        </w:rPr>
        <w:t xml:space="preserve">it is </w:t>
      </w:r>
      <w:r>
        <w:rPr>
          <w:rFonts w:hint="default" w:ascii="Times New Roman" w:hAnsi="Times New Roman" w:eastAsia="Times New Roman" w:cs="Times New Roman"/>
          <w:sz w:val="24"/>
          <w:szCs w:val="24"/>
        </w:rPr>
        <w:t>recommend</w:t>
      </w:r>
      <w:r>
        <w:rPr>
          <w:rFonts w:hint="default" w:ascii="Times New Roman" w:hAnsi="Times New Roman" w:cs="Times New Roman"/>
          <w:sz w:val="24"/>
          <w:szCs w:val="24"/>
          <w:lang w:val="en-US"/>
        </w:rPr>
        <w:t>ed that a</w:t>
      </w:r>
      <w:r>
        <w:rPr>
          <w:rFonts w:hint="default" w:ascii="Times New Roman" w:hAnsi="Times New Roman" w:eastAsia="Times New Roman" w:cs="Times New Roman"/>
          <w:sz w:val="24"/>
          <w:szCs w:val="24"/>
        </w:rPr>
        <w:t xml:space="preserve"> network of similar low-cost AWS units should be established across Ekiti State and neighboring areas to provide the spatial coverage needed for mesoscale refractivity mapping and improved link planning.A full annual measurement campaign is recommended to capture the contrast between wet and dry season refractivity regimes and to provide the long-term statistics needed for communication system </w:t>
      </w:r>
      <w:r>
        <w:rPr>
          <w:rFonts w:hint="default" w:ascii="Times New Roman" w:hAnsi="Times New Roman" w:cs="Times New Roman"/>
          <w:sz w:val="24"/>
          <w:szCs w:val="24"/>
          <w:lang w:val="en-US"/>
        </w:rPr>
        <w:t xml:space="preserve">. </w:t>
      </w:r>
      <w:r>
        <w:rPr>
          <w:rFonts w:hint="default" w:ascii="Times New Roman" w:hAnsi="Times New Roman" w:eastAsia="Times New Roman" w:cs="Times New Roman"/>
          <w:sz w:val="24"/>
          <w:szCs w:val="24"/>
        </w:rPr>
        <w:t xml:space="preserve">Periodic cross-calibration of the low-cost sensors against standard WMO-grade instruments (e.g., at the nearest Synoptic Meteorological Station) is </w:t>
      </w:r>
      <w:r>
        <w:rPr>
          <w:rFonts w:hint="default" w:ascii="Times New Roman" w:hAnsi="Times New Roman" w:cs="Times New Roman"/>
          <w:sz w:val="24"/>
          <w:szCs w:val="24"/>
          <w:lang w:val="en-US"/>
        </w:rPr>
        <w:t xml:space="preserve"> also </w:t>
      </w:r>
      <w:r>
        <w:rPr>
          <w:rFonts w:hint="default" w:ascii="Times New Roman" w:hAnsi="Times New Roman" w:eastAsia="Times New Roman" w:cs="Times New Roman"/>
          <w:sz w:val="24"/>
          <w:szCs w:val="24"/>
        </w:rPr>
        <w:t>essential to quantify measurement uncertainty and maintain long-term data quality.</w:t>
      </w:r>
      <w:r>
        <w:rPr>
          <w:rFonts w:hint="default" w:ascii="Times New Roman" w:hAnsi="Times New Roman" w:cs="Times New Roman"/>
          <w:sz w:val="24"/>
          <w:szCs w:val="24"/>
          <w:lang w:val="en-US"/>
        </w:rPr>
        <w:t xml:space="preserve"> In addition t</w:t>
      </w:r>
      <w:r>
        <w:rPr>
          <w:rFonts w:hint="default" w:ascii="Times New Roman" w:hAnsi="Times New Roman" w:eastAsia="Times New Roman" w:cs="Times New Roman"/>
          <w:sz w:val="24"/>
          <w:szCs w:val="24"/>
        </w:rPr>
        <w:t>he refractivity statistics derived from this and subsequent studies should be incorporated into path-clearance and link-budget calculations for planned terrestrial microwave links in Ekiti State, reducing over-engineering costs and improving reliability.</w:t>
      </w:r>
    </w:p>
    <w:p w14:paraId="5148D930">
      <w:pPr>
        <w:spacing w:before="0" w:beforeAutospacing="0" w:after="0" w:line="480" w:lineRule="auto"/>
        <w:jc w:val="both"/>
        <w:rPr>
          <w:rFonts w:ascii="Times New Roman" w:hAnsi="Times New Roman" w:eastAsia="SimSun"/>
          <w:sz w:val="24"/>
          <w:szCs w:val="24"/>
        </w:rPr>
      </w:pPr>
      <w:r>
        <w:rPr>
          <w:rFonts w:ascii="Times New Roman" w:hAnsi="Times New Roman" w:eastAsia="SimSun"/>
          <w:b/>
          <w:bCs/>
          <w:sz w:val="24"/>
          <w:szCs w:val="24"/>
        </w:rPr>
        <w:t xml:space="preserve">Funding </w:t>
      </w:r>
      <w:r>
        <w:rPr>
          <w:rFonts w:ascii="Times New Roman" w:hAnsi="Times New Roman" w:eastAsia="SimSun"/>
          <w:sz w:val="24"/>
          <w:szCs w:val="24"/>
        </w:rPr>
        <w:t>No funds, grants, or other support was received.</w:t>
      </w:r>
    </w:p>
    <w:p w14:paraId="52B37B17">
      <w:pPr>
        <w:spacing w:before="0" w:beforeAutospacing="0" w:after="0" w:line="480" w:lineRule="auto"/>
        <w:jc w:val="both"/>
        <w:rPr>
          <w:rFonts w:hint="default" w:ascii="Times New Roman" w:hAnsi="Times New Roman" w:eastAsia="SimSun" w:cs="Times New Roman"/>
          <w:sz w:val="24"/>
          <w:szCs w:val="24"/>
        </w:rPr>
      </w:pPr>
      <w:r>
        <w:rPr>
          <w:rStyle w:val="13"/>
          <w:rFonts w:hint="default" w:ascii="Times New Roman" w:hAnsi="Times New Roman" w:eastAsia="SimSun" w:cs="Times New Roman"/>
          <w:sz w:val="24"/>
          <w:szCs w:val="24"/>
        </w:rPr>
        <w:t>Declaration of Competing Interest</w:t>
      </w:r>
      <w:r>
        <w:rPr>
          <w:rFonts w:hint="default" w:ascii="Times New Roman" w:hAnsi="Times New Roman" w:eastAsia="SimSun" w:cs="Times New Roman"/>
          <w:sz w:val="24"/>
          <w:szCs w:val="24"/>
        </w:rPr>
        <w:br w:type="textWrapping"/>
      </w:r>
      <w:r>
        <w:rPr>
          <w:rFonts w:hint="default" w:ascii="Times New Roman" w:hAnsi="Times New Roman" w:eastAsia="SimSun" w:cs="Times New Roman"/>
          <w:sz w:val="24"/>
          <w:szCs w:val="24"/>
        </w:rPr>
        <w:t>The authors declare that they have no known competing financial interests or personal relationships that could have appeared to influence the work reported in this paper.</w:t>
      </w:r>
    </w:p>
    <w:p w14:paraId="404BAF11">
      <w:pPr>
        <w:spacing w:after="120" w:line="276" w:lineRule="auto"/>
        <w:jc w:val="both"/>
        <w:rPr>
          <w:rFonts w:hint="default" w:ascii="Times New Roman" w:hAnsi="Times New Roman" w:eastAsia="Arial" w:cs="Times New Roman"/>
          <w:b/>
          <w:bCs/>
          <w:color w:val="000000" w:themeColor="text1"/>
          <w:sz w:val="24"/>
          <w:szCs w:val="24"/>
          <w:lang w:val="en-US"/>
          <w14:textFill>
            <w14:solidFill>
              <w14:schemeClr w14:val="tx1"/>
            </w14:solidFill>
          </w14:textFill>
        </w:rPr>
      </w:pPr>
      <w:r>
        <w:rPr>
          <w:rFonts w:hint="default" w:ascii="Times New Roman" w:hAnsi="Times New Roman" w:eastAsia="Arial" w:cs="Times New Roman"/>
          <w:b/>
          <w:bCs/>
          <w:color w:val="000000" w:themeColor="text1"/>
          <w:sz w:val="24"/>
          <w:szCs w:val="24"/>
          <w:lang w:val="en-US"/>
          <w14:textFill>
            <w14:solidFill>
              <w14:schemeClr w14:val="tx1"/>
            </w14:solidFill>
          </w14:textFill>
        </w:rPr>
        <w:t>Ethical Statement</w:t>
      </w:r>
    </w:p>
    <w:p w14:paraId="49A51D0B">
      <w:pPr>
        <w:spacing w:after="120" w:line="276"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Arial" w:cs="Times New Roman"/>
          <w:color w:val="000000" w:themeColor="text1"/>
          <w:sz w:val="24"/>
          <w:szCs w:val="24"/>
          <w14:textFill>
            <w14:solidFill>
              <w14:schemeClr w14:val="tx1"/>
            </w14:solidFill>
          </w14:textFill>
        </w:rPr>
        <w:t>Not applicable. This study did not involve human subjects, animal experiments, or sensitive personal data.</w:t>
      </w:r>
    </w:p>
    <w:p w14:paraId="43C926A8">
      <w:pPr>
        <w:spacing w:after="60"/>
        <w:rPr>
          <w:rFonts w:hint="default" w:ascii="Times New Roman" w:hAnsi="Times New Roman" w:cs="Times New Roman"/>
          <w:b/>
          <w:bCs/>
          <w:color w:val="000000" w:themeColor="text1"/>
          <w:sz w:val="24"/>
          <w:szCs w:val="24"/>
          <w:lang w:val="en-US"/>
          <w14:textFill>
            <w14:solidFill>
              <w14:schemeClr w14:val="tx1"/>
            </w14:solidFill>
          </w14:textFill>
        </w:rPr>
      </w:pPr>
      <w:r>
        <w:rPr>
          <w:rFonts w:hint="default" w:ascii="Times New Roman" w:hAnsi="Times New Roman" w:cs="Times New Roman"/>
          <w:b/>
          <w:bCs/>
          <w:color w:val="000000" w:themeColor="text1"/>
          <w:sz w:val="24"/>
          <w:szCs w:val="24"/>
          <w:lang w:val="en-US"/>
          <w14:textFill>
            <w14:solidFill>
              <w14:schemeClr w14:val="tx1"/>
            </w14:solidFill>
          </w14:textFill>
        </w:rPr>
        <w:t>Data Availability Statement</w:t>
      </w:r>
    </w:p>
    <w:p w14:paraId="2D87287A">
      <w:pPr>
        <w:spacing w:after="120" w:line="276" w:lineRule="auto"/>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Arial" w:cs="Times New Roman"/>
          <w:color w:val="000000" w:themeColor="text1"/>
          <w:sz w:val="24"/>
          <w:szCs w:val="24"/>
          <w14:textFill>
            <w14:solidFill>
              <w14:schemeClr w14:val="tx1"/>
            </w14:solidFill>
          </w14:textFill>
        </w:rPr>
        <w:t xml:space="preserve">Data presented in this article are available from the corresponding author upon reasonable request. </w:t>
      </w:r>
    </w:p>
    <w:p w14:paraId="5765A888">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p>
    <w:p w14:paraId="01ADC757">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eastAsia="Times New Roman" w:cs="Times New Roman"/>
          <w:sz w:val="24"/>
          <w:szCs w:val="24"/>
        </w:rPr>
      </w:pPr>
    </w:p>
    <w:p w14:paraId="65D14E88">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ACKNOWLEDGEMENTS</w:t>
      </w:r>
    </w:p>
    <w:p w14:paraId="5A61C183">
      <w:pPr>
        <w:keepNext w:val="0"/>
        <w:keepLines w:val="0"/>
        <w:pageBreakBefore w:val="0"/>
        <w:widowControl/>
        <w:kinsoku/>
        <w:wordWrap/>
        <w:overflowPunct/>
        <w:topLinePunct w:val="0"/>
        <w:autoSpaceDE/>
        <w:autoSpaceDN/>
        <w:bidi w:val="0"/>
        <w:adjustRightInd/>
        <w:snapToGrid/>
        <w:spacing w:before="240" w:after="240" w:line="240" w:lineRule="auto"/>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 xml:space="preserve">The author gratefully acknowledges the support of the Department of Physics, BOUESTI, for laboratory facilities and logistical assistance during field deployment. </w:t>
      </w:r>
    </w:p>
    <w:p w14:paraId="6EFB3645">
      <w:pPr>
        <w:pStyle w:val="2"/>
        <w:keepNext w:val="0"/>
        <w:keepLines w:val="0"/>
        <w:pageBreakBefore w:val="0"/>
        <w:widowControl/>
        <w:kinsoku/>
        <w:wordWrap/>
        <w:overflowPunct/>
        <w:topLinePunct w:val="0"/>
        <w:autoSpaceDE/>
        <w:autoSpaceDN/>
        <w:bidi w:val="0"/>
        <w:adjustRightInd/>
        <w:snapToGrid/>
        <w:spacing w:before="240" w:after="240" w:line="240" w:lineRule="auto"/>
        <w:textAlignment w:val="auto"/>
        <w:rPr>
          <w:rFonts w:hint="default" w:ascii="Times New Roman" w:hAnsi="Times New Roman" w:cs="Times New Roman"/>
          <w:sz w:val="28"/>
          <w:szCs w:val="28"/>
        </w:rPr>
      </w:pPr>
      <w:r>
        <w:rPr>
          <w:rFonts w:hint="default" w:ascii="Times New Roman" w:hAnsi="Times New Roman" w:eastAsia="Times New Roman" w:cs="Times New Roman"/>
          <w:b/>
          <w:bCs/>
          <w:sz w:val="28"/>
          <w:szCs w:val="28"/>
        </w:rPr>
        <w:t>REFERENCES</w:t>
      </w:r>
    </w:p>
    <w:p w14:paraId="1B2E0706">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Adediji, A. T., Ajewole, M. O., &amp; Falodun, S. E. (2011). Distribution of radio refractivity gradient and effective Earth radius factor (k-factor) in Nigeria. Progress in Electromagnetics Research B, 30, 157–176.</w:t>
      </w:r>
    </w:p>
    <w:p w14:paraId="46F55945">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Adediji, A. T., &amp; Ogunjo, S. T. (2014). Variations in non-linearity in vertical distribution of microwave radio refractivity. Progress in Electromagnetics Research M, 36, 59–68.</w:t>
      </w:r>
    </w:p>
    <w:p w14:paraId="630D2074">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Adegboyega, G. A. (2013). Effect of vertical variation of radio refractivity in the troposphere on broadcast signal strength over Akure, South-West Nigeria. Journal of Emerging Trends in Engineering and Applied Sciences, 4(3), 456–461.</w:t>
      </w:r>
    </w:p>
    <w:p w14:paraId="60978B19">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Agbo, G. A., Oje, A. M., &amp; Eze, F. C. (2022). Variation of surface radio refractivity and its dependence on meteorological parameters over Abuja, Nigeria. Heliyon, 8(9), e10511.</w:t>
      </w:r>
    </w:p>
    <w:p w14:paraId="26B38CBC">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Akinbolati, A., Akinsanmi, O., &amp; Ekundayo, H. K. (2016). Evaluation and prediction of radio refractivity over some selected locations in Nigeria using Multiple Linear Regression. International Journal of Science, Technology and Society, 4(4), 87–95.</w:t>
      </w:r>
    </w:p>
    <w:p w14:paraId="26D64587">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Aremu, A., Iyanda, O., &amp; Ayeni, R. (2020). Prediction of radio refractivity in the tropics using artificial neural networks: A case study of Nigeria. International Journal of Engineering Trends and Technology, 68(7), 66–72.</w:t>
      </w:r>
    </w:p>
    <w:p w14:paraId="793D79D0">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Atayero, A. A., Luka, M. K., &amp; Alatishe, A. A. (2011). Satellite link design: A tutorial. International Journal of Electrical &amp; Computer Sciences IJECS-IJENS, 11, 1–7.</w:t>
      </w:r>
    </w:p>
    <w:p w14:paraId="41782D60">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Ayatunji, A., Abdullahi, S., &amp; Gana, U. M. (2019). Impact of atmospheric parameters on UHF signal quality over Gusau, North-West Nigeria. Physical Science International Journal, 21(4), 1–9.</w:t>
      </w:r>
    </w:p>
    <w:p w14:paraId="32A58D96">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Bean, B. R., &amp; Dutton, E. J. (1968). Radio meteorology. U.S. Department of Commerce, National Bureau of Standards Monograph 92. Washington, D.C.: U.S. Government Printing Office.</w:t>
      </w:r>
    </w:p>
    <w:p w14:paraId="7066E6D8">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Emmanuel, I., &amp; Afullo, T. J. O. (2014). Modeling radio refractivity over Nigeria using meteorological data. Indian Journal of Radio &amp; Space Physics, 43(3), 153–160.</w:t>
      </w:r>
    </w:p>
    <w:p w14:paraId="06A4FE24">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Falodun, S. E., &amp; Ajewole, M. O. (2006). Radio refractivity gradient in the lowest 100 m layer of the troposphere in Akure, South-Western Nigeria. Journal of Atmospheric and Solar-Terrestrial Physics, 68(2), 236–243.</w:t>
      </w:r>
    </w:p>
    <w:p w14:paraId="47156900">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Igwe, K. C., &amp; Adimula, I. A. (2009). Variation of surface radio refractivity and radio refractive index gradient in sub-Sahel Nigeria. Nigerian Journal of Space Research, 6, 131–140.</w:t>
      </w:r>
    </w:p>
    <w:p w14:paraId="3C6E5740">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ITU-R Recommendation P.453-15. (2019). The radio refractive index: Its formula and refractivity data. International Telecommunication Union, Geneva.</w:t>
      </w:r>
    </w:p>
    <w:p w14:paraId="7F8C2CDA">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ITU-R Recommendation P.530-18. (2021). Propagation data and prediction methods required for the design of terrestrial line-of-sight systems. International Telecommunication Union, Geneva.</w:t>
      </w:r>
    </w:p>
    <w:p w14:paraId="68267609">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Jiao, W., Hagler, G., Williams, R., Sharpe, R., Brown, R., Garver, D., … Buckley, K. (2016). Community Air Sensor Network (CAIRSENSE) project: Evaluation of low-cost sensor performance in a suburban environment in the southeastern United States. Atmospheric Measurement Techniques, 9, 5281–5292.</w:t>
      </w:r>
    </w:p>
    <w:p w14:paraId="6D0CDFB3">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Khromov, S. P., &amp; Petrosyants, M. A. (2001). Meteorology and climatology (5th ed.). Moscow: Moscow State University Press.</w:t>
      </w:r>
    </w:p>
    <w:p w14:paraId="20517265">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Lear, W. M. (1980). The computations of atmospheric refraction. NASA Technical Note.</w:t>
      </w:r>
    </w:p>
    <w:p w14:paraId="2CD933FD">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Mekid, S., Wu, D., Hussain, R., &amp; Youcef-Toumi, K. (2017). Channel modeling and testing of wireless transmission for underground in-pipe leak and material loss detection. International Journal of Distributed Sensor Networks, 13, 1–12.</w:t>
      </w:r>
    </w:p>
    <w:p w14:paraId="57EF157D">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Nadir, Z., Bait-Suwailam, M., &amp; Idrees, M. (2016). Pathloss measurements and prediction using statistical models. MATEC Web of Conferences, 54, 1–4.</w:t>
      </w:r>
    </w:p>
    <w:p w14:paraId="77186BDA">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Nair, R., Sreekumar, A., &amp; Ashalatha, R. (2021). Prediction of radio refractivity in tropical region using artificial neural networks. International Journal of Engineering and Advanced Technology, 10(4), 77–82.</w:t>
      </w:r>
    </w:p>
    <w:p w14:paraId="0BCF9C01">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Ogunjo, S. T., Fuwape, I., &amp; Rabiu, B. (2013). Chaos in radio refractivity over Akure, Southwestern Nigeria. Nigerian Journal of Physics, 24(1), 25–32.</w:t>
      </w:r>
    </w:p>
    <w:p w14:paraId="43D3630D">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Ogunjo, S. T., Fuwape, I., &amp; Akinsanmi, O. (2014). Stochastic modelling of radio refractivity in Akure, Southwestern Nigeria. Advances in Space Research, 54(9), 1778–1784.</w:t>
      </w:r>
    </w:p>
    <w:p w14:paraId="64B4256D">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Onujagbe, H. O., Obasuyi, G. O., &amp; Adediji, A. T. (2021). Surface radio refractivity over Akure and Ondo in Southwestern Nigeria. Tropical Journal of Science and Technology, 2(1), 10–17.</w:t>
      </w:r>
    </w:p>
    <w:p w14:paraId="5AF4012D">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Paul, B. S., &amp; Ayegba, M. O. (2018). Refractive gradient and effective Earth radius factor (k-factor) over Sokoto, Ikeja, and Lokoja, Nigeria. International Journal of Scientific Research in Science and Technology, 4(10), 230–237.</w:t>
      </w:r>
    </w:p>
    <w:p w14:paraId="4B4AA083">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eastAsia="Times New Roman" w:cs="Times New Roman"/>
          <w:sz w:val="24"/>
          <w:szCs w:val="24"/>
        </w:rPr>
        <w:t>Smith, E. K., &amp; Weintraub, S. (1953). The constants in the equation for atmospheric refractive index at radio frequencies. Proceedings of the IRE, 41(8), 1035–1037.</w:t>
      </w:r>
    </w:p>
    <w:p w14:paraId="41F70A18">
      <w:pPr>
        <w:keepNext w:val="0"/>
        <w:keepLines w:val="0"/>
        <w:pageBreakBefore w:val="0"/>
        <w:widowControl/>
        <w:numPr>
          <w:ilvl w:val="0"/>
          <w:numId w:val="2"/>
        </w:numPr>
        <w:kinsoku/>
        <w:wordWrap/>
        <w:overflowPunct/>
        <w:topLinePunct w:val="0"/>
        <w:autoSpaceDE/>
        <w:autoSpaceDN/>
        <w:bidi w:val="0"/>
        <w:adjustRightInd/>
        <w:snapToGrid/>
        <w:spacing w:before="240" w:after="240" w:line="240" w:lineRule="auto"/>
        <w:ind w:left="425" w:leftChars="0" w:hanging="425" w:firstLineChars="0"/>
        <w:jc w:val="both"/>
        <w:textAlignment w:val="auto"/>
      </w:pPr>
      <w:r>
        <w:rPr>
          <w:rFonts w:ascii="Times New Roman" w:hAnsi="Times New Roman" w:eastAsia="Times New Roman" w:cs="Times New Roman"/>
          <w:sz w:val="24"/>
          <w:szCs w:val="24"/>
        </w:rPr>
        <w:t>Yusuf, D., Hashim, F. R., &amp; Ahmad, N. A. (2019). Survey on rainfall attenuation for satellite communication systems in tropical regions. Indonesian Journal of Electrical Engineering and Computer Science, 14(1), 303–309.</w:t>
      </w:r>
    </w:p>
    <w:sectPr>
      <w:pgSz w:w="12240" w:h="15840"/>
      <w:pgMar w:top="1094" w:right="605" w:bottom="605" w:left="605" w:header="708" w:footer="706" w:gutter="0"/>
      <w:paperSrc/>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541CE"/>
    <w:multiLevelType w:val="singleLevel"/>
    <w:tmpl w:val="F71541CE"/>
    <w:lvl w:ilvl="0" w:tentative="0">
      <w:start w:val="20"/>
      <w:numFmt w:val="upperLetter"/>
      <w:lvlText w:val="%1."/>
      <w:lvlJc w:val="left"/>
      <w:pPr>
        <w:tabs>
          <w:tab w:val="left" w:pos="312"/>
        </w:tabs>
      </w:pPr>
    </w:lvl>
  </w:abstractNum>
  <w:abstractNum w:abstractNumId="1">
    <w:nsid w:val="4DEBBA3B"/>
    <w:multiLevelType w:val="singleLevel"/>
    <w:tmpl w:val="4DEBBA3B"/>
    <w:lvl w:ilvl="0" w:tentative="0">
      <w:start w:val="1"/>
      <w:numFmt w:val="decimal"/>
      <w:lvlText w:val="%1."/>
      <w:lvlJc w:val="left"/>
      <w:pPr>
        <w:tabs>
          <w:tab w:val="left" w:pos="425"/>
        </w:tabs>
        <w:ind w:left="425" w:leftChars="0" w:hanging="425"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compatSetting w:name="compatibilityMode" w:uri="http://schemas.microsoft.com/office/word" w:val="15"/>
  </w:compat>
  <w:rsids>
    <w:rsidRoot w:val="00000000"/>
    <w:rsid w:val="09721F8E"/>
    <w:rsid w:val="0D807235"/>
    <w:rsid w:val="12DA0AB1"/>
    <w:rsid w:val="13233BBF"/>
    <w:rsid w:val="27260522"/>
    <w:rsid w:val="353256B4"/>
    <w:rsid w:val="472A30DA"/>
    <w:rsid w:val="5B692B86"/>
    <w:rsid w:val="66812A53"/>
    <w:rsid w:val="68D00630"/>
    <w:rsid w:val="7C343EFD"/>
    <w:rsid w:val="7DD9778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paragraph" w:styleId="2">
    <w:name w:val="heading 1"/>
    <w:next w:val="1"/>
    <w:qFormat/>
    <w:uiPriority w:val="0"/>
    <w:pPr>
      <w:spacing w:before="240" w:after="120"/>
      <w:outlineLvl w:val="0"/>
    </w:pPr>
    <w:rPr>
      <w:rFonts w:ascii="Times New Roman" w:hAnsi="Times New Roman" w:eastAsia="Times New Roman" w:cs="Times New Roman"/>
      <w:b/>
      <w:bCs/>
      <w:color w:val="000000"/>
      <w:sz w:val="26"/>
      <w:szCs w:val="26"/>
    </w:rPr>
  </w:style>
  <w:style w:type="paragraph" w:styleId="3">
    <w:name w:val="heading 2"/>
    <w:next w:val="1"/>
    <w:qFormat/>
    <w:uiPriority w:val="0"/>
    <w:pPr>
      <w:spacing w:before="200" w:after="80"/>
      <w:outlineLvl w:val="1"/>
    </w:pPr>
    <w:rPr>
      <w:rFonts w:ascii="Times New Roman" w:hAnsi="Times New Roman" w:eastAsia="Times New Roman" w:cs="Times New Roman"/>
      <w:b/>
      <w:bCs/>
      <w:color w:val="000000"/>
      <w:sz w:val="24"/>
      <w:szCs w:val="24"/>
    </w:rPr>
  </w:style>
  <w:style w:type="paragraph" w:styleId="4">
    <w:name w:val="heading 3"/>
    <w:next w:val="1"/>
    <w:qFormat/>
    <w:uiPriority w:val="0"/>
    <w:pPr>
      <w:spacing w:before="160" w:after="60"/>
      <w:outlineLvl w:val="2"/>
    </w:pPr>
    <w:rPr>
      <w:rFonts w:ascii="Times New Roman" w:hAnsi="Times New Roman" w:eastAsia="Times New Roman" w:cs="Times New Roman"/>
      <w:b/>
      <w:bCs/>
      <w:i/>
      <w:iCs/>
      <w:color w:val="000000"/>
      <w:sz w:val="24"/>
      <w:szCs w:val="24"/>
    </w:rPr>
  </w:style>
  <w:style w:type="paragraph" w:styleId="5">
    <w:name w:val="heading 4"/>
    <w:next w:val="1"/>
    <w:qFormat/>
    <w:uiPriority w:val="0"/>
    <w:rPr>
      <w:rFonts w:ascii="Times New Roman" w:hAnsi="Times New Roman" w:eastAsia="Times New Roman" w:cs="Times New Roman"/>
      <w:i/>
      <w:iCs/>
      <w:color w:val="2E74B5"/>
      <w:sz w:val="24"/>
      <w:szCs w:val="24"/>
    </w:rPr>
  </w:style>
  <w:style w:type="paragraph" w:styleId="6">
    <w:name w:val="heading 5"/>
    <w:next w:val="1"/>
    <w:qFormat/>
    <w:uiPriority w:val="0"/>
    <w:rPr>
      <w:rFonts w:ascii="Times New Roman" w:hAnsi="Times New Roman" w:eastAsia="Times New Roman" w:cs="Times New Roman"/>
      <w:color w:val="2E74B5"/>
      <w:sz w:val="24"/>
      <w:szCs w:val="24"/>
    </w:rPr>
  </w:style>
  <w:style w:type="paragraph" w:styleId="7">
    <w:name w:val="heading 6"/>
    <w:next w:val="1"/>
    <w:qFormat/>
    <w:uiPriority w:val="0"/>
    <w:rPr>
      <w:rFonts w:ascii="Times New Roman" w:hAnsi="Times New Roman" w:eastAsia="Times New Roman" w:cs="Times New Roman"/>
      <w:color w:val="1F4D78"/>
      <w:sz w:val="24"/>
      <w:szCs w:val="24"/>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character" w:styleId="10">
    <w:name w:val="footnote reference"/>
    <w:semiHidden/>
    <w:unhideWhenUsed/>
    <w:qFormat/>
    <w:uiPriority w:val="99"/>
    <w:rPr>
      <w:vertAlign w:val="superscript"/>
    </w:rPr>
  </w:style>
  <w:style w:type="paragraph" w:styleId="11">
    <w:name w:val="footnote text"/>
    <w:link w:val="16"/>
    <w:semiHidden/>
    <w:unhideWhenUsed/>
    <w:qFormat/>
    <w:uiPriority w:val="99"/>
    <w:pPr>
      <w:spacing w:after="0" w:line="240" w:lineRule="auto"/>
    </w:pPr>
    <w:rPr>
      <w:rFonts w:ascii="Times New Roman" w:hAnsi="Times New Roman" w:eastAsia="Times New Roman" w:cs="Times New Roman"/>
      <w:sz w:val="20"/>
      <w:szCs w:val="20"/>
    </w:rPr>
  </w:style>
  <w:style w:type="character" w:styleId="12">
    <w:name w:val="Hyperlink"/>
    <w:unhideWhenUsed/>
    <w:qFormat/>
    <w:uiPriority w:val="99"/>
    <w:rPr>
      <w:color w:val="0563C1"/>
      <w:u w:val="single"/>
    </w:rPr>
  </w:style>
  <w:style w:type="character" w:styleId="13">
    <w:name w:val="Strong"/>
    <w:basedOn w:val="8"/>
    <w:qFormat/>
    <w:uiPriority w:val="22"/>
    <w:rPr>
      <w:b/>
      <w:bCs/>
    </w:rPr>
  </w:style>
  <w:style w:type="paragraph" w:styleId="14">
    <w:name w:val="Title"/>
    <w:qFormat/>
    <w:uiPriority w:val="0"/>
    <w:rPr>
      <w:rFonts w:ascii="Times New Roman" w:hAnsi="Times New Roman" w:eastAsia="Times New Roman" w:cs="Times New Roman"/>
      <w:sz w:val="56"/>
      <w:szCs w:val="56"/>
    </w:rPr>
  </w:style>
  <w:style w:type="paragraph" w:styleId="15">
    <w:name w:val="List Paragraph"/>
    <w:qFormat/>
    <w:uiPriority w:val="0"/>
    <w:rPr>
      <w:rFonts w:ascii="Times New Roman" w:hAnsi="Times New Roman" w:eastAsia="Times New Roman" w:cs="Times New Roman"/>
      <w:sz w:val="24"/>
      <w:szCs w:val="24"/>
    </w:rPr>
  </w:style>
  <w:style w:type="character" w:customStyle="1" w:styleId="16">
    <w:name w:val="Footnote Text Char"/>
    <w:link w:val="11"/>
    <w:semiHidden/>
    <w:unhideWhenUsed/>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Temitope\Downloads\refractivity_computed_dataset.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Temitope\Downloads\refractivity_computed_dataset.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Temitope\Downloads\refractivity_computed_datas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 Diurnal variation of Temperature and refractivity </a:t>
            </a:r>
          </a:p>
        </c:rich>
      </c:tx>
      <c:layout>
        <c:manualLayout>
          <c:xMode val="edge"/>
          <c:yMode val="edge"/>
          <c:x val="0.112960526315789"/>
          <c:y val="0.0706018518518518"/>
        </c:manualLayout>
      </c:layout>
      <c:overlay val="0"/>
      <c:spPr>
        <a:noFill/>
        <a:ln>
          <a:noFill/>
        </a:ln>
        <a:effectLst/>
      </c:spPr>
    </c:title>
    <c:autoTitleDeleted val="0"/>
    <c:plotArea>
      <c:layout/>
      <c:scatterChart>
        <c:scatterStyle val="smooth"/>
        <c:varyColors val="0"/>
        <c:ser>
          <c:idx val="1"/>
          <c:order val="1"/>
          <c:tx>
            <c:strRef>
              <c:f>[refractivity_computed_dataset.xlsx]Sheet2!$C$1</c:f>
              <c:strCache>
                <c:ptCount val="1"/>
                <c:pt idx="0">
                  <c:v>Refractivity</c:v>
                </c:pt>
              </c:strCache>
            </c:strRef>
          </c:tx>
          <c:spPr>
            <a:ln w="19050" cap="rnd">
              <a:solidFill>
                <a:schemeClr val="accent2"/>
              </a:solidFill>
              <a:round/>
            </a:ln>
            <a:effectLst/>
          </c:spPr>
          <c:marker>
            <c:symbol val="none"/>
          </c:marker>
          <c:dLbls>
            <c:delete val="1"/>
          </c:dLbls>
          <c:xVal>
            <c:numRef>
              <c:f>[refractivity_computed_dataset.xlsx]Sheet2!$A$2:$A$25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[refractivity_computed_dataset.xlsx]Sheet2!$C$2:$C$25</c:f>
              <c:numCache>
                <c:formatCode>General</c:formatCode>
                <c:ptCount val="24"/>
                <c:pt idx="0">
                  <c:v>364.548921092354</c:v>
                </c:pt>
                <c:pt idx="1">
                  <c:v>364.445250263991</c:v>
                </c:pt>
                <c:pt idx="2">
                  <c:v>363.010357036789</c:v>
                </c:pt>
                <c:pt idx="3">
                  <c:v>362.830443419381</c:v>
                </c:pt>
                <c:pt idx="4">
                  <c:v>363.086717054757</c:v>
                </c:pt>
                <c:pt idx="5">
                  <c:v>362.986849532435</c:v>
                </c:pt>
                <c:pt idx="6">
                  <c:v>361.936614843835</c:v>
                </c:pt>
                <c:pt idx="7">
                  <c:v>361.571719125341</c:v>
                </c:pt>
                <c:pt idx="8">
                  <c:v>360.51520844449</c:v>
                </c:pt>
                <c:pt idx="9">
                  <c:v>357.740190804999</c:v>
                </c:pt>
                <c:pt idx="10">
                  <c:v>353.689788867435</c:v>
                </c:pt>
                <c:pt idx="11">
                  <c:v>350.930606713064</c:v>
                </c:pt>
                <c:pt idx="12">
                  <c:v>351.707060163817</c:v>
                </c:pt>
                <c:pt idx="13">
                  <c:v>349.516886013912</c:v>
                </c:pt>
                <c:pt idx="14">
                  <c:v>346.410351742442</c:v>
                </c:pt>
                <c:pt idx="15">
                  <c:v>346.928728890599</c:v>
                </c:pt>
                <c:pt idx="16">
                  <c:v>348.639245531466</c:v>
                </c:pt>
                <c:pt idx="17">
                  <c:v>352.549860436232</c:v>
                </c:pt>
                <c:pt idx="18">
                  <c:v>353.263198641967</c:v>
                </c:pt>
                <c:pt idx="19">
                  <c:v>356.26065550801</c:v>
                </c:pt>
                <c:pt idx="20">
                  <c:v>361.41313984288</c:v>
                </c:pt>
                <c:pt idx="21">
                  <c:v>364.311610685397</c:v>
                </c:pt>
                <c:pt idx="22">
                  <c:v>366.44782552576</c:v>
                </c:pt>
                <c:pt idx="23">
                  <c:v>366.942454861095</c:v>
                </c:pt>
              </c:numCache>
            </c:numRef>
          </c:yVal>
          <c:smooth val="0"/>
        </c:ser>
        <c:dLbls>
          <c:showLegendKey val="0"/>
          <c:showVal val="0"/>
          <c:showCatName val="0"/>
          <c:showSerName val="0"/>
          <c:showPercent val="0"/>
          <c:showBubbleSize val="0"/>
        </c:dLbls>
        <c:axId val="576298294"/>
        <c:axId val="14979433"/>
      </c:scatterChart>
      <c:scatterChart>
        <c:scatterStyle val="smooth"/>
        <c:varyColors val="0"/>
        <c:ser>
          <c:idx val="0"/>
          <c:order val="0"/>
          <c:tx>
            <c:strRef>
              <c:f>[refractivity_computed_dataset.xlsx]Sheet2!$B$1</c:f>
              <c:strCache>
                <c:ptCount val="1"/>
                <c:pt idx="0">
                  <c:v>Tempeature</c:v>
                </c:pt>
              </c:strCache>
            </c:strRef>
          </c:tx>
          <c:spPr>
            <a:ln w="19050" cap="rnd">
              <a:solidFill>
                <a:schemeClr val="accent1"/>
              </a:solidFill>
              <a:round/>
            </a:ln>
            <a:effectLst/>
          </c:spPr>
          <c:marker>
            <c:symbol val="none"/>
          </c:marker>
          <c:dLbls>
            <c:delete val="1"/>
          </c:dLbls>
          <c:xVal>
            <c:numRef>
              <c:f>[refractivity_computed_dataset.xlsx]Sheet2!$A$2:$A$25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[refractivity_computed_dataset.xlsx]Sheet2!$B$2:$B$25</c:f>
              <c:numCache>
                <c:formatCode>General</c:formatCode>
                <c:ptCount val="24"/>
                <c:pt idx="0">
                  <c:v>294.67188</c:v>
                </c:pt>
                <c:pt idx="1">
                  <c:v>294.771</c:v>
                </c:pt>
                <c:pt idx="2">
                  <c:v>294.49048</c:v>
                </c:pt>
                <c:pt idx="3">
                  <c:v>294.6692</c:v>
                </c:pt>
                <c:pt idx="4">
                  <c:v>294.7998</c:v>
                </c:pt>
                <c:pt idx="5">
                  <c:v>294.97083</c:v>
                </c:pt>
                <c:pt idx="6">
                  <c:v>294.43433</c:v>
                </c:pt>
                <c:pt idx="7">
                  <c:v>294.60535</c:v>
                </c:pt>
                <c:pt idx="8">
                  <c:v>295.29944</c:v>
                </c:pt>
                <c:pt idx="9">
                  <c:v>296.11267</c:v>
                </c:pt>
                <c:pt idx="10">
                  <c:v>298.38647</c:v>
                </c:pt>
                <c:pt idx="11">
                  <c:v>299.19568</c:v>
                </c:pt>
                <c:pt idx="12">
                  <c:v>300.50342</c:v>
                </c:pt>
                <c:pt idx="13">
                  <c:v>301.04834</c:v>
                </c:pt>
                <c:pt idx="14">
                  <c:v>301.46558</c:v>
                </c:pt>
                <c:pt idx="15">
                  <c:v>302.0144</c:v>
                </c:pt>
                <c:pt idx="16">
                  <c:v>301.9131</c:v>
                </c:pt>
                <c:pt idx="17">
                  <c:v>300.00732</c:v>
                </c:pt>
                <c:pt idx="18">
                  <c:v>299.21533</c:v>
                </c:pt>
                <c:pt idx="19">
                  <c:v>298.40393</c:v>
                </c:pt>
                <c:pt idx="20">
                  <c:v>297.25317</c:v>
                </c:pt>
                <c:pt idx="21">
                  <c:v>296.4724</c:v>
                </c:pt>
                <c:pt idx="22">
                  <c:v>295.73657</c:v>
                </c:pt>
                <c:pt idx="23">
                  <c:v>295.50867</c:v>
                </c:pt>
              </c:numCache>
            </c:numRef>
          </c:yVal>
          <c:smooth val="1"/>
        </c:ser>
        <c:dLbls>
          <c:showLegendKey val="0"/>
          <c:showVal val="0"/>
          <c:showCatName val="0"/>
          <c:showSerName val="0"/>
          <c:showPercent val="0"/>
          <c:showBubbleSize val="0"/>
        </c:dLbls>
        <c:axId val="740171223"/>
        <c:axId val="990295536"/>
      </c:scatterChart>
      <c:valAx>
        <c:axId val="576298294"/>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Hour of the day </a:t>
                </a:r>
              </a:p>
            </c:rich>
          </c:tx>
          <c:layout>
            <c:manualLayout>
              <c:xMode val="edge"/>
              <c:yMode val="edge"/>
              <c:x val="0.446052631578947"/>
              <c:y val="0.774768518518518"/>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4979433"/>
        <c:crosses val="autoZero"/>
        <c:crossBetween val="midCat"/>
      </c:valAx>
      <c:valAx>
        <c:axId val="14979433"/>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Refractivity (N)</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76298294"/>
        <c:crosses val="autoZero"/>
        <c:crossBetween val="midCat"/>
        <c:majorUnit val="5"/>
        <c:minorUnit val="0.2"/>
      </c:valAx>
      <c:valAx>
        <c:axId val="740171223"/>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990295536"/>
        <c:crosses val="max"/>
        <c:crossBetween val="midCat"/>
      </c:valAx>
      <c:valAx>
        <c:axId val="990295536"/>
        <c:scaling>
          <c:orientation val="minMax"/>
        </c:scaling>
        <c:delete val="0"/>
        <c:axPos val="r"/>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Temperature (K)</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740171223"/>
        <c:crosses val="max"/>
        <c:crossBetween val="midCat"/>
      </c:valAx>
      <c:spPr>
        <a:noFill/>
        <a:ln w="9525" cap="flat" cmpd="sng" algn="ctr">
          <a:solidFill>
            <a:schemeClr val="tx1">
              <a:lumMod val="15000"/>
              <a:lumOff val="85000"/>
            </a:schemeClr>
          </a:solidFill>
          <a:round/>
        </a:ln>
        <a:effectLst/>
      </c:spPr>
    </c:plotArea>
    <c:legend>
      <c:legendPos val="b"/>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5faa2b9-ceb2-4d3c-8342-4376dc475caa}"/>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Diurnal Variation of Refractivity and Humidity Ikere ,Nigeria </a:t>
            </a:r>
          </a:p>
        </c:rich>
      </c:tx>
      <c:layout/>
      <c:overlay val="0"/>
      <c:spPr>
        <a:noFill/>
        <a:ln>
          <a:noFill/>
        </a:ln>
        <a:effectLst/>
      </c:spPr>
    </c:title>
    <c:autoTitleDeleted val="0"/>
    <c:plotArea>
      <c:layout/>
      <c:scatterChart>
        <c:scatterStyle val="smooth"/>
        <c:varyColors val="0"/>
        <c:ser>
          <c:idx val="0"/>
          <c:order val="0"/>
          <c:tx>
            <c:strRef>
              <c:f>[refractivity_computed_dataset.xlsx]Sheet3!$B$1</c:f>
              <c:strCache>
                <c:ptCount val="1"/>
                <c:pt idx="0">
                  <c:v>Refractivity</c:v>
                </c:pt>
              </c:strCache>
            </c:strRef>
          </c:tx>
          <c:spPr>
            <a:ln w="28575" cap="rnd">
              <a:solidFill>
                <a:schemeClr val="accent1"/>
              </a:solidFill>
              <a:round/>
            </a:ln>
            <a:effectLst/>
          </c:spPr>
          <c:marker>
            <c:symbol val="none"/>
          </c:marker>
          <c:dLbls>
            <c:delete val="1"/>
          </c:dLbls>
          <c:xVal>
            <c:numRef>
              <c:f>[refractivity_computed_dataset.xlsx]Sheet3!$A$2:$A$26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[refractivity_computed_dataset.xlsx]Sheet3!$B$2:$B$26</c:f>
              <c:numCache>
                <c:formatCode>General</c:formatCode>
                <c:ptCount val="25"/>
                <c:pt idx="0">
                  <c:v>364.548921092354</c:v>
                </c:pt>
                <c:pt idx="1">
                  <c:v>364.445250263991</c:v>
                </c:pt>
                <c:pt idx="2">
                  <c:v>363.010357036789</c:v>
                </c:pt>
                <c:pt idx="3">
                  <c:v>362.830443419381</c:v>
                </c:pt>
                <c:pt idx="4">
                  <c:v>363.086717054757</c:v>
                </c:pt>
                <c:pt idx="5">
                  <c:v>362.986849532435</c:v>
                </c:pt>
                <c:pt idx="6">
                  <c:v>361.936614843835</c:v>
                </c:pt>
                <c:pt idx="7">
                  <c:v>361.571719125341</c:v>
                </c:pt>
                <c:pt idx="8">
                  <c:v>360.51520844449</c:v>
                </c:pt>
                <c:pt idx="9">
                  <c:v>357.740190804999</c:v>
                </c:pt>
                <c:pt idx="10">
                  <c:v>353.689788867435</c:v>
                </c:pt>
                <c:pt idx="11">
                  <c:v>350.930606713064</c:v>
                </c:pt>
                <c:pt idx="12">
                  <c:v>351.707060163817</c:v>
                </c:pt>
                <c:pt idx="13">
                  <c:v>349.516886013912</c:v>
                </c:pt>
                <c:pt idx="14">
                  <c:v>346.410351742442</c:v>
                </c:pt>
                <c:pt idx="15">
                  <c:v>346.928728890599</c:v>
                </c:pt>
                <c:pt idx="16">
                  <c:v>348.639245531466</c:v>
                </c:pt>
                <c:pt idx="17">
                  <c:v>352.549860436232</c:v>
                </c:pt>
                <c:pt idx="18">
                  <c:v>353.263198641967</c:v>
                </c:pt>
                <c:pt idx="19">
                  <c:v>356.26065550801</c:v>
                </c:pt>
                <c:pt idx="20">
                  <c:v>361.41313984288</c:v>
                </c:pt>
                <c:pt idx="21">
                  <c:v>364.311610685397</c:v>
                </c:pt>
                <c:pt idx="22">
                  <c:v>366.44782552576</c:v>
                </c:pt>
                <c:pt idx="23">
                  <c:v>366.942454861095</c:v>
                </c:pt>
              </c:numCache>
            </c:numRef>
          </c:yVal>
          <c:smooth val="1"/>
        </c:ser>
        <c:dLbls>
          <c:showLegendKey val="0"/>
          <c:showVal val="0"/>
          <c:showCatName val="0"/>
          <c:showSerName val="0"/>
          <c:showPercent val="0"/>
          <c:showBubbleSize val="0"/>
        </c:dLbls>
        <c:axId val="606636707"/>
        <c:axId val="581060374"/>
      </c:scatterChart>
      <c:scatterChart>
        <c:scatterStyle val="smooth"/>
        <c:varyColors val="0"/>
        <c:ser>
          <c:idx val="1"/>
          <c:order val="1"/>
          <c:tx>
            <c:strRef>
              <c:f>[refractivity_computed_dataset.xlsx]Sheet3!$C$1</c:f>
              <c:strCache>
                <c:ptCount val="1"/>
                <c:pt idx="0">
                  <c:v>Humidity</c:v>
                </c:pt>
              </c:strCache>
            </c:strRef>
          </c:tx>
          <c:spPr>
            <a:ln w="28575" cap="rnd">
              <a:solidFill>
                <a:schemeClr val="accent2"/>
              </a:solidFill>
              <a:round/>
            </a:ln>
            <a:effectLst/>
          </c:spPr>
          <c:marker>
            <c:symbol val="none"/>
          </c:marker>
          <c:dLbls>
            <c:delete val="1"/>
          </c:dLbls>
          <c:xVal>
            <c:numRef>
              <c:f>[refractivity_computed_dataset.xlsx]Sheet3!$A$2:$A$26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[refractivity_computed_dataset.xlsx]Sheet3!$C$2:$C$26</c:f>
              <c:numCache>
                <c:formatCode>General</c:formatCode>
                <c:ptCount val="25"/>
                <c:pt idx="0">
                  <c:v>98.4545135498047</c:v>
                </c:pt>
                <c:pt idx="1">
                  <c:v>97.8771209716797</c:v>
                </c:pt>
                <c:pt idx="2">
                  <c:v>98.0244598388672</c:v>
                </c:pt>
                <c:pt idx="3">
                  <c:v>98.5337219238281</c:v>
                </c:pt>
                <c:pt idx="4">
                  <c:v>98.3920059204102</c:v>
                </c:pt>
                <c:pt idx="5">
                  <c:v>97.5383071899414</c:v>
                </c:pt>
                <c:pt idx="6">
                  <c:v>96.9308471679687</c:v>
                </c:pt>
                <c:pt idx="7">
                  <c:v>98.1480941772461</c:v>
                </c:pt>
                <c:pt idx="8">
                  <c:v>93.1663513183594</c:v>
                </c:pt>
                <c:pt idx="9">
                  <c:v>90.8805618286133</c:v>
                </c:pt>
                <c:pt idx="10">
                  <c:v>82.9372253417969</c:v>
                </c:pt>
                <c:pt idx="11">
                  <c:v>74.491569519043</c:v>
                </c:pt>
                <c:pt idx="12">
                  <c:v>72.6294784545898</c:v>
                </c:pt>
                <c:pt idx="13">
                  <c:v>72.5911865234375</c:v>
                </c:pt>
                <c:pt idx="14">
                  <c:v>68.4251327514648</c:v>
                </c:pt>
                <c:pt idx="15">
                  <c:v>64.7717208862305</c:v>
                </c:pt>
                <c:pt idx="16">
                  <c:v>67.1853713989258</c:v>
                </c:pt>
                <c:pt idx="17">
                  <c:v>74.0327301025391</c:v>
                </c:pt>
                <c:pt idx="18">
                  <c:v>78.9673309326172</c:v>
                </c:pt>
                <c:pt idx="19">
                  <c:v>82.4202194213867</c:v>
                </c:pt>
                <c:pt idx="20">
                  <c:v>86.8018417358398</c:v>
                </c:pt>
                <c:pt idx="21">
                  <c:v>88.391975402832</c:v>
                </c:pt>
                <c:pt idx="22">
                  <c:v>97.029182434082</c:v>
                </c:pt>
                <c:pt idx="23">
                  <c:v>97.9518737792969</c:v>
                </c:pt>
              </c:numCache>
            </c:numRef>
          </c:yVal>
          <c:smooth val="1"/>
        </c:ser>
        <c:dLbls>
          <c:showLegendKey val="0"/>
          <c:showVal val="0"/>
          <c:showCatName val="0"/>
          <c:showSerName val="0"/>
          <c:showPercent val="0"/>
          <c:showBubbleSize val="0"/>
        </c:dLbls>
        <c:axId val="506272391"/>
        <c:axId val="609650739"/>
      </c:scatterChart>
      <c:valAx>
        <c:axId val="606636707"/>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Hour of day</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81060374"/>
        <c:crosses val="autoZero"/>
        <c:crossBetween val="midCat"/>
      </c:valAx>
      <c:valAx>
        <c:axId val="581060374"/>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Refractivity(N)</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06636707"/>
        <c:crosses val="autoZero"/>
        <c:crossBetween val="midCat"/>
      </c:valAx>
      <c:valAx>
        <c:axId val="506272391"/>
        <c:scaling>
          <c:orientation val="minMax"/>
        </c:scaling>
        <c:delete val="0"/>
        <c:axPos val="t"/>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09650739"/>
        <c:crosses val="max"/>
        <c:crossBetween val="midCat"/>
      </c:valAx>
      <c:valAx>
        <c:axId val="609650739"/>
        <c:scaling>
          <c:orientation val="minMax"/>
        </c:scaling>
        <c:delete val="0"/>
        <c:axPos val="r"/>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Humidity(%)</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06272391"/>
        <c:crosses val="max"/>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9f6ee3c8-891e-4cfc-ae68-dfb142733cc2}"/>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Diurnal variation of refractivity and pressure</a:t>
            </a:r>
          </a:p>
        </c:rich>
      </c:tx>
      <c:layout>
        <c:manualLayout>
          <c:xMode val="edge"/>
          <c:yMode val="edge"/>
          <c:x val="0.161644736842105"/>
          <c:y val="0.0601851851851852"/>
        </c:manualLayout>
      </c:layout>
      <c:overlay val="0"/>
      <c:spPr>
        <a:noFill/>
        <a:ln>
          <a:noFill/>
        </a:ln>
        <a:effectLst/>
      </c:spPr>
    </c:title>
    <c:autoTitleDeleted val="0"/>
    <c:plotArea>
      <c:layout/>
      <c:scatterChart>
        <c:scatterStyle val="smooth"/>
        <c:varyColors val="0"/>
        <c:ser>
          <c:idx val="0"/>
          <c:order val="0"/>
          <c:tx>
            <c:strRef>
              <c:f>[refractivity_computed_dataset.xlsx]Sheet4!$B$1</c:f>
              <c:strCache>
                <c:ptCount val="1"/>
                <c:pt idx="0">
                  <c:v>Refractivity</c:v>
                </c:pt>
              </c:strCache>
            </c:strRef>
          </c:tx>
          <c:spPr>
            <a:ln w="19050" cap="rnd">
              <a:solidFill>
                <a:schemeClr val="accent1"/>
              </a:solidFill>
              <a:round/>
            </a:ln>
            <a:effectLst/>
          </c:spPr>
          <c:marker>
            <c:symbol val="none"/>
          </c:marker>
          <c:dLbls>
            <c:delete val="1"/>
          </c:dLbls>
          <c:xVal>
            <c:numRef>
              <c:f>[refractivity_computed_dataset.xlsx]Sheet4!$A$2:$A$25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[refractivity_computed_dataset.xlsx]Sheet4!$B$2:$B$25</c:f>
              <c:numCache>
                <c:formatCode>General</c:formatCode>
                <c:ptCount val="24"/>
                <c:pt idx="0">
                  <c:v>364.548921092354</c:v>
                </c:pt>
                <c:pt idx="1">
                  <c:v>364.445250263991</c:v>
                </c:pt>
                <c:pt idx="2">
                  <c:v>363.010357036789</c:v>
                </c:pt>
                <c:pt idx="3">
                  <c:v>362.830443419381</c:v>
                </c:pt>
                <c:pt idx="4">
                  <c:v>363.086717054757</c:v>
                </c:pt>
                <c:pt idx="5">
                  <c:v>362.986849532435</c:v>
                </c:pt>
                <c:pt idx="6">
                  <c:v>361.936614843835</c:v>
                </c:pt>
                <c:pt idx="7">
                  <c:v>361.571719125341</c:v>
                </c:pt>
                <c:pt idx="8">
                  <c:v>360.51520844449</c:v>
                </c:pt>
                <c:pt idx="9">
                  <c:v>357.740190804999</c:v>
                </c:pt>
                <c:pt idx="10">
                  <c:v>353.689788867435</c:v>
                </c:pt>
                <c:pt idx="11">
                  <c:v>350.930606713064</c:v>
                </c:pt>
                <c:pt idx="12">
                  <c:v>351.707060163817</c:v>
                </c:pt>
                <c:pt idx="13">
                  <c:v>349.516886013912</c:v>
                </c:pt>
                <c:pt idx="14">
                  <c:v>346.410351742442</c:v>
                </c:pt>
                <c:pt idx="15">
                  <c:v>346.928728890599</c:v>
                </c:pt>
                <c:pt idx="16">
                  <c:v>348.639245531466</c:v>
                </c:pt>
                <c:pt idx="17">
                  <c:v>352.549860436232</c:v>
                </c:pt>
                <c:pt idx="18">
                  <c:v>353.263198641967</c:v>
                </c:pt>
                <c:pt idx="19">
                  <c:v>356.26065550801</c:v>
                </c:pt>
                <c:pt idx="20">
                  <c:v>361.41313984288</c:v>
                </c:pt>
                <c:pt idx="21">
                  <c:v>364.311610685397</c:v>
                </c:pt>
                <c:pt idx="22">
                  <c:v>366.44782552576</c:v>
                </c:pt>
                <c:pt idx="23">
                  <c:v>366.942454861095</c:v>
                </c:pt>
              </c:numCache>
            </c:numRef>
          </c:yVal>
          <c:smooth val="1"/>
        </c:ser>
        <c:dLbls>
          <c:showLegendKey val="0"/>
          <c:showVal val="0"/>
          <c:showCatName val="0"/>
          <c:showSerName val="0"/>
          <c:showPercent val="0"/>
          <c:showBubbleSize val="0"/>
        </c:dLbls>
        <c:axId val="798407750"/>
        <c:axId val="754356681"/>
      </c:scatterChart>
      <c:scatterChart>
        <c:scatterStyle val="smooth"/>
        <c:varyColors val="0"/>
        <c:ser>
          <c:idx val="1"/>
          <c:order val="1"/>
          <c:tx>
            <c:strRef>
              <c:f>[refractivity_computed_dataset.xlsx]Sheet4!$C$1</c:f>
              <c:strCache>
                <c:ptCount val="1"/>
                <c:pt idx="0">
                  <c:v>P_hPa</c:v>
                </c:pt>
              </c:strCache>
            </c:strRef>
          </c:tx>
          <c:spPr>
            <a:ln w="19050" cap="rnd">
              <a:solidFill>
                <a:schemeClr val="accent2"/>
              </a:solidFill>
              <a:round/>
            </a:ln>
            <a:effectLst/>
          </c:spPr>
          <c:marker>
            <c:symbol val="none"/>
          </c:marker>
          <c:dLbls>
            <c:delete val="1"/>
          </c:dLbls>
          <c:xVal>
            <c:numRef>
              <c:f>[refractivity_computed_dataset.xlsx]Sheet4!$A$2:$A$25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[refractivity_computed_dataset.xlsx]Sheet4!$C$2:$C$25</c:f>
              <c:numCache>
                <c:formatCode>General</c:formatCode>
                <c:ptCount val="24"/>
                <c:pt idx="0">
                  <c:v>971.5125</c:v>
                </c:pt>
                <c:pt idx="1">
                  <c:v>970.745</c:v>
                </c:pt>
                <c:pt idx="2">
                  <c:v>970.5419</c:v>
                </c:pt>
                <c:pt idx="3">
                  <c:v>970.8825</c:v>
                </c:pt>
                <c:pt idx="4">
                  <c:v>970.85125</c:v>
                </c:pt>
                <c:pt idx="5">
                  <c:v>971.465</c:v>
                </c:pt>
                <c:pt idx="6">
                  <c:v>971.90375</c:v>
                </c:pt>
                <c:pt idx="7">
                  <c:v>972.3994</c:v>
                </c:pt>
                <c:pt idx="8">
                  <c:v>972.8231</c:v>
                </c:pt>
                <c:pt idx="9">
                  <c:v>973.1706</c:v>
                </c:pt>
                <c:pt idx="10">
                  <c:v>972.71625</c:v>
                </c:pt>
                <c:pt idx="11">
                  <c:v>971.47875</c:v>
                </c:pt>
                <c:pt idx="12">
                  <c:v>971.0025</c:v>
                </c:pt>
                <c:pt idx="13">
                  <c:v>969.8525</c:v>
                </c:pt>
                <c:pt idx="14">
                  <c:v>968.9919</c:v>
                </c:pt>
                <c:pt idx="15">
                  <c:v>968.41</c:v>
                </c:pt>
                <c:pt idx="16">
                  <c:v>968.2619</c:v>
                </c:pt>
                <c:pt idx="17">
                  <c:v>968.4556</c:v>
                </c:pt>
                <c:pt idx="18">
                  <c:v>969.2769</c:v>
                </c:pt>
                <c:pt idx="19">
                  <c:v>969.58875</c:v>
                </c:pt>
                <c:pt idx="20">
                  <c:v>970.5619</c:v>
                </c:pt>
                <c:pt idx="21">
                  <c:v>971.2656</c:v>
                </c:pt>
                <c:pt idx="22">
                  <c:v>971.1619</c:v>
                </c:pt>
                <c:pt idx="23">
                  <c:v>971.155</c:v>
                </c:pt>
              </c:numCache>
            </c:numRef>
          </c:yVal>
          <c:smooth val="1"/>
        </c:ser>
        <c:dLbls>
          <c:showLegendKey val="0"/>
          <c:showVal val="0"/>
          <c:showCatName val="0"/>
          <c:showSerName val="0"/>
          <c:showPercent val="0"/>
          <c:showBubbleSize val="0"/>
        </c:dLbls>
        <c:axId val="590774270"/>
        <c:axId val="400991134"/>
      </c:scatterChart>
      <c:valAx>
        <c:axId val="798407750"/>
        <c:scaling>
          <c:orientation val="minMax"/>
        </c:scaling>
        <c:delete val="0"/>
        <c:axPos val="b"/>
        <c:majorGridlines>
          <c:spPr>
            <a:ln w="9525" cap="flat" cmpd="sng" algn="ctr">
              <a:solidFill>
                <a:schemeClr val="lt1">
                  <a:lumMod val="90200"/>
                </a:schemeClr>
              </a:solidFill>
              <a:round/>
            </a:ln>
            <a:effectLst/>
          </c:spPr>
        </c:majorGridlines>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Hour of the day</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754356681"/>
        <c:crosses val="autoZero"/>
        <c:crossBetween val="midCat"/>
      </c:valAx>
      <c:valAx>
        <c:axId val="754356681"/>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Refractivity</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798407750"/>
        <c:crosses val="autoZero"/>
        <c:crossBetween val="midCat"/>
      </c:valAx>
      <c:valAx>
        <c:axId val="590774270"/>
        <c:scaling>
          <c:orientation val="minMax"/>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00991134"/>
        <c:crosses val="max"/>
        <c:crossBetween val="midCat"/>
      </c:valAx>
      <c:valAx>
        <c:axId val="400991134"/>
        <c:scaling>
          <c:orientation val="minMax"/>
        </c:scaling>
        <c:delete val="0"/>
        <c:axPos val="r"/>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t>Presue(hpa)</a:t>
                </a:r>
              </a:p>
            </c:rich>
          </c:tx>
          <c:layout>
            <c:manualLayout>
              <c:xMode val="edge"/>
              <c:yMode val="edge"/>
              <c:x val="0.933157894736842"/>
              <c:y val="0.4131944444444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90774270"/>
        <c:crosses val="max"/>
        <c:crossBetween val="midCat"/>
      </c:valAx>
      <c:spPr>
        <a:noFill/>
        <a:ln w="9525" cap="flat" cmpd="sng" algn="ctr">
          <a:solidFill>
            <a:schemeClr val="tx1">
              <a:lumMod val="15000"/>
              <a:lumOff val="85000"/>
            </a:schemeClr>
          </a:solidFill>
          <a:round/>
        </a:ln>
        <a:effectLst/>
      </c:spPr>
    </c:plotArea>
    <c:legend>
      <c:legendPos val="b"/>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293b9f7-47b4-4607-89a7-2990a5c7d04f}"/>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0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9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solidFill>
          <a:schemeClr val="phClr"/>
        </a:solid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1281</Words>
  <Characters>8245</Characters>
  <TotalTime>39</TotalTime>
  <ScaleCrop>false</ScaleCrop>
  <LinksUpToDate>false</LinksUpToDate>
  <CharactersWithSpaces>9513</CharactersWithSpaces>
  <Application>WPS Office_12.1.0.26880_F1E327BC-269C-435d-A152-05C5408002CA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2026-03-13T19:36:00Z</dcterms:created>
  <dc:creator>Un-named</dc:creator>
  <cp:lastModifiedBy>Temitope Kolade-oje</cp:lastModifiedBy>
  <dcterms:modified xsi:type="dcterms:W3CDTF">2026-06-18T19:08:46Z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27D87665E0034AFB990A2BDF1D1FAABB_13</vt:lpwstr>
  </property>
  <property fmtid="{D5CDD505-2E9C-101B-9397-08002B2CF9AE}" pid="4" name="KSOTemplateDocerSaveRecord">
    <vt:lpwstr>eyJoZGlkIjoiMmNjNDBmYzg3MzkwYWEzNzFjZjUyZmNmZWUzZDQzZTAiLCJ1c2VySWQiOiIyNzY2MzYxMTQxOTI5In0=</vt:lpwstr>
  </property>
</Properties>
</file>