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4022B" w14:textId="77777777" w:rsidR="00937F6C" w:rsidRPr="00937F6C" w:rsidRDefault="00937F6C" w:rsidP="00937F6C">
      <w:pPr>
        <w:shd w:val="clear" w:color="auto" w:fill="FFFFFF"/>
        <w:spacing w:before="240" w:after="240" w:line="240" w:lineRule="auto"/>
        <w:rPr>
          <w:rFonts w:ascii="Times New Roman" w:eastAsia="Times New Roman" w:hAnsi="Times New Roman" w:cs="Times New Roman"/>
          <w:sz w:val="24"/>
          <w:szCs w:val="24"/>
        </w:rPr>
      </w:pPr>
    </w:p>
    <w:p w14:paraId="60D8375F" w14:textId="7AC0BECA" w:rsidR="00007C7E" w:rsidRPr="00937F6C" w:rsidRDefault="00EC35CC" w:rsidP="00937F6C">
      <w:pPr>
        <w:pStyle w:val="NormalWeb"/>
        <w:jc w:val="both"/>
        <w:rPr>
          <w:b/>
          <w:bCs/>
        </w:rPr>
      </w:pPr>
      <w:r w:rsidRPr="00937F6C">
        <w:rPr>
          <w:b/>
          <w:bCs/>
        </w:rPr>
        <w:t>INTRODUCTION</w:t>
      </w:r>
    </w:p>
    <w:p w14:paraId="61D111A6" w14:textId="2C5EB093" w:rsidR="00007C7E" w:rsidRPr="00937F6C" w:rsidRDefault="00007C7E" w:rsidP="00937F6C">
      <w:pPr>
        <w:spacing w:before="100" w:beforeAutospacing="1" w:after="100" w:afterAutospacing="1" w:line="240" w:lineRule="auto"/>
        <w:jc w:val="both"/>
        <w:rPr>
          <w:rFonts w:ascii="Times New Roman" w:eastAsia="Times New Roman" w:hAnsi="Times New Roman" w:cs="Times New Roman"/>
          <w:sz w:val="24"/>
          <w:szCs w:val="24"/>
        </w:rPr>
      </w:pPr>
      <w:r w:rsidRPr="00937F6C">
        <w:rPr>
          <w:rFonts w:ascii="Times New Roman" w:eastAsia="Times New Roman" w:hAnsi="Times New Roman" w:cs="Times New Roman"/>
          <w:sz w:val="24"/>
          <w:szCs w:val="24"/>
        </w:rPr>
        <w:t>Assessment for Learning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has become an essential element of effective teaching because it focuses on using assessment not only to measure outcomes but also to improve learning. Unlike traditional assessment methods that emphasize summative evaluation,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promotes continuous feedback, self-reflection, and collaboration between teachers and students </w:t>
      </w:r>
      <w:r w:rsidR="004F722B" w:rsidRPr="00937F6C">
        <w:rPr>
          <w:rFonts w:ascii="Times New Roman" w:eastAsia="Times New Roman" w:hAnsi="Times New Roman" w:cs="Times New Roman"/>
          <w:sz w:val="24"/>
          <w:szCs w:val="24"/>
        </w:rPr>
        <w:fldChar w:fldCharType="begin" w:fldLock="1"/>
      </w:r>
      <w:r w:rsidR="004F722B" w:rsidRPr="00937F6C">
        <w:rPr>
          <w:rFonts w:ascii="Times New Roman" w:eastAsia="Times New Roman" w:hAnsi="Times New Roman" w:cs="Times New Roman"/>
          <w:sz w:val="24"/>
          <w:szCs w:val="24"/>
        </w:rPr>
        <w:instrText>ADDIN CSL_CITATION {"citationItems":[{"id":"ITEM-1","itemData":{"DOI":"10.1080/0969594X.2018.1441807","ISSN":"1465329X","abstract":"Since our 1998 review of research on classroom assessment and learning was published, we have contributed to theorising formative assessment, but recognise that this work is incomplete. In this paper, we take up a suggestion by Perrenoud that any theory of formative assessment must be embedded within a wider theoretical field, specifically, within a theory of pedagogy. We propose a model whereby the design of educational activities and associated assessments is influenced by the theories of pedagogy, instruction and learning, and by the subject discipline, together with the wider context of education. We explore how teachers may develop productive relationships between the formative and summative functions of classroom assessment, so that their judgements may inform the formal external assessment of students, thus increasing the validity of those assessments. We also show how the model informs the development of theories that give appropriate weight to the role of assessment as part of pedagogy.","author":[{"dropping-particle":"","family":"Black","given":"Paul","non-dropping-particle":"","parse-names":false,"suffix":""},{"dropping-particle":"","family":"Wiliam","given":"Dylan","non-dropping-particle":"","parse-names":false,"suffix":""}],"container-title":"Assessment in Education: Principles, Policy and Practice","id":"ITEM-1","issue":"6","issued":{"date-parts":[["2018"]]},"page":"551-575","publisher":"Routledge","title":"Classroom assessment and pedagogy","type":"article-journal","volume":"25"},"uris":["http://www.mendeley.com/documents/?uuid=dbd9bf66-748e-4b46-81ae-fb292e1e194a"]}],"mendeley":{"formattedCitation":"(Black &amp; Wiliam, 2018)","plainTextFormattedCitation":"(Black &amp; Wiliam, 2018)","previouslyFormattedCitation":"(Black &amp; Wiliam, 2018)"},"properties":{"noteIndex":0},"schema":"https://github.com/citation-style-language/schema/raw/master/csl-citation.json"}</w:instrText>
      </w:r>
      <w:r w:rsidR="004F722B" w:rsidRPr="00937F6C">
        <w:rPr>
          <w:rFonts w:ascii="Times New Roman" w:eastAsia="Times New Roman" w:hAnsi="Times New Roman" w:cs="Times New Roman"/>
          <w:sz w:val="24"/>
          <w:szCs w:val="24"/>
        </w:rPr>
        <w:fldChar w:fldCharType="separate"/>
      </w:r>
      <w:r w:rsidR="004F722B" w:rsidRPr="00937F6C">
        <w:rPr>
          <w:rFonts w:ascii="Times New Roman" w:eastAsia="Times New Roman" w:hAnsi="Times New Roman" w:cs="Times New Roman"/>
          <w:noProof/>
          <w:sz w:val="24"/>
          <w:szCs w:val="24"/>
        </w:rPr>
        <w:t>(Black &amp; Wiliam, 2018)</w:t>
      </w:r>
      <w:r w:rsidR="004F722B" w:rsidRPr="00937F6C">
        <w:rPr>
          <w:rFonts w:ascii="Times New Roman" w:eastAsia="Times New Roman" w:hAnsi="Times New Roman" w:cs="Times New Roman"/>
          <w:sz w:val="24"/>
          <w:szCs w:val="24"/>
        </w:rPr>
        <w:fldChar w:fldCharType="end"/>
      </w:r>
      <w:r w:rsidRPr="00937F6C">
        <w:rPr>
          <w:rFonts w:ascii="Times New Roman" w:eastAsia="Times New Roman" w:hAnsi="Times New Roman" w:cs="Times New Roman"/>
          <w:sz w:val="24"/>
          <w:szCs w:val="24"/>
        </w:rPr>
        <w:t xml:space="preserve">. Through questioning, peer assessment, and feedback,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enables students to identify gaps in understanding and take ownership of their learning. In mathematics education, where conceptual understanding often determines long-term success,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offers an opportunity to bridge performance gaps and promote active participation</w:t>
      </w:r>
      <w:r w:rsidR="004F722B" w:rsidRPr="00937F6C">
        <w:rPr>
          <w:rFonts w:ascii="Times New Roman" w:eastAsia="Times New Roman" w:hAnsi="Times New Roman" w:cs="Times New Roman"/>
          <w:sz w:val="24"/>
          <w:szCs w:val="24"/>
        </w:rPr>
        <w:t xml:space="preserve"> </w:t>
      </w:r>
      <w:r w:rsidR="004F722B" w:rsidRPr="00937F6C">
        <w:rPr>
          <w:rFonts w:ascii="Times New Roman" w:eastAsia="Times New Roman" w:hAnsi="Times New Roman" w:cs="Times New Roman"/>
          <w:sz w:val="24"/>
          <w:szCs w:val="24"/>
        </w:rPr>
        <w:fldChar w:fldCharType="begin" w:fldLock="1"/>
      </w:r>
      <w:r w:rsidR="004F722B" w:rsidRPr="00937F6C">
        <w:rPr>
          <w:rFonts w:ascii="Times New Roman" w:eastAsia="Times New Roman" w:hAnsi="Times New Roman" w:cs="Times New Roman"/>
          <w:sz w:val="24"/>
          <w:szCs w:val="24"/>
        </w:rPr>
        <w:instrText>ADDIN CSL_CITATION {"citationItems":[{"id":"ITEM-1","itemData":{"DOI":"10.1007/s11858-018-0943-3","ISBN":"0123456789","ISSN":"18639704","abstract":"In many parts of the world, there is an increased demand for effectiveness and equity in education and for the development of students who see themselves as lifelong learners to meet economic and social challenges. Assessment for learning (AfL) can play a significant role in achieving these three demands. The purpose of AfL is to inform learning, not to measure it or sum it up; it is assessment that focuses on learning as it is taking place, not at the end of a sequence of learning; and it is intended to move learning forward from its current status. There is ample evidence that when effectively implemented AfL can improve learning for all students. However, less attention has been paid to the impact of AfL on the development of students’ mathematical identities and to supporting equity goals. This paper uses a practice-based example to illustrate the benefits of AfL to student learning, to students’ identities as doers of mathematics and to equity in the classroom. Consideration is also given to the particular case of English learners to illustrate how effective AfL practices can also support both language and concept development.","author":[{"dropping-particle":"","family":"Heritage","given":"Margaret","non-dropping-particle":"","parse-names":false,"suffix":""},{"dropping-particle":"","family":"Wylie","given":"Caroline","non-dropping-particle":"","parse-names":false,"suffix":""}],"container-title":"ZDM - Mathematics Education","id":"ITEM-1","issue":"4","issued":{"date-parts":[["2018"]]},"page":"729-741","title":"Reaping the benefits of assessment for learning: achievement, identity, and equity","type":"article-journal","volume":"50"},"uris":["http://www.mendeley.com/documents/?uuid=2e3da9a1-2ac2-4516-adff-aece5427bd2b"]}],"mendeley":{"formattedCitation":"(Heritage &amp; Wylie, 2018)","plainTextFormattedCitation":"(Heritage &amp; Wylie, 2018)","previouslyFormattedCitation":"(Heritage &amp; Wylie, 2018)"},"properties":{"noteIndex":0},"schema":"https://github.com/citation-style-language/schema/raw/master/csl-citation.json"}</w:instrText>
      </w:r>
      <w:r w:rsidR="004F722B" w:rsidRPr="00937F6C">
        <w:rPr>
          <w:rFonts w:ascii="Times New Roman" w:eastAsia="Times New Roman" w:hAnsi="Times New Roman" w:cs="Times New Roman"/>
          <w:sz w:val="24"/>
          <w:szCs w:val="24"/>
        </w:rPr>
        <w:fldChar w:fldCharType="separate"/>
      </w:r>
      <w:r w:rsidR="004F722B" w:rsidRPr="00937F6C">
        <w:rPr>
          <w:rFonts w:ascii="Times New Roman" w:eastAsia="Times New Roman" w:hAnsi="Times New Roman" w:cs="Times New Roman"/>
          <w:noProof/>
          <w:sz w:val="24"/>
          <w:szCs w:val="24"/>
        </w:rPr>
        <w:t>(Heritage &amp; Wylie, 2018)</w:t>
      </w:r>
      <w:r w:rsidR="004F722B" w:rsidRPr="00937F6C">
        <w:rPr>
          <w:rFonts w:ascii="Times New Roman" w:eastAsia="Times New Roman" w:hAnsi="Times New Roman" w:cs="Times New Roman"/>
          <w:sz w:val="24"/>
          <w:szCs w:val="24"/>
        </w:rPr>
        <w:fldChar w:fldCharType="end"/>
      </w:r>
      <w:r w:rsidRPr="00937F6C">
        <w:rPr>
          <w:rFonts w:ascii="Times New Roman" w:eastAsia="Times New Roman" w:hAnsi="Times New Roman" w:cs="Times New Roman"/>
          <w:sz w:val="24"/>
          <w:szCs w:val="24"/>
        </w:rPr>
        <w:t>.</w:t>
      </w:r>
    </w:p>
    <w:p w14:paraId="1E96CB12" w14:textId="597F0C82" w:rsidR="00F75DC1" w:rsidRPr="00937F6C" w:rsidRDefault="00F75DC1" w:rsidP="00937F6C">
      <w:pPr>
        <w:spacing w:before="100" w:beforeAutospacing="1" w:after="240" w:line="240" w:lineRule="auto"/>
        <w:rPr>
          <w:rFonts w:ascii="Times New Roman" w:eastAsia="Times New Roman" w:hAnsi="Times New Roman" w:cs="Times New Roman"/>
          <w:sz w:val="24"/>
          <w:szCs w:val="24"/>
        </w:rPr>
      </w:pPr>
      <w:r w:rsidRPr="00937F6C">
        <w:rPr>
          <w:rFonts w:ascii="Times New Roman" w:eastAsia="Times New Roman" w:hAnsi="Times New Roman" w:cs="Times New Roman"/>
          <w:sz w:val="24"/>
          <w:szCs w:val="24"/>
        </w:rPr>
        <w:t xml:space="preserve">Despite robust evidence from Western and Asian contexts, a critical gap exists in our understanding of </w:t>
      </w:r>
      <w:proofErr w:type="spellStart"/>
      <w:r w:rsidRPr="00937F6C">
        <w:rPr>
          <w:rFonts w:ascii="Times New Roman" w:eastAsia="Times New Roman" w:hAnsi="Times New Roman" w:cs="Times New Roman"/>
          <w:sz w:val="24"/>
          <w:szCs w:val="24"/>
        </w:rPr>
        <w:t>AfL's</w:t>
      </w:r>
      <w:proofErr w:type="spellEnd"/>
      <w:r w:rsidRPr="00937F6C">
        <w:rPr>
          <w:rFonts w:ascii="Times New Roman" w:eastAsia="Times New Roman" w:hAnsi="Times New Roman" w:cs="Times New Roman"/>
          <w:sz w:val="24"/>
          <w:szCs w:val="24"/>
        </w:rPr>
        <w:t xml:space="preserve"> impact in sub-Saharan Africa. Classrooms in this region, including Ghana, are often characterized by large class sizes, limited resources, and a strong tradition of teacher-centered instruction and summative assessment </w:t>
      </w:r>
      <w:r w:rsidR="004F722B" w:rsidRPr="00937F6C">
        <w:rPr>
          <w:rFonts w:ascii="Times New Roman" w:eastAsia="Times New Roman" w:hAnsi="Times New Roman" w:cs="Times New Roman"/>
          <w:sz w:val="24"/>
          <w:szCs w:val="24"/>
        </w:rPr>
        <w:fldChar w:fldCharType="begin" w:fldLock="1"/>
      </w:r>
      <w:r w:rsidR="0094283D" w:rsidRPr="00937F6C">
        <w:rPr>
          <w:rFonts w:ascii="Times New Roman" w:eastAsia="Times New Roman" w:hAnsi="Times New Roman" w:cs="Times New Roman"/>
          <w:sz w:val="24"/>
          <w:szCs w:val="24"/>
        </w:rPr>
        <w:instrText>ADDIN CSL_CITATION {"citationItems":[{"id":"ITEM-1","itemData":{"DOI":"10.1515/edu-2022-0193","ISSN":"25447831","abstract":"Despite the identified benefits of formative assessment to teaching and learning, its implementation in the classroom remains a significant challenge to teachers. This has widened the gap between the theory and practice of formative assessment in the classroom to enhance students' learning. This study investigated the potential resource-related factors that affect basic teachers' adoption of formative assessment in their classrooms. A descriptive survey design with a multistage sampling procedure was employed to select 300 teachers from the six circuits in the Cape Coast Metropolis of Ghana. Data gathered were analyzed using descriptive (mean values, SD) and inferential statistics (two-way ANOVA). Time, workload, overcrowded curriculum, class size, and the number of lessons were reported as barriers to the effective implementation of formative assessment. Findings also revealed no statistically significant interaction effect of gender and grade level on the resource-related barriers. Moreover, grade level and gender had no statistically significant main effects with respect to the resource-related barriers. Recommendations and implications for policy, practice, and future research are discussed.","author":[{"dropping-particle":"","family":"Asare","given":"Eric","non-dropping-particle":"","parse-names":false,"suffix":""},{"dropping-particle":"","family":"Afriyie","given":"Elizabeth","non-dropping-particle":"","parse-names":false,"suffix":""}],"container-title":"Open Education Studies","id":"ITEM-1","issue":"1","issued":{"date-parts":[["2023","1","1"]]},"publisher":"De Gruyter Open Ltd","title":"Barriers to Basic School Teachers' Implementation of Formative Assessment in the Cape Coast Metropolis of Ghana","type":"article-journal","volume":"5"},"uris":["http://www.mendeley.com/documents/?uuid=217ad507-536e-3de1-9fbf-1a1038da9cd0"]}],"mendeley":{"formattedCitation":"(Asare &amp; Afriyie, 2023)","plainTextFormattedCitation":"(Asare &amp; Afriyie, 2023)","previouslyFormattedCitation":"(Asare &amp; Afriyie, 2023)"},"properties":{"noteIndex":0},"schema":"https://github.com/citation-style-language/schema/raw/master/csl-citation.json"}</w:instrText>
      </w:r>
      <w:r w:rsidR="004F722B" w:rsidRPr="00937F6C">
        <w:rPr>
          <w:rFonts w:ascii="Times New Roman" w:eastAsia="Times New Roman" w:hAnsi="Times New Roman" w:cs="Times New Roman"/>
          <w:sz w:val="24"/>
          <w:szCs w:val="24"/>
        </w:rPr>
        <w:fldChar w:fldCharType="separate"/>
      </w:r>
      <w:r w:rsidR="004F722B" w:rsidRPr="00937F6C">
        <w:rPr>
          <w:rFonts w:ascii="Times New Roman" w:eastAsia="Times New Roman" w:hAnsi="Times New Roman" w:cs="Times New Roman"/>
          <w:noProof/>
          <w:sz w:val="24"/>
          <w:szCs w:val="24"/>
        </w:rPr>
        <w:t>(Asare &amp; Afriyie, 2023)</w:t>
      </w:r>
      <w:r w:rsidR="004F722B" w:rsidRPr="00937F6C">
        <w:rPr>
          <w:rFonts w:ascii="Times New Roman" w:eastAsia="Times New Roman" w:hAnsi="Times New Roman" w:cs="Times New Roman"/>
          <w:sz w:val="24"/>
          <w:szCs w:val="24"/>
        </w:rPr>
        <w:fldChar w:fldCharType="end"/>
      </w:r>
      <w:r w:rsidRPr="00937F6C">
        <w:rPr>
          <w:rFonts w:ascii="Times New Roman" w:eastAsia="Times New Roman" w:hAnsi="Times New Roman" w:cs="Times New Roman"/>
          <w:sz w:val="24"/>
          <w:szCs w:val="24"/>
        </w:rPr>
        <w:t xml:space="preserve">. It is an open question whether a pedagogy as interactive and resource-intensive as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can be effectively implemented and yield significant benefits in such settings.</w:t>
      </w:r>
    </w:p>
    <w:p w14:paraId="19F93474" w14:textId="499BED78" w:rsidR="00F75DC1" w:rsidRPr="00937F6C" w:rsidRDefault="00F75DC1" w:rsidP="00937F6C">
      <w:pPr>
        <w:spacing w:before="240" w:after="240" w:line="240" w:lineRule="auto"/>
        <w:rPr>
          <w:rFonts w:ascii="Times New Roman" w:eastAsia="Times New Roman" w:hAnsi="Times New Roman" w:cs="Times New Roman"/>
          <w:sz w:val="24"/>
          <w:szCs w:val="24"/>
        </w:rPr>
      </w:pPr>
      <w:r w:rsidRPr="00937F6C">
        <w:rPr>
          <w:rFonts w:ascii="Times New Roman" w:eastAsia="Times New Roman" w:hAnsi="Times New Roman" w:cs="Times New Roman"/>
          <w:sz w:val="24"/>
          <w:szCs w:val="24"/>
        </w:rPr>
        <w:t xml:space="preserve">Furthermore, the existing literature on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has predominantly focused on its impact on </w:t>
      </w:r>
      <w:r w:rsidRPr="00937F6C">
        <w:rPr>
          <w:rFonts w:ascii="Times New Roman" w:eastAsia="Times New Roman" w:hAnsi="Times New Roman" w:cs="Times New Roman"/>
          <w:iCs/>
          <w:sz w:val="24"/>
          <w:szCs w:val="24"/>
        </w:rPr>
        <w:t>academic achievement</w:t>
      </w:r>
      <w:r w:rsidRPr="00937F6C">
        <w:rPr>
          <w:rFonts w:ascii="Times New Roman" w:eastAsia="Times New Roman" w:hAnsi="Times New Roman" w:cs="Times New Roman"/>
          <w:sz w:val="24"/>
          <w:szCs w:val="24"/>
        </w:rPr>
        <w:t> </w:t>
      </w:r>
      <w:r w:rsidR="0094283D" w:rsidRPr="00937F6C">
        <w:rPr>
          <w:rFonts w:ascii="Times New Roman" w:eastAsia="Times New Roman" w:hAnsi="Times New Roman" w:cs="Times New Roman"/>
          <w:sz w:val="24"/>
          <w:szCs w:val="24"/>
        </w:rPr>
        <w:fldChar w:fldCharType="begin" w:fldLock="1"/>
      </w:r>
      <w:r w:rsidR="0094283D" w:rsidRPr="00937F6C">
        <w:rPr>
          <w:rFonts w:ascii="Times New Roman" w:eastAsia="Times New Roman" w:hAnsi="Times New Roman" w:cs="Times New Roman"/>
          <w:sz w:val="24"/>
          <w:szCs w:val="24"/>
        </w:rPr>
        <w:instrText>ADDIN CSL_CITATION {"citationItems":[{"id":"ITEM-1","itemData":{"DOI":"10.3389/feduc.2019.00064","ISSN":"2504284X","abstract":"This opinion piece questions the legitimacy of treating assessment for learning (AfL) as assessment. The distinction between testing and assessment is first made, then the defining characteristics of contemporary AfL are identified. While AfL claims to be assessment, my analysis argues that AfL is a pedagogical curriculum approach that has some process aspects of assessment. However, because of the interactive and in-the-moment characteristics of AfL, it fails to meet requirements of an assessment. Specifically, because the in-the-moment and on-the-fly aspects of effective classroom discussions and providing feedback happen in ephemeral contexts it is not possible to scrutinize the interpretations teachers make of student products and processes. Furthermore, we cannot know if those interpretations were sufficiently accurate to guide classroom interactions. Without social or statistical moderation, stakeholders cannot be assured that valid conclusions are reached. Additionally, the scale of error in both teacher and student judgment means that AfL practices cannot be relied upon for decision making beyond curriculum-embedded actions within a pedagogical process. Because teaching requires robust evidence to support decisions made about students and teachers, the practices commonly associated with AfL cannot provide sufficient evidence on which to base anything more than teaching interactions.","author":[{"dropping-particle":"","family":"Brown","given":"Gavin T.L.","non-dropping-particle":"","parse-names":false,"suffix":""}],"container-title":"Frontiers in Education","id":"ITEM-1","issue":"June","issued":{"date-parts":[["2019"]]},"page":"1-7","title":"Is Assessment for Learning Really Assessment?","type":"article-journal","volume":"4"},"uris":["http://www.mendeley.com/documents/?uuid=ef45c9ef-7298-4a54-8829-a98e73af7eb2"]}],"mendeley":{"formattedCitation":"(Brown, 2019)","manualFormatting":"(Brown, 2019","plainTextFormattedCitation":"(Brown, 2019)","previouslyFormattedCitation":"(Brown, 2019)"},"properties":{"noteIndex":0},"schema":"https://github.com/citation-style-language/schema/raw/master/csl-citation.json"}</w:instrText>
      </w:r>
      <w:r w:rsidR="0094283D" w:rsidRPr="00937F6C">
        <w:rPr>
          <w:rFonts w:ascii="Times New Roman" w:eastAsia="Times New Roman" w:hAnsi="Times New Roman" w:cs="Times New Roman"/>
          <w:sz w:val="24"/>
          <w:szCs w:val="24"/>
        </w:rPr>
        <w:fldChar w:fldCharType="separate"/>
      </w:r>
      <w:r w:rsidR="0094283D" w:rsidRPr="00937F6C">
        <w:rPr>
          <w:rFonts w:ascii="Times New Roman" w:eastAsia="Times New Roman" w:hAnsi="Times New Roman" w:cs="Times New Roman"/>
          <w:noProof/>
          <w:sz w:val="24"/>
          <w:szCs w:val="24"/>
        </w:rPr>
        <w:t>(Brown, 2019</w:t>
      </w:r>
      <w:r w:rsidR="0094283D" w:rsidRPr="00937F6C">
        <w:rPr>
          <w:rFonts w:ascii="Times New Roman" w:eastAsia="Times New Roman" w:hAnsi="Times New Roman" w:cs="Times New Roman"/>
          <w:sz w:val="24"/>
          <w:szCs w:val="24"/>
        </w:rPr>
        <w:fldChar w:fldCharType="end"/>
      </w:r>
      <w:r w:rsidR="0094283D" w:rsidRPr="00937F6C">
        <w:rPr>
          <w:rFonts w:ascii="Times New Roman" w:eastAsia="Times New Roman" w:hAnsi="Times New Roman" w:cs="Times New Roman"/>
          <w:sz w:val="24"/>
          <w:szCs w:val="24"/>
        </w:rPr>
        <w:t xml:space="preserve">; </w:t>
      </w:r>
      <w:r w:rsidR="0094283D" w:rsidRPr="00937F6C">
        <w:rPr>
          <w:rFonts w:ascii="Times New Roman" w:eastAsia="Times New Roman" w:hAnsi="Times New Roman" w:cs="Times New Roman"/>
          <w:sz w:val="24"/>
          <w:szCs w:val="24"/>
        </w:rPr>
        <w:fldChar w:fldCharType="begin" w:fldLock="1"/>
      </w:r>
      <w:r w:rsidR="000407CF" w:rsidRPr="00937F6C">
        <w:rPr>
          <w:rFonts w:ascii="Times New Roman" w:eastAsia="Times New Roman" w:hAnsi="Times New Roman" w:cs="Times New Roman"/>
          <w:sz w:val="24"/>
          <w:szCs w:val="24"/>
        </w:rPr>
        <w:instrText>ADDIN CSL_CITATION {"citationItems":[{"id":"ITEM-1","itemData":{"DOI":"10.3389/feduc.2022.1063123","ISSN":"2504284X","author":[{"dropping-particle":"","family":"Andrade","given":"Heidi","non-dropping-particle":"","parse-names":false,"suffix":""},{"dropping-particle":"","family":"Beekman","given":"Kelly","non-dropping-particle":"","parse-names":false,"suffix":""}],"container-title":"Frontiers in Education","id":"ITEM-1","issued":{"date-parts":[["2023"]]},"title":"Editorial: Classroom assessment as the co-regulation of learning","type":"article-journal","volume":"7"},"uris":["http://www.mendeley.com/documents/?uuid=3b0769ee-1357-469a-89b6-30e7f6b79cd6"]}],"mendeley":{"formattedCitation":"(Andrade &amp; Beekman, 2023)","manualFormatting":"Andrade &amp; Beekman, 2023)","plainTextFormattedCitation":"(Andrade &amp; Beekman, 2023)","previouslyFormattedCitation":"(Andrade &amp; Beekman, 2023)"},"properties":{"noteIndex":0},"schema":"https://github.com/citation-style-language/schema/raw/master/csl-citation.json"}</w:instrText>
      </w:r>
      <w:r w:rsidR="0094283D" w:rsidRPr="00937F6C">
        <w:rPr>
          <w:rFonts w:ascii="Times New Roman" w:eastAsia="Times New Roman" w:hAnsi="Times New Roman" w:cs="Times New Roman"/>
          <w:sz w:val="24"/>
          <w:szCs w:val="24"/>
        </w:rPr>
        <w:fldChar w:fldCharType="separate"/>
      </w:r>
      <w:r w:rsidR="0094283D" w:rsidRPr="00937F6C">
        <w:rPr>
          <w:rFonts w:ascii="Times New Roman" w:eastAsia="Times New Roman" w:hAnsi="Times New Roman" w:cs="Times New Roman"/>
          <w:noProof/>
          <w:sz w:val="24"/>
          <w:szCs w:val="24"/>
        </w:rPr>
        <w:t>Andrade &amp; Beekman, 2023)</w:t>
      </w:r>
      <w:r w:rsidR="0094283D" w:rsidRPr="00937F6C">
        <w:rPr>
          <w:rFonts w:ascii="Times New Roman" w:eastAsia="Times New Roman" w:hAnsi="Times New Roman" w:cs="Times New Roman"/>
          <w:sz w:val="24"/>
          <w:szCs w:val="24"/>
        </w:rPr>
        <w:fldChar w:fldCharType="end"/>
      </w:r>
      <w:r w:rsidRPr="00937F6C">
        <w:rPr>
          <w:rFonts w:ascii="Times New Roman" w:eastAsia="Times New Roman" w:hAnsi="Times New Roman" w:cs="Times New Roman"/>
          <w:sz w:val="24"/>
          <w:szCs w:val="24"/>
        </w:rPr>
        <w:t>. However, in a subject like mathematics, which is often met with anxiety and disinterest, the </w:t>
      </w:r>
      <w:r w:rsidRPr="00937F6C">
        <w:rPr>
          <w:rFonts w:ascii="Times New Roman" w:eastAsia="Times New Roman" w:hAnsi="Times New Roman" w:cs="Times New Roman"/>
          <w:iCs/>
          <w:sz w:val="24"/>
          <w:szCs w:val="24"/>
        </w:rPr>
        <w:t>affective</w:t>
      </w:r>
      <w:r w:rsidRPr="00937F6C">
        <w:rPr>
          <w:rFonts w:ascii="Times New Roman" w:eastAsia="Times New Roman" w:hAnsi="Times New Roman" w:cs="Times New Roman"/>
          <w:sz w:val="24"/>
          <w:szCs w:val="24"/>
        </w:rPr>
        <w:t> outcomes, such as students' interest and participation, are equally vital for long-term success</w:t>
      </w:r>
      <w:r w:rsidR="000407CF" w:rsidRPr="00937F6C">
        <w:rPr>
          <w:rFonts w:ascii="Times New Roman" w:eastAsia="Times New Roman" w:hAnsi="Times New Roman" w:cs="Times New Roman"/>
          <w:sz w:val="24"/>
          <w:szCs w:val="24"/>
        </w:rPr>
        <w:t xml:space="preserve"> </w:t>
      </w:r>
      <w:r w:rsidR="000407CF" w:rsidRPr="00937F6C">
        <w:rPr>
          <w:rFonts w:ascii="Times New Roman" w:eastAsia="Times New Roman" w:hAnsi="Times New Roman" w:cs="Times New Roman"/>
          <w:sz w:val="24"/>
          <w:szCs w:val="24"/>
        </w:rPr>
        <w:fldChar w:fldCharType="begin" w:fldLock="1"/>
      </w:r>
      <w:r w:rsidR="008961ED" w:rsidRPr="00937F6C">
        <w:rPr>
          <w:rFonts w:ascii="Times New Roman" w:eastAsia="Times New Roman" w:hAnsi="Times New Roman" w:cs="Times New Roman"/>
          <w:sz w:val="24"/>
          <w:szCs w:val="24"/>
        </w:rPr>
        <w:instrText>ADDIN CSL_CITATION {"citationItems":[{"id":"ITEM-1","itemData":{"author":[{"dropping-particle":"","family":"Eccles","given":"Jacquelines S","non-dropping-particle":"","parse-names":false,"suffix":""},{"dropping-particle":"","family":"Wigfield","given":"Allan","non-dropping-particle":"","parse-names":false,"suffix":""}],"id":"ITEM-1","issued":{"date-parts":[["2020"]]},"page":"0-60","title":"Situated Expectancy Value Theory","type":"article-journal"},"uris":["http://www.mendeley.com/documents/?uuid=0dad6376-d982-42a2-94ba-8932eaf4842e"]}],"mendeley":{"formattedCitation":"(Eccles &amp; Wigfield, 2020)","plainTextFormattedCitation":"(Eccles &amp; Wigfield, 2020)","previouslyFormattedCitation":"(Eccles &amp; Wigfield, 2020)"},"properties":{"noteIndex":0},"schema":"https://github.com/citation-style-language/schema/raw/master/csl-citation.json"}</w:instrText>
      </w:r>
      <w:r w:rsidR="000407CF" w:rsidRPr="00937F6C">
        <w:rPr>
          <w:rFonts w:ascii="Times New Roman" w:eastAsia="Times New Roman" w:hAnsi="Times New Roman" w:cs="Times New Roman"/>
          <w:sz w:val="24"/>
          <w:szCs w:val="24"/>
        </w:rPr>
        <w:fldChar w:fldCharType="separate"/>
      </w:r>
      <w:r w:rsidR="000407CF" w:rsidRPr="00937F6C">
        <w:rPr>
          <w:rFonts w:ascii="Times New Roman" w:eastAsia="Times New Roman" w:hAnsi="Times New Roman" w:cs="Times New Roman"/>
          <w:noProof/>
          <w:sz w:val="24"/>
          <w:szCs w:val="24"/>
        </w:rPr>
        <w:t>(Eccles &amp; Wigfield, 2020)</w:t>
      </w:r>
      <w:r w:rsidR="000407CF" w:rsidRPr="00937F6C">
        <w:rPr>
          <w:rFonts w:ascii="Times New Roman" w:eastAsia="Times New Roman" w:hAnsi="Times New Roman" w:cs="Times New Roman"/>
          <w:sz w:val="24"/>
          <w:szCs w:val="24"/>
        </w:rPr>
        <w:fldChar w:fldCharType="end"/>
      </w:r>
      <w:r w:rsidRPr="00937F6C">
        <w:rPr>
          <w:rFonts w:ascii="Times New Roman" w:eastAsia="Times New Roman" w:hAnsi="Times New Roman" w:cs="Times New Roman"/>
          <w:sz w:val="24"/>
          <w:szCs w:val="24"/>
        </w:rPr>
        <w:t xml:space="preserve">. The potential of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to transform classrooms by making them more motivating and participatory for students in under-researched contexts remains largely unexplored.</w:t>
      </w:r>
    </w:p>
    <w:p w14:paraId="085E017D" w14:textId="0844E1A6" w:rsidR="00F75DC1" w:rsidRPr="00937F6C" w:rsidRDefault="00F75DC1" w:rsidP="00937F6C">
      <w:pPr>
        <w:spacing w:before="240" w:after="240" w:line="240" w:lineRule="auto"/>
        <w:rPr>
          <w:rFonts w:ascii="Times New Roman" w:eastAsia="Times New Roman" w:hAnsi="Times New Roman" w:cs="Times New Roman"/>
          <w:sz w:val="24"/>
          <w:szCs w:val="24"/>
        </w:rPr>
      </w:pPr>
      <w:r w:rsidRPr="00937F6C">
        <w:rPr>
          <w:rFonts w:ascii="Times New Roman" w:eastAsia="Times New Roman" w:hAnsi="Times New Roman" w:cs="Times New Roman"/>
          <w:sz w:val="24"/>
          <w:szCs w:val="24"/>
        </w:rPr>
        <w:t xml:space="preserve">This study, therefore, seeks to address these twin gaps by investigating the impact of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on student interest and participation in a Ghanaian senior high school. By providing quasi-experimental evidence from this specific context, the study aims to determine not just </w:t>
      </w:r>
      <w:r w:rsidRPr="00937F6C">
        <w:rPr>
          <w:rFonts w:ascii="Times New Roman" w:eastAsia="Times New Roman" w:hAnsi="Times New Roman" w:cs="Times New Roman"/>
          <w:iCs/>
          <w:sz w:val="24"/>
          <w:szCs w:val="24"/>
        </w:rPr>
        <w:t xml:space="preserve">if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xml:space="preserve"> works, but the </w:t>
      </w:r>
      <w:r w:rsidRPr="00937F6C">
        <w:rPr>
          <w:rFonts w:ascii="Times New Roman" w:eastAsia="Times New Roman" w:hAnsi="Times New Roman" w:cs="Times New Roman"/>
          <w:bCs/>
          <w:sz w:val="24"/>
          <w:szCs w:val="24"/>
        </w:rPr>
        <w:t>potential magnitude of its effect</w:t>
      </w:r>
      <w:r w:rsidRPr="00937F6C">
        <w:rPr>
          <w:rFonts w:ascii="Times New Roman" w:eastAsia="Times New Roman" w:hAnsi="Times New Roman" w:cs="Times New Roman"/>
          <w:sz w:val="24"/>
          <w:szCs w:val="24"/>
        </w:rPr>
        <w:t> on crucial affective domains in an environment where student-centered pedagogies are not the norm.</w:t>
      </w:r>
    </w:p>
    <w:p w14:paraId="4386751E" w14:textId="77777777" w:rsidR="00773724" w:rsidRPr="00937F6C" w:rsidRDefault="00F75DC1" w:rsidP="00937F6C">
      <w:pPr>
        <w:spacing w:before="240" w:after="100" w:afterAutospacing="1" w:line="240" w:lineRule="auto"/>
        <w:rPr>
          <w:rFonts w:ascii="Times New Roman" w:eastAsia="Times New Roman" w:hAnsi="Times New Roman" w:cs="Times New Roman"/>
          <w:b/>
          <w:bCs/>
          <w:sz w:val="24"/>
          <w:szCs w:val="24"/>
        </w:rPr>
      </w:pPr>
      <w:r w:rsidRPr="00937F6C">
        <w:rPr>
          <w:rFonts w:ascii="Times New Roman" w:eastAsia="Times New Roman" w:hAnsi="Times New Roman" w:cs="Times New Roman"/>
          <w:b/>
          <w:bCs/>
          <w:sz w:val="24"/>
          <w:szCs w:val="24"/>
        </w:rPr>
        <w:t>Research Question</w:t>
      </w:r>
      <w:r w:rsidR="00773724" w:rsidRPr="00937F6C">
        <w:rPr>
          <w:rFonts w:ascii="Times New Roman" w:eastAsia="Times New Roman" w:hAnsi="Times New Roman" w:cs="Times New Roman"/>
          <w:b/>
          <w:bCs/>
          <w:sz w:val="24"/>
          <w:szCs w:val="24"/>
        </w:rPr>
        <w:t>s</w:t>
      </w:r>
    </w:p>
    <w:p w14:paraId="14A6642C" w14:textId="4B054100" w:rsidR="00773724" w:rsidRPr="00937F6C" w:rsidRDefault="00773724" w:rsidP="00937F6C">
      <w:pPr>
        <w:pStyle w:val="ListParagraph"/>
        <w:numPr>
          <w:ilvl w:val="0"/>
          <w:numId w:val="3"/>
        </w:numPr>
        <w:spacing w:before="240" w:after="100" w:afterAutospacing="1" w:line="240" w:lineRule="auto"/>
        <w:rPr>
          <w:rFonts w:ascii="Times New Roman" w:eastAsia="Times New Roman" w:hAnsi="Times New Roman" w:cs="Times New Roman"/>
          <w:b/>
          <w:bCs/>
          <w:sz w:val="24"/>
          <w:szCs w:val="24"/>
        </w:rPr>
      </w:pPr>
      <w:r w:rsidRPr="00937F6C">
        <w:rPr>
          <w:rFonts w:ascii="Times New Roman" w:eastAsia="Times New Roman" w:hAnsi="Times New Roman" w:cs="Times New Roman"/>
          <w:sz w:val="24"/>
          <w:szCs w:val="24"/>
        </w:rPr>
        <w:t>What is the impact of Assessment for Learning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strategies on students’ interest in mathematics learning in Ghanaian senior high schools?</w:t>
      </w:r>
    </w:p>
    <w:p w14:paraId="4E5D95A5" w14:textId="167A05CC" w:rsidR="00773724" w:rsidRPr="00937F6C" w:rsidRDefault="00773724" w:rsidP="00937F6C">
      <w:pPr>
        <w:pStyle w:val="ListParagraph"/>
        <w:numPr>
          <w:ilvl w:val="0"/>
          <w:numId w:val="3"/>
        </w:numPr>
        <w:spacing w:before="240" w:after="100" w:afterAutospacing="1" w:line="240" w:lineRule="auto"/>
        <w:rPr>
          <w:rFonts w:ascii="Times New Roman" w:eastAsia="Times New Roman" w:hAnsi="Times New Roman" w:cs="Times New Roman"/>
          <w:b/>
          <w:bCs/>
          <w:sz w:val="24"/>
          <w:szCs w:val="24"/>
        </w:rPr>
      </w:pPr>
      <w:r w:rsidRPr="00937F6C">
        <w:rPr>
          <w:rFonts w:ascii="Times New Roman" w:eastAsia="Times New Roman" w:hAnsi="Times New Roman" w:cs="Times New Roman"/>
          <w:sz w:val="24"/>
          <w:szCs w:val="24"/>
        </w:rPr>
        <w:t>What is the impact of Assessment for Learning (</w:t>
      </w:r>
      <w:proofErr w:type="spellStart"/>
      <w:r w:rsidRPr="00937F6C">
        <w:rPr>
          <w:rFonts w:ascii="Times New Roman" w:eastAsia="Times New Roman" w:hAnsi="Times New Roman" w:cs="Times New Roman"/>
          <w:sz w:val="24"/>
          <w:szCs w:val="24"/>
        </w:rPr>
        <w:t>AfL</w:t>
      </w:r>
      <w:proofErr w:type="spellEnd"/>
      <w:r w:rsidRPr="00937F6C">
        <w:rPr>
          <w:rFonts w:ascii="Times New Roman" w:eastAsia="Times New Roman" w:hAnsi="Times New Roman" w:cs="Times New Roman"/>
          <w:sz w:val="24"/>
          <w:szCs w:val="24"/>
        </w:rPr>
        <w:t>) strategies on students’ participation in mathematics learning in Ghanaian senior high schools?</w:t>
      </w:r>
    </w:p>
    <w:p w14:paraId="69E39C74" w14:textId="77777777" w:rsidR="00FB43FA" w:rsidRDefault="00FB43FA" w:rsidP="00937F6C">
      <w:pPr>
        <w:pStyle w:val="Heading2"/>
        <w:jc w:val="both"/>
        <w:rPr>
          <w:rStyle w:val="Strong"/>
          <w:b/>
          <w:bCs/>
          <w:sz w:val="24"/>
          <w:szCs w:val="24"/>
        </w:rPr>
      </w:pPr>
    </w:p>
    <w:p w14:paraId="062CFEB3" w14:textId="77777777" w:rsidR="00FB43FA" w:rsidRDefault="00FB43FA" w:rsidP="00937F6C">
      <w:pPr>
        <w:pStyle w:val="Heading2"/>
        <w:jc w:val="both"/>
        <w:rPr>
          <w:rStyle w:val="Strong"/>
          <w:b/>
          <w:bCs/>
          <w:sz w:val="24"/>
          <w:szCs w:val="24"/>
        </w:rPr>
      </w:pPr>
    </w:p>
    <w:p w14:paraId="6BB1A615" w14:textId="77777777" w:rsidR="00FB43FA" w:rsidRDefault="00FB43FA" w:rsidP="00937F6C">
      <w:pPr>
        <w:pStyle w:val="Heading2"/>
        <w:jc w:val="both"/>
        <w:rPr>
          <w:rStyle w:val="Strong"/>
          <w:b/>
          <w:bCs/>
          <w:sz w:val="24"/>
          <w:szCs w:val="24"/>
        </w:rPr>
      </w:pPr>
    </w:p>
    <w:p w14:paraId="75E70FED" w14:textId="0733DCFE" w:rsidR="00007C7E" w:rsidRPr="00937F6C" w:rsidRDefault="00EC35CC" w:rsidP="00937F6C">
      <w:pPr>
        <w:pStyle w:val="Heading2"/>
        <w:jc w:val="both"/>
        <w:rPr>
          <w:sz w:val="24"/>
          <w:szCs w:val="24"/>
        </w:rPr>
      </w:pPr>
      <w:r w:rsidRPr="00937F6C">
        <w:rPr>
          <w:rStyle w:val="Strong"/>
          <w:b/>
          <w:bCs/>
          <w:sz w:val="24"/>
          <w:szCs w:val="24"/>
        </w:rPr>
        <w:lastRenderedPageBreak/>
        <w:t>LITERATURE REVIEW</w:t>
      </w:r>
    </w:p>
    <w:p w14:paraId="3C5AE984" w14:textId="6E9057AD" w:rsidR="00007C7E" w:rsidRPr="00937F6C" w:rsidRDefault="00007C7E" w:rsidP="00937F6C">
      <w:pPr>
        <w:pStyle w:val="Heading3"/>
        <w:spacing w:line="240" w:lineRule="auto"/>
        <w:jc w:val="both"/>
        <w:rPr>
          <w:rFonts w:ascii="Times New Roman" w:hAnsi="Times New Roman" w:cs="Times New Roman"/>
          <w:color w:val="auto"/>
        </w:rPr>
      </w:pPr>
      <w:r w:rsidRPr="00937F6C">
        <w:rPr>
          <w:rStyle w:val="Strong"/>
          <w:rFonts w:ascii="Times New Roman" w:hAnsi="Times New Roman" w:cs="Times New Roman"/>
          <w:bCs w:val="0"/>
          <w:color w:val="auto"/>
        </w:rPr>
        <w:t>Concept of Assessment for Learning (</w:t>
      </w:r>
      <w:proofErr w:type="spellStart"/>
      <w:r w:rsidRPr="00937F6C">
        <w:rPr>
          <w:rStyle w:val="Strong"/>
          <w:rFonts w:ascii="Times New Roman" w:hAnsi="Times New Roman" w:cs="Times New Roman"/>
          <w:bCs w:val="0"/>
          <w:color w:val="auto"/>
        </w:rPr>
        <w:t>AfL</w:t>
      </w:r>
      <w:proofErr w:type="spellEnd"/>
      <w:r w:rsidRPr="00937F6C">
        <w:rPr>
          <w:rStyle w:val="Strong"/>
          <w:rFonts w:ascii="Times New Roman" w:hAnsi="Times New Roman" w:cs="Times New Roman"/>
          <w:bCs w:val="0"/>
          <w:color w:val="auto"/>
        </w:rPr>
        <w:t>)</w:t>
      </w:r>
    </w:p>
    <w:p w14:paraId="06BD2E85" w14:textId="3C527380" w:rsidR="00007C7E" w:rsidRPr="00937F6C" w:rsidRDefault="00007C7E" w:rsidP="00937F6C">
      <w:pPr>
        <w:pStyle w:val="NormalWeb"/>
        <w:jc w:val="both"/>
      </w:pPr>
      <w:r w:rsidRPr="00937F6C">
        <w:t>Assessment for Learning (</w:t>
      </w:r>
      <w:proofErr w:type="spellStart"/>
      <w:r w:rsidRPr="00937F6C">
        <w:t>AfL</w:t>
      </w:r>
      <w:proofErr w:type="spellEnd"/>
      <w:r w:rsidRPr="00937F6C">
        <w:t xml:space="preserve">) refers to a formative assessment approach </w:t>
      </w:r>
      <w:r w:rsidR="00D378C5" w:rsidRPr="00937F6C">
        <w:t>in which assessment is used as an integral part of the teaching and learning process,</w:t>
      </w:r>
      <w:r w:rsidRPr="00937F6C">
        <w:t xml:space="preserve"> rather than as a tool for grading alone. It involves continuous feedback, </w:t>
      </w:r>
      <w:r w:rsidR="00D378C5" w:rsidRPr="00937F6C">
        <w:t>self-assessment, peer assessment</w:t>
      </w:r>
      <w:r w:rsidRPr="00937F6C">
        <w:t>, questioning, and reflection to guide students toward improved learning outcomes</w:t>
      </w:r>
      <w:r w:rsidR="009F0196" w:rsidRPr="00937F6C">
        <w:t xml:space="preserve"> </w:t>
      </w:r>
      <w:r w:rsidR="008961ED" w:rsidRPr="00937F6C">
        <w:fldChar w:fldCharType="begin" w:fldLock="1"/>
      </w:r>
      <w:r w:rsidR="009F0196" w:rsidRPr="00937F6C">
        <w:instrText>ADDIN CSL_CITATION {"citationItems":[{"id":"ITEM-1","itemData":{"DOI":"10.1016/j.stueduc.2018.01.004","ISSN":"0191491X","abstract":"Feedback that monitors and scaffolds student learning has been shown to support learning. This study investigates the effect of mathematics teachers’ perceptions of Formative Assessment (FA) and Assessment for Learning (AfL) and their conceptions of assessment on the quality of their feedback practices. The study was conducted in 48 secondary schools in Tanzania with 54 experienced mathematics teachers teaching Grade 11 (Form three in the Tanzanian system). Validated questionnaires were combined with interviews to investigate mathematics teachers’ perceptions, conceptions, and feedback practices. Data were analysed by structural equation modeling and content analysis techniques. Results from the structural equation model indicated that mathematics teachers’ perceptions of FA and AfL and their conceptions of assessment purposes positively predicted the quality of their feedback practices. Interview results illustrated that mathematics teachers used their students’ assessment information for both formative and summative purposes. Future interventions for improving the quality of mathematics teacher's feedback practices are proposed.","author":[{"dropping-particle":"","family":"Kyaruzi","given":"Florence","non-dropping-particle":"","parse-names":false,"suffix":""},{"dropping-particle":"","family":"Strijbos","given":"Jan Willem","non-dropping-particle":"","parse-names":false,"suffix":""},{"dropping-particle":"","family":"Ufer","given":"Stefan","non-dropping-particle":"","parse-names":false,"suffix":""},{"dropping-particle":"","family":"Brown","given":"Gavin T.L.","non-dropping-particle":"","parse-names":false,"suffix":""}],"container-title":"Studies in Educational Evaluation","id":"ITEM-1","issued":{"date-parts":[["2018"]]},"page":"1-9","publisher":"Elsevier","title":"Teacher AfL perceptions and feedback practices in mathematics education among secondary schools in Tanzania","type":"article-journal","volume":"59"},"uris":["http://www.mendeley.com/documents/?uuid=09f1bf2e-d989-474e-861d-f6740cd44158"]}],"mendeley":{"formattedCitation":"(Kyaruzi et al., 2018)","plainTextFormattedCitation":"(Kyaruzi et al., 2018)","previouslyFormattedCitation":"(Kyaruzi et al., 2018)"},"properties":{"noteIndex":0},"schema":"https://github.com/citation-style-language/schema/raw/master/csl-citation.json"}</w:instrText>
      </w:r>
      <w:r w:rsidR="008961ED" w:rsidRPr="00937F6C">
        <w:fldChar w:fldCharType="separate"/>
      </w:r>
      <w:r w:rsidR="008961ED" w:rsidRPr="00937F6C">
        <w:rPr>
          <w:noProof/>
        </w:rPr>
        <w:t>(Kyaruzi et al., 2018)</w:t>
      </w:r>
      <w:r w:rsidR="008961ED" w:rsidRPr="00937F6C">
        <w:fldChar w:fldCharType="end"/>
      </w:r>
      <w:r w:rsidRPr="00937F6C">
        <w:t xml:space="preserve">. </w:t>
      </w:r>
      <w:proofErr w:type="spellStart"/>
      <w:r w:rsidRPr="00937F6C">
        <w:t>AfL</w:t>
      </w:r>
      <w:proofErr w:type="spellEnd"/>
      <w:r w:rsidRPr="00937F6C">
        <w:t xml:space="preserve"> shifts the focus from measuring what students have learned to supporting how they learn. Through </w:t>
      </w:r>
      <w:proofErr w:type="spellStart"/>
      <w:r w:rsidRPr="00937F6C">
        <w:t>AfL</w:t>
      </w:r>
      <w:proofErr w:type="spellEnd"/>
      <w:r w:rsidRPr="00937F6C">
        <w:t xml:space="preserve">, teachers gather evidence of learning to adapt instruction and provide timely feedback that helps students close learning gaps </w:t>
      </w:r>
      <w:r w:rsidR="009F0196" w:rsidRPr="00937F6C">
        <w:fldChar w:fldCharType="begin" w:fldLock="1"/>
      </w:r>
      <w:r w:rsidR="00B456EC" w:rsidRPr="00937F6C">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perspective.","author":[{"dropping-particle":"","family":"BEARD","given":"ERIN A.","non-dropping-particle":"","parse-names":false,"suffix":""}],"container-title":"Kaos GL Dergisi","id":"ITEM-1","issue":"75","issued":{"date-parts":[["2020"]]},"page":"147-154","title":"STUDENT-INVOLVED ASSESSMENT FOR LEARNING PROFESSIONAL DEVELOPMENT CASE STUDY","type":"article-journal","volume":"8"},"uris":["http://www.mendeley.com/documents/?uuid=9751584f-4cca-4424-acc9-bac2e44b10e0"]}],"mendeley":{"formattedCitation":"(BEARD, 2020)","manualFormatting":"(Beard, 2020)","plainTextFormattedCitation":"(BEARD, 2020)","previouslyFormattedCitation":"(BEARD, 2020)"},"properties":{"noteIndex":0},"schema":"https://github.com/citation-style-language/schema/raw/master/csl-citation.json"}</w:instrText>
      </w:r>
      <w:r w:rsidR="009F0196" w:rsidRPr="00937F6C">
        <w:fldChar w:fldCharType="separate"/>
      </w:r>
      <w:r w:rsidR="009F0196" w:rsidRPr="00937F6C">
        <w:rPr>
          <w:noProof/>
        </w:rPr>
        <w:t>(Beard, 2020)</w:t>
      </w:r>
      <w:r w:rsidR="009F0196" w:rsidRPr="00937F6C">
        <w:fldChar w:fldCharType="end"/>
      </w:r>
      <w:r w:rsidRPr="00937F6C">
        <w:t>.</w:t>
      </w:r>
    </w:p>
    <w:p w14:paraId="150BFCB0" w14:textId="67942B90" w:rsidR="00007C7E" w:rsidRPr="00937F6C" w:rsidRDefault="00007C7E" w:rsidP="00937F6C">
      <w:pPr>
        <w:pStyle w:val="NormalWeb"/>
        <w:jc w:val="both"/>
      </w:pPr>
      <w:r w:rsidRPr="00937F6C">
        <w:t xml:space="preserve">In mathematics classrooms, </w:t>
      </w:r>
      <w:proofErr w:type="spellStart"/>
      <w:r w:rsidRPr="00937F6C">
        <w:t>AfL</w:t>
      </w:r>
      <w:proofErr w:type="spellEnd"/>
      <w:r w:rsidRPr="00937F6C">
        <w:t xml:space="preserve"> strategies such as classroom questioning, formative quizzes, and peer feedback promote deeper understanding by allowing learners to identify their misconceptions and build conceptual connections. </w:t>
      </w:r>
      <w:r w:rsidR="00B456EC" w:rsidRPr="00937F6C">
        <w:fldChar w:fldCharType="begin" w:fldLock="1"/>
      </w:r>
      <w:r w:rsidR="000E6ACE" w:rsidRPr="00937F6C">
        <w:instrText>ADDIN CSL_CITATION {"citationItems":[{"id":"ITEM-1","itemData":{"DOI":"10.3389/feduc.2022.1063123","ISSN":"2504284X","author":[{"dropping-particle":"","family":"Andrade","given":"Heidi","non-dropping-particle":"","parse-names":false,"suffix":""},{"dropping-particle":"","family":"Beekman","given":"Kelly","non-dropping-particle":"","parse-names":false,"suffix":""}],"container-title":"Frontiers in Education","id":"ITEM-1","issued":{"date-parts":[["2023"]]},"title":"Editorial: Classroom assessment as the co-regulation of learning","type":"article-journal","volume":"7"},"uris":["http://www.mendeley.com/documents/?uuid=3b0769ee-1357-469a-89b6-30e7f6b79cd6"]}],"mendeley":{"formattedCitation":"(Andrade &amp; Beekman, 2023)","manualFormatting":"Andrade and Beekman (2023)","plainTextFormattedCitation":"(Andrade &amp; Beekman, 2023)","previouslyFormattedCitation":"(Andrade &amp; Beekman, 2023)"},"properties":{"noteIndex":0},"schema":"https://github.com/citation-style-language/schema/raw/master/csl-citation.json"}</w:instrText>
      </w:r>
      <w:r w:rsidR="00B456EC" w:rsidRPr="00937F6C">
        <w:fldChar w:fldCharType="separate"/>
      </w:r>
      <w:r w:rsidR="00B456EC" w:rsidRPr="00937F6C">
        <w:rPr>
          <w:noProof/>
        </w:rPr>
        <w:t>Andrade and Beekman (2023)</w:t>
      </w:r>
      <w:r w:rsidR="00B456EC" w:rsidRPr="00937F6C">
        <w:fldChar w:fldCharType="end"/>
      </w:r>
      <w:r w:rsidR="00B456EC" w:rsidRPr="00937F6C">
        <w:t xml:space="preserve">, </w:t>
      </w:r>
      <w:r w:rsidRPr="00937F6C">
        <w:t xml:space="preserve">noted that the feedback process strengthens learning by encouraging collaboration between teachers and students. When effectively implemented, </w:t>
      </w:r>
      <w:proofErr w:type="spellStart"/>
      <w:r w:rsidRPr="00937F6C">
        <w:t>AfL</w:t>
      </w:r>
      <w:proofErr w:type="spellEnd"/>
      <w:r w:rsidRPr="00937F6C">
        <w:t xml:space="preserve"> develops self-regulated learners who can evaluate their progress and set achievable goals</w:t>
      </w:r>
      <w:r w:rsidR="000E6ACE" w:rsidRPr="00937F6C">
        <w:t xml:space="preserve"> </w:t>
      </w:r>
      <w:r w:rsidR="000E6ACE" w:rsidRPr="00937F6C">
        <w:fldChar w:fldCharType="begin" w:fldLock="1"/>
      </w:r>
      <w:r w:rsidR="003C451C" w:rsidRPr="00937F6C">
        <w:instrText>ADDIN CSL_CITATION {"citationItems":[{"id":"ITEM-1","itemData":{"DOI":"10.1080/02602938.2016.1236360","ISSN":"1469297X","abstract":"The development of students as lifelong, self-regulating learners is a valued outcome of higher education. To this end, the current project investigated how students in an undergraduate course experienced and responded to a teaching–learning environment where they were expected to take responsibility for their learning. The pedagogic environment of this course was grounded in strategies and activities associated with assessment for learning (AfL). As such, students were expected to participate in activities that provided them with opportunities to exercise control over their learning. Data gathering comprised individual semi-structured interviews and the collection of artefacts. Findings indicated goals helped students know where they were going; exemplars provided insights into what was expected and what constituted quality work; course activities elicited evidence of learning; dialogic interactions around these generated feedback about understandings and progress; the evaluation of exemplars developed evaluative knowledge, skill and expertise; peer review and feedback provided an authentic context for evaluation and monitoring of works-in-progress. It was concluded that, while each of the AfL strategies contributed to student self-regulation, the full impact of AfL as a catalyst for self-regulated learning was realised in the cumulative and recursive effect these strategies had on students’ thinking, actions and feelings.","author":[{"dropping-particle":"","family":"Hawe","given":"Eleanor","non-dropping-particle":"","parse-names":false,"suffix":""},{"dropping-particle":"","family":"Dixon","given":"Helen","non-dropping-particle":"","parse-names":false,"suffix":""}],"container-title":"Assessment and Evaluation in Higher Education","id":"ITEM-1","issue":"8","issued":{"date-parts":[["2017","11","17"]]},"page":"1181-1192","publisher":"Routledge","title":"Assessment for learning: a catalyst for student self-regulation","type":"article-journal","volume":"42"},"uris":["http://www.mendeley.com/documents/?uuid=b44a11e4-7e9e-323f-9a3a-dead16331a9f"]}],"mendeley":{"formattedCitation":"(Hawe &amp; Dixon, 2017)","plainTextFormattedCitation":"(Hawe &amp; Dixon, 2017)","previouslyFormattedCitation":"(Hawe &amp; Dixon, 2017)"},"properties":{"noteIndex":0},"schema":"https://github.com/citation-style-language/schema/raw/master/csl-citation.json"}</w:instrText>
      </w:r>
      <w:r w:rsidR="000E6ACE" w:rsidRPr="00937F6C">
        <w:fldChar w:fldCharType="separate"/>
      </w:r>
      <w:r w:rsidR="000E6ACE" w:rsidRPr="00937F6C">
        <w:rPr>
          <w:noProof/>
        </w:rPr>
        <w:t>(Hawe &amp; Dixon, 2017)</w:t>
      </w:r>
      <w:r w:rsidR="000E6ACE" w:rsidRPr="00937F6C">
        <w:fldChar w:fldCharType="end"/>
      </w:r>
    </w:p>
    <w:p w14:paraId="07E9B3DF" w14:textId="5D8D3BE7" w:rsidR="00007C7E" w:rsidRPr="00937F6C" w:rsidRDefault="00007C7E" w:rsidP="00937F6C">
      <w:pPr>
        <w:pStyle w:val="Heading3"/>
        <w:spacing w:line="240" w:lineRule="auto"/>
        <w:jc w:val="both"/>
        <w:rPr>
          <w:rFonts w:ascii="Times New Roman" w:hAnsi="Times New Roman" w:cs="Times New Roman"/>
          <w:color w:val="auto"/>
        </w:rPr>
      </w:pPr>
      <w:proofErr w:type="spellStart"/>
      <w:r w:rsidRPr="00937F6C">
        <w:rPr>
          <w:rStyle w:val="Strong"/>
          <w:rFonts w:ascii="Times New Roman" w:hAnsi="Times New Roman" w:cs="Times New Roman"/>
          <w:bCs w:val="0"/>
          <w:color w:val="auto"/>
        </w:rPr>
        <w:t>AfL</w:t>
      </w:r>
      <w:proofErr w:type="spellEnd"/>
      <w:r w:rsidRPr="00937F6C">
        <w:rPr>
          <w:rStyle w:val="Strong"/>
          <w:rFonts w:ascii="Times New Roman" w:hAnsi="Times New Roman" w:cs="Times New Roman"/>
          <w:bCs w:val="0"/>
          <w:color w:val="auto"/>
        </w:rPr>
        <w:t xml:space="preserve"> and Student Interest in Mathematics</w:t>
      </w:r>
    </w:p>
    <w:p w14:paraId="2BA633E0" w14:textId="103E5805" w:rsidR="00007C7E" w:rsidRPr="00937F6C" w:rsidRDefault="00007C7E" w:rsidP="00937F6C">
      <w:pPr>
        <w:pStyle w:val="NormalWeb"/>
        <w:jc w:val="both"/>
      </w:pPr>
      <w:r w:rsidRPr="00937F6C">
        <w:t xml:space="preserve">Interest in mathematics is a vital motivational factor influencing students’ engagement, persistence, and academic achievement </w:t>
      </w:r>
      <w:r w:rsidR="003C451C" w:rsidRPr="00937F6C">
        <w:fldChar w:fldCharType="begin" w:fldLock="1"/>
      </w:r>
      <w:r w:rsidR="003C451C" w:rsidRPr="00937F6C">
        <w:instrText>ADDIN CSL_CITATION {"citationItems":[{"id":"ITEM-1","itemData":{"author":[{"dropping-particle":"","family":"Eccles","given":"Jacquelines S","non-dropping-particle":"","parse-names":false,"suffix":""},{"dropping-particle":"","family":"Wigfield","given":"Allan","non-dropping-particle":"","parse-names":false,"suffix":""}],"id":"ITEM-1","issued":{"date-parts":[["2020"]]},"page":"0-60","title":"Situated Expectancy Value Theory","type":"article-journal"},"uris":["http://www.mendeley.com/documents/?uuid=0dad6376-d982-42a2-94ba-8932eaf4842e"]}],"mendeley":{"formattedCitation":"(Eccles &amp; Wigfield, 2020)","plainTextFormattedCitation":"(Eccles &amp; Wigfield, 2020)"},"properties":{"noteIndex":0},"schema":"https://github.com/citation-style-language/schema/raw/master/csl-citation.json"}</w:instrText>
      </w:r>
      <w:r w:rsidR="003C451C" w:rsidRPr="00937F6C">
        <w:fldChar w:fldCharType="separate"/>
      </w:r>
      <w:r w:rsidR="003C451C" w:rsidRPr="00937F6C">
        <w:rPr>
          <w:noProof/>
        </w:rPr>
        <w:t>(Eccles &amp; Wigfield, 2020)</w:t>
      </w:r>
      <w:r w:rsidR="003C451C" w:rsidRPr="00937F6C">
        <w:fldChar w:fldCharType="end"/>
      </w:r>
      <w:r w:rsidRPr="00937F6C">
        <w:t xml:space="preserve">. Students with strong </w:t>
      </w:r>
      <w:r w:rsidR="00927A83" w:rsidRPr="00937F6C">
        <w:t>interests</w:t>
      </w:r>
      <w:r w:rsidRPr="00937F6C">
        <w:t xml:space="preserve"> are more likely to participate actively and develop positive attitudes toward problem-solving. However, many mathematics students in Ghana show low interest, often perceiving mathematics as abstract or difficult (</w:t>
      </w:r>
      <w:proofErr w:type="spellStart"/>
      <w:r w:rsidRPr="00937F6C">
        <w:t>Ampadu</w:t>
      </w:r>
      <w:proofErr w:type="spellEnd"/>
      <w:r w:rsidRPr="00937F6C">
        <w:t>, 2020).</w:t>
      </w:r>
    </w:p>
    <w:p w14:paraId="6307B006" w14:textId="781F82E6" w:rsidR="00007C7E" w:rsidRPr="00937F6C" w:rsidRDefault="00007C7E" w:rsidP="00937F6C">
      <w:pPr>
        <w:pStyle w:val="NormalWeb"/>
        <w:jc w:val="both"/>
      </w:pPr>
      <w:proofErr w:type="spellStart"/>
      <w:r w:rsidRPr="00937F6C">
        <w:t>AfL</w:t>
      </w:r>
      <w:proofErr w:type="spellEnd"/>
      <w:r w:rsidRPr="00937F6C">
        <w:t xml:space="preserve"> can enhance students’ interest by making lessons interactive, participatory, and feedback-driven. Through formative questioning, group discussions, and peer collaboration, learners experience mathematics as an engaging and meaningful subject rather than a mechanical task. Studies in similar contexts have shown that formative feedback increases student enthusiasm and confidence (Osman &amp; Hamzah, 2020). By emphasizing progress over grades, </w:t>
      </w:r>
      <w:proofErr w:type="spellStart"/>
      <w:r w:rsidRPr="00937F6C">
        <w:t>AfL</w:t>
      </w:r>
      <w:proofErr w:type="spellEnd"/>
      <w:r w:rsidRPr="00937F6C">
        <w:t xml:space="preserve"> allows students to experience small successes, thereby increasing intrinsic motivation (</w:t>
      </w:r>
      <w:proofErr w:type="spellStart"/>
      <w:r w:rsidRPr="00937F6C">
        <w:t>Renninger</w:t>
      </w:r>
      <w:proofErr w:type="spellEnd"/>
      <w:r w:rsidRPr="00937F6C">
        <w:t xml:space="preserve"> &amp; </w:t>
      </w:r>
      <w:proofErr w:type="spellStart"/>
      <w:r w:rsidRPr="00937F6C">
        <w:t>Hidi</w:t>
      </w:r>
      <w:proofErr w:type="spellEnd"/>
      <w:r w:rsidRPr="00937F6C">
        <w:t>, 2022).</w:t>
      </w:r>
      <w:r w:rsidR="00324D0E" w:rsidRPr="00937F6C">
        <w:t xml:space="preserve"> </w:t>
      </w:r>
      <w:r w:rsidR="00324D0E" w:rsidRPr="00937F6C">
        <w:rPr>
          <w:shd w:val="clear" w:color="auto" w:fill="FFFFFF"/>
        </w:rPr>
        <w:t>While these studies are compelling, they have been conducted in resource-rich, Western contexts, leaving it unclear if such motivational benefits would manifest in Ghanaian classrooms where structural and cultural barriers to student engagement are different.</w:t>
      </w:r>
    </w:p>
    <w:p w14:paraId="38F8C5F9" w14:textId="5DE80C13" w:rsidR="00007C7E" w:rsidRPr="00937F6C" w:rsidRDefault="00007C7E" w:rsidP="00937F6C">
      <w:pPr>
        <w:pStyle w:val="Heading3"/>
        <w:spacing w:line="240" w:lineRule="auto"/>
        <w:jc w:val="both"/>
        <w:rPr>
          <w:rFonts w:ascii="Times New Roman" w:hAnsi="Times New Roman" w:cs="Times New Roman"/>
          <w:color w:val="auto"/>
        </w:rPr>
      </w:pPr>
      <w:proofErr w:type="spellStart"/>
      <w:r w:rsidRPr="00937F6C">
        <w:rPr>
          <w:rStyle w:val="Strong"/>
          <w:rFonts w:ascii="Times New Roman" w:hAnsi="Times New Roman" w:cs="Times New Roman"/>
          <w:bCs w:val="0"/>
          <w:color w:val="auto"/>
        </w:rPr>
        <w:t>AfL</w:t>
      </w:r>
      <w:proofErr w:type="spellEnd"/>
      <w:r w:rsidRPr="00937F6C">
        <w:rPr>
          <w:rStyle w:val="Strong"/>
          <w:rFonts w:ascii="Times New Roman" w:hAnsi="Times New Roman" w:cs="Times New Roman"/>
          <w:bCs w:val="0"/>
          <w:color w:val="auto"/>
        </w:rPr>
        <w:t xml:space="preserve"> and Student Participation</w:t>
      </w:r>
    </w:p>
    <w:p w14:paraId="3ACFBB99" w14:textId="41EDCF80" w:rsidR="00007C7E" w:rsidRPr="00937F6C" w:rsidRDefault="00007C7E" w:rsidP="00937F6C">
      <w:pPr>
        <w:pStyle w:val="NormalWeb"/>
        <w:jc w:val="both"/>
      </w:pPr>
      <w:r w:rsidRPr="00937F6C">
        <w:t xml:space="preserve">Student participation refers to learners’ active involvement in classroom activities, discussions, and problem-solving processes. </w:t>
      </w:r>
      <w:proofErr w:type="spellStart"/>
      <w:r w:rsidRPr="00937F6C">
        <w:t>AfL</w:t>
      </w:r>
      <w:proofErr w:type="spellEnd"/>
      <w:r w:rsidRPr="00937F6C">
        <w:t xml:space="preserve"> promotes participation by creating a supportive learning environment where students feel encouraged to share ideas, test solutions, and learn from mistakes (Andrade &amp; Beekman, 2023). Techniques such as peer assessment, “traffic light” systems, and oral questioning invite students to take part in evaluating their understanding, shifting them from passive receivers to active co-learners (To &amp; </w:t>
      </w:r>
      <w:proofErr w:type="spellStart"/>
      <w:r w:rsidRPr="00937F6C">
        <w:t>Panadero</w:t>
      </w:r>
      <w:proofErr w:type="spellEnd"/>
      <w:r w:rsidRPr="00937F6C">
        <w:t>, 2019).</w:t>
      </w:r>
      <w:r w:rsidR="00324D0E" w:rsidRPr="00937F6C">
        <w:t xml:space="preserve"> </w:t>
      </w:r>
      <w:r w:rsidR="00324D0E" w:rsidRPr="00937F6C">
        <w:rPr>
          <w:shd w:val="clear" w:color="auto" w:fill="FFFFFF"/>
        </w:rPr>
        <w:t xml:space="preserve">This evidence, however, comes from contexts where interactive learning is often already encouraged. The question remains </w:t>
      </w:r>
      <w:r w:rsidR="00324D0E" w:rsidRPr="00937F6C">
        <w:rPr>
          <w:shd w:val="clear" w:color="auto" w:fill="FFFFFF"/>
        </w:rPr>
        <w:lastRenderedPageBreak/>
        <w:t xml:space="preserve">whether </w:t>
      </w:r>
      <w:proofErr w:type="spellStart"/>
      <w:r w:rsidR="00324D0E" w:rsidRPr="00937F6C">
        <w:rPr>
          <w:shd w:val="clear" w:color="auto" w:fill="FFFFFF"/>
        </w:rPr>
        <w:t>AfL</w:t>
      </w:r>
      <w:proofErr w:type="spellEnd"/>
      <w:r w:rsidR="00324D0E" w:rsidRPr="00937F6C">
        <w:rPr>
          <w:shd w:val="clear" w:color="auto" w:fill="FFFFFF"/>
        </w:rPr>
        <w:t xml:space="preserve"> strategies can effectively stimulate participation in more teacher-dominated classroom cultures, such as those commonly found in sub-Saharan Africa.</w:t>
      </w:r>
    </w:p>
    <w:p w14:paraId="53035F1C" w14:textId="288D8471" w:rsidR="00007C7E" w:rsidRPr="00937F6C" w:rsidRDefault="00007C7E" w:rsidP="00937F6C">
      <w:pPr>
        <w:pStyle w:val="NormalWeb"/>
        <w:jc w:val="both"/>
      </w:pPr>
      <w:r w:rsidRPr="00937F6C">
        <w:t xml:space="preserve">Empirical studies have demonstrated that </w:t>
      </w:r>
      <w:proofErr w:type="spellStart"/>
      <w:r w:rsidRPr="00937F6C">
        <w:t>AfL</w:t>
      </w:r>
      <w:proofErr w:type="spellEnd"/>
      <w:r w:rsidRPr="00937F6C">
        <w:t xml:space="preserve"> increases classroom engagement and collaboration (</w:t>
      </w:r>
      <w:proofErr w:type="spellStart"/>
      <w:r w:rsidRPr="00937F6C">
        <w:t>Hawe</w:t>
      </w:r>
      <w:proofErr w:type="spellEnd"/>
      <w:r w:rsidRPr="00937F6C">
        <w:t xml:space="preserve"> &amp; Dixon, 2017; Rahman et al., 2021). In mathematics, such engagement translates to improved confidence and willingness to attempt complex problems (Ng et al., 2020). However, the extent to which these effects hold in African classrooms</w:t>
      </w:r>
      <w:r w:rsidR="00324D0E" w:rsidRPr="00937F6C">
        <w:t xml:space="preserve"> </w:t>
      </w:r>
      <w:r w:rsidRPr="00937F6C">
        <w:t>where large class sizes and limited resources may hinder interactive learning</w:t>
      </w:r>
      <w:r w:rsidR="00324D0E" w:rsidRPr="00937F6C">
        <w:t xml:space="preserve"> </w:t>
      </w:r>
      <w:r w:rsidRPr="00937F6C">
        <w:t>remains underexplored.</w:t>
      </w:r>
    </w:p>
    <w:p w14:paraId="436484E5" w14:textId="2143ECB0" w:rsidR="00007C7E" w:rsidRPr="00937F6C" w:rsidRDefault="00007C7E" w:rsidP="00937F6C">
      <w:pPr>
        <w:pStyle w:val="Heading3"/>
        <w:spacing w:line="240" w:lineRule="auto"/>
        <w:jc w:val="both"/>
        <w:rPr>
          <w:rFonts w:ascii="Times New Roman" w:hAnsi="Times New Roman" w:cs="Times New Roman"/>
          <w:color w:val="auto"/>
        </w:rPr>
      </w:pPr>
      <w:r w:rsidRPr="00937F6C">
        <w:rPr>
          <w:rStyle w:val="Strong"/>
          <w:rFonts w:ascii="Times New Roman" w:hAnsi="Times New Roman" w:cs="Times New Roman"/>
          <w:bCs w:val="0"/>
          <w:color w:val="auto"/>
        </w:rPr>
        <w:t>Theoretical Framework</w:t>
      </w:r>
    </w:p>
    <w:p w14:paraId="024B293A" w14:textId="44344CA7" w:rsidR="00007C7E" w:rsidRPr="00937F6C" w:rsidRDefault="00007C7E" w:rsidP="00937F6C">
      <w:pPr>
        <w:pStyle w:val="NormalWeb"/>
        <w:jc w:val="both"/>
      </w:pPr>
      <w:r w:rsidRPr="00937F6C">
        <w:t xml:space="preserve">This study is grounded in two key theories: </w:t>
      </w:r>
      <w:r w:rsidR="001F3A5E" w:rsidRPr="00937F6C">
        <w:t>The</w:t>
      </w:r>
      <w:r w:rsidRPr="00937F6C">
        <w:t xml:space="preserve"> </w:t>
      </w:r>
      <w:r w:rsidRPr="00937F6C">
        <w:rPr>
          <w:rStyle w:val="Strong"/>
          <w:b w:val="0"/>
        </w:rPr>
        <w:t>Constructivist Learning Theory</w:t>
      </w:r>
      <w:r w:rsidRPr="00937F6C">
        <w:t xml:space="preserve"> and the </w:t>
      </w:r>
      <w:r w:rsidRPr="00937F6C">
        <w:rPr>
          <w:rStyle w:val="Strong"/>
          <w:b w:val="0"/>
        </w:rPr>
        <w:t>Self-Determination Theory (SDT)</w:t>
      </w:r>
      <w:r w:rsidRPr="00937F6C">
        <w:rPr>
          <w:b/>
        </w:rPr>
        <w:t>.</w:t>
      </w:r>
      <w:r w:rsidRPr="00937F6C">
        <w:t xml:space="preserve"> Constructivism posits that learners actively construct knowledge through interaction with their environment and peers (Bhattacharjee, 2015). </w:t>
      </w:r>
      <w:proofErr w:type="spellStart"/>
      <w:r w:rsidRPr="00937F6C">
        <w:t>AfL</w:t>
      </w:r>
      <w:proofErr w:type="spellEnd"/>
      <w:r w:rsidRPr="00937F6C">
        <w:t xml:space="preserve"> aligns with this theory by allowing students to engage in reflection, questioning, and feedback, which help them construct mathematical understanding.</w:t>
      </w:r>
    </w:p>
    <w:p w14:paraId="7D191349" w14:textId="0D2A931F" w:rsidR="00007C7E" w:rsidRPr="00937F6C" w:rsidRDefault="00007C7E" w:rsidP="00937F6C">
      <w:pPr>
        <w:pStyle w:val="NormalWeb"/>
        <w:jc w:val="both"/>
      </w:pPr>
      <w:r w:rsidRPr="00937F6C">
        <w:t xml:space="preserve">The Self-Determination Theory (Deci &amp; Ryan, 2008) emphasizes the importance of autonomy, competence, and relatedness in fostering intrinsic motivation. </w:t>
      </w:r>
      <w:proofErr w:type="spellStart"/>
      <w:r w:rsidRPr="00937F6C">
        <w:t>AfL</w:t>
      </w:r>
      <w:proofErr w:type="spellEnd"/>
      <w:r w:rsidRPr="00937F6C">
        <w:t xml:space="preserve"> supports these needs by encouraging autonomy through self-assessment, competence through feedback, and relatedness through collaborative learning. </w:t>
      </w:r>
      <w:r w:rsidR="00A5295A" w:rsidRPr="00937F6C">
        <w:rPr>
          <w:shd w:val="clear" w:color="auto" w:fill="FFFFFF"/>
        </w:rPr>
        <w:t xml:space="preserve">These theoretical perspectives provide a robust framework for understanding how </w:t>
      </w:r>
      <w:proofErr w:type="spellStart"/>
      <w:r w:rsidR="00A5295A" w:rsidRPr="00937F6C">
        <w:rPr>
          <w:shd w:val="clear" w:color="auto" w:fill="FFFFFF"/>
        </w:rPr>
        <w:t>AfL</w:t>
      </w:r>
      <w:proofErr w:type="spellEnd"/>
      <w:r w:rsidR="00A5295A" w:rsidRPr="00937F6C">
        <w:rPr>
          <w:shd w:val="clear" w:color="auto" w:fill="FFFFFF"/>
        </w:rPr>
        <w:t xml:space="preserve"> practices can enhance both cognitive and affective engagement. This study applies these theories to investigate whether these mechanisms can effectively translate into a Ghanaian classroom context, potentially fulfilling fundamental psychological needs and fostering knowledge construction in a setting where traditional, teacher-centered methods are prevalent</w:t>
      </w:r>
    </w:p>
    <w:p w14:paraId="6D19FE8B" w14:textId="5DAD0B35" w:rsidR="00C30735" w:rsidRPr="00937F6C" w:rsidRDefault="00C30735" w:rsidP="00937F6C">
      <w:pPr>
        <w:pStyle w:val="NormalWeb"/>
        <w:jc w:val="both"/>
      </w:pPr>
      <w:r w:rsidRPr="00937F6C">
        <w:rPr>
          <w:rStyle w:val="Strong"/>
          <w:shd w:val="clear" w:color="auto" w:fill="FFFFFF"/>
        </w:rPr>
        <w:t>The African and Ghanaian Context</w:t>
      </w:r>
    </w:p>
    <w:p w14:paraId="701C4E9F" w14:textId="77777777" w:rsidR="00C30735" w:rsidRPr="00937F6C" w:rsidRDefault="00C30735" w:rsidP="00937F6C">
      <w:pPr>
        <w:pStyle w:val="NormalWeb"/>
        <w:jc w:val="both"/>
        <w:rPr>
          <w:shd w:val="clear" w:color="auto" w:fill="FFFFFF"/>
        </w:rPr>
      </w:pPr>
      <w:r w:rsidRPr="00937F6C">
        <w:rPr>
          <w:shd w:val="clear" w:color="auto" w:fill="FFFFFF"/>
        </w:rPr>
        <w:t xml:space="preserve">Research on </w:t>
      </w:r>
      <w:proofErr w:type="spellStart"/>
      <w:r w:rsidRPr="00937F6C">
        <w:rPr>
          <w:shd w:val="clear" w:color="auto" w:fill="FFFFFF"/>
        </w:rPr>
        <w:t>AfL</w:t>
      </w:r>
      <w:proofErr w:type="spellEnd"/>
      <w:r w:rsidRPr="00937F6C">
        <w:rPr>
          <w:shd w:val="clear" w:color="auto" w:fill="FFFFFF"/>
        </w:rPr>
        <w:t xml:space="preserve"> in sub-Saharan Africa is still in its nascent stages. The few existing studies (e.g., </w:t>
      </w:r>
      <w:proofErr w:type="spellStart"/>
      <w:r w:rsidRPr="00937F6C">
        <w:rPr>
          <w:shd w:val="clear" w:color="auto" w:fill="FFFFFF"/>
        </w:rPr>
        <w:t>Asare</w:t>
      </w:r>
      <w:proofErr w:type="spellEnd"/>
      <w:r w:rsidRPr="00937F6C">
        <w:rPr>
          <w:shd w:val="clear" w:color="auto" w:fill="FFFFFF"/>
        </w:rPr>
        <w:t xml:space="preserve"> &amp; Afriyie, 2023) have highlighted significant challenges to implementation, including teachers' limited training, overcrowded classrooms, and an examination-focused curriculum. These factors often reinforce traditional, transmission-based teaching methods that stifle student voice and active participation (</w:t>
      </w:r>
      <w:proofErr w:type="spellStart"/>
      <w:r w:rsidRPr="00937F6C">
        <w:rPr>
          <w:shd w:val="clear" w:color="auto" w:fill="FFFFFF"/>
        </w:rPr>
        <w:t>Ampadu</w:t>
      </w:r>
      <w:proofErr w:type="spellEnd"/>
      <w:r w:rsidRPr="00937F6C">
        <w:rPr>
          <w:shd w:val="clear" w:color="auto" w:fill="FFFFFF"/>
        </w:rPr>
        <w:t xml:space="preserve">, 2020). Within this region, Ghana presents a particularly compelling case, as its education system grapples with balancing global best practices with local realities. No identified quasi-experimental study in Ghana has specifically investigated the causal impact of </w:t>
      </w:r>
      <w:proofErr w:type="spellStart"/>
      <w:r w:rsidRPr="00937F6C">
        <w:rPr>
          <w:shd w:val="clear" w:color="auto" w:fill="FFFFFF"/>
        </w:rPr>
        <w:t>AfL</w:t>
      </w:r>
      <w:proofErr w:type="spellEnd"/>
      <w:r w:rsidRPr="00937F6C">
        <w:rPr>
          <w:shd w:val="clear" w:color="auto" w:fill="FFFFFF"/>
        </w:rPr>
        <w:t xml:space="preserve"> on the </w:t>
      </w:r>
      <w:r w:rsidRPr="00937F6C">
        <w:rPr>
          <w:rStyle w:val="Emphasis"/>
          <w:i w:val="0"/>
          <w:shd w:val="clear" w:color="auto" w:fill="FFFFFF"/>
        </w:rPr>
        <w:t>affective</w:t>
      </w:r>
      <w:r w:rsidRPr="00937F6C">
        <w:rPr>
          <w:shd w:val="clear" w:color="auto" w:fill="FFFFFF"/>
        </w:rPr>
        <w:t> dimensions of learning interest and participation in mathematics. This study aims to fill this precise void</w:t>
      </w:r>
    </w:p>
    <w:p w14:paraId="4605C956" w14:textId="42C3728F" w:rsidR="00007C7E" w:rsidRPr="00937F6C" w:rsidRDefault="00007C7E" w:rsidP="00937F6C">
      <w:pPr>
        <w:pStyle w:val="NormalWeb"/>
        <w:jc w:val="both"/>
      </w:pPr>
      <w:r w:rsidRPr="00937F6C">
        <w:rPr>
          <w:rStyle w:val="Strong"/>
          <w:bCs w:val="0"/>
        </w:rPr>
        <w:t>Research Gap and Rationale for the Study</w:t>
      </w:r>
      <w:r w:rsidR="00123519" w:rsidRPr="00937F6C">
        <w:rPr>
          <w:rStyle w:val="Strong"/>
          <w:bCs w:val="0"/>
        </w:rPr>
        <w:t>.</w:t>
      </w:r>
    </w:p>
    <w:p w14:paraId="21DBFFB4" w14:textId="7ED50D86" w:rsidR="00F47477" w:rsidRPr="00937F6C" w:rsidRDefault="00007C7E" w:rsidP="00937F6C">
      <w:pPr>
        <w:pStyle w:val="NormalWeb"/>
        <w:jc w:val="both"/>
      </w:pPr>
      <w:r w:rsidRPr="00937F6C">
        <w:t xml:space="preserve">Although </w:t>
      </w:r>
      <w:proofErr w:type="spellStart"/>
      <w:r w:rsidRPr="00937F6C">
        <w:t>AfL</w:t>
      </w:r>
      <w:proofErr w:type="spellEnd"/>
      <w:r w:rsidRPr="00937F6C">
        <w:t xml:space="preserve"> has been widely studied in Europe, Asia, and North America, there is limited research on its implementation and effects in sub-Saharan African mathematics classrooms (</w:t>
      </w:r>
      <w:proofErr w:type="spellStart"/>
      <w:r w:rsidRPr="00937F6C">
        <w:t>Asare</w:t>
      </w:r>
      <w:proofErr w:type="spellEnd"/>
      <w:r w:rsidRPr="00937F6C">
        <w:t xml:space="preserve"> &amp; Afriyie, 2023; </w:t>
      </w:r>
      <w:proofErr w:type="spellStart"/>
      <w:r w:rsidRPr="00937F6C">
        <w:t>Hidayat</w:t>
      </w:r>
      <w:proofErr w:type="spellEnd"/>
      <w:r w:rsidRPr="00937F6C">
        <w:t xml:space="preserve"> et al., 2023). Most studies in Ghana focus on how </w:t>
      </w:r>
      <w:proofErr w:type="spellStart"/>
      <w:r w:rsidRPr="00937F6C">
        <w:t>AfL</w:t>
      </w:r>
      <w:proofErr w:type="spellEnd"/>
      <w:r w:rsidRPr="00937F6C">
        <w:t xml:space="preserve"> influences academic performance, leaving the affective outcomes</w:t>
      </w:r>
      <w:r w:rsidR="00F47477" w:rsidRPr="00937F6C">
        <w:t xml:space="preserve">, </w:t>
      </w:r>
      <w:r w:rsidR="008F1A09" w:rsidRPr="00937F6C">
        <w:t xml:space="preserve">learning </w:t>
      </w:r>
      <w:r w:rsidRPr="00937F6C">
        <w:t>interest</w:t>
      </w:r>
      <w:r w:rsidR="00F47477" w:rsidRPr="00937F6C">
        <w:t>,</w:t>
      </w:r>
      <w:r w:rsidRPr="00937F6C">
        <w:t xml:space="preserve"> and participation</w:t>
      </w:r>
      <w:r w:rsidR="00F47477" w:rsidRPr="00937F6C">
        <w:t xml:space="preserve"> </w:t>
      </w:r>
      <w:r w:rsidRPr="00937F6C">
        <w:t>largely unexamined.</w:t>
      </w:r>
      <w:r w:rsidR="00F47477" w:rsidRPr="00937F6C">
        <w:t xml:space="preserve"> </w:t>
      </w:r>
      <w:r w:rsidRPr="00937F6C">
        <w:t>This study</w:t>
      </w:r>
      <w:r w:rsidR="00F424C7" w:rsidRPr="00937F6C">
        <w:t>,</w:t>
      </w:r>
      <w:r w:rsidRPr="00937F6C">
        <w:t xml:space="preserve"> therefore</w:t>
      </w:r>
      <w:r w:rsidR="00F424C7" w:rsidRPr="00937F6C">
        <w:t>,</w:t>
      </w:r>
      <w:r w:rsidRPr="00937F6C">
        <w:t xml:space="preserve"> seeks to fill this gap by providing evidence on how </w:t>
      </w:r>
      <w:proofErr w:type="spellStart"/>
      <w:r w:rsidRPr="00937F6C">
        <w:t>AfL</w:t>
      </w:r>
      <w:proofErr w:type="spellEnd"/>
      <w:r w:rsidRPr="00937F6C">
        <w:t xml:space="preserve"> affects students’ interest and participation in senior high school mathematics in Ghana. </w:t>
      </w:r>
    </w:p>
    <w:p w14:paraId="17DD7218" w14:textId="0AF1026B" w:rsidR="00927A83" w:rsidRPr="00937F6C" w:rsidRDefault="00927A83" w:rsidP="00937F6C">
      <w:pPr>
        <w:pStyle w:val="NormalWeb"/>
        <w:jc w:val="both"/>
        <w:rPr>
          <w:rFonts w:eastAsiaTheme="minorHAnsi"/>
          <w:b/>
        </w:rPr>
      </w:pPr>
      <w:r w:rsidRPr="00937F6C">
        <w:rPr>
          <w:rFonts w:eastAsiaTheme="minorHAnsi"/>
          <w:b/>
        </w:rPr>
        <w:lastRenderedPageBreak/>
        <w:t>METHODOLOGY</w:t>
      </w:r>
    </w:p>
    <w:p w14:paraId="256ECEA0" w14:textId="77777777" w:rsidR="00927A83" w:rsidRPr="00937F6C" w:rsidRDefault="00927A83" w:rsidP="00937F6C">
      <w:pPr>
        <w:pStyle w:val="NormalWeb"/>
        <w:spacing w:before="0" w:beforeAutospacing="0" w:after="0" w:afterAutospacing="0"/>
        <w:jc w:val="both"/>
        <w:rPr>
          <w:b/>
        </w:rPr>
      </w:pPr>
      <w:r w:rsidRPr="00937F6C">
        <w:rPr>
          <w:b/>
        </w:rPr>
        <w:t>Research Design</w:t>
      </w:r>
    </w:p>
    <w:p w14:paraId="26F983AD" w14:textId="75054248" w:rsidR="00927A83" w:rsidRPr="00937F6C" w:rsidRDefault="00927A83" w:rsidP="00937F6C">
      <w:pPr>
        <w:pStyle w:val="NormalWeb"/>
        <w:spacing w:before="0" w:beforeAutospacing="0" w:after="0" w:afterAutospacing="0"/>
        <w:jc w:val="both"/>
        <w:rPr>
          <w:b/>
        </w:rPr>
      </w:pPr>
      <w:r w:rsidRPr="00937F6C">
        <w:t xml:space="preserve">The study employed a quasi-experimental design, consisting of an experimental group (students exposed to </w:t>
      </w:r>
      <w:proofErr w:type="spellStart"/>
      <w:r w:rsidRPr="00937F6C">
        <w:t>AfL</w:t>
      </w:r>
      <w:proofErr w:type="spellEnd"/>
      <w:r w:rsidRPr="00937F6C">
        <w:t xml:space="preserve"> strategies) and a control group (students who were taught the conventional way). A structured questionnaire was administered to both groups after the intervention to assess students' interest and participation levels in mathematics. This was to gather quantitative data to establish patterns, trends, and relationships between </w:t>
      </w:r>
      <w:proofErr w:type="spellStart"/>
      <w:r w:rsidRPr="00937F6C">
        <w:t>AfL</w:t>
      </w:r>
      <w:proofErr w:type="spellEnd"/>
      <w:r w:rsidRPr="00937F6C">
        <w:t xml:space="preserve"> strategies and student interest and engagement in mathematics.</w:t>
      </w:r>
      <w:r w:rsidR="00EF6367" w:rsidRPr="00937F6C">
        <w:t xml:space="preserve"> </w:t>
      </w:r>
      <w:r w:rsidR="00EF6367" w:rsidRPr="00937F6C">
        <w:rPr>
          <w:shd w:val="clear" w:color="auto" w:fill="FFFFFF"/>
        </w:rPr>
        <w:t xml:space="preserve">The primary dependent variables, students' self-reported interest and participation, were measured using a questionnaire administered solely after the intervention. This design was selected to prevent potential bias that could arise if a pre-test questionnaire sensitized the students to the study's aims, thereby influencing their post-intervention responses (Podsakoff et al., 2003). The establishment of baseline equivalence on these same constructs (detailed later) strengthens this design by confirming the groups were comparable before the intervention, allowing any post-test differences to be more confidently attributed to the </w:t>
      </w:r>
      <w:proofErr w:type="spellStart"/>
      <w:r w:rsidR="00EF6367" w:rsidRPr="00937F6C">
        <w:rPr>
          <w:shd w:val="clear" w:color="auto" w:fill="FFFFFF"/>
        </w:rPr>
        <w:t>AfL</w:t>
      </w:r>
      <w:proofErr w:type="spellEnd"/>
      <w:r w:rsidR="00EF6367" w:rsidRPr="00937F6C">
        <w:rPr>
          <w:shd w:val="clear" w:color="auto" w:fill="FFFFFF"/>
        </w:rPr>
        <w:t xml:space="preserve"> strategies</w:t>
      </w:r>
      <w:r w:rsidRPr="00937F6C">
        <w:rPr>
          <w:b/>
        </w:rPr>
        <w:t xml:space="preserve"> </w:t>
      </w:r>
    </w:p>
    <w:p w14:paraId="7571CD67" w14:textId="248051C8" w:rsidR="00372CE1" w:rsidRPr="00937F6C" w:rsidRDefault="00927A83" w:rsidP="00937F6C">
      <w:pPr>
        <w:pStyle w:val="ds-markdown-paragraph"/>
        <w:shd w:val="clear" w:color="auto" w:fill="FFFFFF"/>
        <w:spacing w:after="240" w:afterAutospacing="0"/>
      </w:pPr>
      <w:r w:rsidRPr="00937F6C">
        <w:rPr>
          <w:rStyle w:val="Strong"/>
        </w:rPr>
        <w:t>Instrument Reliability and Validity</w:t>
      </w:r>
      <w:r w:rsidRPr="00937F6C">
        <w:br/>
        <w:t>The data collection instrument was a structured questionnaire consisting of three subscales: Assessment for Learning (AL), Student Interest (SI), and Student Participation (SP).</w:t>
      </w:r>
      <w:r w:rsidR="00372CE1" w:rsidRPr="00937F6C">
        <w:t xml:space="preserve"> The structured questionnaire was developed specifically for this study based on a review of established literature. To provide greater transparency, sample items from each subscale included were </w:t>
      </w:r>
      <w:r w:rsidR="00372CE1" w:rsidRPr="00937F6C">
        <w:rPr>
          <w:rStyle w:val="Strong"/>
          <w:b w:val="0"/>
        </w:rPr>
        <w:t>Assessment for Learning (AL)</w:t>
      </w:r>
      <w:r w:rsidR="00372CE1" w:rsidRPr="00937F6C">
        <w:rPr>
          <w:rStyle w:val="Strong"/>
        </w:rPr>
        <w:t>:</w:t>
      </w:r>
      <w:r w:rsidR="00372CE1" w:rsidRPr="00937F6C">
        <w:t xml:space="preserve"> This subscale measured students' perception of </w:t>
      </w:r>
      <w:proofErr w:type="spellStart"/>
      <w:r w:rsidR="00372CE1" w:rsidRPr="00937F6C">
        <w:t>AfL</w:t>
      </w:r>
      <w:proofErr w:type="spellEnd"/>
      <w:r w:rsidR="00372CE1" w:rsidRPr="00937F6C">
        <w:t xml:space="preserve"> practices. A sample item is: </w:t>
      </w:r>
      <w:r w:rsidR="00372CE1" w:rsidRPr="00937F6C">
        <w:rPr>
          <w:rStyle w:val="Emphasis"/>
        </w:rPr>
        <w:t>'My mathematics teacher provides me with feedback that helps me improve.'</w:t>
      </w:r>
      <w:r w:rsidR="00372CE1" w:rsidRPr="00937F6C">
        <w:t xml:space="preserve"> </w:t>
      </w:r>
      <w:r w:rsidR="00372CE1" w:rsidRPr="00937F6C">
        <w:rPr>
          <w:rStyle w:val="Strong"/>
          <w:b w:val="0"/>
        </w:rPr>
        <w:t>Student Interest (SI):</w:t>
      </w:r>
      <w:r w:rsidR="00372CE1" w:rsidRPr="00937F6C">
        <w:t> This subscale measured students' affective engagement with mathematics. A sample item is: </w:t>
      </w:r>
      <w:r w:rsidR="00372CE1" w:rsidRPr="00937F6C">
        <w:rPr>
          <w:rStyle w:val="Emphasis"/>
        </w:rPr>
        <w:t>'I find mathematics interesting and enjoyable.'</w:t>
      </w:r>
      <w:r w:rsidR="00372CE1" w:rsidRPr="00937F6C">
        <w:t xml:space="preserve"> </w:t>
      </w:r>
      <w:r w:rsidR="00372CE1" w:rsidRPr="00937F6C">
        <w:rPr>
          <w:rStyle w:val="Strong"/>
          <w:b w:val="0"/>
        </w:rPr>
        <w:t>Student Participation (SP)</w:t>
      </w:r>
      <w:r w:rsidR="00372CE1" w:rsidRPr="00937F6C">
        <w:rPr>
          <w:rStyle w:val="Strong"/>
        </w:rPr>
        <w:t>:</w:t>
      </w:r>
      <w:r w:rsidR="00372CE1" w:rsidRPr="00937F6C">
        <w:t> This subscale measured students' behavioral engagement in class. A sample item is: </w:t>
      </w:r>
      <w:r w:rsidR="00372CE1" w:rsidRPr="00937F6C">
        <w:rPr>
          <w:rStyle w:val="Emphasis"/>
        </w:rPr>
        <w:t>'I actively contribute to discussions in mathematics lessons.'</w:t>
      </w:r>
    </w:p>
    <w:p w14:paraId="4D3D5C7D" w14:textId="6804EAB0" w:rsidR="00927A83" w:rsidRPr="00937F6C" w:rsidRDefault="00372CE1" w:rsidP="00937F6C">
      <w:pPr>
        <w:pStyle w:val="ds-markdown-paragraph"/>
        <w:shd w:val="clear" w:color="auto" w:fill="FFFFFF"/>
        <w:spacing w:after="0" w:afterAutospacing="0"/>
        <w:jc w:val="both"/>
      </w:pPr>
      <w:r w:rsidRPr="00937F6C">
        <w:t xml:space="preserve">The complete questionnaire, comprising </w:t>
      </w:r>
      <w:r w:rsidR="008A70FE" w:rsidRPr="00937F6C">
        <w:t>30</w:t>
      </w:r>
      <w:r w:rsidRPr="00937F6C">
        <w:t xml:space="preserve"> items (AL: 10 items, SI: 10 items, SP: 10items), was piloted with a group of 20 students from a non-participating school to check for clarity, wording, and time required for completion. Data from this pilot were used to calculate the final Cronbach's alpha values. </w:t>
      </w:r>
      <w:r w:rsidR="00927A83" w:rsidRPr="00937F6C">
        <w:t>Each subscale was measured using Likert-type items rated on a 5-point scale ranging from 1 (Strongly Disagree) to 5 (Strongly Agree). Content validity was established through expert review by two mathematics educators and one assessment specialist, who examined the items for clarity, relevance, and alignment with the study objectives. Internal consistency reliability was confirmed using Cronbach’s alpha: AL (α = .71), SI (α = .70), and SP (α = .74), indicating good reliability for all constructs.</w:t>
      </w:r>
    </w:p>
    <w:p w14:paraId="3B176DD0" w14:textId="09342E98" w:rsidR="00927A83" w:rsidRPr="00937F6C" w:rsidRDefault="00927A83" w:rsidP="00937F6C">
      <w:pPr>
        <w:pStyle w:val="NormalWeb"/>
        <w:spacing w:before="0" w:beforeAutospacing="0" w:after="0" w:afterAutospacing="0"/>
        <w:jc w:val="both"/>
        <w:rPr>
          <w:b/>
        </w:rPr>
      </w:pPr>
      <w:r w:rsidRPr="00937F6C">
        <w:rPr>
          <w:b/>
        </w:rPr>
        <w:t>Sampling Method and Respondents</w:t>
      </w:r>
    </w:p>
    <w:p w14:paraId="0CDC8CCC" w14:textId="403990AE" w:rsidR="00927A83" w:rsidRPr="00937F6C" w:rsidRDefault="00927A83" w:rsidP="00937F6C">
      <w:pPr>
        <w:pStyle w:val="NormalWeb"/>
        <w:spacing w:before="0" w:beforeAutospacing="0" w:after="0" w:afterAutospacing="0"/>
        <w:jc w:val="both"/>
      </w:pPr>
      <w:r w:rsidRPr="00937F6C">
        <w:t xml:space="preserve">This study sample consisted of 100 students from </w:t>
      </w:r>
      <w:proofErr w:type="spellStart"/>
      <w:r w:rsidRPr="00937F6C">
        <w:t>Akwamuman</w:t>
      </w:r>
      <w:proofErr w:type="spellEnd"/>
      <w:r w:rsidRPr="00937F6C">
        <w:t xml:space="preserve"> Senior High School in the Eastern Region of Ghana. The purposive sampling technique was employed to select two intact Form Two Visual Art classes, 50 students in each of the classes.</w:t>
      </w:r>
      <w:r w:rsidRPr="00937F6C">
        <w:rPr>
          <w:b/>
        </w:rPr>
        <w:t xml:space="preserve"> </w:t>
      </w:r>
      <w:r w:rsidRPr="00937F6C">
        <w:t xml:space="preserve">The reason was that they possessed similar academic characteristics and had been exposed to the same mathematics curriculum. </w:t>
      </w:r>
      <w:r w:rsidR="00185550" w:rsidRPr="00937F6C">
        <w:rPr>
          <w:shd w:val="clear" w:color="auto" w:fill="FFFFFF"/>
        </w:rPr>
        <w:t xml:space="preserve">To further characterize the sample, demographic data </w:t>
      </w:r>
      <w:r w:rsidR="000148A8" w:rsidRPr="00937F6C">
        <w:rPr>
          <w:shd w:val="clear" w:color="auto" w:fill="FFFFFF"/>
        </w:rPr>
        <w:t>were</w:t>
      </w:r>
      <w:r w:rsidR="00185550" w:rsidRPr="00937F6C">
        <w:rPr>
          <w:shd w:val="clear" w:color="auto" w:fill="FFFFFF"/>
        </w:rPr>
        <w:t xml:space="preserve"> collected. The sample consisted of 54% males and 46% females, with all students aged between 16 and 18 years (Mean age = 17.2 years, SD = 0.8). All participants were in the Visual Art track, which typically entails a specific and shared set of academic experiences and predispositions, thereby enhancing the internal homogeneity of the </w:t>
      </w:r>
      <w:r w:rsidR="00185550" w:rsidRPr="00937F6C">
        <w:rPr>
          <w:shd w:val="clear" w:color="auto" w:fill="FFFFFF"/>
        </w:rPr>
        <w:lastRenderedPageBreak/>
        <w:t>groups for this quasi-experimental design</w:t>
      </w:r>
      <w:r w:rsidR="000148A8" w:rsidRPr="00937F6C">
        <w:rPr>
          <w:shd w:val="clear" w:color="auto" w:fill="FFFFFF"/>
        </w:rPr>
        <w:t xml:space="preserve">. </w:t>
      </w:r>
      <w:r w:rsidRPr="00937F6C">
        <w:t xml:space="preserve">Also, the intact classes preserve the natural learning environment, maintain the authenticity of classroom interactions, and ensure the feasibility of implementing the intervention without disrupting normal school routines (Palinkas et al.,2015). One intact class was made the experimental group, who received the </w:t>
      </w:r>
      <w:proofErr w:type="spellStart"/>
      <w:r w:rsidRPr="00937F6C">
        <w:t>AfL</w:t>
      </w:r>
      <w:proofErr w:type="spellEnd"/>
      <w:r w:rsidRPr="00937F6C">
        <w:t xml:space="preserve"> intervention, while the other was the control group, who were taught with traditional instruction strategies. There </w:t>
      </w:r>
      <w:proofErr w:type="gramStart"/>
      <w:r w:rsidRPr="00937F6C">
        <w:t>were</w:t>
      </w:r>
      <w:proofErr w:type="gramEnd"/>
      <w:r w:rsidRPr="00937F6C">
        <w:t xml:space="preserve"> </w:t>
      </w:r>
      <w:r w:rsidR="00FC209D" w:rsidRPr="00937F6C">
        <w:t>a</w:t>
      </w:r>
      <w:r w:rsidRPr="00937F6C">
        <w:t xml:space="preserve"> total of 100 students, 50 from each of the two Visual Arts classes.</w:t>
      </w:r>
    </w:p>
    <w:p w14:paraId="0412257C" w14:textId="77777777" w:rsidR="00927A83" w:rsidRPr="00937F6C" w:rsidRDefault="00927A83" w:rsidP="00937F6C">
      <w:pPr>
        <w:pStyle w:val="NormalWeb"/>
        <w:spacing w:after="0"/>
        <w:jc w:val="both"/>
        <w:rPr>
          <w:b/>
        </w:rPr>
      </w:pPr>
      <w:r w:rsidRPr="00937F6C">
        <w:rPr>
          <w:b/>
        </w:rPr>
        <w:t>Baseline Equivalence Testing</w:t>
      </w:r>
    </w:p>
    <w:p w14:paraId="294488CB" w14:textId="055B857A" w:rsidR="00714860" w:rsidRPr="00937F6C" w:rsidRDefault="00927A83" w:rsidP="00937F6C">
      <w:pPr>
        <w:pStyle w:val="NormalWeb"/>
        <w:spacing w:after="0"/>
        <w:jc w:val="both"/>
      </w:pPr>
      <w:r w:rsidRPr="00937F6C">
        <w:t>Before the intervention, baseline equivalence testing was conducted to ensure that the experimental and control groups were statistically similar in terms of Student Interest (SI) and Student Participation (SP). Independent samples t-tests were performed on the pre-intervention data to verify that no significant differences existed between the two groups at the outset of the study.</w:t>
      </w:r>
    </w:p>
    <w:p w14:paraId="4E142BF6" w14:textId="319BAEE6" w:rsidR="00927A83" w:rsidRPr="00937F6C" w:rsidRDefault="00714860" w:rsidP="00937F6C">
      <w:pPr>
        <w:pStyle w:val="NormalWeb"/>
        <w:spacing w:after="0"/>
        <w:jc w:val="both"/>
        <w:rPr>
          <w:b/>
        </w:rPr>
      </w:pPr>
      <w:r w:rsidRPr="00937F6C">
        <w:rPr>
          <w:b/>
        </w:rPr>
        <w:t xml:space="preserve">Table 1: </w:t>
      </w:r>
      <w:r w:rsidR="00927A83" w:rsidRPr="00937F6C">
        <w:rPr>
          <w:b/>
        </w:rPr>
        <w:t>Results of Baseline Independent Samples T-Tests:</w:t>
      </w:r>
    </w:p>
    <w:tbl>
      <w:tblPr>
        <w:tblStyle w:val="PlainTable2"/>
        <w:tblW w:w="0" w:type="auto"/>
        <w:tblLook w:val="0620" w:firstRow="1" w:lastRow="0" w:firstColumn="0" w:lastColumn="0" w:noHBand="1" w:noVBand="1"/>
      </w:tblPr>
      <w:tblGrid>
        <w:gridCol w:w="2841"/>
        <w:gridCol w:w="1509"/>
        <w:gridCol w:w="456"/>
        <w:gridCol w:w="803"/>
        <w:gridCol w:w="636"/>
        <w:gridCol w:w="913"/>
        <w:gridCol w:w="964"/>
        <w:gridCol w:w="1238"/>
      </w:tblGrid>
      <w:tr w:rsidR="00956AB1" w:rsidRPr="00937F6C" w14:paraId="42E0B4AF" w14:textId="77777777" w:rsidTr="00A633E1">
        <w:trPr>
          <w:cnfStyle w:val="100000000000" w:firstRow="1" w:lastRow="0" w:firstColumn="0" w:lastColumn="0" w:oddVBand="0" w:evenVBand="0" w:oddHBand="0" w:evenHBand="0" w:firstRowFirstColumn="0" w:firstRowLastColumn="0" w:lastRowFirstColumn="0" w:lastRowLastColumn="0"/>
        </w:trPr>
        <w:tc>
          <w:tcPr>
            <w:tcW w:w="0" w:type="auto"/>
            <w:hideMark/>
          </w:tcPr>
          <w:p w14:paraId="76E75E12" w14:textId="77777777" w:rsidR="00927A83" w:rsidRPr="00937F6C" w:rsidRDefault="00927A83" w:rsidP="00937F6C">
            <w:pPr>
              <w:jc w:val="both"/>
              <w:rPr>
                <w:rFonts w:eastAsia="Times New Roman"/>
                <w:sz w:val="24"/>
                <w:szCs w:val="24"/>
              </w:rPr>
            </w:pPr>
            <w:r w:rsidRPr="00937F6C">
              <w:rPr>
                <w:rFonts w:eastAsia="Times New Roman"/>
                <w:sz w:val="24"/>
                <w:szCs w:val="24"/>
              </w:rPr>
              <w:t>Variable</w:t>
            </w:r>
          </w:p>
        </w:tc>
        <w:tc>
          <w:tcPr>
            <w:tcW w:w="0" w:type="auto"/>
            <w:hideMark/>
          </w:tcPr>
          <w:p w14:paraId="2510D359" w14:textId="77777777" w:rsidR="00927A83" w:rsidRPr="00937F6C" w:rsidRDefault="00927A83" w:rsidP="00937F6C">
            <w:pPr>
              <w:jc w:val="both"/>
              <w:rPr>
                <w:rFonts w:eastAsia="Times New Roman"/>
                <w:sz w:val="24"/>
                <w:szCs w:val="24"/>
              </w:rPr>
            </w:pPr>
            <w:r w:rsidRPr="00937F6C">
              <w:rPr>
                <w:rFonts w:eastAsia="Times New Roman"/>
                <w:sz w:val="24"/>
                <w:szCs w:val="24"/>
              </w:rPr>
              <w:t>Group</w:t>
            </w:r>
          </w:p>
        </w:tc>
        <w:tc>
          <w:tcPr>
            <w:tcW w:w="0" w:type="auto"/>
            <w:hideMark/>
          </w:tcPr>
          <w:p w14:paraId="1188CC16" w14:textId="77777777" w:rsidR="00927A83" w:rsidRPr="00937F6C" w:rsidRDefault="00927A83" w:rsidP="00937F6C">
            <w:pPr>
              <w:jc w:val="both"/>
              <w:rPr>
                <w:rFonts w:eastAsia="Times New Roman"/>
                <w:sz w:val="24"/>
                <w:szCs w:val="24"/>
              </w:rPr>
            </w:pPr>
            <w:r w:rsidRPr="00937F6C">
              <w:rPr>
                <w:rFonts w:eastAsia="Times New Roman"/>
                <w:sz w:val="24"/>
                <w:szCs w:val="24"/>
              </w:rPr>
              <w:t>N</w:t>
            </w:r>
          </w:p>
        </w:tc>
        <w:tc>
          <w:tcPr>
            <w:tcW w:w="0" w:type="auto"/>
            <w:hideMark/>
          </w:tcPr>
          <w:p w14:paraId="480A17CC" w14:textId="77777777" w:rsidR="00927A83" w:rsidRPr="00937F6C" w:rsidRDefault="00927A83" w:rsidP="00937F6C">
            <w:pPr>
              <w:jc w:val="both"/>
              <w:rPr>
                <w:rFonts w:eastAsia="Times New Roman"/>
                <w:sz w:val="24"/>
                <w:szCs w:val="24"/>
              </w:rPr>
            </w:pPr>
            <w:r w:rsidRPr="00937F6C">
              <w:rPr>
                <w:rFonts w:eastAsia="Times New Roman"/>
                <w:sz w:val="24"/>
                <w:szCs w:val="24"/>
              </w:rPr>
              <w:t>Mean</w:t>
            </w:r>
          </w:p>
        </w:tc>
        <w:tc>
          <w:tcPr>
            <w:tcW w:w="0" w:type="auto"/>
            <w:hideMark/>
          </w:tcPr>
          <w:p w14:paraId="463FC29A" w14:textId="77777777" w:rsidR="00927A83" w:rsidRPr="00937F6C" w:rsidRDefault="00927A83" w:rsidP="00937F6C">
            <w:pPr>
              <w:jc w:val="both"/>
              <w:rPr>
                <w:rFonts w:eastAsia="Times New Roman"/>
                <w:sz w:val="24"/>
                <w:szCs w:val="24"/>
              </w:rPr>
            </w:pPr>
            <w:r w:rsidRPr="00937F6C">
              <w:rPr>
                <w:rFonts w:eastAsia="Times New Roman"/>
                <w:sz w:val="24"/>
                <w:szCs w:val="24"/>
              </w:rPr>
              <w:t>SD</w:t>
            </w:r>
          </w:p>
        </w:tc>
        <w:tc>
          <w:tcPr>
            <w:tcW w:w="0" w:type="auto"/>
            <w:hideMark/>
          </w:tcPr>
          <w:p w14:paraId="17197174" w14:textId="77777777" w:rsidR="00927A83" w:rsidRPr="00937F6C" w:rsidRDefault="00927A83" w:rsidP="00937F6C">
            <w:pPr>
              <w:jc w:val="both"/>
              <w:rPr>
                <w:rFonts w:eastAsia="Times New Roman"/>
                <w:sz w:val="24"/>
                <w:szCs w:val="24"/>
              </w:rPr>
            </w:pPr>
            <w:r w:rsidRPr="00937F6C">
              <w:rPr>
                <w:rFonts w:eastAsia="Times New Roman"/>
                <w:sz w:val="24"/>
                <w:szCs w:val="24"/>
              </w:rPr>
              <w:t>t-value</w:t>
            </w:r>
          </w:p>
        </w:tc>
        <w:tc>
          <w:tcPr>
            <w:tcW w:w="0" w:type="auto"/>
            <w:hideMark/>
          </w:tcPr>
          <w:p w14:paraId="46222B02" w14:textId="77777777" w:rsidR="00927A83" w:rsidRPr="00937F6C" w:rsidRDefault="00927A83" w:rsidP="00937F6C">
            <w:pPr>
              <w:jc w:val="both"/>
              <w:rPr>
                <w:rFonts w:eastAsia="Times New Roman"/>
                <w:sz w:val="24"/>
                <w:szCs w:val="24"/>
              </w:rPr>
            </w:pPr>
            <w:r w:rsidRPr="00937F6C">
              <w:rPr>
                <w:rFonts w:eastAsia="Times New Roman"/>
                <w:sz w:val="24"/>
                <w:szCs w:val="24"/>
              </w:rPr>
              <w:t>p-value</w:t>
            </w:r>
          </w:p>
        </w:tc>
        <w:tc>
          <w:tcPr>
            <w:tcW w:w="0" w:type="auto"/>
            <w:hideMark/>
          </w:tcPr>
          <w:p w14:paraId="27D8CA96" w14:textId="77777777" w:rsidR="00927A83" w:rsidRPr="00937F6C" w:rsidRDefault="00927A83" w:rsidP="00937F6C">
            <w:pPr>
              <w:jc w:val="both"/>
              <w:rPr>
                <w:rFonts w:eastAsia="Times New Roman"/>
                <w:sz w:val="24"/>
                <w:szCs w:val="24"/>
              </w:rPr>
            </w:pPr>
            <w:r w:rsidRPr="00937F6C">
              <w:rPr>
                <w:rFonts w:eastAsia="Times New Roman"/>
                <w:sz w:val="24"/>
                <w:szCs w:val="24"/>
              </w:rPr>
              <w:t>Cohen’s d</w:t>
            </w:r>
          </w:p>
        </w:tc>
      </w:tr>
      <w:tr w:rsidR="00956AB1" w:rsidRPr="00937F6C" w14:paraId="470267F0" w14:textId="77777777" w:rsidTr="00A633E1">
        <w:trPr>
          <w:trHeight w:val="79"/>
        </w:trPr>
        <w:tc>
          <w:tcPr>
            <w:tcW w:w="0" w:type="auto"/>
            <w:hideMark/>
          </w:tcPr>
          <w:p w14:paraId="41806F65" w14:textId="77777777" w:rsidR="00927A83" w:rsidRPr="00937F6C" w:rsidRDefault="00927A83" w:rsidP="00937F6C">
            <w:pPr>
              <w:jc w:val="both"/>
              <w:rPr>
                <w:rFonts w:eastAsia="Times New Roman"/>
                <w:sz w:val="24"/>
                <w:szCs w:val="24"/>
              </w:rPr>
            </w:pPr>
            <w:r w:rsidRPr="00937F6C">
              <w:rPr>
                <w:rFonts w:eastAsia="Times New Roman"/>
                <w:b/>
                <w:bCs/>
                <w:sz w:val="24"/>
                <w:szCs w:val="24"/>
              </w:rPr>
              <w:t>Student Interest (SI)</w:t>
            </w:r>
          </w:p>
        </w:tc>
        <w:tc>
          <w:tcPr>
            <w:tcW w:w="0" w:type="auto"/>
            <w:hideMark/>
          </w:tcPr>
          <w:p w14:paraId="773E5D04" w14:textId="77777777" w:rsidR="00927A83" w:rsidRPr="00937F6C" w:rsidRDefault="00927A83" w:rsidP="00937F6C">
            <w:pPr>
              <w:jc w:val="both"/>
              <w:rPr>
                <w:rFonts w:eastAsia="Times New Roman"/>
                <w:sz w:val="24"/>
                <w:szCs w:val="24"/>
              </w:rPr>
            </w:pPr>
            <w:r w:rsidRPr="00937F6C">
              <w:rPr>
                <w:rFonts w:eastAsia="Times New Roman"/>
                <w:sz w:val="24"/>
                <w:szCs w:val="24"/>
              </w:rPr>
              <w:t>Experimental</w:t>
            </w:r>
          </w:p>
        </w:tc>
        <w:tc>
          <w:tcPr>
            <w:tcW w:w="0" w:type="auto"/>
            <w:hideMark/>
          </w:tcPr>
          <w:p w14:paraId="2E834ECD" w14:textId="77777777" w:rsidR="00927A83" w:rsidRPr="00937F6C" w:rsidRDefault="00927A83" w:rsidP="00937F6C">
            <w:pPr>
              <w:jc w:val="both"/>
              <w:rPr>
                <w:rFonts w:eastAsia="Times New Roman"/>
                <w:sz w:val="24"/>
                <w:szCs w:val="24"/>
              </w:rPr>
            </w:pPr>
            <w:r w:rsidRPr="00937F6C">
              <w:rPr>
                <w:rFonts w:eastAsia="Times New Roman"/>
                <w:sz w:val="24"/>
                <w:szCs w:val="24"/>
              </w:rPr>
              <w:t>50</w:t>
            </w:r>
          </w:p>
        </w:tc>
        <w:tc>
          <w:tcPr>
            <w:tcW w:w="0" w:type="auto"/>
            <w:hideMark/>
          </w:tcPr>
          <w:p w14:paraId="7E72DB1F" w14:textId="77777777" w:rsidR="00927A83" w:rsidRPr="00937F6C" w:rsidRDefault="00927A83" w:rsidP="00937F6C">
            <w:pPr>
              <w:jc w:val="both"/>
              <w:rPr>
                <w:rFonts w:eastAsia="Times New Roman"/>
                <w:sz w:val="24"/>
                <w:szCs w:val="24"/>
              </w:rPr>
            </w:pPr>
            <w:r w:rsidRPr="00937F6C">
              <w:rPr>
                <w:rFonts w:eastAsia="Times New Roman"/>
                <w:sz w:val="24"/>
                <w:szCs w:val="24"/>
              </w:rPr>
              <w:t>2.32</w:t>
            </w:r>
          </w:p>
        </w:tc>
        <w:tc>
          <w:tcPr>
            <w:tcW w:w="0" w:type="auto"/>
            <w:hideMark/>
          </w:tcPr>
          <w:p w14:paraId="174D2D80" w14:textId="77777777" w:rsidR="00927A83" w:rsidRPr="00937F6C" w:rsidRDefault="00927A83" w:rsidP="00937F6C">
            <w:pPr>
              <w:jc w:val="both"/>
              <w:rPr>
                <w:rFonts w:eastAsia="Times New Roman"/>
                <w:sz w:val="24"/>
                <w:szCs w:val="24"/>
              </w:rPr>
            </w:pPr>
            <w:r w:rsidRPr="00937F6C">
              <w:rPr>
                <w:rFonts w:eastAsia="Times New Roman"/>
                <w:sz w:val="24"/>
                <w:szCs w:val="24"/>
              </w:rPr>
              <w:t>0.07</w:t>
            </w:r>
          </w:p>
        </w:tc>
        <w:tc>
          <w:tcPr>
            <w:tcW w:w="0" w:type="auto"/>
            <w:hideMark/>
          </w:tcPr>
          <w:p w14:paraId="06D73715" w14:textId="77777777" w:rsidR="00927A83" w:rsidRPr="00937F6C" w:rsidRDefault="00927A83" w:rsidP="00937F6C">
            <w:pPr>
              <w:jc w:val="both"/>
              <w:rPr>
                <w:rFonts w:eastAsia="Times New Roman"/>
                <w:sz w:val="24"/>
                <w:szCs w:val="24"/>
              </w:rPr>
            </w:pPr>
            <w:r w:rsidRPr="00937F6C">
              <w:rPr>
                <w:rFonts w:eastAsia="Times New Roman"/>
                <w:sz w:val="24"/>
                <w:szCs w:val="24"/>
              </w:rPr>
              <w:t>0.45</w:t>
            </w:r>
          </w:p>
        </w:tc>
        <w:tc>
          <w:tcPr>
            <w:tcW w:w="0" w:type="auto"/>
            <w:hideMark/>
          </w:tcPr>
          <w:p w14:paraId="0968E139" w14:textId="77777777" w:rsidR="00927A83" w:rsidRPr="00937F6C" w:rsidRDefault="00927A83" w:rsidP="00937F6C">
            <w:pPr>
              <w:jc w:val="both"/>
              <w:rPr>
                <w:rFonts w:eastAsia="Times New Roman"/>
                <w:sz w:val="24"/>
                <w:szCs w:val="24"/>
              </w:rPr>
            </w:pPr>
            <w:r w:rsidRPr="00937F6C">
              <w:rPr>
                <w:rFonts w:eastAsia="Times New Roman"/>
                <w:sz w:val="24"/>
                <w:szCs w:val="24"/>
              </w:rPr>
              <w:t>0.652</w:t>
            </w:r>
          </w:p>
        </w:tc>
        <w:tc>
          <w:tcPr>
            <w:tcW w:w="0" w:type="auto"/>
            <w:hideMark/>
          </w:tcPr>
          <w:p w14:paraId="1794EADA" w14:textId="77777777" w:rsidR="00927A83" w:rsidRPr="00937F6C" w:rsidRDefault="00927A83" w:rsidP="00937F6C">
            <w:pPr>
              <w:jc w:val="both"/>
              <w:rPr>
                <w:rFonts w:eastAsia="Times New Roman"/>
                <w:sz w:val="24"/>
                <w:szCs w:val="24"/>
              </w:rPr>
            </w:pPr>
            <w:r w:rsidRPr="00937F6C">
              <w:rPr>
                <w:rFonts w:eastAsia="Times New Roman"/>
                <w:sz w:val="24"/>
                <w:szCs w:val="24"/>
              </w:rPr>
              <w:t>0.09</w:t>
            </w:r>
          </w:p>
        </w:tc>
      </w:tr>
      <w:tr w:rsidR="00956AB1" w:rsidRPr="00937F6C" w14:paraId="4E5D02A5" w14:textId="77777777" w:rsidTr="00A633E1">
        <w:tc>
          <w:tcPr>
            <w:tcW w:w="0" w:type="auto"/>
            <w:hideMark/>
          </w:tcPr>
          <w:p w14:paraId="425A4B9D" w14:textId="77777777" w:rsidR="00927A83" w:rsidRPr="00937F6C" w:rsidRDefault="00927A83" w:rsidP="00937F6C">
            <w:pPr>
              <w:jc w:val="both"/>
              <w:rPr>
                <w:rFonts w:eastAsia="Times New Roman"/>
                <w:sz w:val="24"/>
                <w:szCs w:val="24"/>
              </w:rPr>
            </w:pPr>
          </w:p>
        </w:tc>
        <w:tc>
          <w:tcPr>
            <w:tcW w:w="0" w:type="auto"/>
            <w:hideMark/>
          </w:tcPr>
          <w:p w14:paraId="1D138F51" w14:textId="77777777" w:rsidR="00927A83" w:rsidRPr="00937F6C" w:rsidRDefault="00927A83" w:rsidP="00937F6C">
            <w:pPr>
              <w:jc w:val="both"/>
              <w:rPr>
                <w:rFonts w:eastAsia="Times New Roman"/>
                <w:sz w:val="24"/>
                <w:szCs w:val="24"/>
              </w:rPr>
            </w:pPr>
            <w:r w:rsidRPr="00937F6C">
              <w:rPr>
                <w:rFonts w:eastAsia="Times New Roman"/>
                <w:sz w:val="24"/>
                <w:szCs w:val="24"/>
              </w:rPr>
              <w:t>Control</w:t>
            </w:r>
          </w:p>
        </w:tc>
        <w:tc>
          <w:tcPr>
            <w:tcW w:w="0" w:type="auto"/>
            <w:hideMark/>
          </w:tcPr>
          <w:p w14:paraId="126DE2A2" w14:textId="77777777" w:rsidR="00927A83" w:rsidRPr="00937F6C" w:rsidRDefault="00927A83" w:rsidP="00937F6C">
            <w:pPr>
              <w:jc w:val="both"/>
              <w:rPr>
                <w:rFonts w:eastAsia="Times New Roman"/>
                <w:sz w:val="24"/>
                <w:szCs w:val="24"/>
              </w:rPr>
            </w:pPr>
            <w:r w:rsidRPr="00937F6C">
              <w:rPr>
                <w:rFonts w:eastAsia="Times New Roman"/>
                <w:sz w:val="24"/>
                <w:szCs w:val="24"/>
              </w:rPr>
              <w:t>50</w:t>
            </w:r>
          </w:p>
        </w:tc>
        <w:tc>
          <w:tcPr>
            <w:tcW w:w="0" w:type="auto"/>
            <w:hideMark/>
          </w:tcPr>
          <w:p w14:paraId="1C9C09EA" w14:textId="77777777" w:rsidR="00927A83" w:rsidRPr="00937F6C" w:rsidRDefault="00927A83" w:rsidP="00937F6C">
            <w:pPr>
              <w:jc w:val="both"/>
              <w:rPr>
                <w:rFonts w:eastAsia="Times New Roman"/>
                <w:sz w:val="24"/>
                <w:szCs w:val="24"/>
              </w:rPr>
            </w:pPr>
            <w:r w:rsidRPr="00937F6C">
              <w:rPr>
                <w:rFonts w:eastAsia="Times New Roman"/>
                <w:sz w:val="24"/>
                <w:szCs w:val="24"/>
              </w:rPr>
              <w:t>2.31</w:t>
            </w:r>
          </w:p>
        </w:tc>
        <w:tc>
          <w:tcPr>
            <w:tcW w:w="0" w:type="auto"/>
            <w:hideMark/>
          </w:tcPr>
          <w:p w14:paraId="29351E2A" w14:textId="77777777" w:rsidR="00927A83" w:rsidRPr="00937F6C" w:rsidRDefault="00927A83" w:rsidP="00937F6C">
            <w:pPr>
              <w:jc w:val="both"/>
              <w:rPr>
                <w:rFonts w:eastAsia="Times New Roman"/>
                <w:sz w:val="24"/>
                <w:szCs w:val="24"/>
              </w:rPr>
            </w:pPr>
            <w:r w:rsidRPr="00937F6C">
              <w:rPr>
                <w:rFonts w:eastAsia="Times New Roman"/>
                <w:sz w:val="24"/>
                <w:szCs w:val="24"/>
              </w:rPr>
              <w:t>0.08</w:t>
            </w:r>
          </w:p>
        </w:tc>
        <w:tc>
          <w:tcPr>
            <w:tcW w:w="0" w:type="auto"/>
            <w:hideMark/>
          </w:tcPr>
          <w:p w14:paraId="75D30806" w14:textId="77777777" w:rsidR="00927A83" w:rsidRPr="00937F6C" w:rsidRDefault="00927A83" w:rsidP="00937F6C">
            <w:pPr>
              <w:jc w:val="both"/>
              <w:rPr>
                <w:rFonts w:eastAsia="Times New Roman"/>
                <w:sz w:val="24"/>
                <w:szCs w:val="24"/>
              </w:rPr>
            </w:pPr>
          </w:p>
        </w:tc>
        <w:tc>
          <w:tcPr>
            <w:tcW w:w="0" w:type="auto"/>
            <w:hideMark/>
          </w:tcPr>
          <w:p w14:paraId="3BE7B50F" w14:textId="77777777" w:rsidR="00927A83" w:rsidRPr="00937F6C" w:rsidRDefault="00927A83" w:rsidP="00937F6C">
            <w:pPr>
              <w:jc w:val="both"/>
              <w:rPr>
                <w:rFonts w:eastAsia="Times New Roman"/>
                <w:sz w:val="24"/>
                <w:szCs w:val="24"/>
              </w:rPr>
            </w:pPr>
          </w:p>
        </w:tc>
        <w:tc>
          <w:tcPr>
            <w:tcW w:w="0" w:type="auto"/>
            <w:hideMark/>
          </w:tcPr>
          <w:p w14:paraId="4319C310" w14:textId="77777777" w:rsidR="00927A83" w:rsidRPr="00937F6C" w:rsidRDefault="00927A83" w:rsidP="00937F6C">
            <w:pPr>
              <w:jc w:val="both"/>
              <w:rPr>
                <w:rFonts w:eastAsia="Times New Roman"/>
                <w:sz w:val="24"/>
                <w:szCs w:val="24"/>
              </w:rPr>
            </w:pPr>
          </w:p>
        </w:tc>
      </w:tr>
      <w:tr w:rsidR="00956AB1" w:rsidRPr="00937F6C" w14:paraId="7986593A" w14:textId="77777777" w:rsidTr="00A633E1">
        <w:tc>
          <w:tcPr>
            <w:tcW w:w="0" w:type="auto"/>
            <w:hideMark/>
          </w:tcPr>
          <w:p w14:paraId="613B58DE" w14:textId="77777777" w:rsidR="00927A83" w:rsidRPr="00937F6C" w:rsidRDefault="00927A83" w:rsidP="00937F6C">
            <w:pPr>
              <w:jc w:val="both"/>
              <w:rPr>
                <w:rFonts w:eastAsia="Times New Roman"/>
                <w:sz w:val="24"/>
                <w:szCs w:val="24"/>
              </w:rPr>
            </w:pPr>
            <w:r w:rsidRPr="00937F6C">
              <w:rPr>
                <w:rFonts w:eastAsia="Times New Roman"/>
                <w:b/>
                <w:bCs/>
                <w:sz w:val="24"/>
                <w:szCs w:val="24"/>
              </w:rPr>
              <w:t>Student Participation (SP)</w:t>
            </w:r>
          </w:p>
        </w:tc>
        <w:tc>
          <w:tcPr>
            <w:tcW w:w="0" w:type="auto"/>
            <w:hideMark/>
          </w:tcPr>
          <w:p w14:paraId="3CCD3030" w14:textId="77777777" w:rsidR="00927A83" w:rsidRPr="00937F6C" w:rsidRDefault="00927A83" w:rsidP="00937F6C">
            <w:pPr>
              <w:jc w:val="both"/>
              <w:rPr>
                <w:rFonts w:eastAsia="Times New Roman"/>
                <w:sz w:val="24"/>
                <w:szCs w:val="24"/>
              </w:rPr>
            </w:pPr>
            <w:r w:rsidRPr="00937F6C">
              <w:rPr>
                <w:rFonts w:eastAsia="Times New Roman"/>
                <w:sz w:val="24"/>
                <w:szCs w:val="24"/>
              </w:rPr>
              <w:t>Experimental</w:t>
            </w:r>
          </w:p>
        </w:tc>
        <w:tc>
          <w:tcPr>
            <w:tcW w:w="0" w:type="auto"/>
            <w:hideMark/>
          </w:tcPr>
          <w:p w14:paraId="26BE7EBA" w14:textId="77777777" w:rsidR="00927A83" w:rsidRPr="00937F6C" w:rsidRDefault="00927A83" w:rsidP="00937F6C">
            <w:pPr>
              <w:jc w:val="both"/>
              <w:rPr>
                <w:rFonts w:eastAsia="Times New Roman"/>
                <w:sz w:val="24"/>
                <w:szCs w:val="24"/>
              </w:rPr>
            </w:pPr>
            <w:r w:rsidRPr="00937F6C">
              <w:rPr>
                <w:rFonts w:eastAsia="Times New Roman"/>
                <w:sz w:val="24"/>
                <w:szCs w:val="24"/>
              </w:rPr>
              <w:t>50</w:t>
            </w:r>
          </w:p>
        </w:tc>
        <w:tc>
          <w:tcPr>
            <w:tcW w:w="0" w:type="auto"/>
            <w:hideMark/>
          </w:tcPr>
          <w:p w14:paraId="75105E83" w14:textId="77777777" w:rsidR="00927A83" w:rsidRPr="00937F6C" w:rsidRDefault="00927A83" w:rsidP="00937F6C">
            <w:pPr>
              <w:jc w:val="both"/>
              <w:rPr>
                <w:rFonts w:eastAsia="Times New Roman"/>
                <w:sz w:val="24"/>
                <w:szCs w:val="24"/>
              </w:rPr>
            </w:pPr>
            <w:r w:rsidRPr="00937F6C">
              <w:rPr>
                <w:rFonts w:eastAsia="Times New Roman"/>
                <w:sz w:val="24"/>
                <w:szCs w:val="24"/>
              </w:rPr>
              <w:t>2.32</w:t>
            </w:r>
          </w:p>
        </w:tc>
        <w:tc>
          <w:tcPr>
            <w:tcW w:w="0" w:type="auto"/>
            <w:hideMark/>
          </w:tcPr>
          <w:p w14:paraId="1006C998" w14:textId="77777777" w:rsidR="00927A83" w:rsidRPr="00937F6C" w:rsidRDefault="00927A83" w:rsidP="00937F6C">
            <w:pPr>
              <w:jc w:val="both"/>
              <w:rPr>
                <w:rFonts w:eastAsia="Times New Roman"/>
                <w:sz w:val="24"/>
                <w:szCs w:val="24"/>
              </w:rPr>
            </w:pPr>
            <w:r w:rsidRPr="00937F6C">
              <w:rPr>
                <w:rFonts w:eastAsia="Times New Roman"/>
                <w:sz w:val="24"/>
                <w:szCs w:val="24"/>
              </w:rPr>
              <w:t>0.07</w:t>
            </w:r>
          </w:p>
        </w:tc>
        <w:tc>
          <w:tcPr>
            <w:tcW w:w="0" w:type="auto"/>
            <w:hideMark/>
          </w:tcPr>
          <w:p w14:paraId="6F708563" w14:textId="77777777" w:rsidR="00927A83" w:rsidRPr="00937F6C" w:rsidRDefault="00927A83" w:rsidP="00937F6C">
            <w:pPr>
              <w:jc w:val="both"/>
              <w:rPr>
                <w:rFonts w:eastAsia="Times New Roman"/>
                <w:sz w:val="24"/>
                <w:szCs w:val="24"/>
              </w:rPr>
            </w:pPr>
            <w:r w:rsidRPr="00937F6C">
              <w:rPr>
                <w:rFonts w:eastAsia="Times New Roman"/>
                <w:sz w:val="24"/>
                <w:szCs w:val="24"/>
              </w:rPr>
              <w:t>0.38</w:t>
            </w:r>
          </w:p>
        </w:tc>
        <w:tc>
          <w:tcPr>
            <w:tcW w:w="0" w:type="auto"/>
            <w:hideMark/>
          </w:tcPr>
          <w:p w14:paraId="4ABA1782" w14:textId="77777777" w:rsidR="00927A83" w:rsidRPr="00937F6C" w:rsidRDefault="00927A83" w:rsidP="00937F6C">
            <w:pPr>
              <w:jc w:val="both"/>
              <w:rPr>
                <w:rFonts w:eastAsia="Times New Roman"/>
                <w:sz w:val="24"/>
                <w:szCs w:val="24"/>
              </w:rPr>
            </w:pPr>
            <w:r w:rsidRPr="00937F6C">
              <w:rPr>
                <w:rFonts w:eastAsia="Times New Roman"/>
                <w:sz w:val="24"/>
                <w:szCs w:val="24"/>
              </w:rPr>
              <w:t>0.705</w:t>
            </w:r>
          </w:p>
        </w:tc>
        <w:tc>
          <w:tcPr>
            <w:tcW w:w="0" w:type="auto"/>
            <w:hideMark/>
          </w:tcPr>
          <w:p w14:paraId="6024A978" w14:textId="77777777" w:rsidR="00927A83" w:rsidRPr="00937F6C" w:rsidRDefault="00927A83" w:rsidP="00937F6C">
            <w:pPr>
              <w:jc w:val="both"/>
              <w:rPr>
                <w:rFonts w:eastAsia="Times New Roman"/>
                <w:sz w:val="24"/>
                <w:szCs w:val="24"/>
              </w:rPr>
            </w:pPr>
            <w:r w:rsidRPr="00937F6C">
              <w:rPr>
                <w:rFonts w:eastAsia="Times New Roman"/>
                <w:sz w:val="24"/>
                <w:szCs w:val="24"/>
              </w:rPr>
              <w:t>0.08</w:t>
            </w:r>
          </w:p>
        </w:tc>
      </w:tr>
      <w:tr w:rsidR="00956AB1" w:rsidRPr="00937F6C" w14:paraId="2150B932" w14:textId="77777777" w:rsidTr="00A633E1">
        <w:tc>
          <w:tcPr>
            <w:tcW w:w="0" w:type="auto"/>
            <w:hideMark/>
          </w:tcPr>
          <w:p w14:paraId="3219F0D8" w14:textId="77777777" w:rsidR="00927A83" w:rsidRPr="00937F6C" w:rsidRDefault="00927A83" w:rsidP="00937F6C">
            <w:pPr>
              <w:jc w:val="both"/>
              <w:rPr>
                <w:rFonts w:eastAsia="Times New Roman"/>
                <w:sz w:val="24"/>
                <w:szCs w:val="24"/>
              </w:rPr>
            </w:pPr>
          </w:p>
        </w:tc>
        <w:tc>
          <w:tcPr>
            <w:tcW w:w="0" w:type="auto"/>
            <w:hideMark/>
          </w:tcPr>
          <w:p w14:paraId="2839622A" w14:textId="77777777" w:rsidR="00927A83" w:rsidRPr="00937F6C" w:rsidRDefault="00927A83" w:rsidP="00937F6C">
            <w:pPr>
              <w:jc w:val="both"/>
              <w:rPr>
                <w:rFonts w:eastAsia="Times New Roman"/>
                <w:sz w:val="24"/>
                <w:szCs w:val="24"/>
              </w:rPr>
            </w:pPr>
            <w:r w:rsidRPr="00937F6C">
              <w:rPr>
                <w:rFonts w:eastAsia="Times New Roman"/>
                <w:sz w:val="24"/>
                <w:szCs w:val="24"/>
              </w:rPr>
              <w:t>Control</w:t>
            </w:r>
          </w:p>
        </w:tc>
        <w:tc>
          <w:tcPr>
            <w:tcW w:w="0" w:type="auto"/>
            <w:hideMark/>
          </w:tcPr>
          <w:p w14:paraId="3C77BAFA" w14:textId="77777777" w:rsidR="00927A83" w:rsidRPr="00937F6C" w:rsidRDefault="00927A83" w:rsidP="00937F6C">
            <w:pPr>
              <w:jc w:val="both"/>
              <w:rPr>
                <w:rFonts w:eastAsia="Times New Roman"/>
                <w:sz w:val="24"/>
                <w:szCs w:val="24"/>
              </w:rPr>
            </w:pPr>
            <w:r w:rsidRPr="00937F6C">
              <w:rPr>
                <w:rFonts w:eastAsia="Times New Roman"/>
                <w:sz w:val="24"/>
                <w:szCs w:val="24"/>
              </w:rPr>
              <w:t>50</w:t>
            </w:r>
          </w:p>
        </w:tc>
        <w:tc>
          <w:tcPr>
            <w:tcW w:w="0" w:type="auto"/>
            <w:hideMark/>
          </w:tcPr>
          <w:p w14:paraId="584CDADE" w14:textId="77777777" w:rsidR="00927A83" w:rsidRPr="00937F6C" w:rsidRDefault="00927A83" w:rsidP="00937F6C">
            <w:pPr>
              <w:jc w:val="both"/>
              <w:rPr>
                <w:rFonts w:eastAsia="Times New Roman"/>
                <w:sz w:val="24"/>
                <w:szCs w:val="24"/>
              </w:rPr>
            </w:pPr>
            <w:r w:rsidRPr="00937F6C">
              <w:rPr>
                <w:rFonts w:eastAsia="Times New Roman"/>
                <w:sz w:val="24"/>
                <w:szCs w:val="24"/>
              </w:rPr>
              <w:t>2.31</w:t>
            </w:r>
          </w:p>
        </w:tc>
        <w:tc>
          <w:tcPr>
            <w:tcW w:w="0" w:type="auto"/>
            <w:hideMark/>
          </w:tcPr>
          <w:p w14:paraId="17754C85" w14:textId="77777777" w:rsidR="00927A83" w:rsidRPr="00937F6C" w:rsidRDefault="00927A83" w:rsidP="00937F6C">
            <w:pPr>
              <w:jc w:val="both"/>
              <w:rPr>
                <w:rFonts w:eastAsia="Times New Roman"/>
                <w:sz w:val="24"/>
                <w:szCs w:val="24"/>
              </w:rPr>
            </w:pPr>
            <w:r w:rsidRPr="00937F6C">
              <w:rPr>
                <w:rFonts w:eastAsia="Times New Roman"/>
                <w:sz w:val="24"/>
                <w:szCs w:val="24"/>
              </w:rPr>
              <w:t>0.08</w:t>
            </w:r>
          </w:p>
        </w:tc>
        <w:tc>
          <w:tcPr>
            <w:tcW w:w="0" w:type="auto"/>
            <w:hideMark/>
          </w:tcPr>
          <w:p w14:paraId="0A0543F1" w14:textId="77777777" w:rsidR="00927A83" w:rsidRPr="00937F6C" w:rsidRDefault="00927A83" w:rsidP="00937F6C">
            <w:pPr>
              <w:jc w:val="both"/>
              <w:rPr>
                <w:rFonts w:eastAsia="Times New Roman"/>
                <w:sz w:val="24"/>
                <w:szCs w:val="24"/>
              </w:rPr>
            </w:pPr>
          </w:p>
        </w:tc>
        <w:tc>
          <w:tcPr>
            <w:tcW w:w="0" w:type="auto"/>
            <w:hideMark/>
          </w:tcPr>
          <w:p w14:paraId="070C1BD1" w14:textId="77777777" w:rsidR="00927A83" w:rsidRPr="00937F6C" w:rsidRDefault="00927A83" w:rsidP="00937F6C">
            <w:pPr>
              <w:jc w:val="both"/>
              <w:rPr>
                <w:rFonts w:eastAsia="Times New Roman"/>
                <w:sz w:val="24"/>
                <w:szCs w:val="24"/>
              </w:rPr>
            </w:pPr>
          </w:p>
        </w:tc>
        <w:tc>
          <w:tcPr>
            <w:tcW w:w="0" w:type="auto"/>
            <w:hideMark/>
          </w:tcPr>
          <w:p w14:paraId="7693DB4B" w14:textId="77777777" w:rsidR="00927A83" w:rsidRPr="00937F6C" w:rsidRDefault="00927A83" w:rsidP="00937F6C">
            <w:pPr>
              <w:jc w:val="both"/>
              <w:rPr>
                <w:rFonts w:eastAsia="Times New Roman"/>
                <w:sz w:val="24"/>
                <w:szCs w:val="24"/>
              </w:rPr>
            </w:pPr>
          </w:p>
        </w:tc>
      </w:tr>
    </w:tbl>
    <w:p w14:paraId="30DD6AD6" w14:textId="77777777" w:rsidR="00927A83" w:rsidRPr="00937F6C" w:rsidRDefault="00927A83" w:rsidP="00937F6C">
      <w:pPr>
        <w:pStyle w:val="NormalWeb"/>
        <w:spacing w:after="0"/>
        <w:jc w:val="both"/>
      </w:pPr>
      <w:r w:rsidRPr="00937F6C">
        <w:t>The analysis revealed no statistically significant differences between the experimental and control groups on either Student Interest (t (98) = 0.45, p = 0.652) or Student Participation (</w:t>
      </w:r>
      <w:proofErr w:type="gramStart"/>
      <w:r w:rsidRPr="00937F6C">
        <w:t>t(</w:t>
      </w:r>
      <w:proofErr w:type="gramEnd"/>
      <w:r w:rsidRPr="00937F6C">
        <w:t xml:space="preserve">98) = 0.38, p = 0.705) at baseline. The effect sizes were negligible (Cohen's d = 0.09 for SI and d = 0.08 for SP), indicating minimal practical differences between the groups. This baseline equivalence establishes the validity of the quasi-experimental design, as any post-intervention differences can be more confidently attributed to the </w:t>
      </w:r>
      <w:proofErr w:type="spellStart"/>
      <w:r w:rsidRPr="00937F6C">
        <w:t>AfL</w:t>
      </w:r>
      <w:proofErr w:type="spellEnd"/>
      <w:r w:rsidRPr="00937F6C">
        <w:t xml:space="preserve"> intervention rather than pre-existing group disparities.</w:t>
      </w:r>
    </w:p>
    <w:p w14:paraId="39586C02" w14:textId="77777777" w:rsidR="00927A83" w:rsidRPr="00937F6C" w:rsidRDefault="00927A83" w:rsidP="00937F6C">
      <w:pPr>
        <w:spacing w:line="240" w:lineRule="auto"/>
        <w:rPr>
          <w:rFonts w:ascii="Times New Roman" w:hAnsi="Times New Roman" w:cs="Times New Roman"/>
          <w:b/>
          <w:sz w:val="24"/>
          <w:szCs w:val="24"/>
        </w:rPr>
      </w:pPr>
      <w:r w:rsidRPr="00937F6C">
        <w:rPr>
          <w:rStyle w:val="Strong"/>
          <w:rFonts w:ascii="Times New Roman" w:hAnsi="Times New Roman" w:cs="Times New Roman"/>
          <w:sz w:val="24"/>
          <w:szCs w:val="24"/>
        </w:rPr>
        <w:t>Ethical Considerations</w:t>
      </w:r>
      <w:r w:rsidRPr="00937F6C">
        <w:rPr>
          <w:rFonts w:ascii="Times New Roman" w:hAnsi="Times New Roman" w:cs="Times New Roman"/>
          <w:sz w:val="24"/>
          <w:szCs w:val="24"/>
        </w:rPr>
        <w:br/>
        <w:t xml:space="preserve">Ethical approval for this study was obtained from the </w:t>
      </w:r>
      <w:proofErr w:type="spellStart"/>
      <w:r w:rsidRPr="00937F6C">
        <w:rPr>
          <w:rFonts w:ascii="Times New Roman" w:hAnsi="Times New Roman" w:cs="Times New Roman"/>
          <w:sz w:val="24"/>
          <w:szCs w:val="24"/>
        </w:rPr>
        <w:t>Akenten</w:t>
      </w:r>
      <w:proofErr w:type="spellEnd"/>
      <w:r w:rsidRPr="00937F6C">
        <w:rPr>
          <w:rFonts w:ascii="Times New Roman" w:hAnsi="Times New Roman" w:cs="Times New Roman"/>
          <w:sz w:val="24"/>
          <w:szCs w:val="24"/>
        </w:rPr>
        <w:t xml:space="preserve"> Appiah-</w:t>
      </w:r>
      <w:proofErr w:type="spellStart"/>
      <w:r w:rsidRPr="00937F6C">
        <w:rPr>
          <w:rFonts w:ascii="Times New Roman" w:hAnsi="Times New Roman" w:cs="Times New Roman"/>
          <w:sz w:val="24"/>
          <w:szCs w:val="24"/>
        </w:rPr>
        <w:t>Menka</w:t>
      </w:r>
      <w:proofErr w:type="spellEnd"/>
      <w:r w:rsidRPr="00937F6C">
        <w:rPr>
          <w:rFonts w:ascii="Times New Roman" w:hAnsi="Times New Roman" w:cs="Times New Roman"/>
          <w:sz w:val="24"/>
          <w:szCs w:val="24"/>
        </w:rPr>
        <w:t xml:space="preserve"> University of Skills Training and Entrepreneurial Development (AAMUSTED) Institutional Ethical Review Committee. Permission was also sought from the head of </w:t>
      </w:r>
      <w:proofErr w:type="spellStart"/>
      <w:r w:rsidRPr="00937F6C">
        <w:rPr>
          <w:rFonts w:ascii="Times New Roman" w:hAnsi="Times New Roman" w:cs="Times New Roman"/>
          <w:sz w:val="24"/>
          <w:szCs w:val="24"/>
        </w:rPr>
        <w:t>Akwamuman</w:t>
      </w:r>
      <w:proofErr w:type="spellEnd"/>
      <w:r w:rsidRPr="00937F6C">
        <w:rPr>
          <w:rFonts w:ascii="Times New Roman" w:hAnsi="Times New Roman" w:cs="Times New Roman"/>
          <w:sz w:val="24"/>
          <w:szCs w:val="24"/>
        </w:rPr>
        <w:t xml:space="preserve"> Senior High School, where the study was conducted. Informed consent was obtained from all participating students. Students were assured of confidentiality, anonymity, and the voluntary nature of their participation, with the right to withdraw at any stage without penalty. No identifying information was collected in the questionnaires, and all data were stored securely for research purposes only.</w:t>
      </w:r>
    </w:p>
    <w:p w14:paraId="10346185" w14:textId="77777777" w:rsidR="00927A83" w:rsidRPr="00937F6C" w:rsidRDefault="00927A83" w:rsidP="00937F6C">
      <w:pPr>
        <w:pStyle w:val="NormalWeb"/>
        <w:spacing w:before="0" w:beforeAutospacing="0" w:after="0" w:afterAutospacing="0"/>
        <w:jc w:val="both"/>
        <w:rPr>
          <w:rFonts w:eastAsiaTheme="minorHAnsi"/>
          <w:b/>
        </w:rPr>
      </w:pPr>
      <w:r w:rsidRPr="00937F6C">
        <w:rPr>
          <w:rFonts w:eastAsiaTheme="minorHAnsi"/>
          <w:b/>
        </w:rPr>
        <w:t>Intervention</w:t>
      </w:r>
    </w:p>
    <w:p w14:paraId="31A011EE" w14:textId="0FC8559A" w:rsidR="00714860" w:rsidRPr="00937F6C" w:rsidRDefault="00927A83" w:rsidP="00937F6C">
      <w:pPr>
        <w:pStyle w:val="NormalWeb"/>
        <w:spacing w:before="0" w:beforeAutospacing="0" w:after="0" w:afterAutospacing="0"/>
        <w:jc w:val="both"/>
      </w:pPr>
      <w:r w:rsidRPr="00937F6C">
        <w:t xml:space="preserve">The intervention integrated specific </w:t>
      </w:r>
      <w:proofErr w:type="spellStart"/>
      <w:r w:rsidRPr="00937F6C">
        <w:t>AfL</w:t>
      </w:r>
      <w:proofErr w:type="spellEnd"/>
      <w:r w:rsidRPr="00937F6C">
        <w:t xml:space="preserve"> strategies in the experimental class, thus including formative feedback, peer assessment, self-assessment, differentiated instruction, and questioning techniques. The formative feedback component involved providing timely, constructive, and actionable comments on students' mathematical tasks rather than grades alone. This approach aligned with the recommendations of Shute et al. (2019), who emphasize that feedback should be given on the task and self-regulation processes to improve learning outcomes. Discussing with the </w:t>
      </w:r>
      <w:r w:rsidRPr="00937F6C">
        <w:lastRenderedPageBreak/>
        <w:t xml:space="preserve">teacher helps him to deliver feedback that identifies students' strengths, addresses misconceptions, and guides their learning. The peer assessment element helped students to evaluate one another’s work against set criteria. To ensure effectiveness, students were taken through a brief orientation on how to provide constructive feedback respectfully and objectively, consistent with best practices. A study by </w:t>
      </w:r>
      <w:sdt>
        <w:sdtPr>
          <w:tag w:val="MENDELEY_CITATION_v3_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"/>
          <w:id w:val="-460109312"/>
          <w:placeholder>
            <w:docPart w:val="BAF1C747D16B4C85A28462DC1F978CD7"/>
          </w:placeholder>
        </w:sdtPr>
        <w:sdtEndPr/>
        <w:sdtContent>
          <w:r w:rsidRPr="00937F6C">
            <w:t>Yin et al. (2008)</w:t>
          </w:r>
        </w:sdtContent>
      </w:sdt>
      <w:r w:rsidRPr="00937F6C">
        <w:t xml:space="preserve"> highlighted the relevance of training students in peer-assessment techniques to enhance both reliability and learning gains. The self-assessment activities equipped learners to reflect on their mathematical understanding and set personal learning goals. Self-assessment fosters a sense of autonomy and self-efficacy, which are critical components of student learning motivation </w:t>
      </w:r>
      <w:sdt>
        <w:sdtPr>
          <w:tag w:val="MENDELEY_CITATION_v3_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"/>
          <w:id w:val="-1376612267"/>
          <w:placeholder>
            <w:docPart w:val="BAF1C747D16B4C85A28462DC1F978CD7"/>
          </w:placeholder>
        </w:sdtPr>
        <w:sdtEndPr/>
        <w:sdtContent>
          <w:r w:rsidRPr="00937F6C">
            <w:t>(Deci &amp; Ryan, 2004)</w:t>
          </w:r>
        </w:sdtContent>
      </w:sdt>
      <w:r w:rsidRPr="00937F6C">
        <w:t xml:space="preserve">. To address the diverse learning needs within the mathematics classroom, differentiated instruction was incorporated. Lessons were planned to accommodate varying levels of readiness, interest, and learning profiles. The students were engaged with mathematical content through multiple modes such as visual models, collaborative problem-solving, and hands-on activities, thus increasing accessibility and promoting greater engagement. Finally, questioning techniques were employed to stimulate critical thinking and sustain attention. The Teacher used a blend of open-ended, probing, and reflective questions to challenge students' reasoning and deepen their understanding (Shute et al., 2019). Ample wait time was provided to encourage thoughtful responses. Throughout the intervention, the teacher maintained a growth-oriented classroom culture, enabling students to view mistakes as opportunities for learning but not as failures. The effectiveness of the intervention was measured quantitatively through post-intervention questionnaires that assessed changes in students’ interest and participation. </w:t>
      </w:r>
      <w:bookmarkStart w:id="0" w:name="_Toc208182565"/>
      <w:bookmarkStart w:id="1" w:name="_Toc208182775"/>
    </w:p>
    <w:p w14:paraId="13103341" w14:textId="77777777" w:rsidR="00927A83" w:rsidRPr="00937F6C" w:rsidRDefault="00927A83" w:rsidP="00937F6C">
      <w:pPr>
        <w:pStyle w:val="Heading3"/>
        <w:spacing w:before="0" w:line="240" w:lineRule="auto"/>
        <w:jc w:val="both"/>
        <w:rPr>
          <w:rFonts w:ascii="Times New Roman" w:hAnsi="Times New Roman" w:cs="Times New Roman"/>
          <w:b/>
          <w:color w:val="auto"/>
        </w:rPr>
      </w:pPr>
      <w:bookmarkStart w:id="2" w:name="_Toc209434854"/>
      <w:r w:rsidRPr="00937F6C">
        <w:rPr>
          <w:rFonts w:ascii="Times New Roman" w:hAnsi="Times New Roman" w:cs="Times New Roman"/>
          <w:b/>
          <w:color w:val="auto"/>
        </w:rPr>
        <w:t>Implementation Procedures</w:t>
      </w:r>
      <w:bookmarkEnd w:id="0"/>
      <w:bookmarkEnd w:id="1"/>
      <w:bookmarkEnd w:id="2"/>
    </w:p>
    <w:p w14:paraId="5531BD3E" w14:textId="6EBF035B" w:rsidR="00714860" w:rsidRPr="00937F6C" w:rsidRDefault="00927A83" w:rsidP="00937F6C">
      <w:pPr>
        <w:pStyle w:val="NormalWeb"/>
        <w:spacing w:before="0" w:beforeAutospacing="0" w:after="0" w:afterAutospacing="0"/>
        <w:jc w:val="both"/>
      </w:pPr>
      <w:r w:rsidRPr="00937F6C">
        <w:t xml:space="preserve">The intervention was implemented over eight weeks, with three mathematics lessons delivered each week. Lessons aligned with the approved SHS mathematics syllabus but modified to embed rich </w:t>
      </w:r>
      <w:proofErr w:type="spellStart"/>
      <w:r w:rsidRPr="00937F6C">
        <w:t>AfL</w:t>
      </w:r>
      <w:proofErr w:type="spellEnd"/>
      <w:r w:rsidRPr="00937F6C">
        <w:t xml:space="preserve"> practices throughout. Week 1 was for preliminary discussion with the teacher and students. The discussion with the teacher focused on </w:t>
      </w:r>
      <w:proofErr w:type="spellStart"/>
      <w:r w:rsidRPr="00937F6C">
        <w:t>AfL</w:t>
      </w:r>
      <w:proofErr w:type="spellEnd"/>
      <w:r w:rsidRPr="00937F6C">
        <w:t xml:space="preserve"> techniques, guided by best practices acknowledged by </w:t>
      </w:r>
      <w:sdt>
        <w:sdtPr>
          <w:tag w:val="MENDELEY_CITATION_v3_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"/>
          <w:id w:val="435796272"/>
          <w:placeholder>
            <w:docPart w:val="BAF1C747D16B4C85A28462DC1F978CD7"/>
          </w:placeholder>
        </w:sdtPr>
        <w:sdtEndPr/>
        <w:sdtContent>
          <w:r w:rsidRPr="00937F6C">
            <w:t>Hermansen et al. (2014)</w:t>
          </w:r>
        </w:sdtContent>
      </w:sdt>
      <w:r w:rsidRPr="00937F6C">
        <w:t xml:space="preserve">. They were enlightened about delivering formative feedback, facilitating peer and self-assessment, planning for differentiated instruction, and employing effective questioning techniques. Students were also enlightened about the purpose of </w:t>
      </w:r>
      <w:proofErr w:type="spellStart"/>
      <w:r w:rsidRPr="00937F6C">
        <w:t>AfL</w:t>
      </w:r>
      <w:proofErr w:type="spellEnd"/>
      <w:r w:rsidRPr="00937F6C">
        <w:t xml:space="preserve"> and how to engage in peer and self-assessment effectively. Weeks 2 to 8 focused on full implementation. The teacher integrated </w:t>
      </w:r>
      <w:proofErr w:type="spellStart"/>
      <w:r w:rsidRPr="00937F6C">
        <w:t>AfL</w:t>
      </w:r>
      <w:proofErr w:type="spellEnd"/>
      <w:r w:rsidRPr="00937F6C">
        <w:t xml:space="preserve"> strategies in every mathematics lesson. After each lesson, students completed a self-assessment rubric on their understanding. Peer feedback was given during group problem-solving sessions. Formative quizzes were administered weekly, with feedback provided the next day. Lessons included differentiated tasks, such as tiered mathematical problems. Teachers posed higher-order questions and facilitated brief reflective discussions. This structure ensured that </w:t>
      </w:r>
      <w:proofErr w:type="spellStart"/>
      <w:r w:rsidRPr="00937F6C">
        <w:t>AfL</w:t>
      </w:r>
      <w:proofErr w:type="spellEnd"/>
      <w:r w:rsidRPr="00937F6C">
        <w:t xml:space="preserve"> strategies were not treated as add-ons but integrated into daily instruction to enhance learning.</w:t>
      </w:r>
    </w:p>
    <w:p w14:paraId="187CF4CE" w14:textId="77777777" w:rsidR="00714860" w:rsidRPr="00937F6C" w:rsidRDefault="00927A83" w:rsidP="00937F6C">
      <w:pPr>
        <w:pStyle w:val="NormalWeb"/>
        <w:spacing w:before="0" w:beforeAutospacing="0" w:after="0" w:afterAutospacing="0"/>
        <w:jc w:val="both"/>
        <w:rPr>
          <w:b/>
        </w:rPr>
      </w:pPr>
      <w:r w:rsidRPr="00937F6C">
        <w:rPr>
          <w:b/>
        </w:rPr>
        <w:t xml:space="preserve">Data Analysis </w:t>
      </w:r>
    </w:p>
    <w:p w14:paraId="24949E27" w14:textId="0C78FC8A" w:rsidR="000148A8" w:rsidRPr="00937F6C" w:rsidRDefault="000148A8" w:rsidP="00937F6C">
      <w:pPr>
        <w:pStyle w:val="NormalWeb"/>
        <w:spacing w:before="0" w:beforeAutospacing="0" w:after="0" w:afterAutospacing="0"/>
        <w:jc w:val="both"/>
        <w:rPr>
          <w:b/>
        </w:rPr>
      </w:pPr>
      <w:r w:rsidRPr="00937F6C">
        <w:t xml:space="preserve">The quantitative data gathered from the structured questionnaires were compiled and analyzed using the Statistical Package for the Social Sciences (SPSS), Version 28. Before inferential analysis, the data were screened for errors and missing values; no missing data were found. Assumptions for the independent samples t-test were checked and met. This included testing for normality of the distribution of scores for each group using the Shapiro-Wilk test (p &gt; .05 for all groups) and confirming homogeneity of variances using </w:t>
      </w:r>
      <w:proofErr w:type="spellStart"/>
      <w:r w:rsidRPr="00937F6C">
        <w:t>Levene's</w:t>
      </w:r>
      <w:proofErr w:type="spellEnd"/>
      <w:r w:rsidRPr="00937F6C">
        <w:t xml:space="preserve"> Test for Equality of Variances.</w:t>
      </w:r>
    </w:p>
    <w:p w14:paraId="3BB6D40F" w14:textId="5E9895CA" w:rsidR="00714860" w:rsidRPr="00937F6C" w:rsidRDefault="000148A8" w:rsidP="00937F6C">
      <w:pPr>
        <w:pStyle w:val="ds-markdown-paragraph"/>
        <w:shd w:val="clear" w:color="auto" w:fill="FFFFFF"/>
        <w:spacing w:before="240" w:beforeAutospacing="0" w:after="240" w:afterAutospacing="0"/>
        <w:jc w:val="both"/>
      </w:pPr>
      <w:r w:rsidRPr="00937F6C">
        <w:t>The primary analysis consisted of an </w:t>
      </w:r>
      <w:r w:rsidRPr="00937F6C">
        <w:rPr>
          <w:rStyle w:val="Strong"/>
          <w:b w:val="0"/>
        </w:rPr>
        <w:t>independent samples t-test</w:t>
      </w:r>
      <w:r w:rsidRPr="00937F6C">
        <w:t xml:space="preserve"> to compare the post-intervention mean scores on the Student Interest (SI) and Student Participation (SP) subscales between the </w:t>
      </w:r>
      <w:r w:rsidRPr="00937F6C">
        <w:lastRenderedPageBreak/>
        <w:t>experimental and control groups. This test was selected as it is the appropriate method for determining if a statistically significant difference exists between the means of two independent, approximately normally distributed groups.</w:t>
      </w:r>
      <w:r w:rsidR="00714860" w:rsidRPr="00937F6C">
        <w:t xml:space="preserve"> </w:t>
      </w:r>
      <w:r w:rsidRPr="00937F6C">
        <w:t>The </w:t>
      </w:r>
      <w:r w:rsidRPr="00937F6C">
        <w:rPr>
          <w:rStyle w:val="Strong"/>
          <w:b w:val="0"/>
        </w:rPr>
        <w:t>alpha level for determining statistical significance was set a priori at p &lt; .05</w:t>
      </w:r>
      <w:r w:rsidRPr="00937F6C">
        <w:t>. In addition to the p-value, </w:t>
      </w:r>
      <w:r w:rsidRPr="00937F6C">
        <w:rPr>
          <w:rStyle w:val="Strong"/>
          <w:b w:val="0"/>
        </w:rPr>
        <w:t>Cohen's d</w:t>
      </w:r>
      <w:r w:rsidRPr="00937F6C">
        <w:t> was calculated and reported as a measure of effect size to interpret the practical significance of the findings, with benchmarks of 0.2 = small, 0.5 = medium, and 0.8 = large (Cohen, 1988). Descriptive statistics (means and standard deviations) for both groups on the SI and SP subscales were also computed to summarize the data</w:t>
      </w:r>
    </w:p>
    <w:p w14:paraId="2D91F745" w14:textId="59696790" w:rsidR="00927A83" w:rsidRPr="00937F6C" w:rsidRDefault="00927A83" w:rsidP="00937F6C">
      <w:pPr>
        <w:pStyle w:val="NormalWeb"/>
        <w:spacing w:before="0" w:beforeAutospacing="0" w:after="0" w:afterAutospacing="0"/>
        <w:jc w:val="both"/>
        <w:rPr>
          <w:b/>
        </w:rPr>
      </w:pPr>
      <w:r w:rsidRPr="00937F6C">
        <w:rPr>
          <w:b/>
        </w:rPr>
        <w:t xml:space="preserve">RESULTS AND DISCUSSION </w:t>
      </w:r>
    </w:p>
    <w:p w14:paraId="53C7D8A6" w14:textId="77777777" w:rsidR="00927A83" w:rsidRPr="00937F6C" w:rsidRDefault="00927A83" w:rsidP="00937F6C">
      <w:pPr>
        <w:pStyle w:val="Heading2"/>
        <w:spacing w:before="0"/>
        <w:jc w:val="both"/>
        <w:rPr>
          <w:b w:val="0"/>
          <w:sz w:val="24"/>
          <w:szCs w:val="24"/>
        </w:rPr>
      </w:pPr>
      <w:r w:rsidRPr="00937F6C">
        <w:rPr>
          <w:sz w:val="24"/>
          <w:szCs w:val="24"/>
        </w:rPr>
        <w:t>Descriptive Statistical Analysis</w:t>
      </w:r>
    </w:p>
    <w:p w14:paraId="7BB76222" w14:textId="7DC505E6" w:rsidR="00BA4829" w:rsidRPr="00937F6C" w:rsidRDefault="00927A83" w:rsidP="00937F6C">
      <w:pPr>
        <w:pStyle w:val="NormalWeb"/>
        <w:spacing w:before="0" w:beforeAutospacing="0" w:after="0" w:afterAutospacing="0"/>
        <w:jc w:val="both"/>
      </w:pPr>
      <w:r w:rsidRPr="00937F6C">
        <w:t>The descriptive statistics provide details on students’ responses to the Assessment for Learning (</w:t>
      </w:r>
      <w:proofErr w:type="spellStart"/>
      <w:r w:rsidRPr="00937F6C">
        <w:t>AfL</w:t>
      </w:r>
      <w:proofErr w:type="spellEnd"/>
      <w:r w:rsidRPr="00937F6C">
        <w:t>), Student Interest (SI), and Student Participation (SP) constructs, gathered post the intervention from the experimental and control groups of students. The results were presented in</w:t>
      </w:r>
      <w:r w:rsidR="00BA4829" w:rsidRPr="00937F6C">
        <w:t xml:space="preserve"> Table 2.</w:t>
      </w:r>
      <w:r w:rsidRPr="00937F6C">
        <w:t xml:space="preserve"> </w:t>
      </w:r>
    </w:p>
    <w:p w14:paraId="34CF3631" w14:textId="1CD392E7" w:rsidR="00927A83" w:rsidRPr="00937F6C" w:rsidRDefault="00927A83" w:rsidP="00937F6C">
      <w:pPr>
        <w:pStyle w:val="NormalWeb"/>
        <w:spacing w:before="0" w:beforeAutospacing="0" w:after="0" w:afterAutospacing="0"/>
        <w:jc w:val="both"/>
      </w:pPr>
      <w:r w:rsidRPr="00937F6C">
        <w:t xml:space="preserve"> </w:t>
      </w:r>
    </w:p>
    <w:p w14:paraId="0C5EC022" w14:textId="45611A56" w:rsidR="00927A83" w:rsidRPr="00937F6C" w:rsidRDefault="00927A83" w:rsidP="00937F6C">
      <w:pPr>
        <w:pStyle w:val="Caption"/>
        <w:keepNext/>
        <w:spacing w:after="0"/>
        <w:jc w:val="both"/>
        <w:rPr>
          <w:rFonts w:ascii="Times New Roman" w:hAnsi="Times New Roman" w:cs="Times New Roman"/>
          <w:b/>
          <w:color w:val="auto"/>
          <w:sz w:val="24"/>
          <w:szCs w:val="24"/>
        </w:rPr>
      </w:pPr>
      <w:bookmarkStart w:id="3" w:name="_Toc209434938"/>
      <w:r w:rsidRPr="00937F6C">
        <w:rPr>
          <w:rFonts w:ascii="Times New Roman" w:hAnsi="Times New Roman" w:cs="Times New Roman"/>
          <w:b/>
          <w:color w:val="auto"/>
          <w:sz w:val="24"/>
          <w:szCs w:val="24"/>
        </w:rPr>
        <w:t xml:space="preserve">Table </w:t>
      </w:r>
      <w:r w:rsidR="00BA4829" w:rsidRPr="00937F6C">
        <w:rPr>
          <w:rFonts w:ascii="Times New Roman" w:hAnsi="Times New Roman" w:cs="Times New Roman"/>
          <w:b/>
          <w:color w:val="auto"/>
          <w:sz w:val="24"/>
          <w:szCs w:val="24"/>
        </w:rPr>
        <w:t>2</w:t>
      </w:r>
      <w:r w:rsidRPr="00937F6C">
        <w:rPr>
          <w:rFonts w:ascii="Times New Roman" w:hAnsi="Times New Roman" w:cs="Times New Roman"/>
          <w:b/>
          <w:color w:val="auto"/>
          <w:sz w:val="24"/>
          <w:szCs w:val="24"/>
        </w:rPr>
        <w:t xml:space="preserve">: </w:t>
      </w:r>
      <w:bookmarkEnd w:id="3"/>
      <w:r w:rsidRPr="00937F6C">
        <w:rPr>
          <w:rFonts w:ascii="Times New Roman" w:hAnsi="Times New Roman" w:cs="Times New Roman"/>
          <w:b/>
          <w:i w:val="0"/>
          <w:color w:val="auto"/>
          <w:sz w:val="24"/>
          <w:szCs w:val="24"/>
        </w:rPr>
        <w:t>Descriptive statistics (post-intervention)</w:t>
      </w:r>
    </w:p>
    <w:tbl>
      <w:tblPr>
        <w:tblStyle w:val="PlainTable2"/>
        <w:tblW w:w="0" w:type="auto"/>
        <w:tblLook w:val="06A0" w:firstRow="1" w:lastRow="0" w:firstColumn="1" w:lastColumn="0" w:noHBand="1" w:noVBand="1"/>
      </w:tblPr>
      <w:tblGrid>
        <w:gridCol w:w="1616"/>
        <w:gridCol w:w="1723"/>
        <w:gridCol w:w="1617"/>
        <w:gridCol w:w="1670"/>
        <w:gridCol w:w="456"/>
      </w:tblGrid>
      <w:tr w:rsidR="00956AB1" w:rsidRPr="00937F6C" w14:paraId="627D992D" w14:textId="77777777" w:rsidTr="00A63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FD9306" w14:textId="77777777" w:rsidR="00927A83" w:rsidRPr="00937F6C" w:rsidRDefault="00927A83" w:rsidP="00937F6C">
            <w:pPr>
              <w:jc w:val="both"/>
              <w:rPr>
                <w:rFonts w:eastAsia="Times New Roman"/>
                <w:sz w:val="24"/>
                <w:szCs w:val="24"/>
              </w:rPr>
            </w:pPr>
            <w:r w:rsidRPr="00937F6C">
              <w:rPr>
                <w:rFonts w:eastAsia="Times New Roman"/>
                <w:sz w:val="24"/>
                <w:szCs w:val="24"/>
              </w:rPr>
              <w:t>Group</w:t>
            </w:r>
          </w:p>
        </w:tc>
        <w:tc>
          <w:tcPr>
            <w:tcW w:w="0" w:type="auto"/>
            <w:hideMark/>
          </w:tcPr>
          <w:p w14:paraId="7FFE0945"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AL Mean (SD)</w:t>
            </w:r>
          </w:p>
        </w:tc>
        <w:tc>
          <w:tcPr>
            <w:tcW w:w="0" w:type="auto"/>
            <w:hideMark/>
          </w:tcPr>
          <w:p w14:paraId="4FB68FD4"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SI Mean (SD)</w:t>
            </w:r>
          </w:p>
        </w:tc>
        <w:tc>
          <w:tcPr>
            <w:tcW w:w="0" w:type="auto"/>
            <w:hideMark/>
          </w:tcPr>
          <w:p w14:paraId="29B8AA48"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SP Mean (SD)</w:t>
            </w:r>
          </w:p>
        </w:tc>
        <w:tc>
          <w:tcPr>
            <w:tcW w:w="0" w:type="auto"/>
            <w:hideMark/>
          </w:tcPr>
          <w:p w14:paraId="2C696612"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N</w:t>
            </w:r>
          </w:p>
        </w:tc>
      </w:tr>
      <w:tr w:rsidR="00956AB1" w:rsidRPr="00937F6C" w14:paraId="26A1C91F" w14:textId="77777777" w:rsidTr="00A633E1">
        <w:tc>
          <w:tcPr>
            <w:cnfStyle w:val="001000000000" w:firstRow="0" w:lastRow="0" w:firstColumn="1" w:lastColumn="0" w:oddVBand="0" w:evenVBand="0" w:oddHBand="0" w:evenHBand="0" w:firstRowFirstColumn="0" w:firstRowLastColumn="0" w:lastRowFirstColumn="0" w:lastRowLastColumn="0"/>
            <w:tcW w:w="0" w:type="auto"/>
            <w:hideMark/>
          </w:tcPr>
          <w:p w14:paraId="076A4EFC" w14:textId="77777777" w:rsidR="00927A83" w:rsidRPr="00937F6C" w:rsidRDefault="00927A83" w:rsidP="00937F6C">
            <w:pPr>
              <w:jc w:val="both"/>
              <w:rPr>
                <w:rFonts w:eastAsia="Times New Roman"/>
                <w:sz w:val="24"/>
                <w:szCs w:val="24"/>
              </w:rPr>
            </w:pPr>
            <w:r w:rsidRPr="00937F6C">
              <w:rPr>
                <w:rFonts w:eastAsia="Times New Roman"/>
                <w:sz w:val="24"/>
                <w:szCs w:val="24"/>
              </w:rPr>
              <w:t>Experimental</w:t>
            </w:r>
          </w:p>
        </w:tc>
        <w:tc>
          <w:tcPr>
            <w:tcW w:w="0" w:type="auto"/>
            <w:hideMark/>
          </w:tcPr>
          <w:p w14:paraId="1464C1C9"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3.38 (0.26)</w:t>
            </w:r>
          </w:p>
        </w:tc>
        <w:tc>
          <w:tcPr>
            <w:tcW w:w="0" w:type="auto"/>
            <w:hideMark/>
          </w:tcPr>
          <w:p w14:paraId="786B043F"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3.52 (0.37)</w:t>
            </w:r>
          </w:p>
        </w:tc>
        <w:tc>
          <w:tcPr>
            <w:tcW w:w="0" w:type="auto"/>
            <w:hideMark/>
          </w:tcPr>
          <w:p w14:paraId="3C8EE8FC"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3.55 (0.27)</w:t>
            </w:r>
          </w:p>
        </w:tc>
        <w:tc>
          <w:tcPr>
            <w:tcW w:w="0" w:type="auto"/>
            <w:hideMark/>
          </w:tcPr>
          <w:p w14:paraId="518CEE60"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50</w:t>
            </w:r>
          </w:p>
        </w:tc>
      </w:tr>
      <w:tr w:rsidR="00956AB1" w:rsidRPr="00937F6C" w14:paraId="41219A4D" w14:textId="77777777" w:rsidTr="00A633E1">
        <w:tc>
          <w:tcPr>
            <w:cnfStyle w:val="001000000000" w:firstRow="0" w:lastRow="0" w:firstColumn="1" w:lastColumn="0" w:oddVBand="0" w:evenVBand="0" w:oddHBand="0" w:evenHBand="0" w:firstRowFirstColumn="0" w:firstRowLastColumn="0" w:lastRowFirstColumn="0" w:lastRowLastColumn="0"/>
            <w:tcW w:w="0" w:type="auto"/>
            <w:hideMark/>
          </w:tcPr>
          <w:p w14:paraId="27AD617C" w14:textId="77777777" w:rsidR="00927A83" w:rsidRPr="00937F6C" w:rsidRDefault="00927A83" w:rsidP="00937F6C">
            <w:pPr>
              <w:jc w:val="both"/>
              <w:rPr>
                <w:rFonts w:eastAsia="Times New Roman"/>
                <w:sz w:val="24"/>
                <w:szCs w:val="24"/>
              </w:rPr>
            </w:pPr>
            <w:r w:rsidRPr="00937F6C">
              <w:rPr>
                <w:rFonts w:eastAsia="Times New Roman"/>
                <w:sz w:val="24"/>
                <w:szCs w:val="24"/>
              </w:rPr>
              <w:t>Control</w:t>
            </w:r>
          </w:p>
        </w:tc>
        <w:tc>
          <w:tcPr>
            <w:tcW w:w="0" w:type="auto"/>
            <w:hideMark/>
          </w:tcPr>
          <w:p w14:paraId="4181A6DE"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2.48 (0.30)</w:t>
            </w:r>
          </w:p>
        </w:tc>
        <w:tc>
          <w:tcPr>
            <w:tcW w:w="0" w:type="auto"/>
            <w:hideMark/>
          </w:tcPr>
          <w:p w14:paraId="25EB5DCE"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2.61 (0.32)</w:t>
            </w:r>
          </w:p>
        </w:tc>
        <w:tc>
          <w:tcPr>
            <w:tcW w:w="0" w:type="auto"/>
            <w:hideMark/>
          </w:tcPr>
          <w:p w14:paraId="517A626E"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2.54 (0.39)</w:t>
            </w:r>
          </w:p>
        </w:tc>
        <w:tc>
          <w:tcPr>
            <w:tcW w:w="0" w:type="auto"/>
            <w:hideMark/>
          </w:tcPr>
          <w:p w14:paraId="5F1EF172"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50</w:t>
            </w:r>
          </w:p>
        </w:tc>
      </w:tr>
    </w:tbl>
    <w:p w14:paraId="4129476D" w14:textId="77777777" w:rsidR="00927A83" w:rsidRPr="00937F6C" w:rsidRDefault="00927A83" w:rsidP="00937F6C">
      <w:pPr>
        <w:pStyle w:val="NormalWeb"/>
        <w:spacing w:before="0" w:beforeAutospacing="0" w:after="0" w:afterAutospacing="0"/>
        <w:jc w:val="both"/>
      </w:pPr>
      <w:r w:rsidRPr="00937F6C">
        <w:rPr>
          <w:bCs/>
        </w:rPr>
        <w:t>Source: Field Data (2025)</w:t>
      </w:r>
    </w:p>
    <w:p w14:paraId="67A5F710" w14:textId="77777777" w:rsidR="00927A83" w:rsidRPr="00937F6C" w:rsidRDefault="00927A83" w:rsidP="00937F6C">
      <w:pPr>
        <w:pStyle w:val="NormalWeb"/>
        <w:spacing w:before="0" w:beforeAutospacing="0" w:after="0" w:afterAutospacing="0"/>
        <w:jc w:val="both"/>
      </w:pPr>
    </w:p>
    <w:p w14:paraId="0B16BDD6" w14:textId="36FD7898" w:rsidR="00C51E11" w:rsidRPr="00937F6C" w:rsidRDefault="00927A83" w:rsidP="00937F6C">
      <w:pPr>
        <w:pStyle w:val="NormalWeb"/>
        <w:spacing w:before="0" w:beforeAutospacing="0" w:after="0" w:afterAutospacing="0"/>
        <w:jc w:val="both"/>
      </w:pPr>
      <w:r w:rsidRPr="00937F6C">
        <w:t xml:space="preserve">As indicated in Table </w:t>
      </w:r>
      <w:r w:rsidR="00C51E11" w:rsidRPr="00937F6C">
        <w:t>2</w:t>
      </w:r>
      <w:r w:rsidRPr="00937F6C">
        <w:t xml:space="preserve">, the </w:t>
      </w:r>
      <w:r w:rsidR="00D378C5" w:rsidRPr="00937F6C">
        <w:t>mean</w:t>
      </w:r>
      <w:r w:rsidRPr="00937F6C">
        <w:t xml:space="preserve"> scores for the three constructs were significantly better in the experimental group than in‌ the control group. That is, students in the experimental​ group, who were engaged with the </w:t>
      </w:r>
      <w:proofErr w:type="spellStart"/>
      <w:r w:rsidRPr="00937F6C">
        <w:t>AfL</w:t>
      </w:r>
      <w:proofErr w:type="spellEnd"/>
      <w:r w:rsidRPr="00937F6C">
        <w:t xml:space="preserve"> strategies, had a‌ mean score of 3.38 (SD = 0.26) for Assessment for Learning, as compared to 2.48 (SD = 0.30) in​ the control group. Also, the experimental group had a significantly higher mean for Student Interest (M = 3.52, SD = 0.37) and Student Participation‍ (M =‌ 3.55, SD = 0.27) ‌ compared to the control group (SI: ‌ M = 2.61, SD = 0.32‍; SP‍: M = 2.54, ‌ SD‌ =‌ 0.39). These significant findings clearly suggest that the integration of </w:t>
      </w:r>
      <w:proofErr w:type="spellStart"/>
      <w:r w:rsidRPr="00937F6C">
        <w:t>AfL</w:t>
      </w:r>
      <w:proofErr w:type="spellEnd"/>
      <w:r w:rsidRPr="00937F6C">
        <w:t xml:space="preserve"> strategies had a good impact on students’ perceptions of classroom assessment, their interest in‍ the subject, and their willingness to​ actively participate in the mathematics learning task. ‌The Descriptive statistics, although not sufficient for a conclusion, provide an understanding and proper insight into the intervention and how likely the students have been impacted after its implementation. These findings from the descriptive statistics help in the identification of trends that can be further investigated through inferential statistical tests to ascertain significance </w:t>
      </w:r>
      <w:sdt>
        <w:sdtPr>
          <w:tag w:val="MENDELEY_CITATION_v3_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"/>
          <w:id w:val="-1565020221"/>
          <w:placeholder>
            <w:docPart w:val="DB4782F5D52145F68B347B743A513518"/>
          </w:placeholder>
        </w:sdtPr>
        <w:sdtEndPr/>
        <w:sdtContent>
          <w:r w:rsidRPr="00937F6C">
            <w:t>(Cooksey, 2020)</w:t>
          </w:r>
        </w:sdtContent>
      </w:sdt>
      <w:r w:rsidRPr="00937F6C">
        <w:t xml:space="preserve"> </w:t>
      </w:r>
    </w:p>
    <w:p w14:paraId="683A41BB" w14:textId="63533B4C" w:rsidR="00927A83" w:rsidRPr="00937F6C" w:rsidRDefault="00927A83" w:rsidP="00937F6C">
      <w:pPr>
        <w:pStyle w:val="NormalWeb"/>
        <w:spacing w:before="0" w:beforeAutospacing="0" w:after="0" w:afterAutospacing="0"/>
        <w:jc w:val="both"/>
        <w:rPr>
          <w:b/>
        </w:rPr>
      </w:pPr>
      <w:r w:rsidRPr="00937F6C">
        <w:rPr>
          <w:b/>
        </w:rPr>
        <w:t>Inferential Statistical Analysis</w:t>
      </w:r>
    </w:p>
    <w:p w14:paraId="208FD0CE" w14:textId="305C51DB" w:rsidR="00C51E11" w:rsidRDefault="00927A83" w:rsidP="00937F6C">
      <w:pPr>
        <w:pStyle w:val="NormalWeb"/>
        <w:spacing w:before="0" w:beforeAutospacing="0" w:after="0" w:afterAutospacing="0"/>
        <w:jc w:val="both"/>
      </w:pPr>
      <w:r w:rsidRPr="00937F6C">
        <w:t xml:space="preserve">Although the findings in the descriptive analysis suggest that the intervention had an impact on the experimental group of students, to determine the level of significance of the intervention, an independent samples t-test was conducted, and the results are presented in Table </w:t>
      </w:r>
      <w:r w:rsidR="00C51E11" w:rsidRPr="00937F6C">
        <w:t>3</w:t>
      </w:r>
      <w:r w:rsidRPr="00937F6C">
        <w:t>. Assumptions of normality and homogeneity of variances were tested and found to be satisfied, justifying the use of the independent samples t-test.</w:t>
      </w:r>
    </w:p>
    <w:p w14:paraId="60BD0AD5" w14:textId="77777777" w:rsidR="00FB43FA" w:rsidRPr="00937F6C" w:rsidRDefault="00FB43FA" w:rsidP="00937F6C">
      <w:pPr>
        <w:pStyle w:val="NormalWeb"/>
        <w:spacing w:before="0" w:beforeAutospacing="0" w:after="0" w:afterAutospacing="0"/>
        <w:jc w:val="both"/>
      </w:pPr>
      <w:bookmarkStart w:id="4" w:name="_GoBack"/>
      <w:bookmarkEnd w:id="4"/>
    </w:p>
    <w:p w14:paraId="6252F887" w14:textId="5EDCA231" w:rsidR="00927A83" w:rsidRPr="00937F6C" w:rsidRDefault="00927A83" w:rsidP="00937F6C">
      <w:pPr>
        <w:pStyle w:val="Caption"/>
        <w:keepNext/>
        <w:spacing w:after="0"/>
        <w:jc w:val="both"/>
        <w:rPr>
          <w:rFonts w:ascii="Times New Roman" w:hAnsi="Times New Roman" w:cs="Times New Roman"/>
          <w:b/>
          <w:color w:val="auto"/>
          <w:sz w:val="24"/>
          <w:szCs w:val="24"/>
        </w:rPr>
      </w:pPr>
      <w:bookmarkStart w:id="5" w:name="_Toc209434941"/>
      <w:r w:rsidRPr="00937F6C">
        <w:rPr>
          <w:rFonts w:ascii="Times New Roman" w:hAnsi="Times New Roman" w:cs="Times New Roman"/>
          <w:b/>
          <w:color w:val="auto"/>
          <w:sz w:val="24"/>
          <w:szCs w:val="24"/>
        </w:rPr>
        <w:lastRenderedPageBreak/>
        <w:t xml:space="preserve">Table </w:t>
      </w:r>
      <w:r w:rsidR="00C51E11" w:rsidRPr="00937F6C">
        <w:rPr>
          <w:rFonts w:ascii="Times New Roman" w:hAnsi="Times New Roman" w:cs="Times New Roman"/>
          <w:b/>
          <w:color w:val="auto"/>
          <w:sz w:val="24"/>
          <w:szCs w:val="24"/>
        </w:rPr>
        <w:t>3</w:t>
      </w:r>
      <w:r w:rsidRPr="00937F6C">
        <w:rPr>
          <w:rFonts w:ascii="Times New Roman" w:hAnsi="Times New Roman" w:cs="Times New Roman"/>
          <w:b/>
          <w:color w:val="auto"/>
          <w:sz w:val="24"/>
          <w:szCs w:val="24"/>
        </w:rPr>
        <w:t xml:space="preserve">: </w:t>
      </w:r>
      <w:bookmarkEnd w:id="5"/>
      <w:r w:rsidRPr="00937F6C">
        <w:rPr>
          <w:rFonts w:ascii="Times New Roman" w:hAnsi="Times New Roman" w:cs="Times New Roman"/>
          <w:b/>
          <w:i w:val="0"/>
          <w:color w:val="auto"/>
          <w:sz w:val="24"/>
          <w:szCs w:val="24"/>
        </w:rPr>
        <w:t>Independent samples t-test results</w:t>
      </w:r>
    </w:p>
    <w:tbl>
      <w:tblPr>
        <w:tblStyle w:val="PlainTable2"/>
        <w:tblW w:w="0" w:type="auto"/>
        <w:tblLook w:val="06A0" w:firstRow="1" w:lastRow="0" w:firstColumn="1" w:lastColumn="0" w:noHBand="1" w:noVBand="1"/>
      </w:tblPr>
      <w:tblGrid>
        <w:gridCol w:w="1110"/>
        <w:gridCol w:w="954"/>
        <w:gridCol w:w="988"/>
        <w:gridCol w:w="1258"/>
        <w:gridCol w:w="899"/>
        <w:gridCol w:w="2064"/>
        <w:gridCol w:w="2061"/>
      </w:tblGrid>
      <w:tr w:rsidR="00956AB1" w:rsidRPr="00937F6C" w14:paraId="60997C4B" w14:textId="77777777" w:rsidTr="00A63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154BE8" w14:textId="77777777" w:rsidR="00927A83" w:rsidRPr="00937F6C" w:rsidRDefault="00927A83" w:rsidP="00937F6C">
            <w:pPr>
              <w:jc w:val="both"/>
              <w:rPr>
                <w:rFonts w:eastAsia="Times New Roman"/>
                <w:sz w:val="24"/>
                <w:szCs w:val="24"/>
              </w:rPr>
            </w:pPr>
            <w:r w:rsidRPr="00937F6C">
              <w:rPr>
                <w:rFonts w:eastAsia="Times New Roman"/>
                <w:sz w:val="24"/>
                <w:szCs w:val="24"/>
              </w:rPr>
              <w:t>Variable</w:t>
            </w:r>
          </w:p>
        </w:tc>
        <w:tc>
          <w:tcPr>
            <w:tcW w:w="954" w:type="dxa"/>
            <w:hideMark/>
          </w:tcPr>
          <w:p w14:paraId="600DB63B"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Exp M</w:t>
            </w:r>
          </w:p>
        </w:tc>
        <w:tc>
          <w:tcPr>
            <w:tcW w:w="988" w:type="dxa"/>
            <w:hideMark/>
          </w:tcPr>
          <w:p w14:paraId="0914E30F"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Ctrl M</w:t>
            </w:r>
          </w:p>
        </w:tc>
        <w:tc>
          <w:tcPr>
            <w:tcW w:w="1258" w:type="dxa"/>
            <w:hideMark/>
          </w:tcPr>
          <w:p w14:paraId="01575FF7"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t (df)</w:t>
            </w:r>
          </w:p>
        </w:tc>
        <w:tc>
          <w:tcPr>
            <w:tcW w:w="899" w:type="dxa"/>
            <w:hideMark/>
          </w:tcPr>
          <w:p w14:paraId="10092BF9"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p</w:t>
            </w:r>
          </w:p>
        </w:tc>
        <w:tc>
          <w:tcPr>
            <w:tcW w:w="2064" w:type="dxa"/>
            <w:hideMark/>
          </w:tcPr>
          <w:p w14:paraId="4AE8AD80"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Mean diff (95% CI)</w:t>
            </w:r>
          </w:p>
        </w:tc>
        <w:tc>
          <w:tcPr>
            <w:tcW w:w="2061" w:type="dxa"/>
            <w:hideMark/>
          </w:tcPr>
          <w:p w14:paraId="5B54D5C3" w14:textId="77777777" w:rsidR="00927A83" w:rsidRPr="00937F6C" w:rsidRDefault="00927A83" w:rsidP="00937F6C">
            <w:pPr>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Cohen’s d (95% CI bootstrap)</w:t>
            </w:r>
          </w:p>
        </w:tc>
      </w:tr>
      <w:tr w:rsidR="00956AB1" w:rsidRPr="00937F6C" w14:paraId="63608F9A" w14:textId="77777777" w:rsidTr="00A633E1">
        <w:tc>
          <w:tcPr>
            <w:cnfStyle w:val="001000000000" w:firstRow="0" w:lastRow="0" w:firstColumn="1" w:lastColumn="0" w:oddVBand="0" w:evenVBand="0" w:oddHBand="0" w:evenHBand="0" w:firstRowFirstColumn="0" w:firstRowLastColumn="0" w:lastRowFirstColumn="0" w:lastRowLastColumn="0"/>
            <w:tcW w:w="0" w:type="auto"/>
            <w:hideMark/>
          </w:tcPr>
          <w:p w14:paraId="7B423D02" w14:textId="77777777" w:rsidR="00927A83" w:rsidRPr="00937F6C" w:rsidRDefault="00927A83" w:rsidP="00937F6C">
            <w:pPr>
              <w:jc w:val="both"/>
              <w:rPr>
                <w:rFonts w:eastAsia="Times New Roman"/>
                <w:sz w:val="24"/>
                <w:szCs w:val="24"/>
              </w:rPr>
            </w:pPr>
            <w:proofErr w:type="spellStart"/>
            <w:r w:rsidRPr="00937F6C">
              <w:rPr>
                <w:rFonts w:eastAsia="Times New Roman"/>
                <w:sz w:val="24"/>
                <w:szCs w:val="24"/>
              </w:rPr>
              <w:t>SIMean</w:t>
            </w:r>
            <w:proofErr w:type="spellEnd"/>
          </w:p>
        </w:tc>
        <w:tc>
          <w:tcPr>
            <w:tcW w:w="954" w:type="dxa"/>
            <w:hideMark/>
          </w:tcPr>
          <w:p w14:paraId="372B67EB"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3.52</w:t>
            </w:r>
          </w:p>
        </w:tc>
        <w:tc>
          <w:tcPr>
            <w:tcW w:w="988" w:type="dxa"/>
            <w:hideMark/>
          </w:tcPr>
          <w:p w14:paraId="173E7552"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2.61</w:t>
            </w:r>
          </w:p>
        </w:tc>
        <w:tc>
          <w:tcPr>
            <w:tcW w:w="1258" w:type="dxa"/>
            <w:hideMark/>
          </w:tcPr>
          <w:p w14:paraId="52278130"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13.09 (98)</w:t>
            </w:r>
          </w:p>
        </w:tc>
        <w:tc>
          <w:tcPr>
            <w:tcW w:w="899" w:type="dxa"/>
            <w:hideMark/>
          </w:tcPr>
          <w:p w14:paraId="5093E355"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&lt; .001</w:t>
            </w:r>
          </w:p>
        </w:tc>
        <w:tc>
          <w:tcPr>
            <w:tcW w:w="2064" w:type="dxa"/>
            <w:hideMark/>
          </w:tcPr>
          <w:p w14:paraId="54850600"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0.90 [0.77, 1.04]</w:t>
            </w:r>
          </w:p>
        </w:tc>
        <w:tc>
          <w:tcPr>
            <w:tcW w:w="2061" w:type="dxa"/>
            <w:hideMark/>
          </w:tcPr>
          <w:p w14:paraId="0E440AD7" w14:textId="6685D1F5" w:rsidR="00927A83" w:rsidRPr="00937F6C" w:rsidRDefault="000E1B5D"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2</w:t>
            </w:r>
            <w:r w:rsidR="00927A83" w:rsidRPr="00937F6C">
              <w:rPr>
                <w:rFonts w:eastAsia="Times New Roman"/>
                <w:sz w:val="24"/>
                <w:szCs w:val="24"/>
              </w:rPr>
              <w:t>.62 [2.20, 3.19]</w:t>
            </w:r>
          </w:p>
        </w:tc>
      </w:tr>
      <w:tr w:rsidR="00956AB1" w:rsidRPr="00937F6C" w14:paraId="3AD2C3AC" w14:textId="77777777" w:rsidTr="00A633E1">
        <w:tc>
          <w:tcPr>
            <w:cnfStyle w:val="001000000000" w:firstRow="0" w:lastRow="0" w:firstColumn="1" w:lastColumn="0" w:oddVBand="0" w:evenVBand="0" w:oddHBand="0" w:evenHBand="0" w:firstRowFirstColumn="0" w:firstRowLastColumn="0" w:lastRowFirstColumn="0" w:lastRowLastColumn="0"/>
            <w:tcW w:w="0" w:type="auto"/>
            <w:hideMark/>
          </w:tcPr>
          <w:p w14:paraId="0A71FB50" w14:textId="77777777" w:rsidR="00927A83" w:rsidRPr="00937F6C" w:rsidRDefault="00927A83" w:rsidP="00937F6C">
            <w:pPr>
              <w:jc w:val="both"/>
              <w:rPr>
                <w:rFonts w:eastAsia="Times New Roman"/>
                <w:sz w:val="24"/>
                <w:szCs w:val="24"/>
              </w:rPr>
            </w:pPr>
            <w:proofErr w:type="spellStart"/>
            <w:r w:rsidRPr="00937F6C">
              <w:rPr>
                <w:rFonts w:eastAsia="Times New Roman"/>
                <w:sz w:val="24"/>
                <w:szCs w:val="24"/>
              </w:rPr>
              <w:t>SPMean</w:t>
            </w:r>
            <w:proofErr w:type="spellEnd"/>
          </w:p>
        </w:tc>
        <w:tc>
          <w:tcPr>
            <w:tcW w:w="954" w:type="dxa"/>
            <w:hideMark/>
          </w:tcPr>
          <w:p w14:paraId="51C2E2E9"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3.55</w:t>
            </w:r>
          </w:p>
        </w:tc>
        <w:tc>
          <w:tcPr>
            <w:tcW w:w="988" w:type="dxa"/>
            <w:hideMark/>
          </w:tcPr>
          <w:p w14:paraId="3C87DCFC"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2.54</w:t>
            </w:r>
          </w:p>
        </w:tc>
        <w:tc>
          <w:tcPr>
            <w:tcW w:w="1258" w:type="dxa"/>
            <w:hideMark/>
          </w:tcPr>
          <w:p w14:paraId="43358F4E"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15.01 (98)</w:t>
            </w:r>
          </w:p>
        </w:tc>
        <w:tc>
          <w:tcPr>
            <w:tcW w:w="899" w:type="dxa"/>
            <w:hideMark/>
          </w:tcPr>
          <w:p w14:paraId="78C7826B"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&lt; .001</w:t>
            </w:r>
          </w:p>
        </w:tc>
        <w:tc>
          <w:tcPr>
            <w:tcW w:w="2064" w:type="dxa"/>
            <w:hideMark/>
          </w:tcPr>
          <w:p w14:paraId="18E32FF8" w14:textId="77777777" w:rsidR="00927A83" w:rsidRPr="00937F6C" w:rsidRDefault="00927A83"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1.01 [0.88, 1.15]</w:t>
            </w:r>
          </w:p>
        </w:tc>
        <w:tc>
          <w:tcPr>
            <w:tcW w:w="2061" w:type="dxa"/>
            <w:hideMark/>
          </w:tcPr>
          <w:p w14:paraId="5EB4028D" w14:textId="13BB38D0" w:rsidR="00927A83" w:rsidRPr="00937F6C" w:rsidRDefault="000E1B5D" w:rsidP="00937F6C">
            <w:pPr>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37F6C">
              <w:rPr>
                <w:rFonts w:eastAsia="Times New Roman"/>
                <w:sz w:val="24"/>
                <w:szCs w:val="24"/>
              </w:rPr>
              <w:t>3</w:t>
            </w:r>
            <w:r w:rsidR="00927A83" w:rsidRPr="00937F6C">
              <w:rPr>
                <w:rFonts w:eastAsia="Times New Roman"/>
                <w:sz w:val="24"/>
                <w:szCs w:val="24"/>
              </w:rPr>
              <w:t>.00 [2.20, 4.05]</w:t>
            </w:r>
          </w:p>
        </w:tc>
      </w:tr>
    </w:tbl>
    <w:p w14:paraId="42A97F44" w14:textId="77777777" w:rsidR="00927A83" w:rsidRPr="00937F6C" w:rsidRDefault="00927A83" w:rsidP="00937F6C">
      <w:pPr>
        <w:spacing w:line="240" w:lineRule="auto"/>
        <w:jc w:val="both"/>
        <w:rPr>
          <w:rFonts w:ascii="Times New Roman" w:hAnsi="Times New Roman" w:cs="Times New Roman"/>
          <w:i/>
          <w:sz w:val="24"/>
          <w:szCs w:val="24"/>
        </w:rPr>
      </w:pPr>
      <w:r w:rsidRPr="00937F6C">
        <w:rPr>
          <w:rFonts w:ascii="Times New Roman" w:hAnsi="Times New Roman" w:cs="Times New Roman"/>
          <w:i/>
          <w:sz w:val="24"/>
          <w:szCs w:val="24"/>
        </w:rPr>
        <w:t>“Exp = experimental group; Ctrl = control group.</w:t>
      </w:r>
    </w:p>
    <w:p w14:paraId="7B842F1D" w14:textId="77777777" w:rsidR="00927A83" w:rsidRPr="00937F6C" w:rsidRDefault="00927A83" w:rsidP="00937F6C">
      <w:pPr>
        <w:spacing w:line="240" w:lineRule="auto"/>
        <w:jc w:val="both"/>
        <w:rPr>
          <w:rFonts w:ascii="Times New Roman" w:hAnsi="Times New Roman" w:cs="Times New Roman"/>
          <w:bCs/>
          <w:sz w:val="24"/>
          <w:szCs w:val="24"/>
        </w:rPr>
      </w:pPr>
      <w:r w:rsidRPr="00937F6C">
        <w:rPr>
          <w:rFonts w:ascii="Times New Roman" w:hAnsi="Times New Roman" w:cs="Times New Roman"/>
          <w:bCs/>
          <w:sz w:val="24"/>
          <w:szCs w:val="24"/>
        </w:rPr>
        <w:t>Source: Field Data (2025)</w:t>
      </w:r>
    </w:p>
    <w:p w14:paraId="5CFAF209" w14:textId="7C32C382" w:rsidR="00F07CAD" w:rsidRPr="00937F6C" w:rsidRDefault="000B4164" w:rsidP="00937F6C">
      <w:pPr>
        <w:pStyle w:val="Heading3"/>
        <w:spacing w:before="0" w:line="240" w:lineRule="auto"/>
        <w:jc w:val="both"/>
        <w:rPr>
          <w:rFonts w:ascii="Times New Roman" w:hAnsi="Times New Roman" w:cs="Times New Roman"/>
          <w:color w:val="auto"/>
          <w:shd w:val="clear" w:color="auto" w:fill="FFFFFF"/>
        </w:rPr>
      </w:pPr>
      <w:r w:rsidRPr="00937F6C">
        <w:rPr>
          <w:rFonts w:ascii="Times New Roman" w:hAnsi="Times New Roman" w:cs="Times New Roman"/>
          <w:color w:val="auto"/>
          <w:shd w:val="clear" w:color="auto" w:fill="FFFFFF"/>
        </w:rPr>
        <w:t xml:space="preserve">The independent samples t-tests revealed not only statistically significant differences but also effect sizes of remarkable magnitude. The Cohen's d values of </w:t>
      </w:r>
      <w:r w:rsidR="000E1B5D" w:rsidRPr="00937F6C">
        <w:rPr>
          <w:rFonts w:ascii="Times New Roman" w:hAnsi="Times New Roman" w:cs="Times New Roman"/>
          <w:color w:val="auto"/>
          <w:shd w:val="clear" w:color="auto" w:fill="FFFFFF"/>
        </w:rPr>
        <w:t>2</w:t>
      </w:r>
      <w:r w:rsidRPr="00937F6C">
        <w:rPr>
          <w:rFonts w:ascii="Times New Roman" w:hAnsi="Times New Roman" w:cs="Times New Roman"/>
          <w:color w:val="auto"/>
          <w:shd w:val="clear" w:color="auto" w:fill="FFFFFF"/>
        </w:rPr>
        <w:t xml:space="preserve">.62 for Student Interest and 3.00 for Student Participation far exceed the conventional benchmark for a 'large' effect (d = 0.80). In the context of educational interventions, effects above 1.0 are considered substantial (Hattie, 2009), making the findings of this study particularly striking. The bootstrap confidence intervals for these effect sizes further confirm their robustness and precision. This suggests that the </w:t>
      </w:r>
      <w:proofErr w:type="spellStart"/>
      <w:r w:rsidRPr="00937F6C">
        <w:rPr>
          <w:rFonts w:ascii="Times New Roman" w:hAnsi="Times New Roman" w:cs="Times New Roman"/>
          <w:color w:val="auto"/>
          <w:shd w:val="clear" w:color="auto" w:fill="FFFFFF"/>
        </w:rPr>
        <w:t>AfL</w:t>
      </w:r>
      <w:proofErr w:type="spellEnd"/>
      <w:r w:rsidRPr="00937F6C">
        <w:rPr>
          <w:rFonts w:ascii="Times New Roman" w:hAnsi="Times New Roman" w:cs="Times New Roman"/>
          <w:color w:val="auto"/>
          <w:shd w:val="clear" w:color="auto" w:fill="FFFFFF"/>
        </w:rPr>
        <w:t xml:space="preserve"> intervention did not just produce a minor improvement but a substantial and meaningful shift in the learning environment and student attitudes. The primary contribution of this study, therefore, lies in demonstrating the </w:t>
      </w:r>
      <w:r w:rsidRPr="00937F6C">
        <w:rPr>
          <w:rStyle w:val="Emphasis"/>
          <w:rFonts w:ascii="Times New Roman" w:hAnsi="Times New Roman" w:cs="Times New Roman"/>
          <w:color w:val="auto"/>
          <w:shd w:val="clear" w:color="auto" w:fill="FFFFFF"/>
        </w:rPr>
        <w:t>potential magnitude</w:t>
      </w:r>
      <w:r w:rsidRPr="00937F6C">
        <w:rPr>
          <w:rFonts w:ascii="Times New Roman" w:hAnsi="Times New Roman" w:cs="Times New Roman"/>
          <w:color w:val="auto"/>
          <w:shd w:val="clear" w:color="auto" w:fill="FFFFFF"/>
        </w:rPr>
        <w:t xml:space="preserve"> of </w:t>
      </w:r>
      <w:proofErr w:type="spellStart"/>
      <w:r w:rsidRPr="00937F6C">
        <w:rPr>
          <w:rFonts w:ascii="Times New Roman" w:hAnsi="Times New Roman" w:cs="Times New Roman"/>
          <w:color w:val="auto"/>
          <w:shd w:val="clear" w:color="auto" w:fill="FFFFFF"/>
        </w:rPr>
        <w:t>AfL's</w:t>
      </w:r>
      <w:proofErr w:type="spellEnd"/>
      <w:r w:rsidRPr="00937F6C">
        <w:rPr>
          <w:rFonts w:ascii="Times New Roman" w:hAnsi="Times New Roman" w:cs="Times New Roman"/>
          <w:color w:val="auto"/>
          <w:shd w:val="clear" w:color="auto" w:fill="FFFFFF"/>
        </w:rPr>
        <w:t xml:space="preserve"> impact on affective domains in a context where it has been understudied</w:t>
      </w:r>
    </w:p>
    <w:p w14:paraId="19105C74" w14:textId="4D8D2086" w:rsidR="00927A83" w:rsidRPr="00937F6C" w:rsidRDefault="00927A83" w:rsidP="00937F6C">
      <w:pPr>
        <w:pStyle w:val="Heading3"/>
        <w:spacing w:before="0" w:line="240" w:lineRule="auto"/>
        <w:jc w:val="both"/>
        <w:rPr>
          <w:rFonts w:ascii="Times New Roman" w:hAnsi="Times New Roman" w:cs="Times New Roman"/>
          <w:b/>
          <w:i/>
          <w:color w:val="auto"/>
        </w:rPr>
      </w:pPr>
      <w:r w:rsidRPr="00937F6C">
        <w:rPr>
          <w:rFonts w:ascii="Times New Roman" w:hAnsi="Times New Roman" w:cs="Times New Roman"/>
          <w:b/>
          <w:i/>
          <w:color w:val="auto"/>
        </w:rPr>
        <w:t>The Impact of Assessment for Learning on Students’ Interest and Participation in Mathematics</w:t>
      </w:r>
    </w:p>
    <w:p w14:paraId="23B79DCB" w14:textId="77777777" w:rsidR="00927A83" w:rsidRPr="00937F6C" w:rsidRDefault="00927A83" w:rsidP="00937F6C">
      <w:pPr>
        <w:pStyle w:val="NormalWeb"/>
        <w:jc w:val="both"/>
      </w:pPr>
      <w:r w:rsidRPr="00937F6C">
        <w:t>The study set out to examine the impact of Assessment for Learning (</w:t>
      </w:r>
      <w:proofErr w:type="spellStart"/>
      <w:r w:rsidRPr="00937F6C">
        <w:t>AfL</w:t>
      </w:r>
      <w:proofErr w:type="spellEnd"/>
      <w:r w:rsidRPr="00937F6C">
        <w:t xml:space="preserve">) strategies on students’ interest and participation in mathematics. The results as presented in Table 2, the independent samples </w:t>
      </w:r>
      <w:r w:rsidRPr="00937F6C">
        <w:rPr>
          <w:rStyle w:val="Emphasis"/>
        </w:rPr>
        <w:t>t</w:t>
      </w:r>
      <w:r w:rsidRPr="00937F6C">
        <w:t>-tests showed significant differences between the experimental and control groups on both variables.</w:t>
      </w:r>
    </w:p>
    <w:p w14:paraId="562D2B71" w14:textId="2BC970CB" w:rsidR="00927A83" w:rsidRPr="00937F6C" w:rsidRDefault="00927A83" w:rsidP="00937F6C">
      <w:pPr>
        <w:pStyle w:val="NormalWeb"/>
        <w:jc w:val="both"/>
      </w:pPr>
      <w:r w:rsidRPr="00937F6C">
        <w:t xml:space="preserve">For </w:t>
      </w:r>
      <w:r w:rsidRPr="00937F6C">
        <w:rPr>
          <w:rStyle w:val="Strong"/>
          <w:b w:val="0"/>
        </w:rPr>
        <w:t>interest in mathematics</w:t>
      </w:r>
      <w:r w:rsidRPr="00937F6C">
        <w:rPr>
          <w:b/>
        </w:rPr>
        <w:t>,</w:t>
      </w:r>
      <w:r w:rsidRPr="00937F6C">
        <w:t xml:space="preserve"> students in the experimental group reported higher scores (</w:t>
      </w:r>
      <w:r w:rsidRPr="00937F6C">
        <w:rPr>
          <w:rStyle w:val="Emphasis"/>
        </w:rPr>
        <w:t>M</w:t>
      </w:r>
      <w:r w:rsidRPr="00937F6C">
        <w:t xml:space="preserve"> = 3.52, </w:t>
      </w:r>
      <w:r w:rsidRPr="00937F6C">
        <w:rPr>
          <w:rStyle w:val="Emphasis"/>
        </w:rPr>
        <w:t>SD</w:t>
      </w:r>
      <w:r w:rsidRPr="00937F6C">
        <w:t xml:space="preserve"> = 0.37) compared to those in the control group (</w:t>
      </w:r>
      <w:r w:rsidRPr="00937F6C">
        <w:rPr>
          <w:rStyle w:val="Emphasis"/>
        </w:rPr>
        <w:t>M</w:t>
      </w:r>
      <w:r w:rsidRPr="00937F6C">
        <w:t xml:space="preserve"> = 2.61, </w:t>
      </w:r>
      <w:r w:rsidRPr="00937F6C">
        <w:rPr>
          <w:rStyle w:val="Emphasis"/>
        </w:rPr>
        <w:t>SD</w:t>
      </w:r>
      <w:r w:rsidRPr="00937F6C">
        <w:t xml:space="preserve"> = 0.32), </w:t>
      </w:r>
      <w:r w:rsidRPr="00937F6C">
        <w:rPr>
          <w:rStyle w:val="Emphasis"/>
        </w:rPr>
        <w:t xml:space="preserve">t </w:t>
      </w:r>
      <w:r w:rsidRPr="00937F6C">
        <w:t xml:space="preserve">(98) = 13.09, </w:t>
      </w:r>
      <w:r w:rsidRPr="00937F6C">
        <w:rPr>
          <w:rStyle w:val="Emphasis"/>
        </w:rPr>
        <w:t>p</w:t>
      </w:r>
      <w:r w:rsidRPr="00937F6C">
        <w:t xml:space="preserve"> &lt; .001. The mean difference of 0.90 (95% CI [0.77, 1.04]) with a very large effect size (Cohen’s </w:t>
      </w:r>
      <w:r w:rsidRPr="00937F6C">
        <w:rPr>
          <w:rStyle w:val="Emphasis"/>
        </w:rPr>
        <w:t>d</w:t>
      </w:r>
      <w:r w:rsidRPr="00937F6C">
        <w:t xml:space="preserve"> = </w:t>
      </w:r>
      <w:r w:rsidR="000E1B5D" w:rsidRPr="00937F6C">
        <w:t>2</w:t>
      </w:r>
      <w:r w:rsidRPr="00937F6C">
        <w:t xml:space="preserve">.62, bootstrap 95% CI [2.20, 3.19]) demonstrates that </w:t>
      </w:r>
      <w:proofErr w:type="spellStart"/>
      <w:r w:rsidRPr="00937F6C">
        <w:t>AfL</w:t>
      </w:r>
      <w:proofErr w:type="spellEnd"/>
      <w:r w:rsidRPr="00937F6C">
        <w:t xml:space="preserve"> strongly enhanced students’ interest. </w:t>
      </w:r>
      <w:r w:rsidR="000B4164" w:rsidRPr="00937F6C">
        <w:rPr>
          <w:shd w:val="clear" w:color="auto" w:fill="FFFFFF"/>
        </w:rPr>
        <w:t>This finding supports Self-Determination Theory (Deci &amp; Ryan, 2004) but also extends it by demonstrating the powerful role of </w:t>
      </w:r>
      <w:r w:rsidR="000B4164" w:rsidRPr="00937F6C">
        <w:rPr>
          <w:rStyle w:val="Emphasis"/>
          <w:i w:val="0"/>
          <w:shd w:val="clear" w:color="auto" w:fill="FFFFFF"/>
        </w:rPr>
        <w:t>pedagogical tools</w:t>
      </w:r>
      <w:r w:rsidR="000B4164" w:rsidRPr="00937F6C">
        <w:rPr>
          <w:shd w:val="clear" w:color="auto" w:fill="FFFFFF"/>
        </w:rPr>
        <w:t xml:space="preserve"> in fulfilling these psychological needs in a real-world classroom. The very large effect size (d = </w:t>
      </w:r>
      <w:r w:rsidR="000E1B5D" w:rsidRPr="00937F6C">
        <w:rPr>
          <w:shd w:val="clear" w:color="auto" w:fill="FFFFFF"/>
        </w:rPr>
        <w:t>2</w:t>
      </w:r>
      <w:r w:rsidR="000B4164" w:rsidRPr="00937F6C">
        <w:rPr>
          <w:shd w:val="clear" w:color="auto" w:fill="FFFFFF"/>
        </w:rPr>
        <w:t xml:space="preserve">.62) suggests that for this population of Visual Arts students who may often perceive mathematics as disconnected from their core interests, </w:t>
      </w:r>
      <w:proofErr w:type="spellStart"/>
      <w:r w:rsidR="000B4164" w:rsidRPr="00937F6C">
        <w:rPr>
          <w:shd w:val="clear" w:color="auto" w:fill="FFFFFF"/>
        </w:rPr>
        <w:t>AfL</w:t>
      </w:r>
      <w:proofErr w:type="spellEnd"/>
      <w:r w:rsidR="000B4164" w:rsidRPr="00937F6C">
        <w:rPr>
          <w:shd w:val="clear" w:color="auto" w:fill="FFFFFF"/>
        </w:rPr>
        <w:t xml:space="preserve"> strategies like self-assessment and differentiated instruction were particularly potent in fostering a sense of autonomy and competence. This implies that </w:t>
      </w:r>
      <w:proofErr w:type="spellStart"/>
      <w:r w:rsidR="000B4164" w:rsidRPr="00937F6C">
        <w:rPr>
          <w:shd w:val="clear" w:color="auto" w:fill="FFFFFF"/>
        </w:rPr>
        <w:t>AfL</w:t>
      </w:r>
      <w:proofErr w:type="spellEnd"/>
      <w:r w:rsidR="000B4164" w:rsidRPr="00937F6C">
        <w:rPr>
          <w:shd w:val="clear" w:color="auto" w:fill="FFFFFF"/>
        </w:rPr>
        <w:t xml:space="preserve"> may be uniquely effective in bridging the motivational gap for students in non-STEM tracks, a nuanced insight that adds depth to the existing literature, which often generalizes across students. This</w:t>
      </w:r>
      <w:r w:rsidR="000B4164" w:rsidRPr="00937F6C">
        <w:t xml:space="preserve"> </w:t>
      </w:r>
      <w:r w:rsidRPr="00937F6C">
        <w:t xml:space="preserve">suggests that embedding feedback, questioning, and reflection within lessons helped to make mathematics more meaningful and engaging. It also aligns with </w:t>
      </w:r>
      <w:r w:rsidRPr="00937F6C">
        <w:rPr>
          <w:rStyle w:val="Strong"/>
          <w:b w:val="0"/>
        </w:rPr>
        <w:t>Constructivist Learning Theory</w:t>
      </w:r>
      <w:r w:rsidRPr="00937F6C">
        <w:t xml:space="preserve"> (Devi, 2019), which emphasizes that active engagement through meaningful tasks fosters deeper persistence and enthusiasm for learning.</w:t>
      </w:r>
    </w:p>
    <w:p w14:paraId="1DE87ED2" w14:textId="03AF0629" w:rsidR="00927A83" w:rsidRPr="00937F6C" w:rsidRDefault="00927A83" w:rsidP="00937F6C">
      <w:pPr>
        <w:pStyle w:val="NormalWeb"/>
        <w:jc w:val="both"/>
        <w:rPr>
          <w:shd w:val="clear" w:color="auto" w:fill="FFFFFF"/>
        </w:rPr>
      </w:pPr>
      <w:r w:rsidRPr="00937F6C">
        <w:t xml:space="preserve">Similarly, for </w:t>
      </w:r>
      <w:r w:rsidRPr="00937F6C">
        <w:rPr>
          <w:rStyle w:val="Strong"/>
          <w:b w:val="0"/>
        </w:rPr>
        <w:t>participation in mathematics learning</w:t>
      </w:r>
      <w:r w:rsidRPr="00937F6C">
        <w:t>, the experimental group scored significantly higher (</w:t>
      </w:r>
      <w:r w:rsidRPr="00937F6C">
        <w:rPr>
          <w:rStyle w:val="Emphasis"/>
        </w:rPr>
        <w:t>M</w:t>
      </w:r>
      <w:r w:rsidRPr="00937F6C">
        <w:t xml:space="preserve"> = 3.55, </w:t>
      </w:r>
      <w:r w:rsidRPr="00937F6C">
        <w:rPr>
          <w:rStyle w:val="Emphasis"/>
        </w:rPr>
        <w:t>SD</w:t>
      </w:r>
      <w:r w:rsidRPr="00937F6C">
        <w:t xml:space="preserve"> = 0.27) than the control group (</w:t>
      </w:r>
      <w:r w:rsidRPr="00937F6C">
        <w:rPr>
          <w:rStyle w:val="Emphasis"/>
        </w:rPr>
        <w:t>M</w:t>
      </w:r>
      <w:r w:rsidRPr="00937F6C">
        <w:t xml:space="preserve"> = 2.54, </w:t>
      </w:r>
      <w:r w:rsidRPr="00937F6C">
        <w:rPr>
          <w:rStyle w:val="Emphasis"/>
        </w:rPr>
        <w:t>SD</w:t>
      </w:r>
      <w:r w:rsidRPr="00937F6C">
        <w:t xml:space="preserve"> = 0.39), </w:t>
      </w:r>
      <w:r w:rsidRPr="00937F6C">
        <w:rPr>
          <w:rStyle w:val="Emphasis"/>
        </w:rPr>
        <w:t xml:space="preserve">t </w:t>
      </w:r>
      <w:r w:rsidRPr="00937F6C">
        <w:t xml:space="preserve">(98) = 15.01, </w:t>
      </w:r>
      <w:r w:rsidRPr="00937F6C">
        <w:rPr>
          <w:rStyle w:val="Emphasis"/>
        </w:rPr>
        <w:t>p</w:t>
      </w:r>
      <w:r w:rsidRPr="00937F6C">
        <w:t xml:space="preserve"> &lt; .001. The mean difference of 1.01 (95% CI [0.88, 1.15]) and a very large effect size (Cohen’s </w:t>
      </w:r>
      <w:r w:rsidRPr="00937F6C">
        <w:rPr>
          <w:rStyle w:val="Emphasis"/>
        </w:rPr>
        <w:t>d</w:t>
      </w:r>
      <w:r w:rsidRPr="00937F6C">
        <w:t xml:space="preserve"> = </w:t>
      </w:r>
      <w:r w:rsidR="000E1B5D" w:rsidRPr="00937F6C">
        <w:t>3</w:t>
      </w:r>
      <w:r w:rsidRPr="00937F6C">
        <w:t xml:space="preserve">.00, bootstrap 95% CI [2.20, 4.05]) indicate that </w:t>
      </w:r>
      <w:proofErr w:type="spellStart"/>
      <w:r w:rsidRPr="00937F6C">
        <w:t>AfL</w:t>
      </w:r>
      <w:proofErr w:type="spellEnd"/>
      <w:r w:rsidRPr="00937F6C">
        <w:t xml:space="preserve"> had a substantial impact on student </w:t>
      </w:r>
      <w:r w:rsidRPr="00937F6C">
        <w:lastRenderedPageBreak/>
        <w:t xml:space="preserve">involvement. Reporting bootstrap confidence intervals for effect sizes strengthens the robustness of these results, as it reduces reliance on normality assumptions and provides more accurate estimates of variability. Strategies such as peer and self-assessment, collaborative problem-solving, and scaffolding gave students more opportunities to contribute actively during lessons. </w:t>
      </w:r>
      <w:r w:rsidR="006816E0" w:rsidRPr="00937F6C">
        <w:rPr>
          <w:shd w:val="clear" w:color="auto" w:fill="FFFFFF"/>
        </w:rPr>
        <w:t xml:space="preserve">This resonates with Vygotsky’s Social Constructivist Theory but provides concrete, quantitative evidence of its impact on participatory behaviors. </w:t>
      </w:r>
      <w:r w:rsidR="00DD5E0E" w:rsidRPr="00937F6C">
        <w:rPr>
          <w:shd w:val="clear" w:color="auto" w:fill="FFFFFF"/>
        </w:rPr>
        <w:t xml:space="preserve">The very large effect on participation </w:t>
      </w:r>
      <w:r w:rsidR="006816E0" w:rsidRPr="00937F6C">
        <w:rPr>
          <w:shd w:val="clear" w:color="auto" w:fill="FFFFFF"/>
        </w:rPr>
        <w:t>(</w:t>
      </w:r>
      <w:r w:rsidR="00FF57B9" w:rsidRPr="00937F6C">
        <w:rPr>
          <w:shd w:val="clear" w:color="auto" w:fill="FFFFFF"/>
        </w:rPr>
        <w:t>d</w:t>
      </w:r>
      <w:r w:rsidR="006816E0" w:rsidRPr="00937F6C">
        <w:rPr>
          <w:shd w:val="clear" w:color="auto" w:fill="FFFFFF"/>
        </w:rPr>
        <w:t xml:space="preserve"> = </w:t>
      </w:r>
      <w:r w:rsidR="00FF57B9" w:rsidRPr="00937F6C">
        <w:rPr>
          <w:shd w:val="clear" w:color="auto" w:fill="FFFFFF"/>
        </w:rPr>
        <w:t>3</w:t>
      </w:r>
      <w:r w:rsidR="006816E0" w:rsidRPr="00937F6C">
        <w:rPr>
          <w:shd w:val="clear" w:color="auto" w:fill="FFFFFF"/>
        </w:rPr>
        <w:t xml:space="preserve">.00) indicates that the </w:t>
      </w:r>
      <w:proofErr w:type="spellStart"/>
      <w:r w:rsidR="006816E0" w:rsidRPr="00937F6C">
        <w:rPr>
          <w:shd w:val="clear" w:color="auto" w:fill="FFFFFF"/>
        </w:rPr>
        <w:t>AfL</w:t>
      </w:r>
      <w:proofErr w:type="spellEnd"/>
      <w:r w:rsidR="006816E0" w:rsidRPr="00937F6C">
        <w:rPr>
          <w:shd w:val="clear" w:color="auto" w:fill="FFFFFF"/>
        </w:rPr>
        <w:t xml:space="preserve"> strategies (peer assessment, collaborative problem-solving) did more than just encourage talking; they fundamentally transformed the classroom into a community of practice. The finding that participation was impacted even more strongly than interest is a critical nuance. It suggests that in this Ghanaian context, providing the </w:t>
      </w:r>
      <w:r w:rsidR="006816E0" w:rsidRPr="00937F6C">
        <w:rPr>
          <w:rStyle w:val="Emphasis"/>
          <w:i w:val="0"/>
          <w:shd w:val="clear" w:color="auto" w:fill="FFFFFF"/>
        </w:rPr>
        <w:t>scaffolded structures</w:t>
      </w:r>
      <w:r w:rsidR="006816E0" w:rsidRPr="00937F6C">
        <w:rPr>
          <w:shd w:val="clear" w:color="auto" w:fill="FFFFFF"/>
        </w:rPr>
        <w:t> for interaction may be a crucial first step that then catalyzes the development of interest, challenging a potential assumption that interest must always precede participation</w:t>
      </w:r>
    </w:p>
    <w:p w14:paraId="7EE9BE2F" w14:textId="77777777" w:rsidR="00A54668" w:rsidRPr="00937F6C" w:rsidRDefault="00A54668" w:rsidP="00937F6C">
      <w:pPr>
        <w:pStyle w:val="NormalWeb"/>
        <w:jc w:val="both"/>
        <w:rPr>
          <w:shd w:val="clear" w:color="auto" w:fill="FFFFFF"/>
        </w:rPr>
      </w:pPr>
      <w:r w:rsidRPr="00937F6C">
        <w:rPr>
          <w:shd w:val="clear" w:color="auto" w:fill="FFFFFF"/>
        </w:rPr>
        <w:t>The effect sizes observed in this study were notably large. While this indicates a substantial impact of Assessment for Learning (</w:t>
      </w:r>
      <w:proofErr w:type="spellStart"/>
      <w:r w:rsidRPr="00937F6C">
        <w:rPr>
          <w:shd w:val="clear" w:color="auto" w:fill="FFFFFF"/>
        </w:rPr>
        <w:t>AfL</w:t>
      </w:r>
      <w:proofErr w:type="spellEnd"/>
      <w:r w:rsidRPr="00937F6C">
        <w:rPr>
          <w:shd w:val="clear" w:color="auto" w:fill="FFFFFF"/>
        </w:rPr>
        <w:t xml:space="preserve">) strategies on students’ interest and participation, the magnitude warrants careful interpretation. Several factors may explain the pronounced effects. First, the intervention was implemented consistently and systematically over the study period, allowing </w:t>
      </w:r>
      <w:proofErr w:type="spellStart"/>
      <w:r w:rsidRPr="00937F6C">
        <w:rPr>
          <w:shd w:val="clear" w:color="auto" w:fill="FFFFFF"/>
        </w:rPr>
        <w:t>AfL</w:t>
      </w:r>
      <w:proofErr w:type="spellEnd"/>
      <w:r w:rsidRPr="00937F6C">
        <w:rPr>
          <w:shd w:val="clear" w:color="auto" w:fill="FFFFFF"/>
        </w:rPr>
        <w:t xml:space="preserve"> practices such as formative feedback, peer assessment, and self-assessment to accumulate meaningful influence on classroom engagement </w:t>
      </w:r>
      <w:proofErr w:type="spellStart"/>
      <w:r w:rsidRPr="00937F6C">
        <w:rPr>
          <w:shd w:val="clear" w:color="auto" w:fill="FFFFFF"/>
        </w:rPr>
        <w:t>behaviours</w:t>
      </w:r>
      <w:proofErr w:type="spellEnd"/>
      <w:r w:rsidRPr="00937F6C">
        <w:rPr>
          <w:shd w:val="clear" w:color="auto" w:fill="FFFFFF"/>
        </w:rPr>
        <w:t>. Second, the relatively modest baseline levels of interest and participation suggest that the instructional innovation may have addressed previously unmet pedagogical needs, thereby producing larger observable gains.</w:t>
      </w:r>
    </w:p>
    <w:p w14:paraId="5FB73650" w14:textId="623B34A5" w:rsidR="00A54668" w:rsidRPr="00937F6C" w:rsidRDefault="00A54668" w:rsidP="00937F6C">
      <w:pPr>
        <w:pStyle w:val="NormalWeb"/>
        <w:jc w:val="both"/>
        <w:rPr>
          <w:shd w:val="clear" w:color="auto" w:fill="FFFFFF"/>
        </w:rPr>
      </w:pPr>
      <w:r w:rsidRPr="00937F6C">
        <w:rPr>
          <w:shd w:val="clear" w:color="auto" w:fill="FFFFFF"/>
        </w:rPr>
        <w:t xml:space="preserve">Additionally, the use of intact classroom groups may have amplified collective </w:t>
      </w:r>
      <w:proofErr w:type="spellStart"/>
      <w:r w:rsidRPr="00937F6C">
        <w:rPr>
          <w:shd w:val="clear" w:color="auto" w:fill="FFFFFF"/>
        </w:rPr>
        <w:t>behavioural</w:t>
      </w:r>
      <w:proofErr w:type="spellEnd"/>
      <w:r w:rsidRPr="00937F6C">
        <w:rPr>
          <w:shd w:val="clear" w:color="auto" w:fill="FFFFFF"/>
        </w:rPr>
        <w:t xml:space="preserve"> responses, as classroom social dynamics can reinforce shared engagement patterns. It is also possible that novelty effects associated with the introduction of new instructional practices contributed to heightened student responsiveness during the intervention period. Therefore, although the findings demonstrate strong positive effects, replication across multiple schools and extended durations is recommended to confirm the stability and </w:t>
      </w:r>
      <w:proofErr w:type="spellStart"/>
      <w:r w:rsidRPr="00937F6C">
        <w:rPr>
          <w:shd w:val="clear" w:color="auto" w:fill="FFFFFF"/>
        </w:rPr>
        <w:t>generalisability</w:t>
      </w:r>
      <w:proofErr w:type="spellEnd"/>
      <w:r w:rsidRPr="00937F6C">
        <w:rPr>
          <w:shd w:val="clear" w:color="auto" w:fill="FFFFFF"/>
        </w:rPr>
        <w:t xml:space="preserve"> of the results.</w:t>
      </w:r>
    </w:p>
    <w:p w14:paraId="7D146226" w14:textId="24D3D54A" w:rsidR="00DB458D" w:rsidRPr="00937F6C" w:rsidRDefault="00DB458D" w:rsidP="00937F6C">
      <w:pPr>
        <w:pStyle w:val="NormalWeb"/>
        <w:jc w:val="both"/>
      </w:pPr>
      <w:r w:rsidRPr="00937F6C">
        <w:rPr>
          <w:shd w:val="clear" w:color="auto" w:fill="FFFFFF"/>
        </w:rPr>
        <w:t xml:space="preserve">The findings of this study contribute new knowledge to the literature in several key ways. First, it provides quasi-experimental evidence from a sub-Saharan African context demonstrating that </w:t>
      </w:r>
      <w:proofErr w:type="spellStart"/>
      <w:r w:rsidRPr="00937F6C">
        <w:rPr>
          <w:shd w:val="clear" w:color="auto" w:fill="FFFFFF"/>
        </w:rPr>
        <w:t>AfL</w:t>
      </w:r>
      <w:proofErr w:type="spellEnd"/>
      <w:r w:rsidRPr="00937F6C">
        <w:rPr>
          <w:shd w:val="clear" w:color="auto" w:fill="FFFFFF"/>
        </w:rPr>
        <w:t xml:space="preserve"> can have an effect on student affect that is not merely significant but substantial in magnitude. This challenges a potential deficit narrative that such student-centered pedagogies are less effective in resource-constrained or more traditional educational settings. Second, by focusing on Visual Arts students, the study highlights that </w:t>
      </w:r>
      <w:proofErr w:type="spellStart"/>
      <w:r w:rsidRPr="00937F6C">
        <w:rPr>
          <w:shd w:val="clear" w:color="auto" w:fill="FFFFFF"/>
        </w:rPr>
        <w:t>AfL</w:t>
      </w:r>
      <w:proofErr w:type="spellEnd"/>
      <w:r w:rsidRPr="00937F6C">
        <w:rPr>
          <w:shd w:val="clear" w:color="auto" w:fill="FFFFFF"/>
        </w:rPr>
        <w:t xml:space="preserve"> may be a critical lever for engaging learners who are often marginalized in mathematics discourse, suggesting a need for differentiated professional development for teachers across various tracks. Finally, the robust demonstration that </w:t>
      </w:r>
      <w:proofErr w:type="spellStart"/>
      <w:r w:rsidRPr="00937F6C">
        <w:rPr>
          <w:shd w:val="clear" w:color="auto" w:fill="FFFFFF"/>
        </w:rPr>
        <w:t>AfL</w:t>
      </w:r>
      <w:proofErr w:type="spellEnd"/>
      <w:r w:rsidRPr="00937F6C">
        <w:rPr>
          <w:shd w:val="clear" w:color="auto" w:fill="FFFFFF"/>
        </w:rPr>
        <w:t xml:space="preserve"> impacts the often-overlooked affective domains (interest and participation) as powerfully as it is known to impact cognitive achievement reinforces the argument that </w:t>
      </w:r>
      <w:proofErr w:type="spellStart"/>
      <w:r w:rsidRPr="00937F6C">
        <w:rPr>
          <w:shd w:val="clear" w:color="auto" w:fill="FFFFFF"/>
        </w:rPr>
        <w:t>AfL</w:t>
      </w:r>
      <w:proofErr w:type="spellEnd"/>
      <w:r w:rsidRPr="00937F6C">
        <w:rPr>
          <w:shd w:val="clear" w:color="auto" w:fill="FFFFFF"/>
        </w:rPr>
        <w:t xml:space="preserve"> should be viewed as a holistic pedagogical framework, not just a set of assessment techniques. This provides a strong, evidence-based rationale for policymakers and teacher trainers in Ghana and similar contexts to prioritize the integration of </w:t>
      </w:r>
      <w:proofErr w:type="spellStart"/>
      <w:r w:rsidRPr="00937F6C">
        <w:rPr>
          <w:shd w:val="clear" w:color="auto" w:fill="FFFFFF"/>
        </w:rPr>
        <w:t>AfL</w:t>
      </w:r>
      <w:proofErr w:type="spellEnd"/>
      <w:r w:rsidRPr="00937F6C">
        <w:rPr>
          <w:shd w:val="clear" w:color="auto" w:fill="FFFFFF"/>
        </w:rPr>
        <w:t xml:space="preserve"> into national mathematics curricula and teaching standards.</w:t>
      </w:r>
    </w:p>
    <w:p w14:paraId="3F05412D" w14:textId="4D862011" w:rsidR="00927A83" w:rsidRPr="00937F6C" w:rsidRDefault="00927A83" w:rsidP="00937F6C">
      <w:pPr>
        <w:pStyle w:val="NormalWeb"/>
        <w:jc w:val="both"/>
        <w:rPr>
          <w:bCs/>
        </w:rPr>
      </w:pPr>
      <w:r w:rsidRPr="00937F6C">
        <w:t xml:space="preserve">Overall, the findings demonstrate that </w:t>
      </w:r>
      <w:proofErr w:type="spellStart"/>
      <w:r w:rsidRPr="00937F6C">
        <w:t>AfL</w:t>
      </w:r>
      <w:proofErr w:type="spellEnd"/>
      <w:r w:rsidRPr="00937F6C">
        <w:t xml:space="preserve"> significantly improved both interest and participation in mathematics, confirming its effectiveness in promoting interactive, learner-centered classrooms. Beyond its role in assessment, </w:t>
      </w:r>
      <w:proofErr w:type="spellStart"/>
      <w:r w:rsidRPr="00937F6C">
        <w:t>AfL</w:t>
      </w:r>
      <w:proofErr w:type="spellEnd"/>
      <w:r w:rsidRPr="00937F6C">
        <w:t xml:space="preserve"> functioned as a pedagogical tool that fostered motivation, </w:t>
      </w:r>
      <w:r w:rsidRPr="00937F6C">
        <w:lastRenderedPageBreak/>
        <w:t xml:space="preserve">engagement, and collaboration, thereby supporting both cognitive and affective aspects of learning. </w:t>
      </w:r>
      <w:r w:rsidRPr="00937F6C">
        <w:rPr>
          <w:rStyle w:val="Strong"/>
          <w:b w:val="0"/>
        </w:rPr>
        <w:t xml:space="preserve">These outcomes highlight the importance of integrating </w:t>
      </w:r>
      <w:proofErr w:type="spellStart"/>
      <w:r w:rsidRPr="00937F6C">
        <w:rPr>
          <w:rStyle w:val="Strong"/>
          <w:b w:val="0"/>
        </w:rPr>
        <w:t>AfL</w:t>
      </w:r>
      <w:proofErr w:type="spellEnd"/>
      <w:r w:rsidRPr="00937F6C">
        <w:rPr>
          <w:rStyle w:val="Strong"/>
          <w:b w:val="0"/>
        </w:rPr>
        <w:t xml:space="preserve"> strategies into mathematics teaching and teacher education programs, as they can transform traditional classrooms into environments that actively sustain students’ motivation and participation. </w:t>
      </w:r>
      <w:r w:rsidR="00C51E11" w:rsidRPr="00937F6C">
        <w:rPr>
          <w:rStyle w:val="Strong"/>
          <w:b w:val="0"/>
        </w:rPr>
        <w:t xml:space="preserve"> </w:t>
      </w:r>
      <w:r w:rsidRPr="00937F6C">
        <w:t xml:space="preserve">Importantly, this study adds to the limited body of quasi-experimental research on </w:t>
      </w:r>
      <w:proofErr w:type="spellStart"/>
      <w:r w:rsidRPr="00937F6C">
        <w:t>AfL</w:t>
      </w:r>
      <w:proofErr w:type="spellEnd"/>
      <w:r w:rsidRPr="00937F6C">
        <w:t xml:space="preserve"> in sub-Saharan Africa, and specifically within Ghanaian senior high schools. By focusing on affective outcomes such as interest and participation, it broadens the scope of </w:t>
      </w:r>
      <w:proofErr w:type="spellStart"/>
      <w:r w:rsidRPr="00937F6C">
        <w:t>AfL</w:t>
      </w:r>
      <w:proofErr w:type="spellEnd"/>
      <w:r w:rsidRPr="00937F6C">
        <w:t xml:space="preserve"> research beyond academic achievement and provides localized evidence that can inform both policy and classroom practice in the region.</w:t>
      </w:r>
    </w:p>
    <w:p w14:paraId="47A22A9F" w14:textId="77777777" w:rsidR="00927A83" w:rsidRPr="00937F6C" w:rsidRDefault="00927A83" w:rsidP="00937F6C">
      <w:pPr>
        <w:pStyle w:val="NormalWeb"/>
        <w:spacing w:before="0" w:beforeAutospacing="0" w:after="0" w:afterAutospacing="0"/>
        <w:jc w:val="both"/>
        <w:rPr>
          <w:b/>
        </w:rPr>
      </w:pPr>
      <w:r w:rsidRPr="00937F6C">
        <w:rPr>
          <w:b/>
        </w:rPr>
        <w:t>SUMMARY AND CONCLUSION</w:t>
      </w:r>
    </w:p>
    <w:p w14:paraId="3349F658" w14:textId="77777777" w:rsidR="00927A83" w:rsidRPr="00937F6C" w:rsidRDefault="00927A83" w:rsidP="00937F6C">
      <w:pPr>
        <w:pStyle w:val="NormalWeb"/>
        <w:jc w:val="both"/>
      </w:pPr>
      <w:r w:rsidRPr="00937F6C">
        <w:t>This study examined the impact of Assessment for Learning (</w:t>
      </w:r>
      <w:proofErr w:type="spellStart"/>
      <w:r w:rsidRPr="00937F6C">
        <w:t>AfL</w:t>
      </w:r>
      <w:proofErr w:type="spellEnd"/>
      <w:r w:rsidRPr="00937F6C">
        <w:t xml:space="preserve">) on senior high school students’ interest and participation in mathematics. A quasi-experimental design involving 100 Form Two students revealed that those exposed to </w:t>
      </w:r>
      <w:proofErr w:type="spellStart"/>
      <w:r w:rsidRPr="00937F6C">
        <w:t>AfL</w:t>
      </w:r>
      <w:proofErr w:type="spellEnd"/>
      <w:r w:rsidRPr="00937F6C">
        <w:t xml:space="preserve"> strategies demonstrated significantly higher interest and participation than their peers taught through conventional methods. Independent samples </w:t>
      </w:r>
      <w:r w:rsidRPr="00937F6C">
        <w:rPr>
          <w:rStyle w:val="Emphasis"/>
        </w:rPr>
        <w:t>t</w:t>
      </w:r>
      <w:r w:rsidRPr="00937F6C">
        <w:t>-tests confirmed large and statistically significant differences between the groups, with effect sizes indicating strong practical impacts.</w:t>
      </w:r>
    </w:p>
    <w:p w14:paraId="377C6CFB" w14:textId="77777777" w:rsidR="00927A83" w:rsidRPr="00937F6C" w:rsidRDefault="00927A83" w:rsidP="00937F6C">
      <w:pPr>
        <w:pStyle w:val="NormalWeb"/>
        <w:jc w:val="both"/>
      </w:pPr>
      <w:r w:rsidRPr="00937F6C">
        <w:t xml:space="preserve">The findings demonstrate that </w:t>
      </w:r>
      <w:proofErr w:type="spellStart"/>
      <w:r w:rsidRPr="00937F6C">
        <w:t>AfL</w:t>
      </w:r>
      <w:proofErr w:type="spellEnd"/>
      <w:r w:rsidRPr="00937F6C">
        <w:t xml:space="preserve"> goes beyond its traditional role in assessment by acting as a powerful pedagogical tool that fosters motivation, engagement, and collaboration. Grounded in </w:t>
      </w:r>
      <w:r w:rsidRPr="00937F6C">
        <w:rPr>
          <w:rStyle w:val="Strong"/>
          <w:b w:val="0"/>
        </w:rPr>
        <w:t>Self-Determination Theory</w:t>
      </w:r>
      <w:r w:rsidRPr="00937F6C">
        <w:t xml:space="preserve">, </w:t>
      </w:r>
      <w:proofErr w:type="spellStart"/>
      <w:r w:rsidRPr="00937F6C">
        <w:t>AfL</w:t>
      </w:r>
      <w:proofErr w:type="spellEnd"/>
      <w:r w:rsidRPr="00937F6C">
        <w:t xml:space="preserve"> was shown to enhance autonomy, competence, and relatedness, thereby improving students’ intrinsic motivation. Likewise, from a </w:t>
      </w:r>
      <w:r w:rsidRPr="00937F6C">
        <w:rPr>
          <w:rStyle w:val="Strong"/>
          <w:b w:val="0"/>
        </w:rPr>
        <w:t>Social Constructivist perspective</w:t>
      </w:r>
      <w:r w:rsidRPr="00937F6C">
        <w:rPr>
          <w:b/>
        </w:rPr>
        <w:t>,</w:t>
      </w:r>
      <w:r w:rsidRPr="00937F6C">
        <w:t xml:space="preserve"> </w:t>
      </w:r>
      <w:proofErr w:type="spellStart"/>
      <w:r w:rsidRPr="00937F6C">
        <w:t>AfL</w:t>
      </w:r>
      <w:proofErr w:type="spellEnd"/>
      <w:r w:rsidRPr="00937F6C">
        <w:t xml:space="preserve"> created opportunities for interaction, scaffolding, and peer support, which encouraged more active participation.</w:t>
      </w:r>
    </w:p>
    <w:p w14:paraId="3B6D98F3" w14:textId="77777777" w:rsidR="00927A83" w:rsidRPr="00937F6C" w:rsidRDefault="00927A83" w:rsidP="00937F6C">
      <w:pPr>
        <w:pStyle w:val="NormalWeb"/>
        <w:jc w:val="both"/>
      </w:pPr>
      <w:r w:rsidRPr="00937F6C">
        <w:t xml:space="preserve">In conclusion, the study provides clear evidence that </w:t>
      </w:r>
      <w:proofErr w:type="spellStart"/>
      <w:r w:rsidRPr="00937F6C">
        <w:t>AfL</w:t>
      </w:r>
      <w:proofErr w:type="spellEnd"/>
      <w:r w:rsidRPr="00937F6C">
        <w:t xml:space="preserve"> can transform mathematics lessons into learner-centered experiences that not only support achievement but also nurture students’ interest and willingness to participate. These results underscore the importance of integrating </w:t>
      </w:r>
      <w:proofErr w:type="spellStart"/>
      <w:r w:rsidRPr="00937F6C">
        <w:t>AfL</w:t>
      </w:r>
      <w:proofErr w:type="spellEnd"/>
      <w:r w:rsidRPr="00937F6C">
        <w:t xml:space="preserve"> strategies into classroom practice, teacher education, and policy frameworks to promote both the cognitive and affective dimensions of mathematics learning.</w:t>
      </w:r>
    </w:p>
    <w:p w14:paraId="0D63643C" w14:textId="77777777" w:rsidR="00927A83" w:rsidRPr="00937F6C" w:rsidRDefault="00927A83" w:rsidP="00937F6C">
      <w:pPr>
        <w:pStyle w:val="NormalWeb"/>
        <w:spacing w:before="0" w:beforeAutospacing="0" w:after="0" w:afterAutospacing="0"/>
        <w:jc w:val="both"/>
        <w:rPr>
          <w:b/>
        </w:rPr>
      </w:pPr>
      <w:r w:rsidRPr="00937F6C">
        <w:rPr>
          <w:b/>
        </w:rPr>
        <w:t xml:space="preserve">RECOMMENDATIONS </w:t>
      </w:r>
    </w:p>
    <w:p w14:paraId="3908FC0F" w14:textId="007E6689" w:rsidR="00927A83" w:rsidRPr="00937F6C" w:rsidRDefault="00927A83" w:rsidP="00937F6C">
      <w:pPr>
        <w:pStyle w:val="NormalWeb"/>
        <w:spacing w:before="0" w:beforeAutospacing="0" w:after="0" w:afterAutospacing="0"/>
        <w:jc w:val="both"/>
        <w:rPr>
          <w:b/>
        </w:rPr>
      </w:pPr>
      <w:r w:rsidRPr="00937F6C">
        <w:t>Based on the findings of this study, several recommendations are proposed for practice and policy. First</w:t>
      </w:r>
      <w:r w:rsidR="00C51E11" w:rsidRPr="00937F6C">
        <w:t>ly</w:t>
      </w:r>
      <w:r w:rsidRPr="00937F6C">
        <w:t xml:space="preserve">, mathematics teachers should actively embed </w:t>
      </w:r>
      <w:proofErr w:type="spellStart"/>
      <w:r w:rsidRPr="00937F6C">
        <w:t>AfL</w:t>
      </w:r>
      <w:proofErr w:type="spellEnd"/>
      <w:r w:rsidRPr="00937F6C">
        <w:t xml:space="preserve"> strategies such as effective questioning, timely feedback, peer assessment, and self-reflection into their lessons. These approaches have been shown to significantly improve students’ interest and participation, and their use can make mathematics classrooms more interactive and learner-centered.</w:t>
      </w:r>
    </w:p>
    <w:p w14:paraId="28BA9003" w14:textId="0BF1B5B0" w:rsidR="00927A83" w:rsidRPr="00937F6C" w:rsidRDefault="00C51E11" w:rsidP="00937F6C">
      <w:pPr>
        <w:pStyle w:val="NormalWeb"/>
        <w:jc w:val="both"/>
      </w:pPr>
      <w:r w:rsidRPr="00937F6C">
        <w:t>In addition</w:t>
      </w:r>
      <w:r w:rsidR="00927A83" w:rsidRPr="00937F6C">
        <w:t xml:space="preserve">, school leaders and education authorities should provide teachers with the necessary resources and support to implement </w:t>
      </w:r>
      <w:proofErr w:type="spellStart"/>
      <w:r w:rsidR="00927A83" w:rsidRPr="00937F6C">
        <w:t>AfL</w:t>
      </w:r>
      <w:proofErr w:type="spellEnd"/>
      <w:r w:rsidR="00927A83" w:rsidRPr="00937F6C">
        <w:t xml:space="preserve"> practices effectively. Access to teaching materials, continuous professional development, and collaborative opportunities within professional learning communities will help teachers refine their use of </w:t>
      </w:r>
      <w:proofErr w:type="spellStart"/>
      <w:r w:rsidR="00927A83" w:rsidRPr="00937F6C">
        <w:t>AfL</w:t>
      </w:r>
      <w:proofErr w:type="spellEnd"/>
      <w:r w:rsidR="00927A83" w:rsidRPr="00937F6C">
        <w:t xml:space="preserve"> strategies and sustain their impact on students.</w:t>
      </w:r>
    </w:p>
    <w:p w14:paraId="18337E49" w14:textId="6206BB90" w:rsidR="00927A83" w:rsidRPr="00937F6C" w:rsidRDefault="00C51E11" w:rsidP="00937F6C">
      <w:pPr>
        <w:pStyle w:val="NormalWeb"/>
        <w:jc w:val="both"/>
      </w:pPr>
      <w:r w:rsidRPr="00937F6C">
        <w:t>Moreover</w:t>
      </w:r>
      <w:r w:rsidR="00927A83" w:rsidRPr="00937F6C">
        <w:t xml:space="preserve">, teacher education institutions should integrate </w:t>
      </w:r>
      <w:proofErr w:type="spellStart"/>
      <w:r w:rsidR="00927A83" w:rsidRPr="00937F6C">
        <w:t>AfL</w:t>
      </w:r>
      <w:proofErr w:type="spellEnd"/>
      <w:r w:rsidR="00927A83" w:rsidRPr="00937F6C">
        <w:t xml:space="preserve"> into pre-service and in-service training programs. Equipping teachers with both the theoretical foundations and practical skills for </w:t>
      </w:r>
      <w:proofErr w:type="spellStart"/>
      <w:r w:rsidR="00927A83" w:rsidRPr="00937F6C">
        <w:lastRenderedPageBreak/>
        <w:t>AfL</w:t>
      </w:r>
      <w:proofErr w:type="spellEnd"/>
      <w:r w:rsidR="00927A83" w:rsidRPr="00937F6C">
        <w:t xml:space="preserve"> will ensure that new and practicing teachers are prepared to create classroom environments that foster autonomy, competence, and collaboration.</w:t>
      </w:r>
    </w:p>
    <w:p w14:paraId="0A807D08" w14:textId="77777777" w:rsidR="00927A83" w:rsidRPr="00937F6C" w:rsidRDefault="00927A83" w:rsidP="00937F6C">
      <w:pPr>
        <w:pStyle w:val="NormalWeb"/>
        <w:jc w:val="both"/>
      </w:pPr>
      <w:r w:rsidRPr="00937F6C">
        <w:t xml:space="preserve">Finally, policymakers should consider embedding </w:t>
      </w:r>
      <w:proofErr w:type="spellStart"/>
      <w:r w:rsidRPr="00937F6C">
        <w:t>AfL</w:t>
      </w:r>
      <w:proofErr w:type="spellEnd"/>
      <w:r w:rsidRPr="00937F6C">
        <w:t xml:space="preserve"> principles into national assessment frameworks to balance the heavy emphasis on summative testing. This would encourage schools to adopt formative, learner-centered approaches that not only measure achievement but also nurture students’ motivation and participation in mathematics learning.</w:t>
      </w:r>
    </w:p>
    <w:p w14:paraId="296CE8D2" w14:textId="77777777" w:rsidR="00937F6C" w:rsidRDefault="00937F6C" w:rsidP="00937F6C">
      <w:pPr>
        <w:spacing w:after="0" w:line="240" w:lineRule="auto"/>
        <w:jc w:val="both"/>
        <w:rPr>
          <w:rFonts w:ascii="Times New Roman" w:hAnsi="Times New Roman" w:cs="Times New Roman"/>
          <w:b/>
          <w:sz w:val="24"/>
          <w:szCs w:val="24"/>
        </w:rPr>
      </w:pPr>
    </w:p>
    <w:p w14:paraId="7E494C75" w14:textId="2CA3F7F9" w:rsidR="00927A83" w:rsidRPr="00937F6C" w:rsidRDefault="00927A83" w:rsidP="00937F6C">
      <w:pPr>
        <w:spacing w:after="0" w:line="240" w:lineRule="auto"/>
        <w:jc w:val="both"/>
        <w:rPr>
          <w:rFonts w:ascii="Times New Roman" w:hAnsi="Times New Roman" w:cs="Times New Roman"/>
          <w:b/>
          <w:sz w:val="24"/>
          <w:szCs w:val="24"/>
        </w:rPr>
      </w:pPr>
      <w:r w:rsidRPr="00937F6C">
        <w:rPr>
          <w:rFonts w:ascii="Times New Roman" w:hAnsi="Times New Roman" w:cs="Times New Roman"/>
          <w:b/>
          <w:sz w:val="24"/>
          <w:szCs w:val="24"/>
        </w:rPr>
        <w:t xml:space="preserve">LIMITATIONS OF THE STUDY </w:t>
      </w:r>
    </w:p>
    <w:p w14:paraId="50510833" w14:textId="77777777" w:rsidR="000B4748" w:rsidRPr="00937F6C" w:rsidRDefault="00927A83" w:rsidP="00937F6C">
      <w:pPr>
        <w:pStyle w:val="NormalWeb"/>
        <w:spacing w:before="0" w:beforeAutospacing="0" w:after="0" w:afterAutospacing="0"/>
        <w:jc w:val="both"/>
      </w:pPr>
      <w:r w:rsidRPr="00937F6C">
        <w:t xml:space="preserve">Despite the statistically established benefits, this study had some limitations in scope and design. The study had only two groups consisting of 100 Form Two students from </w:t>
      </w:r>
      <w:proofErr w:type="spellStart"/>
      <w:r w:rsidRPr="00937F6C">
        <w:t>Akwamuman</w:t>
      </w:r>
      <w:proofErr w:type="spellEnd"/>
      <w:r w:rsidRPr="00937F6C">
        <w:t xml:space="preserve"> Senior High School, Eastern region of Ghana, which makes it difficult to generalize the findings of the study to all schools in Ghana and beyond. Future studies could adopt longitudinal or multi-school designs to enhance generalizability. </w:t>
      </w:r>
      <w:r w:rsidRPr="00937F6C">
        <w:rPr>
          <w:rStyle w:val="Emphasis"/>
          <w:i w:val="0"/>
          <w:shd w:val="clear" w:color="auto" w:fill="FFFFFF"/>
        </w:rPr>
        <w:t xml:space="preserve">Although baseline equivalence testing confirmed no significant differences between groups on outcome measures </w:t>
      </w:r>
      <w:r w:rsidR="00592DB8" w:rsidRPr="00937F6C">
        <w:rPr>
          <w:rStyle w:val="Emphasis"/>
          <w:i w:val="0"/>
          <w:shd w:val="clear" w:color="auto" w:fill="FFFFFF"/>
        </w:rPr>
        <w:t>before</w:t>
      </w:r>
      <w:r w:rsidRPr="00937F6C">
        <w:rPr>
          <w:rStyle w:val="Emphasis"/>
          <w:i w:val="0"/>
          <w:shd w:val="clear" w:color="auto" w:fill="FFFFFF"/>
        </w:rPr>
        <w:t xml:space="preserve"> the intervention, the use of intact classes rather than random assignment still presents potential limitations regarding other unmeasured variables that could influence results</w:t>
      </w:r>
      <w:r w:rsidRPr="00937F6C">
        <w:t xml:space="preserve">. Also, the study focused specifically on students' interest and participation, leaving out other important variables such as academic achievement and retention, which would have provided a general overview of </w:t>
      </w:r>
      <w:proofErr w:type="spellStart"/>
      <w:r w:rsidRPr="00937F6C">
        <w:t>AfL’s</w:t>
      </w:r>
      <w:proofErr w:type="spellEnd"/>
      <w:r w:rsidRPr="00937F6C">
        <w:t xml:space="preserve"> impact. </w:t>
      </w:r>
    </w:p>
    <w:p w14:paraId="74A5A02C" w14:textId="77777777" w:rsidR="000B4748" w:rsidRPr="00937F6C" w:rsidRDefault="000B4748" w:rsidP="00937F6C">
      <w:pPr>
        <w:pStyle w:val="NormalWeb"/>
        <w:spacing w:before="0" w:beforeAutospacing="0" w:after="0" w:afterAutospacing="0"/>
        <w:jc w:val="both"/>
      </w:pPr>
      <w:r w:rsidRPr="00937F6C">
        <w:t>Furthermore, the large effect sizes observed should be interpreted with caution, as the quasi-experimental design and reliance on self-reported measures may have influenced the magnitude of the outcomes.</w:t>
      </w:r>
    </w:p>
    <w:p w14:paraId="5D071951" w14:textId="2649B4B1" w:rsidR="00927A83" w:rsidRPr="00937F6C" w:rsidRDefault="00927A83" w:rsidP="00937F6C">
      <w:pPr>
        <w:pStyle w:val="NormalWeb"/>
        <w:spacing w:before="0" w:beforeAutospacing="0" w:after="0" w:afterAutospacing="0"/>
        <w:jc w:val="both"/>
      </w:pPr>
      <w:r w:rsidRPr="00937F6C">
        <w:t>Despite these limitations, the study still contributes to the existing valuable evidence of literature on formative assessment in mathematics education and offers useful suggestions for future research.</w:t>
      </w:r>
    </w:p>
    <w:p w14:paraId="18C9007B" w14:textId="2C8C5313" w:rsidR="00927A83" w:rsidRPr="00937F6C" w:rsidRDefault="00927A83" w:rsidP="00937F6C">
      <w:pPr>
        <w:spacing w:after="0" w:line="240" w:lineRule="auto"/>
        <w:jc w:val="both"/>
        <w:rPr>
          <w:rStyle w:val="Strong"/>
          <w:rFonts w:ascii="Times New Roman" w:hAnsi="Times New Roman" w:cs="Times New Roman"/>
          <w:b w:val="0"/>
          <w:sz w:val="24"/>
          <w:szCs w:val="24"/>
        </w:rPr>
      </w:pPr>
      <w:r w:rsidRPr="00937F6C">
        <w:rPr>
          <w:rFonts w:ascii="Times New Roman" w:hAnsi="Times New Roman" w:cs="Times New Roman"/>
          <w:b/>
          <w:sz w:val="24"/>
          <w:szCs w:val="24"/>
        </w:rPr>
        <w:t>DECLARATIONS</w:t>
      </w:r>
    </w:p>
    <w:p w14:paraId="7224265A" w14:textId="6720C72B" w:rsidR="00927A83" w:rsidRPr="00937F6C" w:rsidRDefault="00927A83" w:rsidP="00937F6C">
      <w:pPr>
        <w:spacing w:after="0" w:line="240" w:lineRule="auto"/>
        <w:rPr>
          <w:rFonts w:ascii="Times New Roman" w:hAnsi="Times New Roman" w:cs="Times New Roman"/>
          <w:sz w:val="24"/>
          <w:szCs w:val="24"/>
        </w:rPr>
      </w:pPr>
      <w:r w:rsidRPr="00937F6C">
        <w:rPr>
          <w:rStyle w:val="Strong"/>
          <w:rFonts w:ascii="Times New Roman" w:hAnsi="Times New Roman" w:cs="Times New Roman"/>
          <w:sz w:val="24"/>
          <w:szCs w:val="24"/>
        </w:rPr>
        <w:t>Funding:</w:t>
      </w:r>
      <w:r w:rsidRPr="00937F6C">
        <w:rPr>
          <w:rFonts w:ascii="Times New Roman" w:hAnsi="Times New Roman" w:cs="Times New Roman"/>
          <w:sz w:val="24"/>
          <w:szCs w:val="24"/>
        </w:rPr>
        <w:t xml:space="preserve"> This research received no external funding.</w:t>
      </w:r>
      <w:r w:rsidRPr="00937F6C">
        <w:rPr>
          <w:rFonts w:ascii="Times New Roman" w:hAnsi="Times New Roman" w:cs="Times New Roman"/>
          <w:sz w:val="24"/>
          <w:szCs w:val="24"/>
        </w:rPr>
        <w:br/>
      </w:r>
      <w:r w:rsidRPr="00937F6C">
        <w:rPr>
          <w:rStyle w:val="Strong"/>
          <w:rFonts w:ascii="Times New Roman" w:hAnsi="Times New Roman" w:cs="Times New Roman"/>
          <w:sz w:val="24"/>
          <w:szCs w:val="24"/>
        </w:rPr>
        <w:t>Conflict of Interest:</w:t>
      </w:r>
      <w:r w:rsidRPr="00937F6C">
        <w:rPr>
          <w:rFonts w:ascii="Times New Roman" w:hAnsi="Times New Roman" w:cs="Times New Roman"/>
          <w:sz w:val="24"/>
          <w:szCs w:val="24"/>
        </w:rPr>
        <w:t xml:space="preserve"> The authors declare no conflict of interest.</w:t>
      </w:r>
      <w:r w:rsidRPr="00937F6C">
        <w:rPr>
          <w:rFonts w:ascii="Times New Roman" w:hAnsi="Times New Roman" w:cs="Times New Roman"/>
          <w:sz w:val="24"/>
          <w:szCs w:val="24"/>
        </w:rPr>
        <w:br/>
      </w:r>
      <w:r w:rsidRPr="00937F6C">
        <w:rPr>
          <w:rStyle w:val="Strong"/>
          <w:rFonts w:ascii="Times New Roman" w:hAnsi="Times New Roman" w:cs="Times New Roman"/>
          <w:sz w:val="24"/>
          <w:szCs w:val="24"/>
        </w:rPr>
        <w:t>Author Contributions:</w:t>
      </w:r>
      <w:r w:rsidRPr="00937F6C">
        <w:rPr>
          <w:rFonts w:ascii="Times New Roman" w:hAnsi="Times New Roman" w:cs="Times New Roman"/>
          <w:sz w:val="24"/>
          <w:szCs w:val="24"/>
        </w:rPr>
        <w:t xml:space="preserve"> All authors contributed, reviewed, and approved the final version.</w:t>
      </w:r>
      <w:r w:rsidRPr="00937F6C">
        <w:rPr>
          <w:rFonts w:ascii="Times New Roman" w:hAnsi="Times New Roman" w:cs="Times New Roman"/>
          <w:sz w:val="24"/>
          <w:szCs w:val="24"/>
        </w:rPr>
        <w:br/>
      </w:r>
      <w:r w:rsidRPr="00937F6C">
        <w:rPr>
          <w:rStyle w:val="Strong"/>
          <w:rFonts w:ascii="Times New Roman" w:hAnsi="Times New Roman" w:cs="Times New Roman"/>
          <w:sz w:val="24"/>
          <w:szCs w:val="24"/>
        </w:rPr>
        <w:t>Data Availability:</w:t>
      </w:r>
      <w:r w:rsidRPr="00937F6C">
        <w:rPr>
          <w:rFonts w:ascii="Times New Roman" w:hAnsi="Times New Roman" w:cs="Times New Roman"/>
          <w:sz w:val="24"/>
          <w:szCs w:val="24"/>
        </w:rPr>
        <w:t xml:space="preserve"> The datasets generated and analyzed during this study are available from the corresponding author and can be made available upon request.</w:t>
      </w:r>
    </w:p>
    <w:p w14:paraId="0A69CE19" w14:textId="77777777" w:rsidR="00927A83" w:rsidRPr="00937F6C" w:rsidRDefault="00927A83" w:rsidP="00937F6C">
      <w:pPr>
        <w:spacing w:after="0" w:line="240" w:lineRule="auto"/>
        <w:jc w:val="both"/>
        <w:rPr>
          <w:rFonts w:ascii="Times New Roman" w:hAnsi="Times New Roman" w:cs="Times New Roman"/>
          <w:b/>
          <w:sz w:val="24"/>
          <w:szCs w:val="24"/>
        </w:rPr>
      </w:pPr>
    </w:p>
    <w:p w14:paraId="18143993" w14:textId="77777777" w:rsidR="00927A83" w:rsidRPr="00937F6C" w:rsidRDefault="00927A83" w:rsidP="00937F6C">
      <w:pPr>
        <w:spacing w:after="0" w:line="240" w:lineRule="auto"/>
        <w:jc w:val="both"/>
        <w:rPr>
          <w:rFonts w:ascii="Times New Roman" w:hAnsi="Times New Roman" w:cs="Times New Roman"/>
          <w:b/>
          <w:sz w:val="24"/>
          <w:szCs w:val="24"/>
        </w:rPr>
      </w:pPr>
      <w:r w:rsidRPr="00937F6C">
        <w:rPr>
          <w:rFonts w:ascii="Times New Roman" w:hAnsi="Times New Roman" w:cs="Times New Roman"/>
          <w:b/>
          <w:sz w:val="24"/>
          <w:szCs w:val="24"/>
        </w:rPr>
        <w:t xml:space="preserve">ACKNOWLEDGEMENTS </w:t>
      </w:r>
    </w:p>
    <w:p w14:paraId="7E015E04" w14:textId="3DC8F0AA" w:rsidR="00927A83" w:rsidRPr="00937F6C" w:rsidRDefault="00927A83" w:rsidP="00937F6C">
      <w:pPr>
        <w:spacing w:after="0" w:line="240" w:lineRule="auto"/>
        <w:jc w:val="both"/>
        <w:rPr>
          <w:rFonts w:ascii="Times New Roman" w:hAnsi="Times New Roman" w:cs="Times New Roman"/>
          <w:b/>
          <w:sz w:val="24"/>
          <w:szCs w:val="24"/>
        </w:rPr>
      </w:pPr>
      <w:r w:rsidRPr="00937F6C">
        <w:rPr>
          <w:rFonts w:ascii="Times New Roman" w:hAnsi="Times New Roman" w:cs="Times New Roman"/>
          <w:sz w:val="24"/>
          <w:szCs w:val="24"/>
        </w:rPr>
        <w:t>The authors extend their gratitude to the students who took part in the study and to the experts whose reviews, insights, and suggestions greatly contributed to improving this paper.</w:t>
      </w:r>
    </w:p>
    <w:p w14:paraId="1580B5D8" w14:textId="79993A8F" w:rsidR="00927A83" w:rsidRPr="00937F6C" w:rsidRDefault="00927A83" w:rsidP="00937F6C">
      <w:pPr>
        <w:spacing w:after="0" w:line="240" w:lineRule="auto"/>
        <w:jc w:val="both"/>
        <w:rPr>
          <w:rFonts w:ascii="Times New Roman" w:hAnsi="Times New Roman" w:cs="Times New Roman"/>
          <w:b/>
          <w:sz w:val="24"/>
          <w:szCs w:val="24"/>
        </w:rPr>
      </w:pPr>
      <w:r w:rsidRPr="00937F6C">
        <w:rPr>
          <w:rFonts w:ascii="Times New Roman" w:hAnsi="Times New Roman" w:cs="Times New Roman"/>
          <w:b/>
          <w:sz w:val="24"/>
          <w:szCs w:val="24"/>
        </w:rPr>
        <w:t>REFERENCES</w:t>
      </w:r>
    </w:p>
    <w:p w14:paraId="05CCD2A6" w14:textId="6117CF9D"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00927A83" w:rsidRPr="00937F6C">
        <w:rPr>
          <w:rFonts w:ascii="Times New Roman" w:eastAsia="Times New Roman" w:hAnsi="Times New Roman" w:cs="Times New Roman"/>
          <w:sz w:val="24"/>
          <w:szCs w:val="24"/>
        </w:rPr>
        <w:t>Adamu</w:t>
      </w:r>
      <w:proofErr w:type="spellEnd"/>
      <w:r w:rsidR="00927A83" w:rsidRPr="00937F6C">
        <w:rPr>
          <w:rFonts w:ascii="Times New Roman" w:eastAsia="Times New Roman" w:hAnsi="Times New Roman" w:cs="Times New Roman"/>
          <w:sz w:val="24"/>
          <w:szCs w:val="24"/>
        </w:rPr>
        <w:t xml:space="preserve">, M. (2020). </w:t>
      </w:r>
      <w:r w:rsidR="00927A83" w:rsidRPr="00937F6C">
        <w:rPr>
          <w:rFonts w:ascii="Times New Roman" w:eastAsia="Times New Roman" w:hAnsi="Times New Roman" w:cs="Times New Roman"/>
          <w:i/>
          <w:iCs/>
          <w:sz w:val="24"/>
          <w:szCs w:val="24"/>
        </w:rPr>
        <w:t>The challenge of teaching mathematics in Ghana: Linking classroom practices to learners’ experiences</w:t>
      </w:r>
      <w:r w:rsidR="00927A83" w:rsidRPr="00937F6C">
        <w:rPr>
          <w:rFonts w:ascii="Times New Roman" w:eastAsia="Times New Roman" w:hAnsi="Times New Roman" w:cs="Times New Roman"/>
          <w:sz w:val="24"/>
          <w:szCs w:val="24"/>
        </w:rPr>
        <w:t>. Journal of Education and Practice, 11(2), 45–54.</w:t>
      </w:r>
    </w:p>
    <w:p w14:paraId="1DB9E01B" w14:textId="7B0E73EC"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27A83" w:rsidRPr="00937F6C">
        <w:rPr>
          <w:rFonts w:ascii="Times New Roman" w:eastAsia="Times New Roman" w:hAnsi="Times New Roman" w:cs="Times New Roman"/>
          <w:sz w:val="24"/>
          <w:szCs w:val="24"/>
        </w:rPr>
        <w:t xml:space="preserve">Andrade, H. (2019). A critical review of research on student self-assessment. </w:t>
      </w:r>
      <w:r w:rsidR="00927A83" w:rsidRPr="00937F6C">
        <w:rPr>
          <w:rFonts w:ascii="Times New Roman" w:eastAsia="Times New Roman" w:hAnsi="Times New Roman" w:cs="Times New Roman"/>
          <w:i/>
          <w:iCs/>
          <w:sz w:val="24"/>
          <w:szCs w:val="24"/>
        </w:rPr>
        <w:t>Frontiers in Education, 4</w:t>
      </w:r>
      <w:r w:rsidR="00927A83" w:rsidRPr="00937F6C">
        <w:rPr>
          <w:rFonts w:ascii="Times New Roman" w:eastAsia="Times New Roman" w:hAnsi="Times New Roman" w:cs="Times New Roman"/>
          <w:sz w:val="24"/>
          <w:szCs w:val="24"/>
        </w:rPr>
        <w:t>(87), 1–13. https://doi.org/10.3389/feduc.2019.00087</w:t>
      </w:r>
    </w:p>
    <w:p w14:paraId="7ED72F51" w14:textId="6510D513"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927A83" w:rsidRPr="00937F6C">
        <w:rPr>
          <w:rFonts w:ascii="Times New Roman" w:eastAsia="Times New Roman" w:hAnsi="Times New Roman" w:cs="Times New Roman"/>
          <w:sz w:val="24"/>
          <w:szCs w:val="24"/>
        </w:rPr>
        <w:t xml:space="preserve">Andrade, H., &amp; Beekman, J. (2023). Student perceptions of assessment in learning: A review. </w:t>
      </w:r>
      <w:r w:rsidR="00927A83" w:rsidRPr="00937F6C">
        <w:rPr>
          <w:rFonts w:ascii="Times New Roman" w:eastAsia="Times New Roman" w:hAnsi="Times New Roman" w:cs="Times New Roman"/>
          <w:i/>
          <w:iCs/>
          <w:sz w:val="24"/>
          <w:szCs w:val="24"/>
        </w:rPr>
        <w:t>Assessment in Education: Principles, Policy &amp; Practice, 30</w:t>
      </w:r>
      <w:r w:rsidR="00927A83" w:rsidRPr="00937F6C">
        <w:rPr>
          <w:rFonts w:ascii="Times New Roman" w:eastAsia="Times New Roman" w:hAnsi="Times New Roman" w:cs="Times New Roman"/>
          <w:sz w:val="24"/>
          <w:szCs w:val="24"/>
        </w:rPr>
        <w:t>(2), 117–134. https://doi.org/10.1080/0969594X.2022.2062789</w:t>
      </w:r>
    </w:p>
    <w:p w14:paraId="203F2985" w14:textId="3D243CEB"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27A83" w:rsidRPr="00937F6C">
        <w:rPr>
          <w:rFonts w:ascii="Times New Roman" w:eastAsia="Times New Roman" w:hAnsi="Times New Roman" w:cs="Times New Roman"/>
          <w:sz w:val="24"/>
          <w:szCs w:val="24"/>
        </w:rPr>
        <w:t xml:space="preserve">Bada, S. O. (2015). Constructivism learning theory: A paradigm for teaching and learning. </w:t>
      </w:r>
      <w:r w:rsidR="00927A83" w:rsidRPr="00937F6C">
        <w:rPr>
          <w:rFonts w:ascii="Times New Roman" w:eastAsia="Times New Roman" w:hAnsi="Times New Roman" w:cs="Times New Roman"/>
          <w:i/>
          <w:iCs/>
          <w:sz w:val="24"/>
          <w:szCs w:val="24"/>
        </w:rPr>
        <w:t>Journal of Research &amp; Method in Education, 5</w:t>
      </w:r>
      <w:r w:rsidR="00927A83" w:rsidRPr="00937F6C">
        <w:rPr>
          <w:rFonts w:ascii="Times New Roman" w:eastAsia="Times New Roman" w:hAnsi="Times New Roman" w:cs="Times New Roman"/>
          <w:sz w:val="24"/>
          <w:szCs w:val="24"/>
        </w:rPr>
        <w:t>(6), 66–70.</w:t>
      </w:r>
    </w:p>
    <w:p w14:paraId="322886CB" w14:textId="4657C685"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27A83" w:rsidRPr="00937F6C">
        <w:rPr>
          <w:rFonts w:ascii="Times New Roman" w:eastAsia="Times New Roman" w:hAnsi="Times New Roman" w:cs="Times New Roman"/>
          <w:sz w:val="24"/>
          <w:szCs w:val="24"/>
        </w:rPr>
        <w:t xml:space="preserve">Black, P., &amp; </w:t>
      </w:r>
      <w:proofErr w:type="spellStart"/>
      <w:r w:rsidR="00927A83" w:rsidRPr="00937F6C">
        <w:rPr>
          <w:rFonts w:ascii="Times New Roman" w:eastAsia="Times New Roman" w:hAnsi="Times New Roman" w:cs="Times New Roman"/>
          <w:sz w:val="24"/>
          <w:szCs w:val="24"/>
        </w:rPr>
        <w:t>Wiliam</w:t>
      </w:r>
      <w:proofErr w:type="spellEnd"/>
      <w:r w:rsidR="00927A83" w:rsidRPr="00937F6C">
        <w:rPr>
          <w:rFonts w:ascii="Times New Roman" w:eastAsia="Times New Roman" w:hAnsi="Times New Roman" w:cs="Times New Roman"/>
          <w:sz w:val="24"/>
          <w:szCs w:val="24"/>
        </w:rPr>
        <w:t xml:space="preserve">, D. (2018). Classroom assessment and pedagogy. </w:t>
      </w:r>
      <w:r w:rsidR="00927A83" w:rsidRPr="00937F6C">
        <w:rPr>
          <w:rFonts w:ascii="Times New Roman" w:eastAsia="Times New Roman" w:hAnsi="Times New Roman" w:cs="Times New Roman"/>
          <w:i/>
          <w:iCs/>
          <w:sz w:val="24"/>
          <w:szCs w:val="24"/>
        </w:rPr>
        <w:t>Assessment in Education: Principles, Policy &amp; Practice, 25</w:t>
      </w:r>
      <w:r w:rsidR="00927A83" w:rsidRPr="00937F6C">
        <w:rPr>
          <w:rFonts w:ascii="Times New Roman" w:eastAsia="Times New Roman" w:hAnsi="Times New Roman" w:cs="Times New Roman"/>
          <w:sz w:val="24"/>
          <w:szCs w:val="24"/>
        </w:rPr>
        <w:t>(6), 551–575. https://doi.org/10.1080/0969594X.2018.1441807</w:t>
      </w:r>
    </w:p>
    <w:p w14:paraId="57C7EB6B" w14:textId="26C0227A"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927A83" w:rsidRPr="00937F6C">
        <w:rPr>
          <w:rFonts w:ascii="Times New Roman" w:eastAsia="Times New Roman" w:hAnsi="Times New Roman" w:cs="Times New Roman"/>
          <w:sz w:val="24"/>
          <w:szCs w:val="24"/>
        </w:rPr>
        <w:t xml:space="preserve">Brown, G. T. L. (2019). Is assessment for learning really assessment? </w:t>
      </w:r>
      <w:r w:rsidR="00927A83" w:rsidRPr="00937F6C">
        <w:rPr>
          <w:rFonts w:ascii="Times New Roman" w:eastAsia="Times New Roman" w:hAnsi="Times New Roman" w:cs="Times New Roman"/>
          <w:i/>
          <w:iCs/>
          <w:sz w:val="24"/>
          <w:szCs w:val="24"/>
        </w:rPr>
        <w:t>Frontiers in Education, 4</w:t>
      </w:r>
      <w:r w:rsidR="00927A83" w:rsidRPr="00937F6C">
        <w:rPr>
          <w:rFonts w:ascii="Times New Roman" w:eastAsia="Times New Roman" w:hAnsi="Times New Roman" w:cs="Times New Roman"/>
          <w:sz w:val="24"/>
          <w:szCs w:val="24"/>
        </w:rPr>
        <w:t>, 64. https://doi.org/10.3389/feduc.2019.00064</w:t>
      </w:r>
    </w:p>
    <w:p w14:paraId="2B9F4143" w14:textId="653DEA07"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927A83" w:rsidRPr="00937F6C">
        <w:rPr>
          <w:rFonts w:ascii="Times New Roman" w:eastAsia="Times New Roman" w:hAnsi="Times New Roman" w:cs="Times New Roman"/>
          <w:sz w:val="24"/>
          <w:szCs w:val="24"/>
        </w:rPr>
        <w:t xml:space="preserve">Cooksey, R. W. (2020). </w:t>
      </w:r>
      <w:r w:rsidR="00927A83" w:rsidRPr="00937F6C">
        <w:rPr>
          <w:rFonts w:ascii="Times New Roman" w:eastAsia="Times New Roman" w:hAnsi="Times New Roman" w:cs="Times New Roman"/>
          <w:i/>
          <w:iCs/>
          <w:sz w:val="24"/>
          <w:szCs w:val="24"/>
        </w:rPr>
        <w:t>Descriptive statistics for researchers</w:t>
      </w:r>
      <w:r w:rsidR="00927A83" w:rsidRPr="00937F6C">
        <w:rPr>
          <w:rFonts w:ascii="Times New Roman" w:eastAsia="Times New Roman" w:hAnsi="Times New Roman" w:cs="Times New Roman"/>
          <w:sz w:val="24"/>
          <w:szCs w:val="24"/>
        </w:rPr>
        <w:t>. Routledge. https://doi.org/10.4324/9781003033239</w:t>
      </w:r>
    </w:p>
    <w:p w14:paraId="17977591" w14:textId="3B33DA9F"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927A83" w:rsidRPr="00937F6C">
        <w:rPr>
          <w:rFonts w:ascii="Times New Roman" w:eastAsia="Times New Roman" w:hAnsi="Times New Roman" w:cs="Times New Roman"/>
          <w:sz w:val="24"/>
          <w:szCs w:val="24"/>
        </w:rPr>
        <w:t>Deci, E. L., &amp; Ryan, R. M. (2004). Handbook of self-determination research. University of Rochester Press.</w:t>
      </w:r>
    </w:p>
    <w:p w14:paraId="2886076E" w14:textId="29B863BA"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927A83" w:rsidRPr="00937F6C">
        <w:rPr>
          <w:rFonts w:ascii="Times New Roman" w:eastAsia="Times New Roman" w:hAnsi="Times New Roman" w:cs="Times New Roman"/>
          <w:sz w:val="24"/>
          <w:szCs w:val="24"/>
        </w:rPr>
        <w:t xml:space="preserve">Devi, U. (2019). Constructivist teaching in mathematics: An approach to enhance student learning. </w:t>
      </w:r>
      <w:r w:rsidR="00927A83" w:rsidRPr="00937F6C">
        <w:rPr>
          <w:rFonts w:ascii="Times New Roman" w:eastAsia="Times New Roman" w:hAnsi="Times New Roman" w:cs="Times New Roman"/>
          <w:i/>
          <w:iCs/>
          <w:sz w:val="24"/>
          <w:szCs w:val="24"/>
        </w:rPr>
        <w:t>International Journal of Education and Research, 7</w:t>
      </w:r>
      <w:r w:rsidR="00927A83" w:rsidRPr="00937F6C">
        <w:rPr>
          <w:rFonts w:ascii="Times New Roman" w:eastAsia="Times New Roman" w:hAnsi="Times New Roman" w:cs="Times New Roman"/>
          <w:sz w:val="24"/>
          <w:szCs w:val="24"/>
        </w:rPr>
        <w:t>(3), 85–94.</w:t>
      </w:r>
    </w:p>
    <w:p w14:paraId="38D7D2F0" w14:textId="5A43029C"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927A83" w:rsidRPr="00937F6C">
        <w:rPr>
          <w:rFonts w:ascii="Times New Roman" w:eastAsia="Times New Roman" w:hAnsi="Times New Roman" w:cs="Times New Roman"/>
          <w:sz w:val="24"/>
          <w:szCs w:val="24"/>
        </w:rPr>
        <w:t xml:space="preserve">Ferguson, R. (2019). Feedback in mathematics classrooms: Strategies to promote engagement. </w:t>
      </w:r>
      <w:r w:rsidR="00927A83" w:rsidRPr="00937F6C">
        <w:rPr>
          <w:rFonts w:ascii="Times New Roman" w:eastAsia="Times New Roman" w:hAnsi="Times New Roman" w:cs="Times New Roman"/>
          <w:i/>
          <w:iCs/>
          <w:sz w:val="24"/>
          <w:szCs w:val="24"/>
        </w:rPr>
        <w:t>Mathematics Education Research Journal, 31</w:t>
      </w:r>
      <w:r w:rsidR="00927A83" w:rsidRPr="00937F6C">
        <w:rPr>
          <w:rFonts w:ascii="Times New Roman" w:eastAsia="Times New Roman" w:hAnsi="Times New Roman" w:cs="Times New Roman"/>
          <w:sz w:val="24"/>
          <w:szCs w:val="24"/>
        </w:rPr>
        <w:t>(2), 235–250. https://doi.org/10.1007/s13394-018-0248-y</w:t>
      </w:r>
    </w:p>
    <w:p w14:paraId="4AC42212" w14:textId="0091EB2D"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00927A83" w:rsidRPr="00937F6C">
        <w:rPr>
          <w:rFonts w:ascii="Times New Roman" w:eastAsia="Times New Roman" w:hAnsi="Times New Roman" w:cs="Times New Roman"/>
          <w:sz w:val="24"/>
          <w:szCs w:val="24"/>
        </w:rPr>
        <w:t>Finegold</w:t>
      </w:r>
      <w:proofErr w:type="spellEnd"/>
      <w:r w:rsidR="00927A83" w:rsidRPr="00937F6C">
        <w:rPr>
          <w:rFonts w:ascii="Times New Roman" w:eastAsia="Times New Roman" w:hAnsi="Times New Roman" w:cs="Times New Roman"/>
          <w:sz w:val="24"/>
          <w:szCs w:val="24"/>
        </w:rPr>
        <w:t xml:space="preserve">, D., &amp; </w:t>
      </w:r>
      <w:proofErr w:type="spellStart"/>
      <w:r w:rsidR="00927A83" w:rsidRPr="00937F6C">
        <w:rPr>
          <w:rFonts w:ascii="Times New Roman" w:eastAsia="Times New Roman" w:hAnsi="Times New Roman" w:cs="Times New Roman"/>
          <w:sz w:val="24"/>
          <w:szCs w:val="24"/>
        </w:rPr>
        <w:t>Notabartolo</w:t>
      </w:r>
      <w:proofErr w:type="spellEnd"/>
      <w:r w:rsidR="00927A83" w:rsidRPr="00937F6C">
        <w:rPr>
          <w:rFonts w:ascii="Times New Roman" w:eastAsia="Times New Roman" w:hAnsi="Times New Roman" w:cs="Times New Roman"/>
          <w:sz w:val="24"/>
          <w:szCs w:val="24"/>
        </w:rPr>
        <w:t xml:space="preserve">, A. S. (2010). 21st-century competencies and their impact: An interdisciplinary literature review. </w:t>
      </w:r>
      <w:r w:rsidR="00927A83" w:rsidRPr="00937F6C">
        <w:rPr>
          <w:rFonts w:ascii="Times New Roman" w:eastAsia="Times New Roman" w:hAnsi="Times New Roman" w:cs="Times New Roman"/>
          <w:i/>
          <w:iCs/>
          <w:sz w:val="24"/>
          <w:szCs w:val="24"/>
        </w:rPr>
        <w:t>Research in Higher Education Journal, 1</w:t>
      </w:r>
      <w:r w:rsidR="00927A83" w:rsidRPr="00937F6C">
        <w:rPr>
          <w:rFonts w:ascii="Times New Roman" w:eastAsia="Times New Roman" w:hAnsi="Times New Roman" w:cs="Times New Roman"/>
          <w:sz w:val="24"/>
          <w:szCs w:val="24"/>
        </w:rPr>
        <w:t>(5), 1–15.</w:t>
      </w:r>
    </w:p>
    <w:p w14:paraId="615BE10E" w14:textId="775795B8"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spellStart"/>
      <w:r w:rsidR="00927A83" w:rsidRPr="00937F6C">
        <w:rPr>
          <w:rFonts w:ascii="Times New Roman" w:eastAsia="Times New Roman" w:hAnsi="Times New Roman" w:cs="Times New Roman"/>
          <w:sz w:val="24"/>
          <w:szCs w:val="24"/>
        </w:rPr>
        <w:t>Frommelt</w:t>
      </w:r>
      <w:proofErr w:type="spellEnd"/>
      <w:r w:rsidR="00927A83" w:rsidRPr="00937F6C">
        <w:rPr>
          <w:rFonts w:ascii="Times New Roman" w:eastAsia="Times New Roman" w:hAnsi="Times New Roman" w:cs="Times New Roman"/>
          <w:sz w:val="24"/>
          <w:szCs w:val="24"/>
        </w:rPr>
        <w:t xml:space="preserve">, S., </w:t>
      </w:r>
      <w:proofErr w:type="spellStart"/>
      <w:r w:rsidR="00927A83" w:rsidRPr="00937F6C">
        <w:rPr>
          <w:rFonts w:ascii="Times New Roman" w:eastAsia="Times New Roman" w:hAnsi="Times New Roman" w:cs="Times New Roman"/>
          <w:sz w:val="24"/>
          <w:szCs w:val="24"/>
        </w:rPr>
        <w:t>Lazarides</w:t>
      </w:r>
      <w:proofErr w:type="spellEnd"/>
      <w:r w:rsidR="00927A83" w:rsidRPr="00937F6C">
        <w:rPr>
          <w:rFonts w:ascii="Times New Roman" w:eastAsia="Times New Roman" w:hAnsi="Times New Roman" w:cs="Times New Roman"/>
          <w:sz w:val="24"/>
          <w:szCs w:val="24"/>
        </w:rPr>
        <w:t xml:space="preserve">, R., &amp; </w:t>
      </w:r>
      <w:proofErr w:type="spellStart"/>
      <w:r w:rsidR="00927A83" w:rsidRPr="00937F6C">
        <w:rPr>
          <w:rFonts w:ascii="Times New Roman" w:eastAsia="Times New Roman" w:hAnsi="Times New Roman" w:cs="Times New Roman"/>
          <w:sz w:val="24"/>
          <w:szCs w:val="24"/>
        </w:rPr>
        <w:t>Rubach</w:t>
      </w:r>
      <w:proofErr w:type="spellEnd"/>
      <w:r w:rsidR="00927A83" w:rsidRPr="00937F6C">
        <w:rPr>
          <w:rFonts w:ascii="Times New Roman" w:eastAsia="Times New Roman" w:hAnsi="Times New Roman" w:cs="Times New Roman"/>
          <w:sz w:val="24"/>
          <w:szCs w:val="24"/>
        </w:rPr>
        <w:t xml:space="preserve">, C. (2021). Students’ interest in mathematics: Relations to perceived teacher support and motivational outcomes. </w:t>
      </w:r>
      <w:r w:rsidR="00927A83" w:rsidRPr="00937F6C">
        <w:rPr>
          <w:rFonts w:ascii="Times New Roman" w:eastAsia="Times New Roman" w:hAnsi="Times New Roman" w:cs="Times New Roman"/>
          <w:i/>
          <w:iCs/>
          <w:sz w:val="24"/>
          <w:szCs w:val="24"/>
        </w:rPr>
        <w:t>Frontiers in Psychology, 12</w:t>
      </w:r>
      <w:r w:rsidR="00927A83" w:rsidRPr="00937F6C">
        <w:rPr>
          <w:rFonts w:ascii="Times New Roman" w:eastAsia="Times New Roman" w:hAnsi="Times New Roman" w:cs="Times New Roman"/>
          <w:sz w:val="24"/>
          <w:szCs w:val="24"/>
        </w:rPr>
        <w:t>, 637737. https://doi.org/10.3389/fpsyg.2021.637737</w:t>
      </w:r>
    </w:p>
    <w:p w14:paraId="1CD5D218" w14:textId="2FE1172A"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927A83" w:rsidRPr="00937F6C">
        <w:rPr>
          <w:rFonts w:ascii="Times New Roman" w:eastAsia="Times New Roman" w:hAnsi="Times New Roman" w:cs="Times New Roman"/>
          <w:sz w:val="24"/>
          <w:szCs w:val="24"/>
        </w:rPr>
        <w:t xml:space="preserve">Grigg, R. (2021). </w:t>
      </w:r>
      <w:r w:rsidR="00927A83" w:rsidRPr="00937F6C">
        <w:rPr>
          <w:rFonts w:ascii="Times New Roman" w:eastAsia="Times New Roman" w:hAnsi="Times New Roman" w:cs="Times New Roman"/>
          <w:i/>
          <w:iCs/>
          <w:sz w:val="24"/>
          <w:szCs w:val="24"/>
        </w:rPr>
        <w:t>Teaching creative and critical thinking in schools</w:t>
      </w:r>
      <w:r w:rsidR="00927A83" w:rsidRPr="00937F6C">
        <w:rPr>
          <w:rFonts w:ascii="Times New Roman" w:eastAsia="Times New Roman" w:hAnsi="Times New Roman" w:cs="Times New Roman"/>
          <w:sz w:val="24"/>
          <w:szCs w:val="24"/>
        </w:rPr>
        <w:t>. SAGE.</w:t>
      </w:r>
    </w:p>
    <w:p w14:paraId="51E9ADCC" w14:textId="62576075"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sidR="00927A83" w:rsidRPr="00937F6C">
        <w:rPr>
          <w:rFonts w:ascii="Times New Roman" w:eastAsia="Times New Roman" w:hAnsi="Times New Roman" w:cs="Times New Roman"/>
          <w:sz w:val="24"/>
          <w:szCs w:val="24"/>
        </w:rPr>
        <w:t>Haughney</w:t>
      </w:r>
      <w:proofErr w:type="spellEnd"/>
      <w:r w:rsidR="00927A83" w:rsidRPr="00937F6C">
        <w:rPr>
          <w:rFonts w:ascii="Times New Roman" w:eastAsia="Times New Roman" w:hAnsi="Times New Roman" w:cs="Times New Roman"/>
          <w:sz w:val="24"/>
          <w:szCs w:val="24"/>
        </w:rPr>
        <w:t xml:space="preserve">, K., </w:t>
      </w:r>
      <w:proofErr w:type="spellStart"/>
      <w:r w:rsidR="00927A83" w:rsidRPr="00937F6C">
        <w:rPr>
          <w:rFonts w:ascii="Times New Roman" w:eastAsia="Times New Roman" w:hAnsi="Times New Roman" w:cs="Times New Roman"/>
          <w:sz w:val="24"/>
          <w:szCs w:val="24"/>
        </w:rPr>
        <w:t>Wakeman</w:t>
      </w:r>
      <w:proofErr w:type="spellEnd"/>
      <w:r w:rsidR="00927A83" w:rsidRPr="00937F6C">
        <w:rPr>
          <w:rFonts w:ascii="Times New Roman" w:eastAsia="Times New Roman" w:hAnsi="Times New Roman" w:cs="Times New Roman"/>
          <w:sz w:val="24"/>
          <w:szCs w:val="24"/>
        </w:rPr>
        <w:t xml:space="preserve">, S., Hart, L., &amp; Goodwin, M. (2020). The role of feedback in mathematics learning. </w:t>
      </w:r>
      <w:r w:rsidR="00927A83" w:rsidRPr="00937F6C">
        <w:rPr>
          <w:rFonts w:ascii="Times New Roman" w:eastAsia="Times New Roman" w:hAnsi="Times New Roman" w:cs="Times New Roman"/>
          <w:i/>
          <w:iCs/>
          <w:sz w:val="24"/>
          <w:szCs w:val="24"/>
        </w:rPr>
        <w:t>Preventing School Failure: Alternative Education for Children and Youth, 64</w:t>
      </w:r>
      <w:r w:rsidR="00927A83" w:rsidRPr="00937F6C">
        <w:rPr>
          <w:rFonts w:ascii="Times New Roman" w:eastAsia="Times New Roman" w:hAnsi="Times New Roman" w:cs="Times New Roman"/>
          <w:sz w:val="24"/>
          <w:szCs w:val="24"/>
        </w:rPr>
        <w:t>(4), 285–293. https://doi.org/10.1080/1045988X.2020.1728528</w:t>
      </w:r>
    </w:p>
    <w:p w14:paraId="0CBD451A" w14:textId="72289AC3"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927A83" w:rsidRPr="00937F6C">
        <w:rPr>
          <w:rFonts w:ascii="Times New Roman" w:eastAsia="Times New Roman" w:hAnsi="Times New Roman" w:cs="Times New Roman"/>
          <w:sz w:val="24"/>
          <w:szCs w:val="24"/>
        </w:rPr>
        <w:t xml:space="preserve">Heritage, M., &amp; Wylie, E. C. (2018). Reaping the benefits of assessment for learning: Achievement, identity, and equity. </w:t>
      </w:r>
      <w:r w:rsidR="00927A83" w:rsidRPr="00937F6C">
        <w:rPr>
          <w:rFonts w:ascii="Times New Roman" w:eastAsia="Times New Roman" w:hAnsi="Times New Roman" w:cs="Times New Roman"/>
          <w:i/>
          <w:iCs/>
          <w:sz w:val="24"/>
          <w:szCs w:val="24"/>
        </w:rPr>
        <w:t>ZDM – Mathematics Education, 50</w:t>
      </w:r>
      <w:r w:rsidR="00927A83" w:rsidRPr="00937F6C">
        <w:rPr>
          <w:rFonts w:ascii="Times New Roman" w:eastAsia="Times New Roman" w:hAnsi="Times New Roman" w:cs="Times New Roman"/>
          <w:sz w:val="24"/>
          <w:szCs w:val="24"/>
        </w:rPr>
        <w:t>(4), 729–741. https://doi.org/10.1007/s11858-018-0944-4</w:t>
      </w:r>
    </w:p>
    <w:p w14:paraId="5410AFB1" w14:textId="25C54252"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927A83" w:rsidRPr="00937F6C">
        <w:rPr>
          <w:rFonts w:ascii="Times New Roman" w:eastAsia="Times New Roman" w:hAnsi="Times New Roman" w:cs="Times New Roman"/>
          <w:sz w:val="24"/>
          <w:szCs w:val="24"/>
        </w:rPr>
        <w:t xml:space="preserve">Hermansen, M., </w:t>
      </w:r>
      <w:proofErr w:type="spellStart"/>
      <w:r w:rsidR="00927A83" w:rsidRPr="00937F6C">
        <w:rPr>
          <w:rFonts w:ascii="Times New Roman" w:eastAsia="Times New Roman" w:hAnsi="Times New Roman" w:cs="Times New Roman"/>
          <w:sz w:val="24"/>
          <w:szCs w:val="24"/>
        </w:rPr>
        <w:t>Tveit</w:t>
      </w:r>
      <w:proofErr w:type="spellEnd"/>
      <w:r w:rsidR="00927A83" w:rsidRPr="00937F6C">
        <w:rPr>
          <w:rFonts w:ascii="Times New Roman" w:eastAsia="Times New Roman" w:hAnsi="Times New Roman" w:cs="Times New Roman"/>
          <w:sz w:val="24"/>
          <w:szCs w:val="24"/>
        </w:rPr>
        <w:t xml:space="preserve">, S., &amp; Berg, A. (2014). Teachers’ use of assessment for learning: Exploring relationships to student motivation and achievement. </w:t>
      </w:r>
      <w:r w:rsidR="00927A83" w:rsidRPr="00937F6C">
        <w:rPr>
          <w:rFonts w:ascii="Times New Roman" w:eastAsia="Times New Roman" w:hAnsi="Times New Roman" w:cs="Times New Roman"/>
          <w:i/>
          <w:iCs/>
          <w:sz w:val="24"/>
          <w:szCs w:val="24"/>
        </w:rPr>
        <w:t>Scandinavian Journal of Educational Research, 58</w:t>
      </w:r>
      <w:r w:rsidR="00927A83" w:rsidRPr="00937F6C">
        <w:rPr>
          <w:rFonts w:ascii="Times New Roman" w:eastAsia="Times New Roman" w:hAnsi="Times New Roman" w:cs="Times New Roman"/>
          <w:sz w:val="24"/>
          <w:szCs w:val="24"/>
        </w:rPr>
        <w:t>(6), 639–662. https://doi.org/10.1080/00313831.2013.821088</w:t>
      </w:r>
    </w:p>
    <w:p w14:paraId="1F30EA73" w14:textId="588A68AA"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18. </w:t>
      </w:r>
      <w:proofErr w:type="spellStart"/>
      <w:r w:rsidR="00927A83" w:rsidRPr="00937F6C">
        <w:rPr>
          <w:rFonts w:ascii="Times New Roman" w:eastAsia="Times New Roman" w:hAnsi="Times New Roman" w:cs="Times New Roman"/>
          <w:sz w:val="24"/>
          <w:szCs w:val="24"/>
        </w:rPr>
        <w:t>Lazarides</w:t>
      </w:r>
      <w:proofErr w:type="spellEnd"/>
      <w:r w:rsidR="00927A83" w:rsidRPr="00937F6C">
        <w:rPr>
          <w:rFonts w:ascii="Times New Roman" w:eastAsia="Times New Roman" w:hAnsi="Times New Roman" w:cs="Times New Roman"/>
          <w:sz w:val="24"/>
          <w:szCs w:val="24"/>
        </w:rPr>
        <w:t xml:space="preserve">, R., Gaspard, H., &amp; </w:t>
      </w:r>
      <w:proofErr w:type="spellStart"/>
      <w:r w:rsidR="00927A83" w:rsidRPr="00937F6C">
        <w:rPr>
          <w:rFonts w:ascii="Times New Roman" w:eastAsia="Times New Roman" w:hAnsi="Times New Roman" w:cs="Times New Roman"/>
          <w:sz w:val="24"/>
          <w:szCs w:val="24"/>
        </w:rPr>
        <w:t>Dicke</w:t>
      </w:r>
      <w:proofErr w:type="spellEnd"/>
      <w:r w:rsidR="00927A83" w:rsidRPr="00937F6C">
        <w:rPr>
          <w:rFonts w:ascii="Times New Roman" w:eastAsia="Times New Roman" w:hAnsi="Times New Roman" w:cs="Times New Roman"/>
          <w:sz w:val="24"/>
          <w:szCs w:val="24"/>
        </w:rPr>
        <w:t xml:space="preserve">, A. L. (2020). Dynamics of classroom motivation: The role of student perceptions and teacher practices. </w:t>
      </w:r>
      <w:r w:rsidR="00927A83" w:rsidRPr="00937F6C">
        <w:rPr>
          <w:rFonts w:ascii="Times New Roman" w:eastAsia="Times New Roman" w:hAnsi="Times New Roman" w:cs="Times New Roman"/>
          <w:i/>
          <w:iCs/>
          <w:sz w:val="24"/>
          <w:szCs w:val="24"/>
        </w:rPr>
        <w:t>Contemporary Educational Psychology, 63</w:t>
      </w:r>
      <w:r w:rsidR="00927A83" w:rsidRPr="00937F6C">
        <w:rPr>
          <w:rFonts w:ascii="Times New Roman" w:eastAsia="Times New Roman" w:hAnsi="Times New Roman" w:cs="Times New Roman"/>
          <w:sz w:val="24"/>
          <w:szCs w:val="24"/>
        </w:rPr>
        <w:t>, 101935. https://doi.org/10.1016/j.cedpsych.2020.101935</w:t>
      </w:r>
    </w:p>
    <w:p w14:paraId="329F0CC1" w14:textId="375BDAAE"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927A83" w:rsidRPr="00937F6C">
        <w:rPr>
          <w:rFonts w:ascii="Times New Roman" w:eastAsia="Times New Roman" w:hAnsi="Times New Roman" w:cs="Times New Roman"/>
          <w:sz w:val="24"/>
          <w:szCs w:val="24"/>
        </w:rPr>
        <w:t xml:space="preserve">Ng, C., Leung, F. K. S., &amp; Chan, K. K. (2020). Assessment for learning and student participation: A case study in Hong Kong mathematics classrooms. </w:t>
      </w:r>
      <w:r w:rsidR="00927A83" w:rsidRPr="00937F6C">
        <w:rPr>
          <w:rFonts w:ascii="Times New Roman" w:eastAsia="Times New Roman" w:hAnsi="Times New Roman" w:cs="Times New Roman"/>
          <w:i/>
          <w:iCs/>
          <w:sz w:val="24"/>
          <w:szCs w:val="24"/>
        </w:rPr>
        <w:t>Educational Studies in Mathematics, 104</w:t>
      </w:r>
      <w:r w:rsidR="00927A83" w:rsidRPr="00937F6C">
        <w:rPr>
          <w:rFonts w:ascii="Times New Roman" w:eastAsia="Times New Roman" w:hAnsi="Times New Roman" w:cs="Times New Roman"/>
          <w:sz w:val="24"/>
          <w:szCs w:val="24"/>
        </w:rPr>
        <w:t>(1), 63–85. https://doi.org/10.1007/s10649-020-09960-5</w:t>
      </w:r>
    </w:p>
    <w:p w14:paraId="1AB90CD3" w14:textId="72657440"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00927A83" w:rsidRPr="00937F6C">
        <w:rPr>
          <w:rFonts w:ascii="Times New Roman" w:eastAsia="Times New Roman" w:hAnsi="Times New Roman" w:cs="Times New Roman"/>
          <w:sz w:val="24"/>
          <w:szCs w:val="24"/>
        </w:rPr>
        <w:t xml:space="preserve">Rahman, M. A., Abdullah, N., &amp; Osman, K. (2021). The role of formative assessment in promoting student learning in mathematics. </w:t>
      </w:r>
      <w:r w:rsidR="00927A83" w:rsidRPr="00937F6C">
        <w:rPr>
          <w:rFonts w:ascii="Times New Roman" w:eastAsia="Times New Roman" w:hAnsi="Times New Roman" w:cs="Times New Roman"/>
          <w:i/>
          <w:iCs/>
          <w:sz w:val="24"/>
          <w:szCs w:val="24"/>
        </w:rPr>
        <w:t>International Electronic Journal of Mathematics Education, 16</w:t>
      </w:r>
      <w:r w:rsidR="00927A83" w:rsidRPr="00937F6C">
        <w:rPr>
          <w:rFonts w:ascii="Times New Roman" w:eastAsia="Times New Roman" w:hAnsi="Times New Roman" w:cs="Times New Roman"/>
          <w:sz w:val="24"/>
          <w:szCs w:val="24"/>
        </w:rPr>
        <w:t>(2), em0629. https://doi.org/10.29333/iejme/9762</w:t>
      </w:r>
    </w:p>
    <w:p w14:paraId="482DC3C8" w14:textId="6D575979"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27A83" w:rsidRPr="00937F6C">
        <w:rPr>
          <w:rFonts w:ascii="Times New Roman" w:eastAsia="Times New Roman" w:hAnsi="Times New Roman" w:cs="Times New Roman"/>
          <w:sz w:val="24"/>
          <w:szCs w:val="24"/>
        </w:rPr>
        <w:t xml:space="preserve">Randel, B., </w:t>
      </w:r>
      <w:proofErr w:type="spellStart"/>
      <w:r w:rsidR="00927A83" w:rsidRPr="00937F6C">
        <w:rPr>
          <w:rFonts w:ascii="Times New Roman" w:eastAsia="Times New Roman" w:hAnsi="Times New Roman" w:cs="Times New Roman"/>
          <w:sz w:val="24"/>
          <w:szCs w:val="24"/>
        </w:rPr>
        <w:t>Beesley</w:t>
      </w:r>
      <w:proofErr w:type="spellEnd"/>
      <w:r w:rsidR="00927A83" w:rsidRPr="00937F6C">
        <w:rPr>
          <w:rFonts w:ascii="Times New Roman" w:eastAsia="Times New Roman" w:hAnsi="Times New Roman" w:cs="Times New Roman"/>
          <w:sz w:val="24"/>
          <w:szCs w:val="24"/>
        </w:rPr>
        <w:t xml:space="preserve">, A. D., </w:t>
      </w:r>
      <w:proofErr w:type="spellStart"/>
      <w:r w:rsidR="00927A83" w:rsidRPr="00937F6C">
        <w:rPr>
          <w:rFonts w:ascii="Times New Roman" w:eastAsia="Times New Roman" w:hAnsi="Times New Roman" w:cs="Times New Roman"/>
          <w:sz w:val="24"/>
          <w:szCs w:val="24"/>
        </w:rPr>
        <w:t>Apthorp</w:t>
      </w:r>
      <w:proofErr w:type="spellEnd"/>
      <w:r w:rsidR="00927A83" w:rsidRPr="00937F6C">
        <w:rPr>
          <w:rFonts w:ascii="Times New Roman" w:eastAsia="Times New Roman" w:hAnsi="Times New Roman" w:cs="Times New Roman"/>
          <w:sz w:val="24"/>
          <w:szCs w:val="24"/>
        </w:rPr>
        <w:t xml:space="preserve">, H., Clark, T., Wang, X., </w:t>
      </w:r>
      <w:proofErr w:type="spellStart"/>
      <w:r w:rsidR="00927A83" w:rsidRPr="00937F6C">
        <w:rPr>
          <w:rFonts w:ascii="Times New Roman" w:eastAsia="Times New Roman" w:hAnsi="Times New Roman" w:cs="Times New Roman"/>
          <w:sz w:val="24"/>
          <w:szCs w:val="24"/>
        </w:rPr>
        <w:t>Cicchinelli</w:t>
      </w:r>
      <w:proofErr w:type="spellEnd"/>
      <w:r w:rsidR="00927A83" w:rsidRPr="00937F6C">
        <w:rPr>
          <w:rFonts w:ascii="Times New Roman" w:eastAsia="Times New Roman" w:hAnsi="Times New Roman" w:cs="Times New Roman"/>
          <w:sz w:val="24"/>
          <w:szCs w:val="24"/>
        </w:rPr>
        <w:t xml:space="preserve">, L. F., &amp; Williams, J. M. (2016). </w:t>
      </w:r>
      <w:r w:rsidR="00927A83" w:rsidRPr="00937F6C">
        <w:rPr>
          <w:rFonts w:ascii="Times New Roman" w:eastAsia="Times New Roman" w:hAnsi="Times New Roman" w:cs="Times New Roman"/>
          <w:i/>
          <w:iCs/>
          <w:sz w:val="24"/>
          <w:szCs w:val="24"/>
        </w:rPr>
        <w:t>Classroom assessment for student learning: The impact on student achievement</w:t>
      </w:r>
      <w:r w:rsidR="00927A83" w:rsidRPr="00937F6C">
        <w:rPr>
          <w:rFonts w:ascii="Times New Roman" w:eastAsia="Times New Roman" w:hAnsi="Times New Roman" w:cs="Times New Roman"/>
          <w:sz w:val="24"/>
          <w:szCs w:val="24"/>
        </w:rPr>
        <w:t>. REL Technical Report.</w:t>
      </w:r>
    </w:p>
    <w:p w14:paraId="1EBCB44A" w14:textId="0573EADA"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927A83" w:rsidRPr="00937F6C">
        <w:rPr>
          <w:rFonts w:ascii="Times New Roman" w:eastAsia="Times New Roman" w:hAnsi="Times New Roman" w:cs="Times New Roman"/>
          <w:sz w:val="24"/>
          <w:szCs w:val="24"/>
        </w:rPr>
        <w:t xml:space="preserve">Shute, V. J., Rahimi, S., &amp; Lu, X. (2019). The power of feedback in mathematics learning. </w:t>
      </w:r>
      <w:r w:rsidR="00927A83" w:rsidRPr="00937F6C">
        <w:rPr>
          <w:rFonts w:ascii="Times New Roman" w:eastAsia="Times New Roman" w:hAnsi="Times New Roman" w:cs="Times New Roman"/>
          <w:i/>
          <w:iCs/>
          <w:sz w:val="24"/>
          <w:szCs w:val="24"/>
        </w:rPr>
        <w:t>Educational Psychologist, 54</w:t>
      </w:r>
      <w:r w:rsidR="00927A83" w:rsidRPr="00937F6C">
        <w:rPr>
          <w:rFonts w:ascii="Times New Roman" w:eastAsia="Times New Roman" w:hAnsi="Times New Roman" w:cs="Times New Roman"/>
          <w:sz w:val="24"/>
          <w:szCs w:val="24"/>
        </w:rPr>
        <w:t>(2), 111–131. https://doi.org/10.1080/00461520.2019.1571630</w:t>
      </w:r>
    </w:p>
    <w:p w14:paraId="485D2C2F" w14:textId="3BE666AA" w:rsidR="00927A83" w:rsidRPr="00937F6C" w:rsidRDefault="00937F6C" w:rsidP="00937F6C">
      <w:pPr>
        <w:spacing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927A83" w:rsidRPr="00937F6C">
        <w:rPr>
          <w:rFonts w:ascii="Times New Roman" w:eastAsia="Times New Roman" w:hAnsi="Times New Roman" w:cs="Times New Roman"/>
          <w:sz w:val="24"/>
          <w:szCs w:val="24"/>
        </w:rPr>
        <w:t xml:space="preserve">Palinkas, L. A., Horwitz, S. M., Green, C. A., Wisdom, J. P., </w:t>
      </w:r>
      <w:proofErr w:type="spellStart"/>
      <w:r w:rsidR="00927A83" w:rsidRPr="00937F6C">
        <w:rPr>
          <w:rFonts w:ascii="Times New Roman" w:eastAsia="Times New Roman" w:hAnsi="Times New Roman" w:cs="Times New Roman"/>
          <w:sz w:val="24"/>
          <w:szCs w:val="24"/>
        </w:rPr>
        <w:t>Duan</w:t>
      </w:r>
      <w:proofErr w:type="spellEnd"/>
      <w:r w:rsidR="00927A83" w:rsidRPr="00937F6C">
        <w:rPr>
          <w:rFonts w:ascii="Times New Roman" w:eastAsia="Times New Roman" w:hAnsi="Times New Roman" w:cs="Times New Roman"/>
          <w:sz w:val="24"/>
          <w:szCs w:val="24"/>
        </w:rPr>
        <w:t xml:space="preserve">, N., &amp; </w:t>
      </w:r>
      <w:proofErr w:type="spellStart"/>
      <w:r w:rsidR="00927A83" w:rsidRPr="00937F6C">
        <w:rPr>
          <w:rFonts w:ascii="Times New Roman" w:eastAsia="Times New Roman" w:hAnsi="Times New Roman" w:cs="Times New Roman"/>
          <w:sz w:val="24"/>
          <w:szCs w:val="24"/>
        </w:rPr>
        <w:t>Hoagwood</w:t>
      </w:r>
      <w:proofErr w:type="spellEnd"/>
      <w:r w:rsidR="00927A83" w:rsidRPr="00937F6C">
        <w:rPr>
          <w:rFonts w:ascii="Times New Roman" w:eastAsia="Times New Roman" w:hAnsi="Times New Roman" w:cs="Times New Roman"/>
          <w:sz w:val="24"/>
          <w:szCs w:val="24"/>
        </w:rPr>
        <w:t xml:space="preserve">, K. (2015). Purposeful sampling for qualitative data collection and analysis in mixed-method implementation research. </w:t>
      </w:r>
      <w:r w:rsidR="00927A83" w:rsidRPr="00937F6C">
        <w:rPr>
          <w:rFonts w:ascii="Times New Roman" w:eastAsia="Times New Roman" w:hAnsi="Times New Roman" w:cs="Times New Roman"/>
          <w:i/>
          <w:iCs/>
          <w:sz w:val="24"/>
          <w:szCs w:val="24"/>
        </w:rPr>
        <w:t>Administration and Policy in Mental Health and Mental Health Services Research, 42</w:t>
      </w:r>
      <w:r w:rsidR="00927A83" w:rsidRPr="00937F6C">
        <w:rPr>
          <w:rFonts w:ascii="Times New Roman" w:eastAsia="Times New Roman" w:hAnsi="Times New Roman" w:cs="Times New Roman"/>
          <w:sz w:val="24"/>
          <w:szCs w:val="24"/>
        </w:rPr>
        <w:t>(5), 533–544. https://doi.org/10.1007/s10488-013-0528-y</w:t>
      </w:r>
    </w:p>
    <w:p w14:paraId="3974F4D8" w14:textId="3089DA98"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spellStart"/>
      <w:r w:rsidR="00927A83" w:rsidRPr="00937F6C">
        <w:rPr>
          <w:rFonts w:ascii="Times New Roman" w:eastAsia="Times New Roman" w:hAnsi="Times New Roman" w:cs="Times New Roman"/>
          <w:sz w:val="24"/>
          <w:szCs w:val="24"/>
        </w:rPr>
        <w:t>Wellberg</w:t>
      </w:r>
      <w:proofErr w:type="spellEnd"/>
      <w:r w:rsidR="00927A83" w:rsidRPr="00937F6C">
        <w:rPr>
          <w:rFonts w:ascii="Times New Roman" w:eastAsia="Times New Roman" w:hAnsi="Times New Roman" w:cs="Times New Roman"/>
          <w:sz w:val="24"/>
          <w:szCs w:val="24"/>
        </w:rPr>
        <w:t xml:space="preserve">, R., &amp; Evans, M. (2022). Peer assessment and mathematics participation: A review of classroom practices. </w:t>
      </w:r>
      <w:r w:rsidR="00927A83" w:rsidRPr="00937F6C">
        <w:rPr>
          <w:rFonts w:ascii="Times New Roman" w:eastAsia="Times New Roman" w:hAnsi="Times New Roman" w:cs="Times New Roman"/>
          <w:i/>
          <w:iCs/>
          <w:sz w:val="24"/>
          <w:szCs w:val="24"/>
        </w:rPr>
        <w:t>Mathematics Education Review, 34</w:t>
      </w:r>
      <w:r w:rsidR="00927A83" w:rsidRPr="00937F6C">
        <w:rPr>
          <w:rFonts w:ascii="Times New Roman" w:eastAsia="Times New Roman" w:hAnsi="Times New Roman" w:cs="Times New Roman"/>
          <w:sz w:val="24"/>
          <w:szCs w:val="24"/>
        </w:rPr>
        <w:t>(1), 56–72.</w:t>
      </w:r>
    </w:p>
    <w:p w14:paraId="56E1E047" w14:textId="767802AB"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spellStart"/>
      <w:r w:rsidR="00927A83" w:rsidRPr="00937F6C">
        <w:rPr>
          <w:rFonts w:ascii="Times New Roman" w:eastAsia="Times New Roman" w:hAnsi="Times New Roman" w:cs="Times New Roman"/>
          <w:sz w:val="24"/>
          <w:szCs w:val="24"/>
        </w:rPr>
        <w:t>Wiliam</w:t>
      </w:r>
      <w:proofErr w:type="spellEnd"/>
      <w:r w:rsidR="00927A83" w:rsidRPr="00937F6C">
        <w:rPr>
          <w:rFonts w:ascii="Times New Roman" w:eastAsia="Times New Roman" w:hAnsi="Times New Roman" w:cs="Times New Roman"/>
          <w:sz w:val="24"/>
          <w:szCs w:val="24"/>
        </w:rPr>
        <w:t xml:space="preserve">, D. (2017). Assessment and learning: The balance between assessment of learning and assessment for learning. </w:t>
      </w:r>
      <w:r w:rsidR="00927A83" w:rsidRPr="00937F6C">
        <w:rPr>
          <w:rFonts w:ascii="Times New Roman" w:eastAsia="Times New Roman" w:hAnsi="Times New Roman" w:cs="Times New Roman"/>
          <w:i/>
          <w:iCs/>
          <w:sz w:val="24"/>
          <w:szCs w:val="24"/>
        </w:rPr>
        <w:t>Assessment in Education: Principles, Policy &amp; Practice, 24</w:t>
      </w:r>
      <w:r w:rsidR="00927A83" w:rsidRPr="00937F6C">
        <w:rPr>
          <w:rFonts w:ascii="Times New Roman" w:eastAsia="Times New Roman" w:hAnsi="Times New Roman" w:cs="Times New Roman"/>
          <w:sz w:val="24"/>
          <w:szCs w:val="24"/>
        </w:rPr>
        <w:t>(2), 237–251. https://doi.org/10.1080/0969594X.2017.1288702</w:t>
      </w:r>
    </w:p>
    <w:p w14:paraId="3265ED85" w14:textId="1B155E8D" w:rsidR="00927A83" w:rsidRPr="00937F6C" w:rsidRDefault="00937F6C" w:rsidP="00937F6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927A83" w:rsidRPr="00937F6C">
        <w:rPr>
          <w:rFonts w:ascii="Times New Roman" w:eastAsia="Times New Roman" w:hAnsi="Times New Roman" w:cs="Times New Roman"/>
          <w:sz w:val="24"/>
          <w:szCs w:val="24"/>
        </w:rPr>
        <w:t xml:space="preserve">Yin, Y., Shavelson, R. J., Ayala, C. C., Ruiz-Primo, M. A., Brandon, P. R., </w:t>
      </w:r>
      <w:proofErr w:type="spellStart"/>
      <w:r w:rsidR="00927A83" w:rsidRPr="00937F6C">
        <w:rPr>
          <w:rFonts w:ascii="Times New Roman" w:eastAsia="Times New Roman" w:hAnsi="Times New Roman" w:cs="Times New Roman"/>
          <w:sz w:val="24"/>
          <w:szCs w:val="24"/>
        </w:rPr>
        <w:t>Furtak</w:t>
      </w:r>
      <w:proofErr w:type="spellEnd"/>
      <w:r w:rsidR="00927A83" w:rsidRPr="00937F6C">
        <w:rPr>
          <w:rFonts w:ascii="Times New Roman" w:eastAsia="Times New Roman" w:hAnsi="Times New Roman" w:cs="Times New Roman"/>
          <w:sz w:val="24"/>
          <w:szCs w:val="24"/>
        </w:rPr>
        <w:t xml:space="preserve">, E. M., … &amp; Young, D. B. (2008). On the impact of formative assessment on student motivation, achievement, and conceptual change. </w:t>
      </w:r>
      <w:r w:rsidR="00927A83" w:rsidRPr="00937F6C">
        <w:rPr>
          <w:rFonts w:ascii="Times New Roman" w:eastAsia="Times New Roman" w:hAnsi="Times New Roman" w:cs="Times New Roman"/>
          <w:i/>
          <w:iCs/>
          <w:sz w:val="24"/>
          <w:szCs w:val="24"/>
        </w:rPr>
        <w:t>Applied Measurement in Education, 21</w:t>
      </w:r>
      <w:r w:rsidR="00927A83" w:rsidRPr="00937F6C">
        <w:rPr>
          <w:rFonts w:ascii="Times New Roman" w:eastAsia="Times New Roman" w:hAnsi="Times New Roman" w:cs="Times New Roman"/>
          <w:sz w:val="24"/>
          <w:szCs w:val="24"/>
        </w:rPr>
        <w:t>(4), 335–359. https://doi.org/10.1080/08957340802347845</w:t>
      </w:r>
    </w:p>
    <w:p w14:paraId="0B55C61C" w14:textId="77777777" w:rsidR="00927A83" w:rsidRPr="00937F6C" w:rsidRDefault="00927A83" w:rsidP="00937F6C">
      <w:pPr>
        <w:spacing w:after="0" w:line="240" w:lineRule="auto"/>
        <w:jc w:val="both"/>
        <w:rPr>
          <w:rFonts w:ascii="Times New Roman" w:hAnsi="Times New Roman" w:cs="Times New Roman"/>
          <w:b/>
          <w:sz w:val="24"/>
          <w:szCs w:val="24"/>
        </w:rPr>
      </w:pPr>
    </w:p>
    <w:p w14:paraId="749DDBE3" w14:textId="77777777" w:rsidR="00927A83" w:rsidRPr="00937F6C" w:rsidRDefault="00927A83" w:rsidP="00937F6C">
      <w:pPr>
        <w:spacing w:after="0" w:line="240" w:lineRule="auto"/>
        <w:jc w:val="both"/>
        <w:rPr>
          <w:rFonts w:ascii="Times New Roman" w:hAnsi="Times New Roman" w:cs="Times New Roman"/>
          <w:sz w:val="24"/>
          <w:szCs w:val="24"/>
        </w:rPr>
      </w:pPr>
    </w:p>
    <w:p w14:paraId="33583D2D" w14:textId="77777777" w:rsidR="00701794" w:rsidRPr="00937F6C" w:rsidRDefault="00701794" w:rsidP="00937F6C">
      <w:pPr>
        <w:spacing w:line="240" w:lineRule="auto"/>
        <w:jc w:val="both"/>
        <w:rPr>
          <w:rFonts w:ascii="Times New Roman" w:hAnsi="Times New Roman" w:cs="Times New Roman"/>
          <w:sz w:val="24"/>
          <w:szCs w:val="24"/>
        </w:rPr>
      </w:pPr>
    </w:p>
    <w:sectPr w:rsidR="00701794" w:rsidRPr="00937F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42D23" w14:textId="77777777" w:rsidR="00FB43FA" w:rsidRDefault="00FB43FA" w:rsidP="00FB43FA">
      <w:pPr>
        <w:spacing w:after="0" w:line="240" w:lineRule="auto"/>
      </w:pPr>
      <w:r>
        <w:separator/>
      </w:r>
    </w:p>
  </w:endnote>
  <w:endnote w:type="continuationSeparator" w:id="0">
    <w:p w14:paraId="4461C47B" w14:textId="77777777" w:rsidR="00FB43FA" w:rsidRDefault="00FB43FA" w:rsidP="00FB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68766"/>
      <w:docPartObj>
        <w:docPartGallery w:val="Page Numbers (Bottom of Page)"/>
        <w:docPartUnique/>
      </w:docPartObj>
    </w:sdtPr>
    <w:sdtEndPr>
      <w:rPr>
        <w:noProof/>
      </w:rPr>
    </w:sdtEndPr>
    <w:sdtContent>
      <w:p w14:paraId="54DAC47C" w14:textId="7D34FDD8" w:rsidR="00FB43FA" w:rsidRDefault="00FB43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EC435" w14:textId="77777777" w:rsidR="00FB43FA" w:rsidRDefault="00FB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1431A" w14:textId="77777777" w:rsidR="00FB43FA" w:rsidRDefault="00FB43FA" w:rsidP="00FB43FA">
      <w:pPr>
        <w:spacing w:after="0" w:line="240" w:lineRule="auto"/>
      </w:pPr>
      <w:r>
        <w:separator/>
      </w:r>
    </w:p>
  </w:footnote>
  <w:footnote w:type="continuationSeparator" w:id="0">
    <w:p w14:paraId="24B5F098" w14:textId="77777777" w:rsidR="00FB43FA" w:rsidRDefault="00FB43FA" w:rsidP="00FB4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DB3"/>
    <w:multiLevelType w:val="multilevel"/>
    <w:tmpl w:val="88C4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1DF8"/>
    <w:multiLevelType w:val="hybridMultilevel"/>
    <w:tmpl w:val="E278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968"/>
    <w:multiLevelType w:val="multilevel"/>
    <w:tmpl w:val="FAE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7E"/>
    <w:rsid w:val="0000145B"/>
    <w:rsid w:val="00007C7E"/>
    <w:rsid w:val="000148A8"/>
    <w:rsid w:val="000407CF"/>
    <w:rsid w:val="00054B3D"/>
    <w:rsid w:val="0006753A"/>
    <w:rsid w:val="000709EF"/>
    <w:rsid w:val="00091BAA"/>
    <w:rsid w:val="00092C70"/>
    <w:rsid w:val="000B4164"/>
    <w:rsid w:val="000B4748"/>
    <w:rsid w:val="000E1B5D"/>
    <w:rsid w:val="000E6ACE"/>
    <w:rsid w:val="00114BCA"/>
    <w:rsid w:val="00123519"/>
    <w:rsid w:val="00176E5E"/>
    <w:rsid w:val="00185550"/>
    <w:rsid w:val="001A5225"/>
    <w:rsid w:val="001F3A5E"/>
    <w:rsid w:val="001F6B3F"/>
    <w:rsid w:val="002435D8"/>
    <w:rsid w:val="00257FA9"/>
    <w:rsid w:val="002612FC"/>
    <w:rsid w:val="00290BA3"/>
    <w:rsid w:val="002E1FB4"/>
    <w:rsid w:val="002F53CF"/>
    <w:rsid w:val="00311647"/>
    <w:rsid w:val="00324D0E"/>
    <w:rsid w:val="00337EEF"/>
    <w:rsid w:val="003451A3"/>
    <w:rsid w:val="0035498F"/>
    <w:rsid w:val="00372CE1"/>
    <w:rsid w:val="00384A06"/>
    <w:rsid w:val="00387E28"/>
    <w:rsid w:val="003C451C"/>
    <w:rsid w:val="003C5DA1"/>
    <w:rsid w:val="004101EB"/>
    <w:rsid w:val="00423C66"/>
    <w:rsid w:val="004972AE"/>
    <w:rsid w:val="004A376B"/>
    <w:rsid w:val="004C6F7C"/>
    <w:rsid w:val="004D2111"/>
    <w:rsid w:val="004F4365"/>
    <w:rsid w:val="004F722B"/>
    <w:rsid w:val="00504DD1"/>
    <w:rsid w:val="00516B95"/>
    <w:rsid w:val="00581BD1"/>
    <w:rsid w:val="00582114"/>
    <w:rsid w:val="00582F11"/>
    <w:rsid w:val="00592DB8"/>
    <w:rsid w:val="005F439A"/>
    <w:rsid w:val="00662832"/>
    <w:rsid w:val="006816E0"/>
    <w:rsid w:val="006C6735"/>
    <w:rsid w:val="00701794"/>
    <w:rsid w:val="00714860"/>
    <w:rsid w:val="00741E1A"/>
    <w:rsid w:val="00773724"/>
    <w:rsid w:val="00787C47"/>
    <w:rsid w:val="00797D7D"/>
    <w:rsid w:val="007B6356"/>
    <w:rsid w:val="007B7697"/>
    <w:rsid w:val="007F2FEF"/>
    <w:rsid w:val="007F5553"/>
    <w:rsid w:val="0080789B"/>
    <w:rsid w:val="008327FC"/>
    <w:rsid w:val="00836EAC"/>
    <w:rsid w:val="008622B4"/>
    <w:rsid w:val="008961ED"/>
    <w:rsid w:val="008A3379"/>
    <w:rsid w:val="008A70FE"/>
    <w:rsid w:val="008A7FD6"/>
    <w:rsid w:val="008C6DE6"/>
    <w:rsid w:val="008D574A"/>
    <w:rsid w:val="008F1A09"/>
    <w:rsid w:val="009139C5"/>
    <w:rsid w:val="00927A83"/>
    <w:rsid w:val="00937F6C"/>
    <w:rsid w:val="0094283D"/>
    <w:rsid w:val="00947D6B"/>
    <w:rsid w:val="00956AB1"/>
    <w:rsid w:val="009A29F0"/>
    <w:rsid w:val="009C2978"/>
    <w:rsid w:val="009E60A9"/>
    <w:rsid w:val="009F0196"/>
    <w:rsid w:val="009F5978"/>
    <w:rsid w:val="00A10D02"/>
    <w:rsid w:val="00A338BC"/>
    <w:rsid w:val="00A5295A"/>
    <w:rsid w:val="00A54668"/>
    <w:rsid w:val="00A76C20"/>
    <w:rsid w:val="00AA171D"/>
    <w:rsid w:val="00AA6E24"/>
    <w:rsid w:val="00AD4A2D"/>
    <w:rsid w:val="00AE1826"/>
    <w:rsid w:val="00AF2289"/>
    <w:rsid w:val="00B14125"/>
    <w:rsid w:val="00B456EC"/>
    <w:rsid w:val="00B63323"/>
    <w:rsid w:val="00B95A44"/>
    <w:rsid w:val="00BA4829"/>
    <w:rsid w:val="00BB4DA5"/>
    <w:rsid w:val="00C30735"/>
    <w:rsid w:val="00C51E11"/>
    <w:rsid w:val="00C641D2"/>
    <w:rsid w:val="00C75D26"/>
    <w:rsid w:val="00C92DCF"/>
    <w:rsid w:val="00CC4DDE"/>
    <w:rsid w:val="00CF4A92"/>
    <w:rsid w:val="00D07989"/>
    <w:rsid w:val="00D11332"/>
    <w:rsid w:val="00D378C5"/>
    <w:rsid w:val="00D56292"/>
    <w:rsid w:val="00D64A4F"/>
    <w:rsid w:val="00D71BC6"/>
    <w:rsid w:val="00D71DE7"/>
    <w:rsid w:val="00D74607"/>
    <w:rsid w:val="00D877E8"/>
    <w:rsid w:val="00DB1280"/>
    <w:rsid w:val="00DB285E"/>
    <w:rsid w:val="00DB458D"/>
    <w:rsid w:val="00DC657D"/>
    <w:rsid w:val="00DD5E0E"/>
    <w:rsid w:val="00DE2B5C"/>
    <w:rsid w:val="00DF323E"/>
    <w:rsid w:val="00E057F8"/>
    <w:rsid w:val="00E15361"/>
    <w:rsid w:val="00E56D53"/>
    <w:rsid w:val="00E65A3E"/>
    <w:rsid w:val="00E90A17"/>
    <w:rsid w:val="00EC35CC"/>
    <w:rsid w:val="00EE443A"/>
    <w:rsid w:val="00EF6367"/>
    <w:rsid w:val="00F07CAD"/>
    <w:rsid w:val="00F33399"/>
    <w:rsid w:val="00F36E6F"/>
    <w:rsid w:val="00F408E7"/>
    <w:rsid w:val="00F424C7"/>
    <w:rsid w:val="00F47477"/>
    <w:rsid w:val="00F75DC1"/>
    <w:rsid w:val="00F956D0"/>
    <w:rsid w:val="00FB43FA"/>
    <w:rsid w:val="00FC209D"/>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8605"/>
  <w15:chartTrackingRefBased/>
  <w15:docId w15:val="{A5B9B7AE-C662-42C6-8C93-B85651B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379"/>
  </w:style>
  <w:style w:type="paragraph" w:styleId="Heading2">
    <w:name w:val="heading 2"/>
    <w:basedOn w:val="Normal"/>
    <w:link w:val="Heading2Char"/>
    <w:uiPriority w:val="9"/>
    <w:qFormat/>
    <w:rsid w:val="00007C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07C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07C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C7E"/>
    <w:rPr>
      <w:color w:val="0563C1" w:themeColor="hyperlink"/>
      <w:u w:val="single"/>
    </w:rPr>
  </w:style>
  <w:style w:type="character" w:customStyle="1" w:styleId="Heading2Char">
    <w:name w:val="Heading 2 Char"/>
    <w:basedOn w:val="DefaultParagraphFont"/>
    <w:link w:val="Heading2"/>
    <w:uiPriority w:val="9"/>
    <w:rsid w:val="00007C7E"/>
    <w:rPr>
      <w:rFonts w:ascii="Times New Roman" w:eastAsia="Times New Roman" w:hAnsi="Times New Roman" w:cs="Times New Roman"/>
      <w:b/>
      <w:bCs/>
      <w:sz w:val="36"/>
      <w:szCs w:val="36"/>
    </w:rPr>
  </w:style>
  <w:style w:type="character" w:styleId="Strong">
    <w:name w:val="Strong"/>
    <w:basedOn w:val="DefaultParagraphFont"/>
    <w:uiPriority w:val="22"/>
    <w:qFormat/>
    <w:rsid w:val="00007C7E"/>
    <w:rPr>
      <w:b/>
      <w:bCs/>
    </w:rPr>
  </w:style>
  <w:style w:type="character" w:customStyle="1" w:styleId="Heading3Char">
    <w:name w:val="Heading 3 Char"/>
    <w:basedOn w:val="DefaultParagraphFont"/>
    <w:link w:val="Heading3"/>
    <w:uiPriority w:val="9"/>
    <w:rsid w:val="00007C7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927A83"/>
    <w:pPr>
      <w:spacing w:after="200" w:line="240" w:lineRule="auto"/>
    </w:pPr>
    <w:rPr>
      <w:i/>
      <w:iCs/>
      <w:color w:val="44546A" w:themeColor="text2"/>
      <w:sz w:val="18"/>
      <w:szCs w:val="18"/>
    </w:rPr>
  </w:style>
  <w:style w:type="table" w:styleId="PlainTable2">
    <w:name w:val="Plain Table 2"/>
    <w:basedOn w:val="TableNormal"/>
    <w:uiPriority w:val="42"/>
    <w:rsid w:val="00927A83"/>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927A83"/>
    <w:rPr>
      <w:i/>
      <w:iCs/>
    </w:rPr>
  </w:style>
  <w:style w:type="paragraph" w:customStyle="1" w:styleId="ds-markdown-paragraph">
    <w:name w:val="ds-markdown-paragraph"/>
    <w:basedOn w:val="Normal"/>
    <w:rsid w:val="00372CE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3724"/>
    <w:rPr>
      <w:color w:val="605E5C"/>
      <w:shd w:val="clear" w:color="auto" w:fill="E1DFDD"/>
    </w:rPr>
  </w:style>
  <w:style w:type="paragraph" w:styleId="ListParagraph">
    <w:name w:val="List Paragraph"/>
    <w:basedOn w:val="Normal"/>
    <w:uiPriority w:val="34"/>
    <w:qFormat/>
    <w:rsid w:val="00773724"/>
    <w:pPr>
      <w:ind w:left="720"/>
      <w:contextualSpacing/>
    </w:pPr>
  </w:style>
  <w:style w:type="paragraph" w:styleId="Header">
    <w:name w:val="header"/>
    <w:basedOn w:val="Normal"/>
    <w:link w:val="HeaderChar"/>
    <w:uiPriority w:val="99"/>
    <w:unhideWhenUsed/>
    <w:rsid w:val="00FB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3FA"/>
  </w:style>
  <w:style w:type="paragraph" w:styleId="Footer">
    <w:name w:val="footer"/>
    <w:basedOn w:val="Normal"/>
    <w:link w:val="FooterChar"/>
    <w:uiPriority w:val="99"/>
    <w:unhideWhenUsed/>
    <w:rsid w:val="00FB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51396">
      <w:bodyDiv w:val="1"/>
      <w:marLeft w:val="0"/>
      <w:marRight w:val="0"/>
      <w:marTop w:val="0"/>
      <w:marBottom w:val="0"/>
      <w:divBdr>
        <w:top w:val="none" w:sz="0" w:space="0" w:color="auto"/>
        <w:left w:val="none" w:sz="0" w:space="0" w:color="auto"/>
        <w:bottom w:val="none" w:sz="0" w:space="0" w:color="auto"/>
        <w:right w:val="none" w:sz="0" w:space="0" w:color="auto"/>
      </w:divBdr>
    </w:div>
    <w:div w:id="676270194">
      <w:bodyDiv w:val="1"/>
      <w:marLeft w:val="0"/>
      <w:marRight w:val="0"/>
      <w:marTop w:val="0"/>
      <w:marBottom w:val="0"/>
      <w:divBdr>
        <w:top w:val="none" w:sz="0" w:space="0" w:color="auto"/>
        <w:left w:val="none" w:sz="0" w:space="0" w:color="auto"/>
        <w:bottom w:val="none" w:sz="0" w:space="0" w:color="auto"/>
        <w:right w:val="none" w:sz="0" w:space="0" w:color="auto"/>
      </w:divBdr>
    </w:div>
    <w:div w:id="1479497104">
      <w:bodyDiv w:val="1"/>
      <w:marLeft w:val="0"/>
      <w:marRight w:val="0"/>
      <w:marTop w:val="0"/>
      <w:marBottom w:val="0"/>
      <w:divBdr>
        <w:top w:val="none" w:sz="0" w:space="0" w:color="auto"/>
        <w:left w:val="none" w:sz="0" w:space="0" w:color="auto"/>
        <w:bottom w:val="none" w:sz="0" w:space="0" w:color="auto"/>
        <w:right w:val="none" w:sz="0" w:space="0" w:color="auto"/>
      </w:divBdr>
    </w:div>
    <w:div w:id="1482578849">
      <w:bodyDiv w:val="1"/>
      <w:marLeft w:val="0"/>
      <w:marRight w:val="0"/>
      <w:marTop w:val="0"/>
      <w:marBottom w:val="0"/>
      <w:divBdr>
        <w:top w:val="none" w:sz="0" w:space="0" w:color="auto"/>
        <w:left w:val="none" w:sz="0" w:space="0" w:color="auto"/>
        <w:bottom w:val="none" w:sz="0" w:space="0" w:color="auto"/>
        <w:right w:val="none" w:sz="0" w:space="0" w:color="auto"/>
      </w:divBdr>
    </w:div>
    <w:div w:id="1875995681">
      <w:bodyDiv w:val="1"/>
      <w:marLeft w:val="0"/>
      <w:marRight w:val="0"/>
      <w:marTop w:val="0"/>
      <w:marBottom w:val="0"/>
      <w:divBdr>
        <w:top w:val="none" w:sz="0" w:space="0" w:color="auto"/>
        <w:left w:val="none" w:sz="0" w:space="0" w:color="auto"/>
        <w:bottom w:val="none" w:sz="0" w:space="0" w:color="auto"/>
        <w:right w:val="none" w:sz="0" w:space="0" w:color="auto"/>
      </w:divBdr>
    </w:div>
    <w:div w:id="1951276094">
      <w:bodyDiv w:val="1"/>
      <w:marLeft w:val="0"/>
      <w:marRight w:val="0"/>
      <w:marTop w:val="0"/>
      <w:marBottom w:val="0"/>
      <w:divBdr>
        <w:top w:val="none" w:sz="0" w:space="0" w:color="auto"/>
        <w:left w:val="none" w:sz="0" w:space="0" w:color="auto"/>
        <w:bottom w:val="none" w:sz="0" w:space="0" w:color="auto"/>
        <w:right w:val="none" w:sz="0" w:space="0" w:color="auto"/>
      </w:divBdr>
    </w:div>
    <w:div w:id="2069379786">
      <w:bodyDiv w:val="1"/>
      <w:marLeft w:val="0"/>
      <w:marRight w:val="0"/>
      <w:marTop w:val="0"/>
      <w:marBottom w:val="0"/>
      <w:divBdr>
        <w:top w:val="none" w:sz="0" w:space="0" w:color="auto"/>
        <w:left w:val="none" w:sz="0" w:space="0" w:color="auto"/>
        <w:bottom w:val="none" w:sz="0" w:space="0" w:color="auto"/>
        <w:right w:val="none" w:sz="0" w:space="0" w:color="auto"/>
      </w:divBdr>
    </w:div>
    <w:div w:id="20837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F1C747D16B4C85A28462DC1F978CD7"/>
        <w:category>
          <w:name w:val="General"/>
          <w:gallery w:val="placeholder"/>
        </w:category>
        <w:types>
          <w:type w:val="bbPlcHdr"/>
        </w:types>
        <w:behaviors>
          <w:behavior w:val="content"/>
        </w:behaviors>
        <w:guid w:val="{5A4C5686-5DB5-4966-8C82-4FB50F71392C}"/>
      </w:docPartPr>
      <w:docPartBody>
        <w:p w:rsidR="00A90893" w:rsidRDefault="00E84F87" w:rsidP="00E84F87">
          <w:pPr>
            <w:pStyle w:val="BAF1C747D16B4C85A28462DC1F978CD7"/>
          </w:pPr>
          <w:r>
            <w:rPr>
              <w:rStyle w:val="PlaceholderText"/>
            </w:rPr>
            <w:t>Click or tap here to enter text.</w:t>
          </w:r>
        </w:p>
      </w:docPartBody>
    </w:docPart>
    <w:docPart>
      <w:docPartPr>
        <w:name w:val="DB4782F5D52145F68B347B743A513518"/>
        <w:category>
          <w:name w:val="General"/>
          <w:gallery w:val="placeholder"/>
        </w:category>
        <w:types>
          <w:type w:val="bbPlcHdr"/>
        </w:types>
        <w:behaviors>
          <w:behavior w:val="content"/>
        </w:behaviors>
        <w:guid w:val="{1233E351-35C3-4A6D-ABA8-75FC2E2C69FE}"/>
      </w:docPartPr>
      <w:docPartBody>
        <w:p w:rsidR="00A90893" w:rsidRDefault="00E84F87" w:rsidP="00E84F87">
          <w:pPr>
            <w:pStyle w:val="DB4782F5D52145F68B347B743A51351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87"/>
    <w:rsid w:val="00A90893"/>
    <w:rsid w:val="00E8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84F87"/>
    <w:rPr>
      <w:color w:val="808080"/>
    </w:rPr>
  </w:style>
  <w:style w:type="paragraph" w:customStyle="1" w:styleId="BAF1C747D16B4C85A28462DC1F978CD7">
    <w:name w:val="BAF1C747D16B4C85A28462DC1F978CD7"/>
    <w:rsid w:val="00E84F87"/>
  </w:style>
  <w:style w:type="paragraph" w:customStyle="1" w:styleId="DB4782F5D52145F68B347B743A513518">
    <w:name w:val="DB4782F5D52145F68B347B743A513518"/>
    <w:rsid w:val="00E84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3A4A-A517-459B-B012-3BAC3ADC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5526</TotalTime>
  <Pages>13</Pages>
  <Words>5666</Words>
  <Characters>55277</Characters>
  <Application>Microsoft Office Word</Application>
  <DocSecurity>0</DocSecurity>
  <Lines>460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Yennukwa</dc:creator>
  <cp:keywords/>
  <dc:description/>
  <cp:lastModifiedBy>Yennukwa</cp:lastModifiedBy>
  <cp:revision>131</cp:revision>
  <dcterms:created xsi:type="dcterms:W3CDTF">2025-10-15T07:29:00Z</dcterms:created>
  <dcterms:modified xsi:type="dcterms:W3CDTF">2026-06-11T11:57:00Z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3944382b-a23d-434d-9b15-0f7946012458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26fd4671-657d-3a3a-93b0-cd68ed17f3fd</vt:lpwstr>
  </property>
</Properties>
</file>