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CD4A1" w14:textId="77777777" w:rsidR="00D82F96" w:rsidRPr="009743A1" w:rsidRDefault="00D82F96" w:rsidP="00D82F96">
      <w:pPr>
        <w:pStyle w:val="Heading3"/>
        <w:jc w:val="center"/>
        <w:rPr>
          <w:rFonts w:ascii="Times New Roman" w:hAnsi="Times New Roman" w:cs="Times New Roman"/>
          <w:b/>
          <w:bCs/>
          <w:color w:val="auto"/>
          <w:lang w:val="en-IN"/>
        </w:rPr>
      </w:pPr>
      <w:bookmarkStart w:id="0" w:name="i.-introduction"/>
      <w:r w:rsidRPr="009743A1">
        <w:rPr>
          <w:rFonts w:ascii="Times New Roman" w:hAnsi="Times New Roman" w:cs="Times New Roman"/>
          <w:b/>
          <w:bCs/>
          <w:color w:val="auto"/>
          <w:lang w:val="en-IN"/>
        </w:rPr>
        <w:t>Deep SporeNet: A Lightweight Few-Shot CNN for Illumination-Robust Fungal Species Identification on Mobile Devices</w:t>
      </w:r>
    </w:p>
    <w:p w14:paraId="7A851241" w14:textId="3F363859" w:rsidR="001E0518" w:rsidRPr="001E0518" w:rsidRDefault="001E0518" w:rsidP="001E0518">
      <w:pPr>
        <w:spacing w:after="0"/>
        <w:jc w:val="center"/>
        <w:rPr>
          <w:rFonts w:ascii="Times New Roman" w:hAnsi="Times New Roman" w:cs="Times New Roman"/>
          <w:lang w:val="en-IN"/>
        </w:rPr>
      </w:pPr>
    </w:p>
    <w:p w14:paraId="3CAE4CA7" w14:textId="77777777" w:rsidR="00D82F96" w:rsidRPr="009743A1" w:rsidRDefault="00D82F96" w:rsidP="00D82F96">
      <w:pPr>
        <w:pStyle w:val="Heading3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IN"/>
        </w:rPr>
      </w:pPr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  <w:lang w:val="en-IN"/>
        </w:rPr>
        <w:t>Abstract</w:t>
      </w:r>
    </w:p>
    <w:p w14:paraId="05BF77B7" w14:textId="77777777" w:rsidR="00D82F96" w:rsidRPr="009743A1" w:rsidRDefault="00D82F96" w:rsidP="00D82F96">
      <w:pPr>
        <w:pStyle w:val="Heading3"/>
        <w:jc w:val="both"/>
        <w:rPr>
          <w:rFonts w:ascii="Times New Roman" w:hAnsi="Times New Roman" w:cs="Times New Roman"/>
          <w:color w:val="auto"/>
          <w:sz w:val="24"/>
          <w:szCs w:val="24"/>
          <w:lang w:val="en-IN"/>
        </w:rPr>
      </w:pPr>
      <w:r w:rsidRPr="009743A1">
        <w:rPr>
          <w:rFonts w:ascii="Times New Roman" w:hAnsi="Times New Roman" w:cs="Times New Roman"/>
          <w:color w:val="auto"/>
          <w:sz w:val="24"/>
          <w:szCs w:val="24"/>
          <w:lang w:val="en-IN"/>
        </w:rPr>
        <w:t>Fungal infections in plants and humans pose major challenges to food security and clinical diagnostics, yet their identification still depends on expert microscopy and culture-based methods that are slow and equipment-intensive. Existing deep learning models for fungal classification achieve high accuracy under controlled imaging conditions but fail under illumination shifts, class imbalance, and low-data regimes typical of field or point-of-care scenarios. This study introduces Deep SporeNet, a compact convolutional neural network (CNN) with a few-shot episodic learning head and illumination-robust preprocessing, designed for mobile deployment in agricultural and clinical environments.</w:t>
      </w:r>
    </w:p>
    <w:p w14:paraId="1D60612D" w14:textId="77777777" w:rsidR="00D82F96" w:rsidRPr="009743A1" w:rsidRDefault="00D82F96" w:rsidP="00D82F96">
      <w:pPr>
        <w:pStyle w:val="Heading3"/>
        <w:jc w:val="both"/>
        <w:rPr>
          <w:rFonts w:ascii="Times New Roman" w:hAnsi="Times New Roman" w:cs="Times New Roman"/>
          <w:color w:val="auto"/>
          <w:sz w:val="24"/>
          <w:szCs w:val="24"/>
          <w:lang w:val="en-IN"/>
        </w:rPr>
      </w:pPr>
      <w:r w:rsidRPr="009743A1">
        <w:rPr>
          <w:rFonts w:ascii="Times New Roman" w:hAnsi="Times New Roman" w:cs="Times New Roman"/>
          <w:color w:val="auto"/>
          <w:sz w:val="24"/>
          <w:szCs w:val="24"/>
          <w:lang w:val="en-IN"/>
        </w:rPr>
        <w:t>The proposed framework integrates (i) color constancy and stain normalization to counter variable lighting, (ii) a MobileNetV2/EfficientNet-Lite backbone for efficient feature extraction, (iii) a Prototypical Network head for low-sample fungal taxa recognition, (iv) entropy-based test-time adaptation (TENT) for on-device robustness, and (v) temperature scaling for confidence calibration. Evaluations on the MycoAI-Lab and FieldMyco-Real datasets demonstrate that Deep SporeNet achieves 94.2% accuracy, 92.8% macro-F1, and a tail-class F1 of 82.7%, outperforming state-of-the-art mobile CNNs while running in &lt; 50 ms on a standard smartphone processor. Its well-calibrated predictions (ECE = 0.039) and interpretable Grad-CAM visualizations confirm suitability for real-time fungal diagnostics, crop protection, and biodiversity monitoring. The model thus represents a scalable step toward AI-assisted mycology that is both data-efficient and deployable in resource-limited settings.</w:t>
      </w:r>
    </w:p>
    <w:p w14:paraId="70422D29" w14:textId="77777777" w:rsidR="00D82F96" w:rsidRPr="009743A1" w:rsidRDefault="00D82F96" w:rsidP="00D82F96">
      <w:pPr>
        <w:pStyle w:val="Heading3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IN"/>
        </w:rPr>
      </w:pPr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  <w:lang w:val="en-IN"/>
        </w:rPr>
        <w:t>Keywords</w:t>
      </w:r>
    </w:p>
    <w:p w14:paraId="35CB6B37" w14:textId="77777777" w:rsidR="00D82F96" w:rsidRPr="009743A1" w:rsidRDefault="00D82F96" w:rsidP="00D82F96">
      <w:pPr>
        <w:pStyle w:val="Heading3"/>
        <w:jc w:val="both"/>
        <w:rPr>
          <w:rFonts w:ascii="Times New Roman" w:hAnsi="Times New Roman" w:cs="Times New Roman"/>
          <w:color w:val="auto"/>
          <w:sz w:val="24"/>
          <w:szCs w:val="24"/>
          <w:lang w:val="en-IN"/>
        </w:rPr>
      </w:pPr>
      <w:r w:rsidRPr="009743A1">
        <w:rPr>
          <w:rFonts w:ascii="Times New Roman" w:hAnsi="Times New Roman" w:cs="Times New Roman"/>
          <w:color w:val="auto"/>
          <w:sz w:val="24"/>
          <w:szCs w:val="24"/>
          <w:lang w:val="en-IN"/>
        </w:rPr>
        <w:t>Fungal Image Classification; Mycology; Deep Learning; Lightweight CNN; Few-Shot Learning; Illumination Normalization; Test-Time Adaptation; Temperature Scaling; Mobile AI; Agricultural Diagnostics; Clinical Pathology; Explainable Artificial Intelligence (XAI).</w:t>
      </w:r>
    </w:p>
    <w:p w14:paraId="5DCDD362" w14:textId="441848A4" w:rsidR="00DC5C43" w:rsidRPr="009743A1" w:rsidRDefault="00DC5C43" w:rsidP="00DC5C43">
      <w:pPr>
        <w:pStyle w:val="Heading3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I. Introduction</w:t>
      </w:r>
    </w:p>
    <w:p w14:paraId="3C334E7D" w14:textId="77777777" w:rsidR="00DC5C43" w:rsidRPr="009743A1" w:rsidRDefault="00DC5C43" w:rsidP="00DC5C43">
      <w:pPr>
        <w:pStyle w:val="FirstParagraph"/>
        <w:jc w:val="both"/>
        <w:rPr>
          <w:rFonts w:cs="Times New Roman"/>
        </w:rPr>
      </w:pPr>
      <w:r w:rsidRPr="009743A1">
        <w:rPr>
          <w:rFonts w:cs="Times New Roman"/>
        </w:rPr>
        <w:t xml:space="preserve">Fungal diseases threaten global food security, public health, and biodiversity, yet routine identification of fungi still relies heavily on expert microscopy and culture, which can be slow, subjective, and infrastructure-dependent. In agriculture, late or incorrect diagnosis of pathogens like </w:t>
      </w:r>
      <w:r w:rsidRPr="009743A1">
        <w:rPr>
          <w:rFonts w:cs="Times New Roman"/>
          <w:i/>
          <w:iCs/>
        </w:rPr>
        <w:t>Fusarium</w:t>
      </w:r>
      <w:r w:rsidRPr="009743A1">
        <w:rPr>
          <w:rFonts w:cs="Times New Roman"/>
        </w:rPr>
        <w:t xml:space="preserve">, </w:t>
      </w:r>
      <w:r w:rsidRPr="009743A1">
        <w:rPr>
          <w:rFonts w:cs="Times New Roman"/>
          <w:i/>
          <w:iCs/>
        </w:rPr>
        <w:t>Aspergillus</w:t>
      </w:r>
      <w:r w:rsidRPr="009743A1">
        <w:rPr>
          <w:rFonts w:cs="Times New Roman"/>
        </w:rPr>
        <w:t xml:space="preserve">, or </w:t>
      </w:r>
      <w:r w:rsidRPr="009743A1">
        <w:rPr>
          <w:rFonts w:cs="Times New Roman"/>
          <w:i/>
          <w:iCs/>
        </w:rPr>
        <w:t>Alternaria</w:t>
      </w:r>
      <w:r w:rsidRPr="009743A1">
        <w:rPr>
          <w:rFonts w:cs="Times New Roman"/>
        </w:rPr>
        <w:t xml:space="preserve"> leads to yield loss and mycotoxin risk; in clinics, timely recognition of </w:t>
      </w:r>
      <w:r w:rsidRPr="009743A1">
        <w:rPr>
          <w:rFonts w:cs="Times New Roman"/>
          <w:i/>
          <w:iCs/>
        </w:rPr>
        <w:t>Candida</w:t>
      </w:r>
      <w:r w:rsidRPr="009743A1">
        <w:rPr>
          <w:rFonts w:cs="Times New Roman"/>
        </w:rPr>
        <w:t xml:space="preserve">, </w:t>
      </w:r>
      <w:r w:rsidRPr="009743A1">
        <w:rPr>
          <w:rFonts w:cs="Times New Roman"/>
          <w:i/>
          <w:iCs/>
        </w:rPr>
        <w:t>Cryptococcus</w:t>
      </w:r>
      <w:r w:rsidRPr="009743A1">
        <w:rPr>
          <w:rFonts w:cs="Times New Roman"/>
        </w:rPr>
        <w:t>, or filamentous molds is critical for antifungal stewardship. Recent advances in convolutional neural networks (CNNs) have transformed image recognition tasks, enabling robust visual categorization from limited supervision [1]. For deployment in field settings—mobile phones, low-power edge devices—compact backbones such as MobileNetV2 and EfficientNet families provide strong accuracy–latency trade-offs [2], [3].</w:t>
      </w:r>
    </w:p>
    <w:p w14:paraId="1756DCDE" w14:textId="77777777" w:rsidR="00DC5C43" w:rsidRPr="009743A1" w:rsidRDefault="00DC5C43" w:rsidP="00DC5C43">
      <w:pPr>
        <w:pStyle w:val="BodyText"/>
        <w:jc w:val="both"/>
        <w:rPr>
          <w:rFonts w:cs="Times New Roman"/>
        </w:rPr>
      </w:pPr>
      <w:r w:rsidRPr="009743A1">
        <w:rPr>
          <w:rFonts w:cs="Times New Roman"/>
        </w:rPr>
        <w:t xml:space="preserve">However, mycological imaging poses distinct challenges: (i) visual variability across colony morphologies, spore shapes, stain protocols, and magnifications; (ii) domain shift due to lighting/white balance and sensor heterogeneity; and (iii) long-tail class imbalance, where rare or </w:t>
      </w:r>
      <w:r w:rsidRPr="009743A1">
        <w:rPr>
          <w:rFonts w:cs="Times New Roman"/>
        </w:rPr>
        <w:lastRenderedPageBreak/>
        <w:t>underrepresented species lack sufficient labels. Few-shot learning (FSL) and metric/meta-learning (e.g., Matching/Proto/Relation Networks; MAML) address low-data regimes by learning class-agnostic priors that adapt to new taxa with a handful of exemplars [4]–[7]. In parallel, data augmentation and test-time adaptation mitigate illumination and stain drift, improving out-of-distribution (OOD) robustness [8], [9].</w:t>
      </w:r>
    </w:p>
    <w:p w14:paraId="7A63E0C0" w14:textId="77777777" w:rsidR="00DC5C43" w:rsidRPr="009743A1" w:rsidRDefault="00DC5C43" w:rsidP="00DC5C43">
      <w:pPr>
        <w:pStyle w:val="BodyText"/>
        <w:jc w:val="both"/>
        <w:rPr>
          <w:rFonts w:cs="Times New Roman"/>
        </w:rPr>
      </w:pPr>
      <w:r w:rsidRPr="009743A1">
        <w:rPr>
          <w:rFonts w:cs="Times New Roman"/>
        </w:rPr>
        <w:t>We propose Deep SporeNet, a lightweight CNN with few-shot adapters and illumination-robust preprocessing, designed for mobile deployment to support crop protection, medical mycology, and biodiversity documentation. SporeNet incorporates (a) color constancy + stain/illumination normalization, (b) a mobile-efficient backbone with feature episodic heads for few-shot species extension, and (c) on-device inference via quantization-aware training, enabling near-real-time decisions in resource-limited settings.</w:t>
      </w:r>
    </w:p>
    <w:p w14:paraId="64B2171D" w14:textId="77777777" w:rsidR="00DC5C43" w:rsidRPr="009743A1" w:rsidRDefault="00DC5C43" w:rsidP="00DC5C43">
      <w:pPr>
        <w:pStyle w:val="BodyText"/>
        <w:jc w:val="both"/>
        <w:rPr>
          <w:rFonts w:cs="Times New Roman"/>
        </w:rPr>
      </w:pPr>
      <w:r w:rsidRPr="009743A1">
        <w:rPr>
          <w:rFonts w:cs="Times New Roman"/>
        </w:rPr>
        <w:t xml:space="preserve">References (IEEE): [1] A. Krizhevsky, I. Sutskever, and G. E. Hinton, “ImageNet classification with deep CNNs,” </w:t>
      </w:r>
      <w:r w:rsidRPr="009743A1">
        <w:rPr>
          <w:rFonts w:cs="Times New Roman"/>
          <w:i/>
          <w:iCs/>
        </w:rPr>
        <w:t>NIPS</w:t>
      </w:r>
      <w:r w:rsidRPr="009743A1">
        <w:rPr>
          <w:rFonts w:cs="Times New Roman"/>
        </w:rPr>
        <w:t xml:space="preserve">, 2012. [2] M. Sandler </w:t>
      </w:r>
      <w:r w:rsidRPr="009743A1">
        <w:rPr>
          <w:rFonts w:cs="Times New Roman"/>
          <w:i/>
          <w:iCs/>
        </w:rPr>
        <w:t>et al.</w:t>
      </w:r>
      <w:r w:rsidRPr="009743A1">
        <w:rPr>
          <w:rFonts w:cs="Times New Roman"/>
        </w:rPr>
        <w:t xml:space="preserve">, “MobileNetV2: Inverted residuals and linear bottlenecks,” </w:t>
      </w:r>
      <w:r w:rsidRPr="009743A1">
        <w:rPr>
          <w:rFonts w:cs="Times New Roman"/>
          <w:i/>
          <w:iCs/>
        </w:rPr>
        <w:t>CVPR</w:t>
      </w:r>
      <w:r w:rsidRPr="009743A1">
        <w:rPr>
          <w:rFonts w:cs="Times New Roman"/>
        </w:rPr>
        <w:t xml:space="preserve">, 2018. [3] M. Tan and Q. V. Le, “EfficientNet: Rethinking model scaling,” </w:t>
      </w:r>
      <w:r w:rsidRPr="009743A1">
        <w:rPr>
          <w:rFonts w:cs="Times New Roman"/>
          <w:i/>
          <w:iCs/>
        </w:rPr>
        <w:t>ICML</w:t>
      </w:r>
      <w:r w:rsidRPr="009743A1">
        <w:rPr>
          <w:rFonts w:cs="Times New Roman"/>
        </w:rPr>
        <w:t xml:space="preserve">, 2019. [4] O. Vinyals </w:t>
      </w:r>
      <w:r w:rsidRPr="009743A1">
        <w:rPr>
          <w:rFonts w:cs="Times New Roman"/>
          <w:i/>
          <w:iCs/>
        </w:rPr>
        <w:t>et al.</w:t>
      </w:r>
      <w:r w:rsidRPr="009743A1">
        <w:rPr>
          <w:rFonts w:cs="Times New Roman"/>
        </w:rPr>
        <w:t xml:space="preserve">, “Matching networks for one shot learning,” </w:t>
      </w:r>
      <w:r w:rsidRPr="009743A1">
        <w:rPr>
          <w:rFonts w:cs="Times New Roman"/>
          <w:i/>
          <w:iCs/>
        </w:rPr>
        <w:t>NIPS</w:t>
      </w:r>
      <w:r w:rsidRPr="009743A1">
        <w:rPr>
          <w:rFonts w:cs="Times New Roman"/>
        </w:rPr>
        <w:t xml:space="preserve">, 2016. [5] J. Snell, K. Swersky, and R. Zemel, “Prototypical networks,” </w:t>
      </w:r>
      <w:r w:rsidRPr="009743A1">
        <w:rPr>
          <w:rFonts w:cs="Times New Roman"/>
          <w:i/>
          <w:iCs/>
        </w:rPr>
        <w:t>NIPS</w:t>
      </w:r>
      <w:r w:rsidRPr="009743A1">
        <w:rPr>
          <w:rFonts w:cs="Times New Roman"/>
        </w:rPr>
        <w:t xml:space="preserve">, 2017. [6] F. Sung </w:t>
      </w:r>
      <w:r w:rsidRPr="009743A1">
        <w:rPr>
          <w:rFonts w:cs="Times New Roman"/>
          <w:i/>
          <w:iCs/>
        </w:rPr>
        <w:t>et al.</w:t>
      </w:r>
      <w:r w:rsidRPr="009743A1">
        <w:rPr>
          <w:rFonts w:cs="Times New Roman"/>
        </w:rPr>
        <w:t xml:space="preserve">, “Relation networks for few-shot learning,” </w:t>
      </w:r>
      <w:r w:rsidRPr="009743A1">
        <w:rPr>
          <w:rFonts w:cs="Times New Roman"/>
          <w:i/>
          <w:iCs/>
        </w:rPr>
        <w:t>CVPR</w:t>
      </w:r>
      <w:r w:rsidRPr="009743A1">
        <w:rPr>
          <w:rFonts w:cs="Times New Roman"/>
        </w:rPr>
        <w:t xml:space="preserve">, 2018. [7] C. Finn, P. Abbeel, and S. Levine, “Model-agnostic meta-learning for fast adaptation,” </w:t>
      </w:r>
      <w:r w:rsidRPr="009743A1">
        <w:rPr>
          <w:rFonts w:cs="Times New Roman"/>
          <w:i/>
          <w:iCs/>
        </w:rPr>
        <w:t>ICML</w:t>
      </w:r>
      <w:r w:rsidRPr="009743A1">
        <w:rPr>
          <w:rFonts w:cs="Times New Roman"/>
        </w:rPr>
        <w:t xml:space="preserve">, 2017. [8] E. D. Cubuk </w:t>
      </w:r>
      <w:r w:rsidRPr="009743A1">
        <w:rPr>
          <w:rFonts w:cs="Times New Roman"/>
          <w:i/>
          <w:iCs/>
        </w:rPr>
        <w:t>et al.</w:t>
      </w:r>
      <w:r w:rsidRPr="009743A1">
        <w:rPr>
          <w:rFonts w:cs="Times New Roman"/>
        </w:rPr>
        <w:t xml:space="preserve">, “RandAugment,” </w:t>
      </w:r>
      <w:r w:rsidRPr="009743A1">
        <w:rPr>
          <w:rFonts w:cs="Times New Roman"/>
          <w:i/>
          <w:iCs/>
        </w:rPr>
        <w:t>CVPR Workshops</w:t>
      </w:r>
      <w:r w:rsidRPr="009743A1">
        <w:rPr>
          <w:rFonts w:cs="Times New Roman"/>
        </w:rPr>
        <w:t xml:space="preserve">, 2020. [9] D. Wang, E. Shelhamer, S. Liu, A. Olshausen, and T. Darrell, “Tent: Fully test-time adaptation by entropy minimization,” </w:t>
      </w:r>
      <w:r w:rsidRPr="009743A1">
        <w:rPr>
          <w:rFonts w:cs="Times New Roman"/>
          <w:i/>
          <w:iCs/>
        </w:rPr>
        <w:t>ICLR</w:t>
      </w:r>
      <w:r w:rsidRPr="009743A1">
        <w:rPr>
          <w:rFonts w:cs="Times New Roman"/>
        </w:rPr>
        <w:t>, 2021.</w:t>
      </w:r>
    </w:p>
    <w:p w14:paraId="1F2DACFF" w14:textId="77777777" w:rsidR="00DC5C43" w:rsidRPr="009743A1" w:rsidRDefault="00DC5C43" w:rsidP="00DC5C43">
      <w:pPr>
        <w:pStyle w:val="Heading3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ii.-literature-review"/>
      <w:bookmarkEnd w:id="0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II. Literature Review</w:t>
      </w:r>
    </w:p>
    <w:p w14:paraId="365276F9" w14:textId="77777777" w:rsidR="00DC5C43" w:rsidRPr="009743A1" w:rsidRDefault="00DC5C43" w:rsidP="00DC5C43">
      <w:pPr>
        <w:pStyle w:val="Heading4"/>
        <w:jc w:val="both"/>
        <w:rPr>
          <w:rFonts w:ascii="Times New Roman" w:hAnsi="Times New Roman" w:cs="Times New Roman"/>
          <w:color w:val="auto"/>
        </w:rPr>
      </w:pPr>
      <w:bookmarkStart w:id="2" w:name="cnns-for-microbiologymycology-imaging"/>
      <w:r w:rsidRPr="009743A1">
        <w:rPr>
          <w:rFonts w:ascii="Times New Roman" w:hAnsi="Times New Roman" w:cs="Times New Roman"/>
          <w:color w:val="auto"/>
        </w:rPr>
        <w:t>1) CNNs for microbiology/mycology imaging</w:t>
      </w:r>
    </w:p>
    <w:p w14:paraId="14AAFB1D" w14:textId="77777777" w:rsidR="00DC5C43" w:rsidRPr="009743A1" w:rsidRDefault="00DC5C43" w:rsidP="00DC5C43">
      <w:pPr>
        <w:pStyle w:val="FirstParagraph"/>
        <w:jc w:val="both"/>
        <w:rPr>
          <w:rFonts w:cs="Times New Roman"/>
        </w:rPr>
      </w:pPr>
      <w:r w:rsidRPr="009743A1">
        <w:rPr>
          <w:rFonts w:cs="Times New Roman"/>
        </w:rPr>
        <w:t>Deep CNNs (ResNet/DenseNet/EfficientNet) have been applied to microscopic pathogens and colony morphology, showing large gains over classical texture/hand-crafted descriptors; efficient backbones (MobileNetV2, ShuffleNet) enable on-device use with modest accuracy loss [2], [3]. Key limitations are domain shift (slides, microscopes, illumination) and class imbalance (rare species).</w:t>
      </w:r>
    </w:p>
    <w:p w14:paraId="7E70340A" w14:textId="77777777" w:rsidR="00DC5C43" w:rsidRPr="009743A1" w:rsidRDefault="00DC5C43" w:rsidP="00DC5C43">
      <w:pPr>
        <w:pStyle w:val="Heading4"/>
        <w:jc w:val="both"/>
        <w:rPr>
          <w:rFonts w:ascii="Times New Roman" w:hAnsi="Times New Roman" w:cs="Times New Roman"/>
          <w:color w:val="auto"/>
        </w:rPr>
      </w:pPr>
      <w:bookmarkStart w:id="3" w:name="few-shot-learning-for-rare-taxa"/>
      <w:bookmarkEnd w:id="2"/>
      <w:r w:rsidRPr="009743A1">
        <w:rPr>
          <w:rFonts w:ascii="Times New Roman" w:hAnsi="Times New Roman" w:cs="Times New Roman"/>
          <w:color w:val="auto"/>
        </w:rPr>
        <w:t>2) Few-shot learning for rare taxa</w:t>
      </w:r>
    </w:p>
    <w:p w14:paraId="31895FCA" w14:textId="77777777" w:rsidR="00DC5C43" w:rsidRPr="009743A1" w:rsidRDefault="00DC5C43" w:rsidP="00DC5C43">
      <w:pPr>
        <w:pStyle w:val="FirstParagraph"/>
        <w:jc w:val="both"/>
        <w:rPr>
          <w:rFonts w:cs="Times New Roman"/>
        </w:rPr>
      </w:pPr>
      <w:r w:rsidRPr="009743A1">
        <w:rPr>
          <w:rFonts w:cs="Times New Roman"/>
        </w:rPr>
        <w:t>FSL methods learn an embedding space where class prototypes or relations support N-way K-shot recognition with few examples. Matching Networks use attention over support sets [4]; ProtoNets classify by nearest prototype in metric space [5]; Relation Networks learn a deep similarity function [6]; MAML rapidly adapts model parameters to new classes [7]. In biomedical imaging, these approaches reduce annotation burdens and improve tail-class recall.</w:t>
      </w:r>
    </w:p>
    <w:p w14:paraId="7E2CA178" w14:textId="77777777" w:rsidR="00DC5C43" w:rsidRPr="009743A1" w:rsidRDefault="00DC5C43" w:rsidP="00DC5C43">
      <w:pPr>
        <w:pStyle w:val="Heading4"/>
        <w:jc w:val="both"/>
        <w:rPr>
          <w:rFonts w:ascii="Times New Roman" w:hAnsi="Times New Roman" w:cs="Times New Roman"/>
          <w:color w:val="auto"/>
        </w:rPr>
      </w:pPr>
      <w:bookmarkStart w:id="4" w:name="Xb0eac5eedc277dd21cf7d6ff23291cbb185ac82"/>
      <w:bookmarkEnd w:id="3"/>
      <w:r w:rsidRPr="009743A1">
        <w:rPr>
          <w:rFonts w:ascii="Times New Roman" w:hAnsi="Times New Roman" w:cs="Times New Roman"/>
          <w:color w:val="auto"/>
        </w:rPr>
        <w:t>3) Robustness to illumination and domain shift</w:t>
      </w:r>
    </w:p>
    <w:p w14:paraId="113B77AD" w14:textId="77777777" w:rsidR="00DC5C43" w:rsidRPr="009743A1" w:rsidRDefault="00DC5C43" w:rsidP="00DC5C43">
      <w:pPr>
        <w:pStyle w:val="FirstParagraph"/>
        <w:jc w:val="both"/>
        <w:rPr>
          <w:rFonts w:cs="Times New Roman"/>
        </w:rPr>
      </w:pPr>
      <w:r w:rsidRPr="009743A1">
        <w:rPr>
          <w:rFonts w:cs="Times New Roman"/>
        </w:rPr>
        <w:t>Augmentations (color jitter, RandAugment) and color constancy/stain normalization help stabilize features under varying lighting. Test-time adaptation (e.g., TENT) further reduces calibration error and improves OOD accuracy through entropy minimization without labels [8], [9]. Quantization and pruning preserve performance while enabling real-time mobile inference.</w:t>
      </w:r>
    </w:p>
    <w:p w14:paraId="316ADDB9" w14:textId="77777777" w:rsidR="00DC5C43" w:rsidRPr="009743A1" w:rsidRDefault="00DC5C43" w:rsidP="00DC5C43">
      <w:pPr>
        <w:pStyle w:val="Heading4"/>
        <w:jc w:val="both"/>
        <w:rPr>
          <w:rFonts w:ascii="Times New Roman" w:hAnsi="Times New Roman" w:cs="Times New Roman"/>
          <w:color w:val="auto"/>
        </w:rPr>
      </w:pPr>
      <w:bookmarkStart w:id="5" w:name="Xaa4904647d7e31344dab03fa886b3f710b033f1"/>
      <w:bookmarkEnd w:id="4"/>
      <w:r w:rsidRPr="009743A1">
        <w:rPr>
          <w:rFonts w:ascii="Times New Roman" w:hAnsi="Times New Roman" w:cs="Times New Roman"/>
          <w:color w:val="auto"/>
        </w:rPr>
        <w:lastRenderedPageBreak/>
        <w:t>Table 1 — Approaches for Fungal Image Classification: Capabilities and Trade-offs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1517"/>
        <w:gridCol w:w="1747"/>
        <w:gridCol w:w="1570"/>
        <w:gridCol w:w="2091"/>
        <w:gridCol w:w="2425"/>
      </w:tblGrid>
      <w:tr w:rsidR="00F72E0E" w:rsidRPr="009743A1" w14:paraId="4D79387F" w14:textId="77777777" w:rsidTr="000B2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6BC8CCAF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Method family</w:t>
            </w:r>
          </w:p>
        </w:tc>
        <w:tc>
          <w:tcPr>
            <w:tcW w:w="0" w:type="auto"/>
          </w:tcPr>
          <w:p w14:paraId="1161448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Representative models</w:t>
            </w:r>
          </w:p>
        </w:tc>
        <w:tc>
          <w:tcPr>
            <w:tcW w:w="0" w:type="auto"/>
          </w:tcPr>
          <w:p w14:paraId="5B8F62C9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Strengths</w:t>
            </w:r>
          </w:p>
        </w:tc>
        <w:tc>
          <w:tcPr>
            <w:tcW w:w="0" w:type="auto"/>
          </w:tcPr>
          <w:p w14:paraId="26CD8E24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Limitations</w:t>
            </w:r>
          </w:p>
        </w:tc>
        <w:tc>
          <w:tcPr>
            <w:tcW w:w="0" w:type="auto"/>
          </w:tcPr>
          <w:p w14:paraId="36D2BBBE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Typical use-case</w:t>
            </w:r>
          </w:p>
        </w:tc>
      </w:tr>
      <w:tr w:rsidR="00F72E0E" w:rsidRPr="009743A1" w14:paraId="7CDD3384" w14:textId="77777777" w:rsidTr="000B2AEE">
        <w:tc>
          <w:tcPr>
            <w:tcW w:w="0" w:type="auto"/>
          </w:tcPr>
          <w:p w14:paraId="3E793D20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Classical ML + hand-crafted features</w:t>
            </w:r>
          </w:p>
        </w:tc>
        <w:tc>
          <w:tcPr>
            <w:tcW w:w="0" w:type="auto"/>
          </w:tcPr>
          <w:p w14:paraId="4C2AB80F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LBP, HOG, color histograms + SVM/RF</w:t>
            </w:r>
          </w:p>
        </w:tc>
        <w:tc>
          <w:tcPr>
            <w:tcW w:w="0" w:type="auto"/>
          </w:tcPr>
          <w:p w14:paraId="1DE40393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Simple, low compute; interpretable features</w:t>
            </w:r>
          </w:p>
        </w:tc>
        <w:tc>
          <w:tcPr>
            <w:tcW w:w="0" w:type="auto"/>
          </w:tcPr>
          <w:p w14:paraId="4F69D600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Poor generalization under lighting/stain changes; weak on fine-grained spores</w:t>
            </w:r>
          </w:p>
        </w:tc>
        <w:tc>
          <w:tcPr>
            <w:tcW w:w="0" w:type="auto"/>
          </w:tcPr>
          <w:p w14:paraId="2A438F4D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Baseline labs with very small datasets</w:t>
            </w:r>
          </w:p>
        </w:tc>
      </w:tr>
      <w:tr w:rsidR="00F72E0E" w:rsidRPr="009743A1" w14:paraId="217FB10D" w14:textId="77777777" w:rsidTr="000B2AEE">
        <w:tc>
          <w:tcPr>
            <w:tcW w:w="0" w:type="auto"/>
          </w:tcPr>
          <w:p w14:paraId="4D0E5825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Standard CNN (heavy)</w:t>
            </w:r>
          </w:p>
        </w:tc>
        <w:tc>
          <w:tcPr>
            <w:tcW w:w="0" w:type="auto"/>
          </w:tcPr>
          <w:p w14:paraId="3A5873C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ResNet-50/101, DenseNet-121, EfficientNet-B0/B3</w:t>
            </w:r>
          </w:p>
        </w:tc>
        <w:tc>
          <w:tcPr>
            <w:tcW w:w="0" w:type="auto"/>
          </w:tcPr>
          <w:p w14:paraId="6E5DBE07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High accuracy, strong feature hierarchy</w:t>
            </w:r>
          </w:p>
        </w:tc>
        <w:tc>
          <w:tcPr>
            <w:tcW w:w="0" w:type="auto"/>
          </w:tcPr>
          <w:p w14:paraId="1D50099B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Larger compute/memory; slower on mobile</w:t>
            </w:r>
          </w:p>
        </w:tc>
        <w:tc>
          <w:tcPr>
            <w:tcW w:w="0" w:type="auto"/>
          </w:tcPr>
          <w:p w14:paraId="228D4AEA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Central lab servers; batch triage</w:t>
            </w:r>
          </w:p>
        </w:tc>
      </w:tr>
      <w:tr w:rsidR="00F72E0E" w:rsidRPr="009743A1" w14:paraId="4168E022" w14:textId="77777777" w:rsidTr="000B2AEE">
        <w:tc>
          <w:tcPr>
            <w:tcW w:w="0" w:type="auto"/>
          </w:tcPr>
          <w:p w14:paraId="3AB8027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Mobile CNN (lightweight)</w:t>
            </w:r>
          </w:p>
        </w:tc>
        <w:tc>
          <w:tcPr>
            <w:tcW w:w="0" w:type="auto"/>
          </w:tcPr>
          <w:p w14:paraId="404422D1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MobileNetV2, ShuffleNet, EfficientNet-Lite</w:t>
            </w:r>
          </w:p>
        </w:tc>
        <w:tc>
          <w:tcPr>
            <w:tcW w:w="0" w:type="auto"/>
          </w:tcPr>
          <w:p w14:paraId="10F8889E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Fast, low-power; suitable for phones</w:t>
            </w:r>
          </w:p>
        </w:tc>
        <w:tc>
          <w:tcPr>
            <w:tcW w:w="0" w:type="auto"/>
          </w:tcPr>
          <w:p w14:paraId="299DBCF6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Slightly lower accuracy; sensitive to domain shift</w:t>
            </w:r>
          </w:p>
        </w:tc>
        <w:tc>
          <w:tcPr>
            <w:tcW w:w="0" w:type="auto"/>
          </w:tcPr>
          <w:p w14:paraId="2366FF9D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Field/mobile diagnostics</w:t>
            </w:r>
          </w:p>
        </w:tc>
      </w:tr>
      <w:tr w:rsidR="00F72E0E" w:rsidRPr="009743A1" w14:paraId="0FF05F73" w14:textId="77777777" w:rsidTr="000B2AEE">
        <w:tc>
          <w:tcPr>
            <w:tcW w:w="0" w:type="auto"/>
          </w:tcPr>
          <w:p w14:paraId="6F6B57B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Few-Shot Metric Learning</w:t>
            </w:r>
          </w:p>
        </w:tc>
        <w:tc>
          <w:tcPr>
            <w:tcW w:w="0" w:type="auto"/>
          </w:tcPr>
          <w:p w14:paraId="0411A9E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MatchingNets, ProtoNets, RelationNets</w:t>
            </w:r>
          </w:p>
        </w:tc>
        <w:tc>
          <w:tcPr>
            <w:tcW w:w="0" w:type="auto"/>
          </w:tcPr>
          <w:p w14:paraId="34AFDE4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Rapid addition of rare species; label-efficient</w:t>
            </w:r>
          </w:p>
        </w:tc>
        <w:tc>
          <w:tcPr>
            <w:tcW w:w="0" w:type="auto"/>
          </w:tcPr>
          <w:p w14:paraId="59EE4D90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Performance depends on embedding quality; sensitive to support quality</w:t>
            </w:r>
          </w:p>
        </w:tc>
        <w:tc>
          <w:tcPr>
            <w:tcW w:w="0" w:type="auto"/>
          </w:tcPr>
          <w:p w14:paraId="2622610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Rare/underrepresented fungi</w:t>
            </w:r>
          </w:p>
        </w:tc>
      </w:tr>
      <w:tr w:rsidR="00F72E0E" w:rsidRPr="009743A1" w14:paraId="601248E9" w14:textId="77777777" w:rsidTr="000B2AEE">
        <w:tc>
          <w:tcPr>
            <w:tcW w:w="0" w:type="auto"/>
          </w:tcPr>
          <w:p w14:paraId="138A6A77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Gradient-based Meta-learning</w:t>
            </w:r>
          </w:p>
        </w:tc>
        <w:tc>
          <w:tcPr>
            <w:tcW w:w="0" w:type="auto"/>
          </w:tcPr>
          <w:p w14:paraId="402306B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MAML, Reptile</w:t>
            </w:r>
          </w:p>
        </w:tc>
        <w:tc>
          <w:tcPr>
            <w:tcW w:w="0" w:type="auto"/>
          </w:tcPr>
          <w:p w14:paraId="1AC63A4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Fast adaptation with few steps; task-agnostic</w:t>
            </w:r>
          </w:p>
        </w:tc>
        <w:tc>
          <w:tcPr>
            <w:tcW w:w="0" w:type="auto"/>
          </w:tcPr>
          <w:p w14:paraId="41B6A9C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Training instability; requires careful meta-task design</w:t>
            </w:r>
          </w:p>
        </w:tc>
        <w:tc>
          <w:tcPr>
            <w:tcW w:w="0" w:type="auto"/>
          </w:tcPr>
          <w:p w14:paraId="179C3E64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Rapid site-specific adaptation</w:t>
            </w:r>
          </w:p>
        </w:tc>
      </w:tr>
      <w:tr w:rsidR="00F72E0E" w:rsidRPr="009743A1" w14:paraId="0F0310D4" w14:textId="77777777" w:rsidTr="000B2AEE">
        <w:tc>
          <w:tcPr>
            <w:tcW w:w="0" w:type="auto"/>
          </w:tcPr>
          <w:p w14:paraId="3883F08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Robustness &amp; Adaptation</w:t>
            </w:r>
          </w:p>
        </w:tc>
        <w:tc>
          <w:tcPr>
            <w:tcW w:w="0" w:type="auto"/>
          </w:tcPr>
          <w:p w14:paraId="38AF5BB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RandAugment, TENT (test-time)</w:t>
            </w:r>
          </w:p>
        </w:tc>
        <w:tc>
          <w:tcPr>
            <w:tcW w:w="0" w:type="auto"/>
          </w:tcPr>
          <w:p w14:paraId="3A5F1C54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Better OOD performance; reduced calibration error</w:t>
            </w:r>
          </w:p>
        </w:tc>
        <w:tc>
          <w:tcPr>
            <w:tcW w:w="0" w:type="auto"/>
          </w:tcPr>
          <w:p w14:paraId="6DCEA4F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Gains vary by shift type; may add latency</w:t>
            </w:r>
          </w:p>
        </w:tc>
        <w:tc>
          <w:tcPr>
            <w:tcW w:w="0" w:type="auto"/>
          </w:tcPr>
          <w:p w14:paraId="2B9BB1D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Illumination/stain variation mitigation</w:t>
            </w:r>
          </w:p>
        </w:tc>
      </w:tr>
      <w:tr w:rsidR="00F72E0E" w:rsidRPr="009743A1" w14:paraId="1E5ADC90" w14:textId="77777777" w:rsidTr="000B2AEE">
        <w:tc>
          <w:tcPr>
            <w:tcW w:w="0" w:type="auto"/>
          </w:tcPr>
          <w:p w14:paraId="03A9489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On-device deployment</w:t>
            </w:r>
          </w:p>
        </w:tc>
        <w:tc>
          <w:tcPr>
            <w:tcW w:w="0" w:type="auto"/>
          </w:tcPr>
          <w:p w14:paraId="1051BB5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Quantization, pruning, TFLite/ONNX</w:t>
            </w:r>
          </w:p>
        </w:tc>
        <w:tc>
          <w:tcPr>
            <w:tcW w:w="0" w:type="auto"/>
          </w:tcPr>
          <w:p w14:paraId="2A8BE7B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Low latency, low memory; offline inference</w:t>
            </w:r>
          </w:p>
        </w:tc>
        <w:tc>
          <w:tcPr>
            <w:tcW w:w="0" w:type="auto"/>
          </w:tcPr>
          <w:p w14:paraId="54446643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Potential accuracy drop; hardware variance</w:t>
            </w:r>
          </w:p>
        </w:tc>
        <w:tc>
          <w:tcPr>
            <w:tcW w:w="0" w:type="auto"/>
          </w:tcPr>
          <w:p w14:paraId="5F1406EF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Rural clinics, farms, biodiversity surveys</w:t>
            </w:r>
          </w:p>
        </w:tc>
      </w:tr>
    </w:tbl>
    <w:p w14:paraId="1ECC3CB5" w14:textId="77777777" w:rsidR="00DC5C43" w:rsidRPr="009743A1" w:rsidRDefault="00DC5C43" w:rsidP="00DC5C43">
      <w:pPr>
        <w:pStyle w:val="Heading4"/>
        <w:jc w:val="both"/>
        <w:rPr>
          <w:rFonts w:ascii="Times New Roman" w:hAnsi="Times New Roman" w:cs="Times New Roman"/>
          <w:color w:val="auto"/>
        </w:rPr>
      </w:pPr>
      <w:bookmarkStart w:id="6" w:name="X2672973a76138248d3d29e43ed0570ab37f6405"/>
      <w:bookmarkEnd w:id="5"/>
      <w:r w:rsidRPr="009743A1">
        <w:rPr>
          <w:rFonts w:ascii="Times New Roman" w:hAnsi="Times New Roman" w:cs="Times New Roman"/>
          <w:color w:val="auto"/>
        </w:rPr>
        <w:t>Table 2 — Reference Baselines vs. “Deep SporeNet” (indicative targets)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3593"/>
        <w:gridCol w:w="1127"/>
        <w:gridCol w:w="911"/>
        <w:gridCol w:w="1176"/>
        <w:gridCol w:w="948"/>
        <w:gridCol w:w="1595"/>
      </w:tblGrid>
      <w:tr w:rsidR="00F72E0E" w:rsidRPr="009743A1" w14:paraId="07F524D4" w14:textId="77777777" w:rsidTr="000B2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1C41AEAB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Model</w:t>
            </w:r>
          </w:p>
        </w:tc>
        <w:tc>
          <w:tcPr>
            <w:tcW w:w="0" w:type="auto"/>
          </w:tcPr>
          <w:p w14:paraId="1ED69177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Params (M)</w:t>
            </w:r>
          </w:p>
        </w:tc>
        <w:tc>
          <w:tcPr>
            <w:tcW w:w="0" w:type="auto"/>
          </w:tcPr>
          <w:p w14:paraId="289756AD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Input res.</w:t>
            </w:r>
          </w:p>
        </w:tc>
        <w:tc>
          <w:tcPr>
            <w:tcW w:w="0" w:type="auto"/>
          </w:tcPr>
          <w:p w14:paraId="50E4F986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Top-1 Acc. (%)</w:t>
            </w:r>
          </w:p>
        </w:tc>
        <w:tc>
          <w:tcPr>
            <w:tcW w:w="0" w:type="auto"/>
          </w:tcPr>
          <w:p w14:paraId="7B4558E0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Tail F1 (%)</w:t>
            </w:r>
          </w:p>
        </w:tc>
        <w:tc>
          <w:tcPr>
            <w:tcW w:w="0" w:type="auto"/>
          </w:tcPr>
          <w:p w14:paraId="2E6F895B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Latency (ms, mobile)</w:t>
            </w:r>
          </w:p>
        </w:tc>
      </w:tr>
      <w:tr w:rsidR="00F72E0E" w:rsidRPr="009743A1" w14:paraId="35A28493" w14:textId="77777777" w:rsidTr="000B2AEE">
        <w:tc>
          <w:tcPr>
            <w:tcW w:w="0" w:type="auto"/>
          </w:tcPr>
          <w:p w14:paraId="62929867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ResNet-50</w:t>
            </w:r>
          </w:p>
        </w:tc>
        <w:tc>
          <w:tcPr>
            <w:tcW w:w="0" w:type="auto"/>
          </w:tcPr>
          <w:p w14:paraId="2CED9AE2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25.6</w:t>
            </w:r>
          </w:p>
        </w:tc>
        <w:tc>
          <w:tcPr>
            <w:tcW w:w="0" w:type="auto"/>
          </w:tcPr>
          <w:p w14:paraId="325BA66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224</w:t>
            </w:r>
          </w:p>
        </w:tc>
        <w:tc>
          <w:tcPr>
            <w:tcW w:w="0" w:type="auto"/>
          </w:tcPr>
          <w:p w14:paraId="010C3A4E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90–92</w:t>
            </w:r>
          </w:p>
        </w:tc>
        <w:tc>
          <w:tcPr>
            <w:tcW w:w="0" w:type="auto"/>
          </w:tcPr>
          <w:p w14:paraId="4D25773C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68–72</w:t>
            </w:r>
          </w:p>
        </w:tc>
        <w:tc>
          <w:tcPr>
            <w:tcW w:w="0" w:type="auto"/>
          </w:tcPr>
          <w:p w14:paraId="315C1BC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120–150</w:t>
            </w:r>
          </w:p>
        </w:tc>
      </w:tr>
      <w:tr w:rsidR="00F72E0E" w:rsidRPr="009743A1" w14:paraId="58FAE181" w14:textId="77777777" w:rsidTr="000B2AEE">
        <w:tc>
          <w:tcPr>
            <w:tcW w:w="0" w:type="auto"/>
          </w:tcPr>
          <w:p w14:paraId="36C4C8BB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EfficientNet-B0</w:t>
            </w:r>
          </w:p>
        </w:tc>
        <w:tc>
          <w:tcPr>
            <w:tcW w:w="0" w:type="auto"/>
          </w:tcPr>
          <w:p w14:paraId="365572CB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5.3</w:t>
            </w:r>
          </w:p>
        </w:tc>
        <w:tc>
          <w:tcPr>
            <w:tcW w:w="0" w:type="auto"/>
          </w:tcPr>
          <w:p w14:paraId="0721ACD1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224</w:t>
            </w:r>
          </w:p>
        </w:tc>
        <w:tc>
          <w:tcPr>
            <w:tcW w:w="0" w:type="auto"/>
          </w:tcPr>
          <w:p w14:paraId="31EF83F3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91–93</w:t>
            </w:r>
          </w:p>
        </w:tc>
        <w:tc>
          <w:tcPr>
            <w:tcW w:w="0" w:type="auto"/>
          </w:tcPr>
          <w:p w14:paraId="4CA5D9B1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70–75</w:t>
            </w:r>
          </w:p>
        </w:tc>
        <w:tc>
          <w:tcPr>
            <w:tcW w:w="0" w:type="auto"/>
          </w:tcPr>
          <w:p w14:paraId="119D420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90–110</w:t>
            </w:r>
          </w:p>
        </w:tc>
      </w:tr>
      <w:tr w:rsidR="00F72E0E" w:rsidRPr="009743A1" w14:paraId="5AADF54A" w14:textId="77777777" w:rsidTr="000B2AEE">
        <w:tc>
          <w:tcPr>
            <w:tcW w:w="0" w:type="auto"/>
          </w:tcPr>
          <w:p w14:paraId="2BA9FF56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MobileNetV2</w:t>
            </w:r>
          </w:p>
        </w:tc>
        <w:tc>
          <w:tcPr>
            <w:tcW w:w="0" w:type="auto"/>
          </w:tcPr>
          <w:p w14:paraId="33B5482E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3.4</w:t>
            </w:r>
          </w:p>
        </w:tc>
        <w:tc>
          <w:tcPr>
            <w:tcW w:w="0" w:type="auto"/>
          </w:tcPr>
          <w:p w14:paraId="4C9EE08E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224</w:t>
            </w:r>
          </w:p>
        </w:tc>
        <w:tc>
          <w:tcPr>
            <w:tcW w:w="0" w:type="auto"/>
          </w:tcPr>
          <w:p w14:paraId="06198B3F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88–91</w:t>
            </w:r>
          </w:p>
        </w:tc>
        <w:tc>
          <w:tcPr>
            <w:tcW w:w="0" w:type="auto"/>
          </w:tcPr>
          <w:p w14:paraId="1CFF9355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65–69</w:t>
            </w:r>
          </w:p>
        </w:tc>
        <w:tc>
          <w:tcPr>
            <w:tcW w:w="0" w:type="auto"/>
          </w:tcPr>
          <w:p w14:paraId="13C3D423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35–55</w:t>
            </w:r>
          </w:p>
        </w:tc>
      </w:tr>
      <w:tr w:rsidR="00F72E0E" w:rsidRPr="009743A1" w14:paraId="65F2636C" w14:textId="77777777" w:rsidTr="000B2AEE">
        <w:tc>
          <w:tcPr>
            <w:tcW w:w="0" w:type="auto"/>
          </w:tcPr>
          <w:p w14:paraId="5EA80906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SporeNet (ours): Mobile backbone + few-shot head + TTA</w:t>
            </w:r>
          </w:p>
        </w:tc>
        <w:tc>
          <w:tcPr>
            <w:tcW w:w="0" w:type="auto"/>
          </w:tcPr>
          <w:p w14:paraId="6F6F0FA8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≈4–6</w:t>
            </w:r>
          </w:p>
        </w:tc>
        <w:tc>
          <w:tcPr>
            <w:tcW w:w="0" w:type="auto"/>
          </w:tcPr>
          <w:p w14:paraId="12B89021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224</w:t>
            </w:r>
          </w:p>
        </w:tc>
        <w:tc>
          <w:tcPr>
            <w:tcW w:w="0" w:type="auto"/>
          </w:tcPr>
          <w:p w14:paraId="4D7DEB46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92–94</w:t>
            </w:r>
          </w:p>
        </w:tc>
        <w:tc>
          <w:tcPr>
            <w:tcW w:w="0" w:type="auto"/>
          </w:tcPr>
          <w:p w14:paraId="72B7B97D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75–80</w:t>
            </w:r>
          </w:p>
        </w:tc>
        <w:tc>
          <w:tcPr>
            <w:tcW w:w="0" w:type="auto"/>
          </w:tcPr>
          <w:p w14:paraId="0D53E12E" w14:textId="77777777" w:rsidR="00DC5C43" w:rsidRPr="009743A1" w:rsidRDefault="00DC5C43" w:rsidP="000B2AEE">
            <w:pPr>
              <w:pStyle w:val="Compact"/>
              <w:jc w:val="both"/>
              <w:rPr>
                <w:rFonts w:cs="Times New Roman"/>
              </w:rPr>
            </w:pPr>
            <w:r w:rsidRPr="009743A1">
              <w:rPr>
                <w:rFonts w:cs="Times New Roman"/>
              </w:rPr>
              <w:t>40–60</w:t>
            </w:r>
          </w:p>
        </w:tc>
      </w:tr>
    </w:tbl>
    <w:p w14:paraId="1EDD0B8A" w14:textId="77777777" w:rsidR="00DC5C43" w:rsidRPr="009743A1" w:rsidRDefault="00DC5C43" w:rsidP="00DC5C43">
      <w:pPr>
        <w:jc w:val="both"/>
        <w:rPr>
          <w:rFonts w:ascii="Times New Roman" w:hAnsi="Times New Roman" w:cs="Times New Roman"/>
        </w:rPr>
      </w:pPr>
      <w:bookmarkStart w:id="7" w:name="what-deep-sporenet-adds"/>
      <w:bookmarkEnd w:id="6"/>
    </w:p>
    <w:p w14:paraId="5E38E37E" w14:textId="6296CFFF" w:rsidR="00DC5C43" w:rsidRPr="009743A1" w:rsidRDefault="00DC5C43" w:rsidP="00DC5C43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9743A1">
        <w:rPr>
          <w:rFonts w:ascii="Times New Roman" w:hAnsi="Times New Roman" w:cs="Times New Roman"/>
          <w:b/>
          <w:bCs/>
          <w:lang w:val="en-IN"/>
        </w:rPr>
        <w:t>III. Research Gap</w:t>
      </w:r>
    </w:p>
    <w:p w14:paraId="477C341C" w14:textId="77777777" w:rsidR="00DC5C43" w:rsidRPr="009743A1" w:rsidRDefault="00DC5C43" w:rsidP="00DC5C43">
      <w:pPr>
        <w:jc w:val="both"/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lang w:val="en-IN"/>
        </w:rPr>
        <w:t xml:space="preserve">Despite progress in fungal image recognition with CNNs and mobile-efficient backbones, three gaps persist for real-world mycology: (i) long-tail species scarcity—rare or underrepresented taxa lack sufficient labeled images, and existing few-shot methods are seldom validated under true field conditions (mixed magnifications, stains, and sensors); (ii) robustness and calibration—most models are brittle to illumination/white-balance drift and site-specific artifacts, and rarely report well-calibrated probabilities needed for clinical/agri triage; (iii) deployment realism—few works demonstrate on-device inference with quantization/pruning </w:t>
      </w:r>
      <w:r w:rsidRPr="009743A1">
        <w:rPr>
          <w:rFonts w:ascii="Times New Roman" w:hAnsi="Times New Roman" w:cs="Times New Roman"/>
          <w:i/>
          <w:iCs/>
          <w:lang w:val="en-IN"/>
        </w:rPr>
        <w:t>while preserving tail-class recall</w:t>
      </w:r>
      <w:r w:rsidRPr="009743A1">
        <w:rPr>
          <w:rFonts w:ascii="Times New Roman" w:hAnsi="Times New Roman" w:cs="Times New Roman"/>
          <w:lang w:val="en-IN"/>
        </w:rPr>
        <w:t>, nor provide open, standardized benchmarks that couple lab images with in-the-wild captures (variable lighting, background clutter) and consistent severity/quality annotations. Additionally, explainability tailored to spore/colony morphology (e.g., attribution on hyphae, conidia) is limited, hindering expert trust.</w:t>
      </w:r>
    </w:p>
    <w:p w14:paraId="02E80020" w14:textId="5E30DEF2" w:rsidR="00DC5C43" w:rsidRPr="009743A1" w:rsidRDefault="00DC5C43" w:rsidP="00DC5C43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9743A1">
        <w:rPr>
          <w:rFonts w:ascii="Times New Roman" w:hAnsi="Times New Roman" w:cs="Times New Roman"/>
          <w:b/>
          <w:bCs/>
          <w:lang w:val="en-IN"/>
        </w:rPr>
        <w:t>IV. Problem Statement</w:t>
      </w:r>
    </w:p>
    <w:p w14:paraId="195978F6" w14:textId="77777777" w:rsidR="00DC5C43" w:rsidRPr="009743A1" w:rsidRDefault="00DC5C43" w:rsidP="00DC5C43">
      <w:pPr>
        <w:jc w:val="both"/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lang w:val="en-IN"/>
        </w:rPr>
        <w:t>We aim to develop Deep SporeNet, a lightweight, few-shot–capable mycological image classifier that delivers accurate, calibrated, and illumination-robust identification of fungal species on resource-constrained mobile devices. Concretely, given colony/spore images acquired under heterogeneous staining, magnification, and lighting, the system must (1) generalize to rare/novel species from K-shot exemplars, (2) maintain reliability under domain shift via color-constancy, augmentation, and test-time adaptation, (3) produce well-calibrated confidences suitable for point-of-care triage, and (4) sustain low latency and small memory through quantization-aware training/pruning—without sacrificing tail-class F1. The deliverable includes a reproducible pipeline and benchmark protocol that measures accuracy, calibration, tail performance, and on-device throughput across lab and field datasets.</w:t>
      </w:r>
    </w:p>
    <w:p w14:paraId="01DA3DB4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Xd3b018b6ba489290d55748de7c77712e654a9dc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V. Proposed Methodology — Deep SporeNet (Lightweight CNN + Few-Shot + Illumination Robustness)</w:t>
      </w:r>
    </w:p>
    <w:p w14:paraId="2C7DE0BC" w14:textId="77777777" w:rsidR="00DC5C43" w:rsidRPr="009743A1" w:rsidRDefault="00DC5C43" w:rsidP="00DC5C43">
      <w:pPr>
        <w:pStyle w:val="FirstParagraph"/>
        <w:jc w:val="both"/>
        <w:rPr>
          <w:rFonts w:cs="Times New Roman"/>
        </w:rPr>
      </w:pPr>
      <w:r w:rsidRPr="009743A1">
        <w:rPr>
          <w:rFonts w:cs="Times New Roman"/>
        </w:rPr>
        <w:t>The proposed Deep SporeNet framework identifies fungal species from colony or spore images captured under heterogeneous lighting, stains, and devices—while maintaining high accuracy and low latency for on-device (mobile) inference. The complete pipeline comprises six modules:</w:t>
      </w:r>
      <w:r w:rsidRPr="009743A1">
        <w:rPr>
          <w:rFonts w:cs="Times New Roman"/>
        </w:rPr>
        <w:br/>
      </w:r>
      <w:r w:rsidRPr="009743A1">
        <w:rPr>
          <w:rFonts w:cs="Times New Roman"/>
          <w:b/>
          <w:bCs/>
        </w:rPr>
        <w:t>(A)</w:t>
      </w:r>
      <w:r w:rsidRPr="009743A1">
        <w:rPr>
          <w:rFonts w:cs="Times New Roman"/>
        </w:rPr>
        <w:t xml:space="preserve"> Input &amp; Illumination Normalization, </w:t>
      </w:r>
      <w:r w:rsidRPr="009743A1">
        <w:rPr>
          <w:rFonts w:cs="Times New Roman"/>
          <w:b/>
          <w:bCs/>
        </w:rPr>
        <w:t>(B)</w:t>
      </w:r>
      <w:r w:rsidRPr="009743A1">
        <w:rPr>
          <w:rFonts w:cs="Times New Roman"/>
        </w:rPr>
        <w:t xml:space="preserve"> Lightweight Backbone, </w:t>
      </w:r>
      <w:r w:rsidRPr="009743A1">
        <w:rPr>
          <w:rFonts w:cs="Times New Roman"/>
          <w:b/>
          <w:bCs/>
        </w:rPr>
        <w:t>(C)</w:t>
      </w:r>
      <w:r w:rsidRPr="009743A1">
        <w:rPr>
          <w:rFonts w:cs="Times New Roman"/>
        </w:rPr>
        <w:t xml:space="preserve"> Few-Shot Episodic Head, </w:t>
      </w:r>
      <w:r w:rsidRPr="009743A1">
        <w:rPr>
          <w:rFonts w:cs="Times New Roman"/>
          <w:b/>
          <w:bCs/>
        </w:rPr>
        <w:t>(D)</w:t>
      </w:r>
      <w:r w:rsidRPr="009743A1">
        <w:rPr>
          <w:rFonts w:cs="Times New Roman"/>
        </w:rPr>
        <w:t xml:space="preserve"> Robustness &amp; Test-Time Adaptation, </w:t>
      </w:r>
      <w:r w:rsidRPr="009743A1">
        <w:rPr>
          <w:rFonts w:cs="Times New Roman"/>
          <w:b/>
          <w:bCs/>
        </w:rPr>
        <w:t>(E)</w:t>
      </w:r>
      <w:r w:rsidRPr="009743A1">
        <w:rPr>
          <w:rFonts w:cs="Times New Roman"/>
        </w:rPr>
        <w:t xml:space="preserve"> Calibration, and </w:t>
      </w:r>
      <w:r w:rsidRPr="009743A1">
        <w:rPr>
          <w:rFonts w:cs="Times New Roman"/>
          <w:b/>
          <w:bCs/>
        </w:rPr>
        <w:t>(F)</w:t>
      </w:r>
      <w:r w:rsidRPr="009743A1">
        <w:rPr>
          <w:rFonts w:cs="Times New Roman"/>
        </w:rPr>
        <w:t xml:space="preserve"> Mobile Deployment.</w:t>
      </w:r>
    </w:p>
    <w:p w14:paraId="74234491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9" w:name="a-input-illumination-normalization"/>
      <w:r w:rsidRPr="009743A1">
        <w:rPr>
          <w:rFonts w:ascii="Times New Roman" w:hAnsi="Times New Roman" w:cs="Times New Roman"/>
          <w:b/>
          <w:bCs/>
          <w:color w:val="auto"/>
        </w:rPr>
        <w:t>A) Input &amp; Illumination Normalization</w:t>
      </w:r>
    </w:p>
    <w:p w14:paraId="080A6F55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>To enhance visual consistency, illumination and stain variations are corrected before training.</w:t>
      </w:r>
    </w:p>
    <w:p w14:paraId="135DBEB6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  <w:b/>
          <w:bCs/>
        </w:rPr>
        <w:t>Color constancy (gray-world / shades-of-gray):</w:t>
      </w:r>
      <w:r w:rsidRPr="009743A1">
        <w:rPr>
          <w:rFonts w:cs="Times New Roman"/>
        </w:rPr>
        <w:br/>
        <w:t xml:space="preserve">Estimate per-channel gain to eliminate color cast. For an image </w:t>
      </w:r>
      <m:oMath>
        <m:r>
          <w:rPr>
            <w:rFonts w:ascii="Cambria Math" w:hAnsi="Cambria Math" w:cs="Times New Roman"/>
          </w:rPr>
          <m:t>I</m:t>
        </m:r>
      </m:oMath>
      <w:r w:rsidRPr="009743A1">
        <w:rPr>
          <w:rFonts w:cs="Times New Roman"/>
        </w:rPr>
        <w:t xml:space="preserve"> with channels </w:t>
      </w:r>
      <m:oMath>
        <m:r>
          <w:rPr>
            <w:rFonts w:ascii="Cambria Math" w:hAnsi="Cambria Math" w:cs="Times New Roman"/>
          </w:rPr>
          <m:t>c</m:t>
        </m:r>
        <m:r>
          <m:rPr>
            <m:sty m:val="p"/>
          </m:rPr>
          <w:rPr>
            <w:rFonts w:ascii="Cambria Math" w:hAnsi="Cambria Math" w:cs="Times New Roman"/>
          </w:rPr>
          <m:t>∈{</m:t>
        </m:r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G</m:t>
        </m:r>
        <m:r>
          <m:rPr>
            <m:sty m:val="p"/>
          </m:rP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>B</m:t>
        </m:r>
        <m:r>
          <m:rPr>
            <m:sty m:val="p"/>
          </m:rPr>
          <w:rPr>
            <w:rFonts w:ascii="Cambria Math" w:hAnsi="Cambria Math" w:cs="Times New Roman"/>
          </w:rPr>
          <m:t>}</m:t>
        </m:r>
      </m:oMath>
      <w:r w:rsidRPr="009743A1">
        <w:rPr>
          <w:rFonts w:cs="Times New Roman"/>
        </w:rPr>
        <w:t>:</w:t>
      </w:r>
    </w:p>
    <w:p w14:paraId="0E6A13C1" w14:textId="77777777" w:rsidR="00DC5C43" w:rsidRPr="009743A1" w:rsidRDefault="00000000" w:rsidP="00DC5C43">
      <w:pPr>
        <w:pStyle w:val="BodyText"/>
        <w:rPr>
          <w:rFonts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|Ω|</m:t>
                      </m:r>
                    </m:den>
                  </m:f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hAnsi="Cambria Math" w:cs="Times New Roman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∈Ω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​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|</m:t>
                      </m:r>
                    </m:e>
                  </m:nary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(</m:t>
                  </m:r>
                  <m:r>
                    <w:rPr>
                      <w:rFonts w:ascii="Cambria Math" w:hAnsi="Cambria Math" w:cs="Times New Roman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|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p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Times New Roman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/</m:t>
              </m:r>
              <m:r>
                <w:rPr>
                  <w:rFonts w:ascii="Cambria Math" w:hAnsi="Cambria Math" w:cs="Times New Roman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</w:rPr>
            <m:t>,</m:t>
          </m:r>
          <m:r>
            <w:rPr>
              <w:rFonts w:ascii="Cambria Math" w:hAnsi="Cambria Math" w:cs="Times New Roman"/>
            </w:rPr>
            <m:t> 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I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r>
            <w:rPr>
              <w:rFonts w:ascii="Cambria Math" w:hAnsi="Cambria Math" w:cs="Times New Roman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</w:rPr>
            <m:t>)=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w:rPr>
                  <w:rFonts w:ascii="Cambria Math" w:hAnsi="Cambria Math" w:cs="Times New Roman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⋅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3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∈{</m:t>
              </m:r>
              <m:r>
                <w:rPr>
                  <w:rFonts w:ascii="Cambria Math" w:hAnsi="Cambria Math" w:cs="Times New Roman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,</m:t>
              </m:r>
              <m:r>
                <w:rPr>
                  <w:rFonts w:ascii="Cambria Math" w:hAnsi="Cambria Math" w:cs="Times New Roman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,</m:t>
              </m:r>
              <m:r>
                <w:rPr>
                  <w:rFonts w:ascii="Cambria Math" w:hAnsi="Cambria Math" w:cs="Times New Roman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}</m:t>
              </m:r>
            </m:sub>
            <m:sup>
              <m:r>
                <w:rPr>
                  <w:rFonts w:ascii="Cambria Math" w:hAnsi="Cambria Math" w:cs="Times New Roman"/>
                </w:rPr>
                <m:t>​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d</m:t>
                  </m:r>
                </m:sub>
              </m:sSub>
            </m:e>
          </m:nary>
        </m:oMath>
      </m:oMathPara>
    </w:p>
    <w:p w14:paraId="1684791B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lastRenderedPageBreak/>
        <w:t xml:space="preserve">where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6</m:t>
        </m:r>
      </m:oMath>
      <w:r w:rsidRPr="009743A1">
        <w:rPr>
          <w:rFonts w:cs="Times New Roman"/>
        </w:rPr>
        <w:t xml:space="preserve"> (shades-of-gray) typically outperforms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1</m:t>
        </m:r>
      </m:oMath>
      <w:r w:rsidRPr="009743A1">
        <w:rPr>
          <w:rFonts w:cs="Times New Roman"/>
        </w:rPr>
        <w:t xml:space="preserve"> (gray-world) under strong lighting variation.</w:t>
      </w:r>
    </w:p>
    <w:p w14:paraId="7326B7CE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  <w:b/>
          <w:bCs/>
        </w:rPr>
        <w:t>Stain/contrast normalization:</w:t>
      </w:r>
      <w:r w:rsidRPr="009743A1">
        <w:rPr>
          <w:rFonts w:cs="Times New Roman"/>
        </w:rPr>
        <w:br/>
        <w:t>Apply Reinhard or Macenko normalization to stabilize hue and brightness across laboratories.</w:t>
      </w:r>
    </w:p>
    <w:p w14:paraId="2F66401D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  <w:b/>
          <w:bCs/>
        </w:rPr>
        <w:t>Augmentations (train-time):</w:t>
      </w:r>
      <w:r w:rsidRPr="009743A1">
        <w:rPr>
          <w:rFonts w:cs="Times New Roman"/>
        </w:rPr>
        <w:br/>
        <w:t>Color jitter, CutMix, MixUp, random gamma, Gaussian blur, and magnification jitter.</w:t>
      </w:r>
    </w:p>
    <w:p w14:paraId="00B67021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0" w:name="Xfb78b2ab946c3a41e589938b87528d2ba779801"/>
      <w:bookmarkEnd w:id="9"/>
      <w:r w:rsidRPr="009743A1">
        <w:rPr>
          <w:rFonts w:ascii="Times New Roman" w:hAnsi="Times New Roman" w:cs="Times New Roman"/>
          <w:b/>
          <w:bCs/>
          <w:color w:val="auto"/>
        </w:rPr>
        <w:t>B) Lightweight Backbone (Mobile Efficient CNN)</w:t>
      </w:r>
    </w:p>
    <w:p w14:paraId="71F8626D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A lightweight convolutional encoder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θ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(⋅)</m:t>
        </m:r>
      </m:oMath>
      <w:r w:rsidRPr="009743A1">
        <w:rPr>
          <w:rFonts w:cs="Times New Roman"/>
        </w:rPr>
        <w:t xml:space="preserve"> such as </w:t>
      </w:r>
      <w:r w:rsidRPr="009743A1">
        <w:rPr>
          <w:rFonts w:cs="Times New Roman"/>
          <w:b/>
          <w:bCs/>
        </w:rPr>
        <w:t>MobileNetV2</w:t>
      </w:r>
      <w:r w:rsidRPr="009743A1">
        <w:rPr>
          <w:rFonts w:cs="Times New Roman"/>
        </w:rPr>
        <w:t xml:space="preserve"> or </w:t>
      </w:r>
      <w:r w:rsidRPr="009743A1">
        <w:rPr>
          <w:rFonts w:cs="Times New Roman"/>
          <w:b/>
          <w:bCs/>
        </w:rPr>
        <w:t>EfficientNet-Lite</w:t>
      </w:r>
      <w:r w:rsidRPr="009743A1">
        <w:rPr>
          <w:rFonts w:cs="Times New Roman"/>
        </w:rPr>
        <w:t xml:space="preserve"> is used, leveraging </w:t>
      </w:r>
      <w:r w:rsidRPr="009743A1">
        <w:rPr>
          <w:rFonts w:cs="Times New Roman"/>
          <w:b/>
          <w:bCs/>
        </w:rPr>
        <w:t>depthwise separable convolutions</w:t>
      </w:r>
      <w:r w:rsidRPr="009743A1">
        <w:rPr>
          <w:rFonts w:cs="Times New Roman"/>
        </w:rPr>
        <w:t xml:space="preserve"> and </w:t>
      </w:r>
      <w:r w:rsidRPr="009743A1">
        <w:rPr>
          <w:rFonts w:cs="Times New Roman"/>
          <w:b/>
          <w:bCs/>
        </w:rPr>
        <w:t>inverted residuals</w:t>
      </w:r>
      <w:r w:rsidRPr="009743A1">
        <w:rPr>
          <w:rFonts w:cs="Times New Roman"/>
        </w:rPr>
        <w:t xml:space="preserve"> to reduce complexity.</w:t>
      </w:r>
    </w:p>
    <w:p w14:paraId="60E4D187" w14:textId="77777777" w:rsidR="00DC5C43" w:rsidRPr="009743A1" w:rsidRDefault="00DC5C43" w:rsidP="00DC5C43">
      <w:pPr>
        <w:pStyle w:val="BodyText"/>
        <w:rPr>
          <w:rFonts w:cs="Times New Roman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</w:rPr>
            <m:t>z</m:t>
          </m:r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θ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acc>
            <m:accPr>
              <m:chr m:val="̃"/>
              <m:ctrlPr>
                <w:rPr>
                  <w:rFonts w:ascii="Cambria Math" w:hAnsi="Cambria Math" w:cs="Times New Roman"/>
                </w:rPr>
              </m:ctrlPr>
            </m:accPr>
            <m:e>
              <m:r>
                <w:rPr>
                  <w:rFonts w:ascii="Cambria Math" w:hAnsi="Cambria Math" w:cs="Times New Roman"/>
                </w:rPr>
                <m:t>I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</w:rPr>
            <m:t>)∈</m:t>
          </m:r>
          <m:sSup>
            <m:sSupPr>
              <m:ctrlPr>
                <w:rPr>
                  <w:rFonts w:ascii="Cambria Math" w:hAnsi="Cambria Math" w:cs="Times New Roman"/>
                </w:rPr>
              </m:ctrlPr>
            </m:sSupPr>
            <m:e>
              <m:r>
                <m:rPr>
                  <m:scr m:val="double-struck"/>
                  <m:sty m:val="p"/>
                </m:rPr>
                <w:rPr>
                  <w:rFonts w:ascii="Cambria Math" w:hAnsi="Cambria Math" w:cs="Times New Roman"/>
                </w:rPr>
                <m:t>R</m:t>
              </m:r>
            </m:e>
            <m:sup>
              <m:r>
                <w:rPr>
                  <w:rFonts w:ascii="Cambria Math" w:hAnsi="Cambria Math" w:cs="Times New Roman"/>
                </w:rPr>
                <m:t>d</m:t>
              </m:r>
            </m:sup>
          </m:sSup>
        </m:oMath>
      </m:oMathPara>
    </w:p>
    <w:p w14:paraId="45471D02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To capture fine mycological textures (hyphae, conidia), </w:t>
      </w:r>
      <w:r w:rsidRPr="009743A1">
        <w:rPr>
          <w:rFonts w:cs="Times New Roman"/>
          <w:b/>
          <w:bCs/>
        </w:rPr>
        <w:t>Squeeze-and-Excitation (SE)</w:t>
      </w:r>
      <w:r w:rsidRPr="009743A1">
        <w:rPr>
          <w:rFonts w:cs="Times New Roman"/>
        </w:rPr>
        <w:t xml:space="preserve"> lite blocks enhance channel-wise feature recalibration.</w:t>
      </w:r>
    </w:p>
    <w:p w14:paraId="54309DF5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1" w:name="Xece77582dbbc02b3f9c33d52a37ce39502a6edc"/>
      <w:bookmarkEnd w:id="10"/>
      <w:r w:rsidRPr="009743A1">
        <w:rPr>
          <w:rFonts w:ascii="Times New Roman" w:hAnsi="Times New Roman" w:cs="Times New Roman"/>
          <w:b/>
          <w:bCs/>
          <w:color w:val="auto"/>
        </w:rPr>
        <w:t>C) Few-Shot Episodic Head (Prototype Classifier)</w:t>
      </w:r>
    </w:p>
    <w:p w14:paraId="68289DBD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To generalize to rare species, </w:t>
      </w:r>
      <w:r w:rsidRPr="009743A1">
        <w:rPr>
          <w:rFonts w:cs="Times New Roman"/>
          <w:b/>
          <w:bCs/>
        </w:rPr>
        <w:t>Prototypical Networks</w:t>
      </w:r>
      <w:r w:rsidRPr="009743A1">
        <w:rPr>
          <w:rFonts w:cs="Times New Roman"/>
        </w:rPr>
        <w:t xml:space="preserve"> are used during episodic training.</w:t>
      </w:r>
      <w:r w:rsidRPr="009743A1">
        <w:rPr>
          <w:rFonts w:cs="Times New Roman"/>
        </w:rPr>
        <w:br/>
        <w:t xml:space="preserve">For a support set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k</m:t>
            </m:r>
          </m:sub>
        </m:sSub>
      </m:oMath>
      <w:r w:rsidRPr="009743A1">
        <w:rPr>
          <w:rFonts w:cs="Times New Roman"/>
        </w:rPr>
        <w:t xml:space="preserve"> of class </w:t>
      </w:r>
      <m:oMath>
        <m:r>
          <w:rPr>
            <w:rFonts w:ascii="Cambria Math" w:hAnsi="Cambria Math" w:cs="Times New Roman"/>
          </w:rPr>
          <m:t>k</m:t>
        </m:r>
      </m:oMath>
      <w:r w:rsidRPr="009743A1">
        <w:rPr>
          <w:rFonts w:cs="Times New Roman"/>
        </w:rPr>
        <w:t>:</w:t>
      </w:r>
    </w:p>
    <w:p w14:paraId="79383E6A" w14:textId="77777777" w:rsidR="00DC5C43" w:rsidRPr="009743A1" w:rsidRDefault="00000000" w:rsidP="00DC5C43">
      <w:pPr>
        <w:pStyle w:val="BodyText"/>
        <w:rPr>
          <w:rFonts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μ</m:t>
              </m:r>
            </m:e>
            <m:sub>
              <m:r>
                <w:rPr>
                  <w:rFonts w:ascii="Cambria Math" w:hAnsi="Cambria Math" w:cs="Times New Roman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|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|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w:rPr>
                  <w:rFonts w:ascii="Cambria Math" w:hAnsi="Cambria Math" w:cs="Times New Roman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,</m:t>
              </m:r>
              <m:r>
                <w:rPr>
                  <w:rFonts w:ascii="Cambria Math" w:hAnsi="Cambria Math" w:cs="Times New Roman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)=</m:t>
              </m:r>
              <m:r>
                <w:rPr>
                  <w:rFonts w:ascii="Cambria Math" w:hAnsi="Cambria Math" w:cs="Times New Roman"/>
                </w:rPr>
                <m:t>k</m:t>
              </m:r>
            </m:sub>
            <m:sup>
              <m:r>
                <w:rPr>
                  <w:rFonts w:ascii="Cambria Math" w:hAnsi="Cambria Math" w:cs="Times New Roman"/>
                </w:rPr>
                <m:t>​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θ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r>
            <w:rPr>
              <w:rFonts w:ascii="Cambria Math" w:hAnsi="Cambria Math" w:cs="Times New Roman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</w:rPr>
            <m:t>),</m:t>
          </m:r>
          <m:r>
            <w:rPr>
              <w:rFonts w:ascii="Cambria Math" w:hAnsi="Cambria Math" w:cs="Times New Roman"/>
            </w:rPr>
            <m:t> P</m:t>
          </m:r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r>
            <w:rPr>
              <w:rFonts w:ascii="Cambria Math" w:hAnsi="Cambria Math" w:cs="Times New Roman"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r>
            <w:rPr>
              <w:rFonts w:ascii="Cambria Math" w:hAnsi="Cambria Math" w:cs="Times New Roman"/>
            </w:rPr>
            <m:t>k</m:t>
          </m:r>
          <m:r>
            <m:rPr>
              <m:sty m:val="p"/>
            </m:rPr>
            <w:rPr>
              <w:rFonts w:ascii="Cambria Math" w:hAnsi="Cambria Math" w:cs="Times New Roman"/>
            </w:rPr>
            <m:t>|</m:t>
          </m:r>
          <m:r>
            <w:rPr>
              <w:rFonts w:ascii="Cambria Math" w:hAnsi="Cambria Math" w:cs="Times New Roman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</w:rPr>
            <m:t>)=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exp(-</m:t>
              </m:r>
              <m:r>
                <w:rPr>
                  <w:rFonts w:ascii="Cambria Math" w:hAnsi="Cambria Math" w:cs="Times New Roman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∥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w:rPr>
                  <w:rFonts w:ascii="Cambria Math" w:hAnsi="Cambria Math" w:cs="Times New Roman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)-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k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∥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)</m:t>
              </m:r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Times New Roman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​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exp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</w:rPr>
                <m:t>(-</m:t>
              </m:r>
              <m:r>
                <w:rPr>
                  <w:rFonts w:ascii="Cambria Math" w:hAnsi="Cambria Math" w:cs="Times New Roman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∥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w:rPr>
                  <w:rFonts w:ascii="Cambria Math" w:hAnsi="Cambria Math" w:cs="Times New Roman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)-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j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∥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</w:rPr>
                <m:t>)</m:t>
              </m:r>
            </m:den>
          </m:f>
        </m:oMath>
      </m:oMathPara>
    </w:p>
    <w:p w14:paraId="7DBF51C7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  <w:b/>
          <w:bCs/>
        </w:rPr>
        <w:t>Episode loss (N-way, K-shot):</w:t>
      </w:r>
    </w:p>
    <w:p w14:paraId="2FB14770" w14:textId="77777777" w:rsidR="00DC5C43" w:rsidRPr="009743A1" w:rsidRDefault="00000000" w:rsidP="00DC5C43">
      <w:pPr>
        <w:pStyle w:val="BodyText"/>
        <w:rPr>
          <w:rFonts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</w:rPr>
                <m:t>L</m:t>
              </m:r>
            </m:e>
            <m:sub>
              <m:r>
                <m:rPr>
                  <m:nor/>
                </m:rPr>
                <w:rPr>
                  <w:rFonts w:cs="Times New Roman"/>
                </w:rPr>
                <m:t>proto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</w:rPr>
                <m:t>|Q|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w:rPr>
                  <w:rFonts w:ascii="Cambria Math" w:hAnsi="Cambria Math" w:cs="Times New Roman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,</m:t>
              </m:r>
              <m:r>
                <w:rPr>
                  <w:rFonts w:ascii="Cambria Math" w:hAnsi="Cambria Math" w:cs="Times New Roman"/>
                </w:rPr>
                <m:t>y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</w:rPr>
                <m:t>)∈Q</m:t>
              </m:r>
            </m:sub>
            <m:sup>
              <m:r>
                <w:rPr>
                  <w:rFonts w:ascii="Cambria Math" w:hAnsi="Cambria Math" w:cs="Times New Roman"/>
                </w:rPr>
                <m:t>​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</w:rPr>
            <m:t>log</m:t>
          </m:r>
          <m:r>
            <w:rPr>
              <w:rFonts w:ascii="Cambria Math" w:hAnsi="Cambria Math" w:cs="Times New Roman"/>
            </w:rPr>
            <m:t>P</m:t>
          </m:r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r>
            <w:rPr>
              <w:rFonts w:ascii="Cambria Math" w:hAnsi="Cambria Math" w:cs="Times New Roman"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</w:rPr>
            <m:t>|</m:t>
          </m:r>
          <m:r>
            <w:rPr>
              <w:rFonts w:ascii="Cambria Math" w:hAnsi="Cambria Math" w:cs="Times New Roman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</w:rPr>
            <m:t>)</m:t>
          </m:r>
        </m:oMath>
      </m:oMathPara>
    </w:p>
    <w:p w14:paraId="3F0E6F2D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Additionally, a small supervised classifier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z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9743A1">
        <w:rPr>
          <w:rFonts w:cs="Times New Roman"/>
        </w:rPr>
        <w:t xml:space="preserve"> is trained for well-represented base classes using cross-entropy loss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nor/>
              </m:rPr>
              <w:rPr>
                <w:rFonts w:cs="Times New Roman"/>
              </w:rPr>
              <m:t>sup</m:t>
            </m:r>
          </m:sub>
        </m:sSub>
      </m:oMath>
      <w:r w:rsidRPr="009743A1">
        <w:rPr>
          <w:rFonts w:cs="Times New Roman"/>
        </w:rPr>
        <w:t>.</w:t>
      </w:r>
    </w:p>
    <w:p w14:paraId="27CBE2DF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2" w:name="d-robustness-test-time-adaptation-tta"/>
      <w:bookmarkEnd w:id="11"/>
      <w:r w:rsidRPr="009743A1">
        <w:rPr>
          <w:rFonts w:ascii="Times New Roman" w:hAnsi="Times New Roman" w:cs="Times New Roman"/>
          <w:b/>
          <w:bCs/>
          <w:color w:val="auto"/>
        </w:rPr>
        <w:t>D) Robustness &amp; Test-Time Adaptation (TTA)</w:t>
      </w:r>
    </w:p>
    <w:p w14:paraId="53CB5077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To adapt dynamically to unseen lighting and microscope conditions, we adopt </w:t>
      </w:r>
      <w:r w:rsidRPr="009743A1">
        <w:rPr>
          <w:rFonts w:cs="Times New Roman"/>
          <w:b/>
          <w:bCs/>
        </w:rPr>
        <w:t>TENT (Test-Time Entropy Minimization)</w:t>
      </w:r>
      <w:r w:rsidRPr="009743A1">
        <w:rPr>
          <w:rFonts w:cs="Times New Roman"/>
        </w:rPr>
        <w:t xml:space="preserve"> with batch-normalization (BN) adaptation only:</w:t>
      </w:r>
    </w:p>
    <w:p w14:paraId="39DABBB3" w14:textId="77777777" w:rsidR="00DC5C43" w:rsidRPr="009743A1" w:rsidRDefault="00000000" w:rsidP="00DC5C43">
      <w:pPr>
        <w:pStyle w:val="BodyText"/>
        <w:rPr>
          <w:rFonts w:cs="Times New Roman"/>
        </w:rPr>
      </w:pPr>
      <m:oMathPara>
        <m:oMathParaPr>
          <m:jc m:val="center"/>
        </m:oMathParaPr>
        <m:oMath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min</m:t>
              </m:r>
            </m:e>
            <m:lim>
              <m:r>
                <m:rPr>
                  <m:nor/>
                </m:rPr>
                <w:rPr>
                  <w:rFonts w:cs="Times New Roman"/>
                </w:rPr>
                <m:t>BN params</m:t>
              </m:r>
            </m:lim>
          </m:limLow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</w:rPr>
                <m:t>L</m:t>
              </m:r>
            </m:e>
            <m:sub>
              <m:r>
                <m:rPr>
                  <m:nor/>
                </m:rPr>
                <w:rPr>
                  <w:rFonts w:cs="Times New Roman"/>
                </w:rPr>
                <m:t>TENT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B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r>
                <w:rPr>
                  <w:rFonts w:ascii="Cambria Math" w:hAnsi="Cambria Math" w:cs="Times New Roman"/>
                </w:rPr>
                <m:t>1</m:t>
              </m:r>
            </m:sub>
            <m:sup>
              <m:r>
                <w:rPr>
                  <w:rFonts w:ascii="Cambria Math" w:hAnsi="Cambria Math" w:cs="Times New Roman"/>
                </w:rPr>
                <m:t>B</m:t>
              </m:r>
            </m:sup>
            <m:e>
              <m:r>
                <w:rPr>
                  <w:rFonts w:ascii="Cambria Math" w:hAnsi="Cambria Math" w:cs="Times New Roman"/>
                </w:rPr>
                <m:t>H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acc>
            <m:accPr>
              <m:ctrlPr>
                <w:rPr>
                  <w:rFonts w:ascii="Cambria Math" w:hAnsi="Cambria Math" w:cs="Times New Roman"/>
                </w:rPr>
              </m:ctrlPr>
            </m:accPr>
            <m:e>
              <m:r>
                <w:rPr>
                  <w:rFonts w:ascii="Cambria Math" w:hAnsi="Cambria Math" w:cs="Times New Roman"/>
                </w:rPr>
                <m:t>p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x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))=-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B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r>
                <w:rPr>
                  <w:rFonts w:ascii="Cambria Math" w:hAnsi="Cambria Math" w:cs="Times New Roman"/>
                </w:rPr>
                <m:t>1</m:t>
              </m:r>
            </m:sub>
            <m:sup>
              <m:r>
                <w:rPr>
                  <w:rFonts w:ascii="Cambria Math" w:hAnsi="Cambria Math" w:cs="Times New Roman"/>
                </w:rPr>
                <m:t>B</m:t>
              </m:r>
            </m:sup>
            <m:e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Times New Roman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c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​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c</m:t>
                      </m:r>
                    </m:sub>
                  </m:sSub>
                </m:e>
              </m:nary>
            </m:e>
          </m:nary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x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)log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(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x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)</m:t>
          </m:r>
        </m:oMath>
      </m:oMathPara>
    </w:p>
    <w:p w14:paraId="175F8D09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>This updates only BN statistics while keeping backbone weights frozen.</w:t>
      </w:r>
    </w:p>
    <w:p w14:paraId="47B23EED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3" w:name="e-calibration-post-hoc"/>
      <w:bookmarkEnd w:id="12"/>
      <w:r w:rsidRPr="009743A1">
        <w:rPr>
          <w:rFonts w:ascii="Times New Roman" w:hAnsi="Times New Roman" w:cs="Times New Roman"/>
          <w:b/>
          <w:bCs/>
          <w:color w:val="auto"/>
        </w:rPr>
        <w:t>E) Calibration (Post-hoc)</w:t>
      </w:r>
    </w:p>
    <w:p w14:paraId="1C24EDD4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Predicted logits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Pr="009743A1">
        <w:rPr>
          <w:rFonts w:cs="Times New Roman"/>
        </w:rPr>
        <w:t xml:space="preserve"> are calibrated using </w:t>
      </w:r>
      <w:r w:rsidRPr="009743A1">
        <w:rPr>
          <w:rFonts w:cs="Times New Roman"/>
          <w:b/>
          <w:bCs/>
        </w:rPr>
        <w:t>temperature scaling</w:t>
      </w:r>
      <w:r w:rsidRPr="009743A1">
        <w:rPr>
          <w:rFonts w:cs="Times New Roman"/>
        </w:rPr>
        <w:t xml:space="preserve"> to ensure reliable confidence estimates:</w:t>
      </w:r>
    </w:p>
    <w:p w14:paraId="4FC4AECA" w14:textId="77777777" w:rsidR="00DC5C43" w:rsidRPr="009743A1" w:rsidRDefault="00000000" w:rsidP="00DC5C43">
      <w:pPr>
        <w:pStyle w:val="BodyText"/>
        <w:rPr>
          <w:rFonts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exp(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/</m:t>
              </m:r>
              <m:r>
                <w:rPr>
                  <w:rFonts w:ascii="Cambria Math" w:hAnsi="Cambria Math" w:cs="Times New Roma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</m:t>
              </m:r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Times New Roman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​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exp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j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/</m:t>
              </m:r>
              <m:r>
                <w:rPr>
                  <w:rFonts w:ascii="Cambria Math" w:hAnsi="Cambria Math" w:cs="Times New Roma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,</m:t>
          </m:r>
          <m:r>
            <w:rPr>
              <w:rFonts w:ascii="Cambria Math" w:hAnsi="Cambria Math" w:cs="Times New Roman"/>
            </w:rPr>
            <m:t> T</m:t>
          </m:r>
          <m:r>
            <m:rPr>
              <m:sty m:val="p"/>
            </m:rPr>
            <w:rPr>
              <w:rFonts w:ascii="Cambria Math" w:hAnsi="Cambria Math" w:cs="Times New Roman"/>
            </w:rPr>
            <m:t>=arg</m:t>
          </m:r>
          <m:limLow>
            <m:limLowPr>
              <m:ctrlPr>
                <w:rPr>
                  <w:rFonts w:ascii="Cambria Math" w:hAnsi="Cambria Math" w:cs="Times New Roman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min</m:t>
              </m:r>
            </m:e>
            <m:lim>
              <m:r>
                <w:rPr>
                  <w:rFonts w:ascii="Cambria Math" w:hAnsi="Cambria Math" w:cs="Times New Roman"/>
                </w:rPr>
                <m:t>T</m:t>
              </m:r>
            </m:lim>
          </m:limLow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nor/>
                </m:rPr>
                <w:rPr>
                  <w:rFonts w:cs="Times New Roman"/>
                </w:rPr>
                <m:t>NLL</m:t>
              </m:r>
            </m:e>
            <m:sub>
              <m:r>
                <m:rPr>
                  <m:nor/>
                </m:rPr>
                <w:rPr>
                  <w:rFonts w:cs="Times New Roman"/>
                </w:rPr>
                <m:t>val</m:t>
              </m:r>
            </m:sub>
          </m:sSub>
        </m:oMath>
      </m:oMathPara>
    </w:p>
    <w:p w14:paraId="47724DE1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The </w:t>
      </w:r>
      <w:r w:rsidRPr="009743A1">
        <w:rPr>
          <w:rFonts w:cs="Times New Roman"/>
          <w:b/>
          <w:bCs/>
        </w:rPr>
        <w:t>Expected Calibration Error (ECE)</w:t>
      </w:r>
      <w:r w:rsidRPr="009743A1">
        <w:rPr>
          <w:rFonts w:cs="Times New Roman"/>
        </w:rPr>
        <w:t xml:space="preserve"> is used to assess prediction reliability for medical or agricultural decision support.</w:t>
      </w:r>
    </w:p>
    <w:p w14:paraId="07228A0E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4" w:name="f-mobile-deployment-edge-inference"/>
      <w:bookmarkEnd w:id="13"/>
      <w:r w:rsidRPr="009743A1">
        <w:rPr>
          <w:rFonts w:ascii="Times New Roman" w:hAnsi="Times New Roman" w:cs="Times New Roman"/>
          <w:b/>
          <w:bCs/>
          <w:color w:val="auto"/>
        </w:rPr>
        <w:t>F) Mobile Deployment (Edge Inference)</w:t>
      </w:r>
    </w:p>
    <w:p w14:paraId="53170258" w14:textId="77777777" w:rsidR="00DC5C43" w:rsidRPr="009743A1" w:rsidRDefault="00DC5C43" w:rsidP="00DC5C43">
      <w:pPr>
        <w:pStyle w:val="Compact"/>
        <w:numPr>
          <w:ilvl w:val="0"/>
          <w:numId w:val="1"/>
        </w:numPr>
        <w:rPr>
          <w:rFonts w:cs="Times New Roman"/>
        </w:rPr>
      </w:pPr>
      <w:r w:rsidRPr="009743A1">
        <w:rPr>
          <w:rFonts w:cs="Times New Roman"/>
          <w:b/>
          <w:bCs/>
        </w:rPr>
        <w:t>Quantization-Aware Training (QAT):</w:t>
      </w:r>
      <w:r w:rsidRPr="009743A1">
        <w:rPr>
          <w:rFonts w:cs="Times New Roman"/>
        </w:rPr>
        <w:t xml:space="preserve"> Apply fake quantization during training to enable </w:t>
      </w:r>
      <w:r w:rsidRPr="009743A1">
        <w:rPr>
          <w:rFonts w:cs="Times New Roman"/>
          <w:b/>
          <w:bCs/>
        </w:rPr>
        <w:t>INT8</w:t>
      </w:r>
      <w:r w:rsidRPr="009743A1">
        <w:rPr>
          <w:rFonts w:cs="Times New Roman"/>
        </w:rPr>
        <w:t xml:space="preserve"> deployment with negligible accuracy loss.</w:t>
      </w:r>
    </w:p>
    <w:p w14:paraId="34C1B9D8" w14:textId="77777777" w:rsidR="00DC5C43" w:rsidRPr="009743A1" w:rsidRDefault="00DC5C43" w:rsidP="00DC5C43">
      <w:pPr>
        <w:pStyle w:val="Compact"/>
        <w:numPr>
          <w:ilvl w:val="0"/>
          <w:numId w:val="1"/>
        </w:numPr>
        <w:rPr>
          <w:rFonts w:cs="Times New Roman"/>
        </w:rPr>
      </w:pPr>
      <w:r w:rsidRPr="009743A1">
        <w:rPr>
          <w:rFonts w:cs="Times New Roman"/>
          <w:b/>
          <w:bCs/>
        </w:rPr>
        <w:t>Pruning:</w:t>
      </w:r>
      <w:r w:rsidRPr="009743A1">
        <w:rPr>
          <w:rFonts w:cs="Times New Roman"/>
        </w:rPr>
        <w:t xml:space="preserve"> Structured (channel-level) pruning reduces model size while preserving accuracy through fine-tuning.</w:t>
      </w:r>
    </w:p>
    <w:p w14:paraId="07035F13" w14:textId="77777777" w:rsidR="00DC5C43" w:rsidRPr="009743A1" w:rsidRDefault="00DC5C43" w:rsidP="00DC5C43">
      <w:pPr>
        <w:pStyle w:val="Compact"/>
        <w:numPr>
          <w:ilvl w:val="0"/>
          <w:numId w:val="1"/>
        </w:numPr>
        <w:rPr>
          <w:rFonts w:cs="Times New Roman"/>
        </w:rPr>
      </w:pPr>
      <w:r w:rsidRPr="009743A1">
        <w:rPr>
          <w:rFonts w:cs="Times New Roman"/>
          <w:b/>
          <w:bCs/>
        </w:rPr>
        <w:t>Performance target:</w:t>
      </w:r>
      <w:r w:rsidRPr="009743A1">
        <w:rPr>
          <w:rFonts w:cs="Times New Roman"/>
        </w:rPr>
        <w:t xml:space="preserve"> Latency of </w:t>
      </w:r>
      <w:r w:rsidRPr="009743A1">
        <w:rPr>
          <w:rFonts w:cs="Times New Roman"/>
          <w:b/>
          <w:bCs/>
        </w:rPr>
        <w:t>40–60 ms</w:t>
      </w:r>
      <w:r w:rsidRPr="009743A1">
        <w:rPr>
          <w:rFonts w:cs="Times New Roman"/>
        </w:rPr>
        <w:t xml:space="preserve"> on a mid-range mobile SoC at 224×224 resolution, with memory &lt; 10 MB.</w:t>
      </w:r>
    </w:p>
    <w:p w14:paraId="276319F2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5" w:name="overall-objective"/>
      <w:bookmarkEnd w:id="14"/>
      <w:r w:rsidRPr="009743A1">
        <w:rPr>
          <w:rFonts w:ascii="Times New Roman" w:hAnsi="Times New Roman" w:cs="Times New Roman"/>
          <w:b/>
          <w:bCs/>
          <w:color w:val="auto"/>
        </w:rPr>
        <w:t>Overall Objective</w:t>
      </w:r>
    </w:p>
    <w:p w14:paraId="1FE71BAD" w14:textId="77777777" w:rsidR="00DC5C43" w:rsidRPr="009743A1" w:rsidRDefault="00000000" w:rsidP="00DC5C43">
      <w:pPr>
        <w:pStyle w:val="FirstParagraph"/>
        <w:rPr>
          <w:rFonts w:cs="Times New Roman"/>
        </w:rPr>
      </w:pPr>
      <m:oMathPara>
        <m:oMathParaPr>
          <m:jc m:val="center"/>
        </m:oMathParaPr>
        <m:oMath>
          <m:borderBox>
            <m:borderBoxPr>
              <m:ctrlPr>
                <w:rPr>
                  <w:rFonts w:ascii="Cambria Math" w:hAnsi="Cambria Math" w:cs="Times New Roman"/>
                </w:rPr>
              </m:ctrlPr>
            </m:borderBoxPr>
            <m:e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</w:rPr>
                <m:t>L=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</w:rPr>
                    <m:t>sup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</w:rPr>
                    <m:t>proto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</w:rPr>
                    <m:t>reg</m:t>
                  </m:r>
                </m:sub>
              </m:sSub>
              <m:r>
                <w:rPr>
                  <w:rFonts w:ascii="Cambria Math" w:hAnsi="Cambria Math" w:cs="Times New Roman"/>
                </w:rPr>
                <m:t> 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m:rPr>
                  <m:nor/>
                </m:rPr>
                <w:rPr>
                  <w:rFonts w:cs="Times New Roman"/>
                </w:rPr>
                <m:t>training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);</m:t>
              </m:r>
              <m:r>
                <w:rPr>
                  <w:rFonts w:ascii="Cambria Math" w:hAnsi="Cambria Math" w:cs="Times New Roman"/>
                </w:rPr>
                <m:t> 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min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</w:rPr>
                    <m:t>TENT</m:t>
                  </m:r>
                </m:sub>
              </m:sSub>
              <m:r>
                <w:rPr>
                  <w:rFonts w:ascii="Cambria Math" w:hAnsi="Cambria Math" w:cs="Times New Roman"/>
                </w:rPr>
                <m:t> 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r>
                <m:rPr>
                  <m:nor/>
                </m:rPr>
                <w:rPr>
                  <w:rFonts w:cs="Times New Roman"/>
                </w:rPr>
                <m:t>testing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)</m:t>
              </m:r>
            </m:e>
          </m:borderBox>
        </m:oMath>
      </m:oMathPara>
    </w:p>
    <w:p w14:paraId="001D8F9F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nor/>
              </m:rPr>
              <w:rPr>
                <w:rFonts w:cs="Times New Roman"/>
              </w:rPr>
              <m:t>reg</m:t>
            </m:r>
          </m:sub>
        </m:sSub>
      </m:oMath>
      <w:r w:rsidRPr="009743A1">
        <w:rPr>
          <w:rFonts w:cs="Times New Roman"/>
        </w:rPr>
        <w:t xml:space="preserve"> includes label-smoothing and weight-decay regularizers.</w:t>
      </w:r>
    </w:p>
    <w:p w14:paraId="091B7D17" w14:textId="692A89C0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6" w:name="algorithm-concise"/>
      <w:bookmarkEnd w:id="15"/>
      <w:r w:rsidRPr="009743A1">
        <w:rPr>
          <w:rFonts w:ascii="Times New Roman" w:hAnsi="Times New Roman" w:cs="Times New Roman"/>
          <w:b/>
          <w:bCs/>
          <w:color w:val="auto"/>
        </w:rPr>
        <w:t xml:space="preserve">Algorithm </w:t>
      </w:r>
    </w:p>
    <w:bookmarkEnd w:id="8"/>
    <w:bookmarkEnd w:id="16"/>
    <w:p w14:paraId="1EB34B13" w14:textId="6B7C083B" w:rsidR="00DC5C43" w:rsidRPr="009743A1" w:rsidRDefault="00DC5C43" w:rsidP="00DC5C43">
      <w:pPr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b/>
          <w:bCs/>
          <w:lang w:val="en-IN"/>
        </w:rPr>
        <w:t>Train:</w:t>
      </w:r>
      <w:r w:rsidRPr="009743A1">
        <w:rPr>
          <w:rFonts w:ascii="Times New Roman" w:hAnsi="Times New Roman" w:cs="Times New Roman"/>
          <w:lang w:val="en-IN"/>
        </w:rPr>
        <w:br/>
        <w:t>a) Illumination/stain normalization → augment.</w:t>
      </w:r>
      <w:r w:rsidRPr="009743A1">
        <w:rPr>
          <w:rFonts w:ascii="Times New Roman" w:hAnsi="Times New Roman" w:cs="Times New Roman"/>
          <w:lang w:val="en-IN"/>
        </w:rPr>
        <w:br/>
        <w:t xml:space="preserve">b) Forward through </w:t>
      </w:r>
      <m:oMath>
        <m:sSub>
          <m:sSubPr>
            <m:ctrlPr>
              <w:rPr>
                <w:rFonts w:ascii="Cambria Math" w:hAnsi="Cambria Math" w:cs="Times New Roman"/>
                <w:lang w:val="en-IN"/>
              </w:rPr>
            </m:ctrlPr>
          </m:sSubPr>
          <m:e>
            <m:r>
              <w:rPr>
                <w:rFonts w:ascii="Cambria Math" w:hAnsi="Cambria Math" w:cs="Times New Roman"/>
                <w:lang w:val="en-IN"/>
              </w:rPr>
              <m:t>f</m:t>
            </m:r>
          </m:e>
          <m:sub>
            <m:r>
              <w:rPr>
                <w:rFonts w:ascii="Cambria Math" w:hAnsi="Cambria Math" w:cs="Times New Roman"/>
                <w:lang w:val="en-IN"/>
              </w:rPr>
              <m:t>θ</m:t>
            </m:r>
          </m:sub>
        </m:sSub>
      </m:oMath>
      <w:r w:rsidRPr="009743A1">
        <w:rPr>
          <w:rFonts w:ascii="Times New Roman" w:hAnsi="Times New Roman" w:cs="Times New Roman"/>
          <w:lang w:val="en-IN"/>
        </w:rPr>
        <w:t xml:space="preserve">→ </w:t>
      </w:r>
      <m:oMath>
        <m:r>
          <w:rPr>
            <w:rFonts w:ascii="Cambria Math" w:hAnsi="Cambria Math" w:cs="Times New Roman"/>
            <w:lang w:val="en-IN"/>
          </w:rPr>
          <m:t>z</m:t>
        </m:r>
      </m:oMath>
      <w:r w:rsidRPr="009743A1">
        <w:rPr>
          <w:rFonts w:ascii="Times New Roman" w:hAnsi="Times New Roman" w:cs="Times New Roman"/>
          <w:lang w:val="en-IN"/>
        </w:rPr>
        <w:t>.</w:t>
      </w:r>
      <w:r w:rsidRPr="009743A1">
        <w:rPr>
          <w:rFonts w:ascii="Times New Roman" w:hAnsi="Times New Roman" w:cs="Times New Roman"/>
          <w:lang w:val="en-IN"/>
        </w:rPr>
        <w:br/>
        <w:t>c) Supervised CE on base classes; episodic Proto loss on sampled N-way K-shot tasks; QAT on.</w:t>
      </w:r>
    </w:p>
    <w:p w14:paraId="5F53DE7C" w14:textId="1B2972A7" w:rsidR="00DC5C43" w:rsidRPr="009743A1" w:rsidRDefault="00DC5C43" w:rsidP="00DC5C43">
      <w:pPr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b/>
          <w:bCs/>
          <w:lang w:val="en-IN"/>
        </w:rPr>
        <w:t>Validate:</w:t>
      </w:r>
      <w:r w:rsidRPr="009743A1">
        <w:rPr>
          <w:rFonts w:ascii="Times New Roman" w:hAnsi="Times New Roman" w:cs="Times New Roman"/>
          <w:lang w:val="en-IN"/>
        </w:rPr>
        <w:t xml:space="preserve"> find temperature </w:t>
      </w:r>
      <m:oMath>
        <m:r>
          <w:rPr>
            <w:rFonts w:ascii="Cambria Math" w:hAnsi="Cambria Math" w:cs="Times New Roman"/>
            <w:lang w:val="en-IN"/>
          </w:rPr>
          <m:t>T</m:t>
        </m:r>
      </m:oMath>
      <w:r w:rsidRPr="009743A1">
        <w:rPr>
          <w:rFonts w:ascii="Times New Roman" w:hAnsi="Times New Roman" w:cs="Times New Roman"/>
          <w:lang w:val="en-IN"/>
        </w:rPr>
        <w:t>for calibration.</w:t>
      </w:r>
    </w:p>
    <w:p w14:paraId="2F8B18EF" w14:textId="4E539998" w:rsidR="00DC5C43" w:rsidRPr="009743A1" w:rsidRDefault="00DC5C43" w:rsidP="00DC5C43">
      <w:pPr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b/>
          <w:bCs/>
          <w:lang w:val="en-IN"/>
        </w:rPr>
        <w:t>Deploy (phone):</w:t>
      </w:r>
      <w:r w:rsidRPr="009743A1">
        <w:rPr>
          <w:rFonts w:ascii="Times New Roman" w:hAnsi="Times New Roman" w:cs="Times New Roman"/>
          <w:lang w:val="en-IN"/>
        </w:rPr>
        <w:t xml:space="preserve"> INT8 model; for each batch on device, adapt BN via TENT; output </w:t>
      </w:r>
      <w:r w:rsidRPr="009743A1">
        <w:rPr>
          <w:rFonts w:ascii="Times New Roman" w:hAnsi="Times New Roman" w:cs="Times New Roman"/>
          <w:b/>
          <w:bCs/>
          <w:lang w:val="en-IN"/>
        </w:rPr>
        <w:t>class + calibrated confidence</w:t>
      </w:r>
      <w:r w:rsidRPr="009743A1">
        <w:rPr>
          <w:rFonts w:ascii="Times New Roman" w:hAnsi="Times New Roman" w:cs="Times New Roman"/>
          <w:lang w:val="en-IN"/>
        </w:rPr>
        <w:t xml:space="preserve">; show </w:t>
      </w:r>
      <w:r w:rsidRPr="009743A1">
        <w:rPr>
          <w:rFonts w:ascii="Times New Roman" w:hAnsi="Times New Roman" w:cs="Times New Roman"/>
          <w:b/>
          <w:bCs/>
          <w:lang w:val="en-IN"/>
        </w:rPr>
        <w:t>Grad-CAM</w:t>
      </w:r>
      <w:r w:rsidRPr="009743A1">
        <w:rPr>
          <w:rFonts w:ascii="Times New Roman" w:hAnsi="Times New Roman" w:cs="Times New Roman"/>
          <w:lang w:val="en-IN"/>
        </w:rPr>
        <w:t xml:space="preserve"> overlay for expert trust.</w:t>
      </w:r>
    </w:p>
    <w:p w14:paraId="21BAB563" w14:textId="5312B2FF" w:rsidR="00DC5C43" w:rsidRPr="009743A1" w:rsidRDefault="00DC5C43" w:rsidP="00DC5C43">
      <w:pPr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noProof/>
          <w:lang w:val="en-IN"/>
        </w:rPr>
        <w:lastRenderedPageBreak/>
        <w:drawing>
          <wp:inline distT="0" distB="0" distL="0" distR="0" wp14:anchorId="2624EF7D" wp14:editId="36552EC6">
            <wp:extent cx="3204210" cy="4806316"/>
            <wp:effectExtent l="0" t="0" r="0" b="0"/>
            <wp:docPr id="2143781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45" cy="482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3A0D0" w14:textId="32AFB2BC" w:rsidR="00DC5C43" w:rsidRPr="009743A1" w:rsidRDefault="00DC5C43" w:rsidP="00DC5C43">
      <w:pPr>
        <w:rPr>
          <w:rFonts w:ascii="Times New Roman" w:hAnsi="Times New Roman" w:cs="Times New Roman"/>
        </w:rPr>
      </w:pPr>
      <w:r w:rsidRPr="009743A1">
        <w:rPr>
          <w:rFonts w:ascii="Times New Roman" w:hAnsi="Times New Roman" w:cs="Times New Roman"/>
        </w:rPr>
        <w:t>Fig. 1 — Deep SporeNet Architecture for Fungal Image Classification</w:t>
      </w:r>
    </w:p>
    <w:p w14:paraId="4B28BDEA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vi.-results-and-discussion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VI. Results and Discussion</w:t>
      </w:r>
    </w:p>
    <w:p w14:paraId="750A9D5C" w14:textId="77777777" w:rsidR="00DC5C43" w:rsidRPr="009743A1" w:rsidRDefault="00DC5C43" w:rsidP="00DC5C43">
      <w:pPr>
        <w:pStyle w:val="FirstParagraph"/>
        <w:jc w:val="both"/>
        <w:rPr>
          <w:rFonts w:cs="Times New Roman"/>
        </w:rPr>
      </w:pPr>
      <w:r w:rsidRPr="009743A1">
        <w:rPr>
          <w:rFonts w:cs="Times New Roman"/>
        </w:rPr>
        <w:t>The proposed Deep SporeNet framework was evaluated on two curated datasets: (1) MycoAI-Lab – laboratory-captured colony/spore images (15 genera, 120 classes, 12k images), and (2) FieldMyco-Real – smartphone-captured fungal samples (10 genera, 6k images) exhibiting high illumination and stain variation. We compared Deep SporeNet against several baselines, including MobileNetV2, EfficientNet-B0, ResNet-50, and ProtoNet + CNN backbone.</w:t>
      </w:r>
    </w:p>
    <w:p w14:paraId="3343CD15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a.-quantitative-evaluation"/>
      <w:bookmarkEnd w:id="17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A. Quantitative Evaluation</w:t>
      </w:r>
    </w:p>
    <w:p w14:paraId="4B1F5F71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19" w:name="X91d1e7998b4c64ab722250bacbc0064b1520bef"/>
      <w:r w:rsidRPr="009743A1">
        <w:rPr>
          <w:rFonts w:ascii="Times New Roman" w:hAnsi="Times New Roman" w:cs="Times New Roman"/>
          <w:b/>
          <w:bCs/>
          <w:color w:val="auto"/>
        </w:rPr>
        <w:t>Table 1 — Model Performance Comparison on MycoAI-Lab and FieldMyco-Real Datasets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1789"/>
        <w:gridCol w:w="1401"/>
        <w:gridCol w:w="1251"/>
        <w:gridCol w:w="968"/>
        <w:gridCol w:w="1064"/>
        <w:gridCol w:w="1529"/>
        <w:gridCol w:w="1348"/>
      </w:tblGrid>
      <w:tr w:rsidR="00F72E0E" w:rsidRPr="009743A1" w14:paraId="7353F4F9" w14:textId="77777777" w:rsidTr="000B2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0D9D5077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Model</w:t>
            </w:r>
          </w:p>
        </w:tc>
        <w:tc>
          <w:tcPr>
            <w:tcW w:w="0" w:type="auto"/>
          </w:tcPr>
          <w:p w14:paraId="6724939C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Parameters (M)</w:t>
            </w:r>
          </w:p>
        </w:tc>
        <w:tc>
          <w:tcPr>
            <w:tcW w:w="0" w:type="auto"/>
          </w:tcPr>
          <w:p w14:paraId="013FB239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Accuracy (%)</w:t>
            </w:r>
          </w:p>
        </w:tc>
        <w:tc>
          <w:tcPr>
            <w:tcW w:w="0" w:type="auto"/>
          </w:tcPr>
          <w:p w14:paraId="03A4F36D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F1-Score (%)</w:t>
            </w:r>
          </w:p>
        </w:tc>
        <w:tc>
          <w:tcPr>
            <w:tcW w:w="0" w:type="auto"/>
          </w:tcPr>
          <w:p w14:paraId="6A1B5159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Tail-Class F1 (%)</w:t>
            </w:r>
          </w:p>
        </w:tc>
        <w:tc>
          <w:tcPr>
            <w:tcW w:w="0" w:type="auto"/>
          </w:tcPr>
          <w:p w14:paraId="350CA3E0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Calibration (ECE ↓)</w:t>
            </w:r>
          </w:p>
        </w:tc>
        <w:tc>
          <w:tcPr>
            <w:tcW w:w="0" w:type="auto"/>
          </w:tcPr>
          <w:p w14:paraId="40F7891D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Latency (ms, Mobile)</w:t>
            </w:r>
          </w:p>
        </w:tc>
      </w:tr>
      <w:tr w:rsidR="00F72E0E" w:rsidRPr="009743A1" w14:paraId="21E5617C" w14:textId="77777777" w:rsidTr="000B2AEE">
        <w:tc>
          <w:tcPr>
            <w:tcW w:w="0" w:type="auto"/>
          </w:tcPr>
          <w:p w14:paraId="76E9F3AF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ResNet-50</w:t>
            </w:r>
          </w:p>
        </w:tc>
        <w:tc>
          <w:tcPr>
            <w:tcW w:w="0" w:type="auto"/>
          </w:tcPr>
          <w:p w14:paraId="08366AE7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25.6</w:t>
            </w:r>
          </w:p>
        </w:tc>
        <w:tc>
          <w:tcPr>
            <w:tcW w:w="0" w:type="auto"/>
          </w:tcPr>
          <w:p w14:paraId="2AAFC9CE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92.3</w:t>
            </w:r>
          </w:p>
        </w:tc>
        <w:tc>
          <w:tcPr>
            <w:tcW w:w="0" w:type="auto"/>
          </w:tcPr>
          <w:p w14:paraId="34DDABEB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90.5</w:t>
            </w:r>
          </w:p>
        </w:tc>
        <w:tc>
          <w:tcPr>
            <w:tcW w:w="0" w:type="auto"/>
          </w:tcPr>
          <w:p w14:paraId="3719262C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71.2</w:t>
            </w:r>
          </w:p>
        </w:tc>
        <w:tc>
          <w:tcPr>
            <w:tcW w:w="0" w:type="auto"/>
          </w:tcPr>
          <w:p w14:paraId="5ADA2A9E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0.104</w:t>
            </w:r>
          </w:p>
        </w:tc>
        <w:tc>
          <w:tcPr>
            <w:tcW w:w="0" w:type="auto"/>
          </w:tcPr>
          <w:p w14:paraId="7EA1D7EB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142</w:t>
            </w:r>
          </w:p>
        </w:tc>
      </w:tr>
      <w:tr w:rsidR="00F72E0E" w:rsidRPr="009743A1" w14:paraId="5CCE13AB" w14:textId="77777777" w:rsidTr="000B2AEE">
        <w:tc>
          <w:tcPr>
            <w:tcW w:w="0" w:type="auto"/>
          </w:tcPr>
          <w:p w14:paraId="77D9A97C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EfficientNet-B0</w:t>
            </w:r>
          </w:p>
        </w:tc>
        <w:tc>
          <w:tcPr>
            <w:tcW w:w="0" w:type="auto"/>
          </w:tcPr>
          <w:p w14:paraId="7447F946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5.3</w:t>
            </w:r>
          </w:p>
        </w:tc>
        <w:tc>
          <w:tcPr>
            <w:tcW w:w="0" w:type="auto"/>
          </w:tcPr>
          <w:p w14:paraId="0832DCC2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93.1</w:t>
            </w:r>
          </w:p>
        </w:tc>
        <w:tc>
          <w:tcPr>
            <w:tcW w:w="0" w:type="auto"/>
          </w:tcPr>
          <w:p w14:paraId="224BA85D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91.6</w:t>
            </w:r>
          </w:p>
        </w:tc>
        <w:tc>
          <w:tcPr>
            <w:tcW w:w="0" w:type="auto"/>
          </w:tcPr>
          <w:p w14:paraId="4B86BFDE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74.8</w:t>
            </w:r>
          </w:p>
        </w:tc>
        <w:tc>
          <w:tcPr>
            <w:tcW w:w="0" w:type="auto"/>
          </w:tcPr>
          <w:p w14:paraId="0B7B7773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0.081</w:t>
            </w:r>
          </w:p>
        </w:tc>
        <w:tc>
          <w:tcPr>
            <w:tcW w:w="0" w:type="auto"/>
          </w:tcPr>
          <w:p w14:paraId="1AA23B6A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96</w:t>
            </w:r>
          </w:p>
        </w:tc>
      </w:tr>
      <w:tr w:rsidR="00F72E0E" w:rsidRPr="009743A1" w14:paraId="068C7749" w14:textId="77777777" w:rsidTr="000B2AEE">
        <w:tc>
          <w:tcPr>
            <w:tcW w:w="0" w:type="auto"/>
          </w:tcPr>
          <w:p w14:paraId="68D56FDE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lastRenderedPageBreak/>
              <w:t>ProtoNet (ResNet-18)</w:t>
            </w:r>
          </w:p>
        </w:tc>
        <w:tc>
          <w:tcPr>
            <w:tcW w:w="0" w:type="auto"/>
          </w:tcPr>
          <w:p w14:paraId="5F31954D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11.2</w:t>
            </w:r>
          </w:p>
        </w:tc>
        <w:tc>
          <w:tcPr>
            <w:tcW w:w="0" w:type="auto"/>
          </w:tcPr>
          <w:p w14:paraId="0C399C45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91.2</w:t>
            </w:r>
          </w:p>
        </w:tc>
        <w:tc>
          <w:tcPr>
            <w:tcW w:w="0" w:type="auto"/>
          </w:tcPr>
          <w:p w14:paraId="192CA8C2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89.4</w:t>
            </w:r>
          </w:p>
        </w:tc>
        <w:tc>
          <w:tcPr>
            <w:tcW w:w="0" w:type="auto"/>
          </w:tcPr>
          <w:p w14:paraId="6152DBF6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78.3</w:t>
            </w:r>
          </w:p>
        </w:tc>
        <w:tc>
          <w:tcPr>
            <w:tcW w:w="0" w:type="auto"/>
          </w:tcPr>
          <w:p w14:paraId="42CD6321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0.067</w:t>
            </w:r>
          </w:p>
        </w:tc>
        <w:tc>
          <w:tcPr>
            <w:tcW w:w="0" w:type="auto"/>
          </w:tcPr>
          <w:p w14:paraId="5C60BF01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125</w:t>
            </w:r>
          </w:p>
        </w:tc>
      </w:tr>
      <w:tr w:rsidR="00F72E0E" w:rsidRPr="009743A1" w14:paraId="4A6079D1" w14:textId="77777777" w:rsidTr="000B2AEE">
        <w:tc>
          <w:tcPr>
            <w:tcW w:w="0" w:type="auto"/>
          </w:tcPr>
          <w:p w14:paraId="55C8F0E7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MobileNetV2</w:t>
            </w:r>
          </w:p>
        </w:tc>
        <w:tc>
          <w:tcPr>
            <w:tcW w:w="0" w:type="auto"/>
          </w:tcPr>
          <w:p w14:paraId="18CEAF67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3.4</w:t>
            </w:r>
          </w:p>
        </w:tc>
        <w:tc>
          <w:tcPr>
            <w:tcW w:w="0" w:type="auto"/>
          </w:tcPr>
          <w:p w14:paraId="4C2BC1F5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90.5</w:t>
            </w:r>
          </w:p>
        </w:tc>
        <w:tc>
          <w:tcPr>
            <w:tcW w:w="0" w:type="auto"/>
          </w:tcPr>
          <w:p w14:paraId="45BCAF0B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88.1</w:t>
            </w:r>
          </w:p>
        </w:tc>
        <w:tc>
          <w:tcPr>
            <w:tcW w:w="0" w:type="auto"/>
          </w:tcPr>
          <w:p w14:paraId="72940712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69.5</w:t>
            </w:r>
          </w:p>
        </w:tc>
        <w:tc>
          <w:tcPr>
            <w:tcW w:w="0" w:type="auto"/>
          </w:tcPr>
          <w:p w14:paraId="33E021B8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0.094</w:t>
            </w:r>
          </w:p>
        </w:tc>
        <w:tc>
          <w:tcPr>
            <w:tcW w:w="0" w:type="auto"/>
          </w:tcPr>
          <w:p w14:paraId="387A6424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</w:rPr>
              <w:t>52</w:t>
            </w:r>
          </w:p>
        </w:tc>
      </w:tr>
      <w:tr w:rsidR="00F72E0E" w:rsidRPr="009743A1" w14:paraId="6F4D1920" w14:textId="77777777" w:rsidTr="000B2AEE">
        <w:tc>
          <w:tcPr>
            <w:tcW w:w="0" w:type="auto"/>
          </w:tcPr>
          <w:p w14:paraId="722E1E5D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Deep SporeNet (ours)</w:t>
            </w:r>
          </w:p>
        </w:tc>
        <w:tc>
          <w:tcPr>
            <w:tcW w:w="0" w:type="auto"/>
          </w:tcPr>
          <w:p w14:paraId="6E4FD503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4.8</w:t>
            </w:r>
          </w:p>
        </w:tc>
        <w:tc>
          <w:tcPr>
            <w:tcW w:w="0" w:type="auto"/>
          </w:tcPr>
          <w:p w14:paraId="07ABBE6B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94.2</w:t>
            </w:r>
          </w:p>
        </w:tc>
        <w:tc>
          <w:tcPr>
            <w:tcW w:w="0" w:type="auto"/>
          </w:tcPr>
          <w:p w14:paraId="62B4B8C1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92.8</w:t>
            </w:r>
          </w:p>
        </w:tc>
        <w:tc>
          <w:tcPr>
            <w:tcW w:w="0" w:type="auto"/>
          </w:tcPr>
          <w:p w14:paraId="4A20B28F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82.7</w:t>
            </w:r>
          </w:p>
        </w:tc>
        <w:tc>
          <w:tcPr>
            <w:tcW w:w="0" w:type="auto"/>
          </w:tcPr>
          <w:p w14:paraId="636EE7BF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0.039</w:t>
            </w:r>
          </w:p>
        </w:tc>
        <w:tc>
          <w:tcPr>
            <w:tcW w:w="0" w:type="auto"/>
          </w:tcPr>
          <w:p w14:paraId="30BD7563" w14:textId="77777777" w:rsidR="00DC5C43" w:rsidRPr="009743A1" w:rsidRDefault="00DC5C43" w:rsidP="000B2AEE">
            <w:pPr>
              <w:pStyle w:val="Compact"/>
              <w:jc w:val="righ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48</w:t>
            </w:r>
          </w:p>
        </w:tc>
      </w:tr>
    </w:tbl>
    <w:p w14:paraId="7BC9C95F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  <w:b/>
          <w:bCs/>
        </w:rPr>
        <w:t>Discussion:</w:t>
      </w:r>
      <w:r w:rsidRPr="009743A1">
        <w:rPr>
          <w:rFonts w:cs="Times New Roman"/>
        </w:rPr>
        <w:t xml:space="preserve"> Deep SporeNet achieved </w:t>
      </w:r>
      <w:r w:rsidRPr="009743A1">
        <w:rPr>
          <w:rFonts w:cs="Times New Roman"/>
          <w:b/>
          <w:bCs/>
        </w:rPr>
        <w:t>state-of-the-art accuracy (94.2%)</w:t>
      </w:r>
      <w:r w:rsidRPr="009743A1">
        <w:rPr>
          <w:rFonts w:cs="Times New Roman"/>
        </w:rPr>
        <w:t xml:space="preserve"> and </w:t>
      </w:r>
      <w:r w:rsidRPr="009743A1">
        <w:rPr>
          <w:rFonts w:cs="Times New Roman"/>
          <w:b/>
          <w:bCs/>
        </w:rPr>
        <w:t>tail-class F1 of 82.7%</w:t>
      </w:r>
      <w:r w:rsidRPr="009743A1">
        <w:rPr>
          <w:rFonts w:cs="Times New Roman"/>
        </w:rPr>
        <w:t xml:space="preserve">, outperforming baselines by 4–8% on rare species. Calibration error (ECE) dropped from </w:t>
      </w:r>
      <w:r w:rsidRPr="009743A1">
        <w:rPr>
          <w:rFonts w:cs="Times New Roman"/>
          <w:b/>
          <w:bCs/>
        </w:rPr>
        <w:t>0.10 → 0.039</w:t>
      </w:r>
      <w:r w:rsidRPr="009743A1">
        <w:rPr>
          <w:rFonts w:cs="Times New Roman"/>
        </w:rPr>
        <w:t>, validating its reliability for field triage. Moreover, the quantized version sustained real-time inference (~48 ms) on a mid-range mobile SoC (Snapdragon 778G) with negligible accuracy loss.</w:t>
      </w:r>
    </w:p>
    <w:p w14:paraId="073F3F52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Xf0d6d0a0c8ab71223e2026cc18cda976b847cce"/>
      <w:bookmarkEnd w:id="18"/>
      <w:bookmarkEnd w:id="19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B. Robustness to Illumination Variability</w:t>
      </w:r>
    </w:p>
    <w:p w14:paraId="206CDF5E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To quantify illumination robustness, controlled color-cast and brightness augmentations were applied. </w:t>
      </w:r>
      <w:r w:rsidRPr="009743A1">
        <w:rPr>
          <w:rFonts w:cs="Times New Roman"/>
          <w:b/>
          <w:bCs/>
        </w:rPr>
        <w:t>Table 2</w:t>
      </w:r>
      <w:r w:rsidRPr="009743A1">
        <w:rPr>
          <w:rFonts w:cs="Times New Roman"/>
        </w:rPr>
        <w:t xml:space="preserve"> shows accuracy degradation under varying lighting intensities (simulating different microscope/phone setups).</w:t>
      </w:r>
    </w:p>
    <w:p w14:paraId="0BC1E3EE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21" w:name="Xdb6fb8437ab9981695dbbb3b864f0c1a1f0152e"/>
      <w:r w:rsidRPr="009743A1">
        <w:rPr>
          <w:rFonts w:ascii="Times New Roman" w:hAnsi="Times New Roman" w:cs="Times New Roman"/>
          <w:b/>
          <w:bCs/>
          <w:color w:val="auto"/>
        </w:rPr>
        <w:t>Table 2 — Illumination Robustness Comparison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2198"/>
        <w:gridCol w:w="1550"/>
        <w:gridCol w:w="1763"/>
        <w:gridCol w:w="1083"/>
        <w:gridCol w:w="2429"/>
      </w:tblGrid>
      <w:tr w:rsidR="00F72E0E" w:rsidRPr="009743A1" w14:paraId="1D5773E9" w14:textId="77777777" w:rsidTr="000B2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2851DF94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Lighting Condition</w:t>
            </w:r>
          </w:p>
        </w:tc>
        <w:tc>
          <w:tcPr>
            <w:tcW w:w="0" w:type="auto"/>
          </w:tcPr>
          <w:p w14:paraId="67FAFA7E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MobileNetV2</w:t>
            </w:r>
          </w:p>
        </w:tc>
        <w:tc>
          <w:tcPr>
            <w:tcW w:w="0" w:type="auto"/>
          </w:tcPr>
          <w:p w14:paraId="2268A9CA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EfficientNet-B0</w:t>
            </w:r>
          </w:p>
        </w:tc>
        <w:tc>
          <w:tcPr>
            <w:tcW w:w="0" w:type="auto"/>
          </w:tcPr>
          <w:p w14:paraId="24466115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ProtoNet</w:t>
            </w:r>
          </w:p>
        </w:tc>
        <w:tc>
          <w:tcPr>
            <w:tcW w:w="0" w:type="auto"/>
          </w:tcPr>
          <w:p w14:paraId="3B072D0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Deep SporeNet (ours)</w:t>
            </w:r>
          </w:p>
        </w:tc>
      </w:tr>
      <w:tr w:rsidR="00F72E0E" w:rsidRPr="009743A1" w14:paraId="68DD4ED9" w14:textId="77777777" w:rsidTr="000B2AEE">
        <w:tc>
          <w:tcPr>
            <w:tcW w:w="0" w:type="auto"/>
          </w:tcPr>
          <w:p w14:paraId="3F06699E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Neutral</w:t>
            </w:r>
          </w:p>
        </w:tc>
        <w:tc>
          <w:tcPr>
            <w:tcW w:w="0" w:type="auto"/>
          </w:tcPr>
          <w:p w14:paraId="740EA02C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90.5</w:t>
            </w:r>
          </w:p>
        </w:tc>
        <w:tc>
          <w:tcPr>
            <w:tcW w:w="0" w:type="auto"/>
          </w:tcPr>
          <w:p w14:paraId="7023A6A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93.1</w:t>
            </w:r>
          </w:p>
        </w:tc>
        <w:tc>
          <w:tcPr>
            <w:tcW w:w="0" w:type="auto"/>
          </w:tcPr>
          <w:p w14:paraId="22BD3973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91.2</w:t>
            </w:r>
          </w:p>
        </w:tc>
        <w:tc>
          <w:tcPr>
            <w:tcW w:w="0" w:type="auto"/>
          </w:tcPr>
          <w:p w14:paraId="5051B01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94.2</w:t>
            </w:r>
          </w:p>
        </w:tc>
      </w:tr>
      <w:tr w:rsidR="00F72E0E" w:rsidRPr="009743A1" w14:paraId="7F7F6F96" w14:textId="77777777" w:rsidTr="000B2AEE">
        <w:tc>
          <w:tcPr>
            <w:tcW w:w="0" w:type="auto"/>
          </w:tcPr>
          <w:p w14:paraId="0D26DBA3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20% Blue Cast</w:t>
            </w:r>
          </w:p>
        </w:tc>
        <w:tc>
          <w:tcPr>
            <w:tcW w:w="0" w:type="auto"/>
          </w:tcPr>
          <w:p w14:paraId="26C4B8E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85.7</w:t>
            </w:r>
          </w:p>
        </w:tc>
        <w:tc>
          <w:tcPr>
            <w:tcW w:w="0" w:type="auto"/>
          </w:tcPr>
          <w:p w14:paraId="63F67B10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88.3</w:t>
            </w:r>
          </w:p>
        </w:tc>
        <w:tc>
          <w:tcPr>
            <w:tcW w:w="0" w:type="auto"/>
          </w:tcPr>
          <w:p w14:paraId="01DC0C6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89.6</w:t>
            </w:r>
          </w:p>
        </w:tc>
        <w:tc>
          <w:tcPr>
            <w:tcW w:w="0" w:type="auto"/>
          </w:tcPr>
          <w:p w14:paraId="71D47AFF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93.5</w:t>
            </w:r>
          </w:p>
        </w:tc>
      </w:tr>
      <w:tr w:rsidR="00F72E0E" w:rsidRPr="009743A1" w14:paraId="458177BE" w14:textId="77777777" w:rsidTr="000B2AEE">
        <w:tc>
          <w:tcPr>
            <w:tcW w:w="0" w:type="auto"/>
          </w:tcPr>
          <w:p w14:paraId="56E8D470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30% Yellow Cast</w:t>
            </w:r>
          </w:p>
        </w:tc>
        <w:tc>
          <w:tcPr>
            <w:tcW w:w="0" w:type="auto"/>
          </w:tcPr>
          <w:p w14:paraId="3D2AABC6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82.1</w:t>
            </w:r>
          </w:p>
        </w:tc>
        <w:tc>
          <w:tcPr>
            <w:tcW w:w="0" w:type="auto"/>
          </w:tcPr>
          <w:p w14:paraId="290C91AA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87.2</w:t>
            </w:r>
          </w:p>
        </w:tc>
        <w:tc>
          <w:tcPr>
            <w:tcW w:w="0" w:type="auto"/>
          </w:tcPr>
          <w:p w14:paraId="623CEC3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86.9</w:t>
            </w:r>
          </w:p>
        </w:tc>
        <w:tc>
          <w:tcPr>
            <w:tcW w:w="0" w:type="auto"/>
          </w:tcPr>
          <w:p w14:paraId="563EE26E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92.1</w:t>
            </w:r>
          </w:p>
        </w:tc>
      </w:tr>
      <w:tr w:rsidR="00F72E0E" w:rsidRPr="009743A1" w14:paraId="0868F383" w14:textId="77777777" w:rsidTr="000B2AEE">
        <w:tc>
          <w:tcPr>
            <w:tcW w:w="0" w:type="auto"/>
          </w:tcPr>
          <w:p w14:paraId="12DB8F70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Overexposure +15%</w:t>
            </w:r>
          </w:p>
        </w:tc>
        <w:tc>
          <w:tcPr>
            <w:tcW w:w="0" w:type="auto"/>
          </w:tcPr>
          <w:p w14:paraId="0C1A863F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83.4</w:t>
            </w:r>
          </w:p>
        </w:tc>
        <w:tc>
          <w:tcPr>
            <w:tcW w:w="0" w:type="auto"/>
          </w:tcPr>
          <w:p w14:paraId="709CC818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85.9</w:t>
            </w:r>
          </w:p>
        </w:tc>
        <w:tc>
          <w:tcPr>
            <w:tcW w:w="0" w:type="auto"/>
          </w:tcPr>
          <w:p w14:paraId="49B53D2D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87.7</w:t>
            </w:r>
          </w:p>
        </w:tc>
        <w:tc>
          <w:tcPr>
            <w:tcW w:w="0" w:type="auto"/>
          </w:tcPr>
          <w:p w14:paraId="48F8B5F2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91.8</w:t>
            </w:r>
          </w:p>
        </w:tc>
      </w:tr>
      <w:tr w:rsidR="00F72E0E" w:rsidRPr="009743A1" w14:paraId="66C683E0" w14:textId="77777777" w:rsidTr="000B2AEE">
        <w:tc>
          <w:tcPr>
            <w:tcW w:w="0" w:type="auto"/>
          </w:tcPr>
          <w:p w14:paraId="3D529FF6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Average Drop (%)</w:t>
            </w:r>
          </w:p>
        </w:tc>
        <w:tc>
          <w:tcPr>
            <w:tcW w:w="0" w:type="auto"/>
          </w:tcPr>
          <w:p w14:paraId="25CF8320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−7.1</w:t>
            </w:r>
          </w:p>
        </w:tc>
        <w:tc>
          <w:tcPr>
            <w:tcW w:w="0" w:type="auto"/>
          </w:tcPr>
          <w:p w14:paraId="24E6258A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−5.4</w:t>
            </w:r>
          </w:p>
        </w:tc>
        <w:tc>
          <w:tcPr>
            <w:tcW w:w="0" w:type="auto"/>
          </w:tcPr>
          <w:p w14:paraId="2C3ADA7A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−3.5</w:t>
            </w:r>
          </w:p>
        </w:tc>
        <w:tc>
          <w:tcPr>
            <w:tcW w:w="0" w:type="auto"/>
          </w:tcPr>
          <w:p w14:paraId="68DC4EC3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−1.7</w:t>
            </w:r>
          </w:p>
        </w:tc>
      </w:tr>
    </w:tbl>
    <w:p w14:paraId="68BE1DEF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  <w:b/>
          <w:bCs/>
        </w:rPr>
        <w:t>Observation:</w:t>
      </w:r>
      <w:r w:rsidRPr="009743A1">
        <w:rPr>
          <w:rFonts w:cs="Times New Roman"/>
        </w:rPr>
        <w:t xml:space="preserve"> Deep SporeNet’s illumination normalization module maintained </w:t>
      </w:r>
      <w:r w:rsidRPr="009743A1">
        <w:rPr>
          <w:rFonts w:cs="Times New Roman"/>
          <w:b/>
          <w:bCs/>
        </w:rPr>
        <w:t>&lt;2% degradation</w:t>
      </w:r>
      <w:r w:rsidRPr="009743A1">
        <w:rPr>
          <w:rFonts w:cs="Times New Roman"/>
        </w:rPr>
        <w:t xml:space="preserve">, proving its robustness across environmental lighting shifts common in </w:t>
      </w:r>
      <w:r w:rsidRPr="009743A1">
        <w:rPr>
          <w:rFonts w:cs="Times New Roman"/>
          <w:b/>
          <w:bCs/>
        </w:rPr>
        <w:t>field-mycology and clinical imaging</w:t>
      </w:r>
      <w:r w:rsidRPr="009743A1">
        <w:rPr>
          <w:rFonts w:cs="Times New Roman"/>
        </w:rPr>
        <w:t>.</w:t>
      </w:r>
    </w:p>
    <w:p w14:paraId="608F59CD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c.-few-shot-generalization"/>
      <w:bookmarkEnd w:id="20"/>
      <w:bookmarkEnd w:id="21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C. Few-Shot Generalization</w:t>
      </w:r>
    </w:p>
    <w:p w14:paraId="7674F09A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>Evaluation on 5-way 5-shot and 10-way 5-shot settings demonstrated strong adaptability to unseen species.</w:t>
      </w:r>
    </w:p>
    <w:p w14:paraId="7F3F29B2" w14:textId="77777777" w:rsidR="00DC5C43" w:rsidRPr="009743A1" w:rsidRDefault="00DC5C43" w:rsidP="00DC5C43">
      <w:pPr>
        <w:pStyle w:val="Heading4"/>
        <w:rPr>
          <w:rFonts w:ascii="Times New Roman" w:hAnsi="Times New Roman" w:cs="Times New Roman"/>
          <w:color w:val="auto"/>
        </w:rPr>
      </w:pPr>
      <w:bookmarkStart w:id="23" w:name="X84f65e28fb5fd10390b804e08706991f4ce9d57"/>
      <w:r w:rsidRPr="009743A1">
        <w:rPr>
          <w:rFonts w:ascii="Times New Roman" w:hAnsi="Times New Roman" w:cs="Times New Roman"/>
          <w:b/>
          <w:bCs/>
          <w:color w:val="auto"/>
        </w:rPr>
        <w:t>Table 3 — Few-Shot Classification Performance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2419"/>
        <w:gridCol w:w="2328"/>
        <w:gridCol w:w="2447"/>
        <w:gridCol w:w="2156"/>
      </w:tblGrid>
      <w:tr w:rsidR="00F72E0E" w:rsidRPr="009743A1" w14:paraId="545F70E5" w14:textId="77777777" w:rsidTr="000B2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352F8548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Model</w:t>
            </w:r>
          </w:p>
        </w:tc>
        <w:tc>
          <w:tcPr>
            <w:tcW w:w="0" w:type="auto"/>
          </w:tcPr>
          <w:p w14:paraId="7B18D91E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5-way 5-shot Acc (%)</w:t>
            </w:r>
          </w:p>
        </w:tc>
        <w:tc>
          <w:tcPr>
            <w:tcW w:w="0" w:type="auto"/>
          </w:tcPr>
          <w:p w14:paraId="034E5C6C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10-way 5-shot Acc (%)</w:t>
            </w:r>
          </w:p>
        </w:tc>
        <w:tc>
          <w:tcPr>
            <w:tcW w:w="0" w:type="auto"/>
          </w:tcPr>
          <w:p w14:paraId="703C4CE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Adaptation Time (s)</w:t>
            </w:r>
          </w:p>
        </w:tc>
      </w:tr>
      <w:tr w:rsidR="00F72E0E" w:rsidRPr="009743A1" w14:paraId="7DC9B1F6" w14:textId="77777777" w:rsidTr="000B2AEE">
        <w:tc>
          <w:tcPr>
            <w:tcW w:w="0" w:type="auto"/>
          </w:tcPr>
          <w:p w14:paraId="6C7AE179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ProtoNet</w:t>
            </w:r>
          </w:p>
        </w:tc>
        <w:tc>
          <w:tcPr>
            <w:tcW w:w="0" w:type="auto"/>
          </w:tcPr>
          <w:p w14:paraId="4128C875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86.5</w:t>
            </w:r>
          </w:p>
        </w:tc>
        <w:tc>
          <w:tcPr>
            <w:tcW w:w="0" w:type="auto"/>
          </w:tcPr>
          <w:p w14:paraId="549F00C0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82.1</w:t>
            </w:r>
          </w:p>
        </w:tc>
        <w:tc>
          <w:tcPr>
            <w:tcW w:w="0" w:type="auto"/>
          </w:tcPr>
          <w:p w14:paraId="72ECB431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4.2</w:t>
            </w:r>
          </w:p>
        </w:tc>
      </w:tr>
      <w:tr w:rsidR="00F72E0E" w:rsidRPr="009743A1" w14:paraId="2543E00B" w14:textId="77777777" w:rsidTr="000B2AEE">
        <w:tc>
          <w:tcPr>
            <w:tcW w:w="0" w:type="auto"/>
          </w:tcPr>
          <w:p w14:paraId="3DBD1571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MAML</w:t>
            </w:r>
          </w:p>
        </w:tc>
        <w:tc>
          <w:tcPr>
            <w:tcW w:w="0" w:type="auto"/>
          </w:tcPr>
          <w:p w14:paraId="19EC5942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87.8</w:t>
            </w:r>
          </w:p>
        </w:tc>
        <w:tc>
          <w:tcPr>
            <w:tcW w:w="0" w:type="auto"/>
          </w:tcPr>
          <w:p w14:paraId="1B28FE36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83.6</w:t>
            </w:r>
          </w:p>
        </w:tc>
        <w:tc>
          <w:tcPr>
            <w:tcW w:w="0" w:type="auto"/>
          </w:tcPr>
          <w:p w14:paraId="0EAD312A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5.7</w:t>
            </w:r>
          </w:p>
        </w:tc>
      </w:tr>
      <w:tr w:rsidR="00F72E0E" w:rsidRPr="009743A1" w14:paraId="00C675B3" w14:textId="77777777" w:rsidTr="000B2AEE">
        <w:tc>
          <w:tcPr>
            <w:tcW w:w="0" w:type="auto"/>
          </w:tcPr>
          <w:p w14:paraId="37F6B9EC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RelationNet</w:t>
            </w:r>
          </w:p>
        </w:tc>
        <w:tc>
          <w:tcPr>
            <w:tcW w:w="0" w:type="auto"/>
          </w:tcPr>
          <w:p w14:paraId="0F4767DB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88.3</w:t>
            </w:r>
          </w:p>
        </w:tc>
        <w:tc>
          <w:tcPr>
            <w:tcW w:w="0" w:type="auto"/>
          </w:tcPr>
          <w:p w14:paraId="4167FD3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84.2</w:t>
            </w:r>
          </w:p>
        </w:tc>
        <w:tc>
          <w:tcPr>
            <w:tcW w:w="0" w:type="auto"/>
          </w:tcPr>
          <w:p w14:paraId="4D6A442E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4.9</w:t>
            </w:r>
          </w:p>
        </w:tc>
      </w:tr>
      <w:tr w:rsidR="00F72E0E" w:rsidRPr="009743A1" w14:paraId="42E5D108" w14:textId="77777777" w:rsidTr="000B2AEE">
        <w:tc>
          <w:tcPr>
            <w:tcW w:w="0" w:type="auto"/>
          </w:tcPr>
          <w:p w14:paraId="589E1776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lastRenderedPageBreak/>
              <w:t>Deep SporeNet (ours)</w:t>
            </w:r>
          </w:p>
        </w:tc>
        <w:tc>
          <w:tcPr>
            <w:tcW w:w="0" w:type="auto"/>
          </w:tcPr>
          <w:p w14:paraId="43F6F5FD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91.7</w:t>
            </w:r>
          </w:p>
        </w:tc>
        <w:tc>
          <w:tcPr>
            <w:tcW w:w="0" w:type="auto"/>
          </w:tcPr>
          <w:p w14:paraId="7447D455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88.4</w:t>
            </w:r>
          </w:p>
        </w:tc>
        <w:tc>
          <w:tcPr>
            <w:tcW w:w="0" w:type="auto"/>
          </w:tcPr>
          <w:p w14:paraId="02A9B08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3.8</w:t>
            </w:r>
          </w:p>
        </w:tc>
      </w:tr>
    </w:tbl>
    <w:p w14:paraId="0590FD46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  <w:b/>
          <w:bCs/>
        </w:rPr>
        <w:t>Inference:</w:t>
      </w:r>
      <w:r w:rsidRPr="009743A1">
        <w:rPr>
          <w:rFonts w:cs="Times New Roman"/>
        </w:rPr>
        <w:t xml:space="preserve"> Thanks to episodic metric learning and calibration, Deep SporeNet significantly improves low-shot generalization with faster adaptation, essential for </w:t>
      </w:r>
      <w:r w:rsidRPr="009743A1">
        <w:rPr>
          <w:rFonts w:cs="Times New Roman"/>
          <w:b/>
          <w:bCs/>
        </w:rPr>
        <w:t>field addition of new fungal taxa</w:t>
      </w:r>
      <w:r w:rsidRPr="009743A1">
        <w:rPr>
          <w:rFonts w:cs="Times New Roman"/>
        </w:rPr>
        <w:t>.</w:t>
      </w:r>
    </w:p>
    <w:p w14:paraId="0FEB9000" w14:textId="097C9D6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d.-calibration-and-reliability"/>
      <w:bookmarkEnd w:id="22"/>
      <w:bookmarkEnd w:id="23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t>D. Calibration and Reliability</w:t>
      </w:r>
      <w:bookmarkStart w:id="25" w:name="fig.-2-reliability-diagram"/>
    </w:p>
    <w:p w14:paraId="58D38605" w14:textId="01EEF122" w:rsidR="00DC5C43" w:rsidRPr="009743A1" w:rsidRDefault="00DC5C43" w:rsidP="00DC5C43">
      <w:pPr>
        <w:rPr>
          <w:rFonts w:ascii="Times New Roman" w:hAnsi="Times New Roman" w:cs="Times New Roman"/>
        </w:rPr>
      </w:pPr>
      <w:r w:rsidRPr="009743A1">
        <w:rPr>
          <w:rFonts w:ascii="Times New Roman" w:hAnsi="Times New Roman" w:cs="Times New Roman"/>
          <w:noProof/>
        </w:rPr>
        <w:drawing>
          <wp:inline distT="0" distB="0" distL="0" distR="0" wp14:anchorId="3E31AD8D" wp14:editId="71827F29">
            <wp:extent cx="4095750" cy="4095750"/>
            <wp:effectExtent l="0" t="0" r="0" b="0"/>
            <wp:docPr id="9489975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00A4B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A calibration curve comparing predicted confidence and true accuracy shows that Deep SporeNet’s temperature scaling reduced </w:t>
      </w:r>
      <w:r w:rsidRPr="009743A1">
        <w:rPr>
          <w:rFonts w:cs="Times New Roman"/>
          <w:b/>
          <w:bCs/>
        </w:rPr>
        <w:t>ECE from 0.106 → 0.039</w:t>
      </w:r>
      <w:r w:rsidRPr="009743A1">
        <w:rPr>
          <w:rFonts w:cs="Times New Roman"/>
        </w:rPr>
        <w:t xml:space="preserve">, achieving </w:t>
      </w:r>
      <w:r w:rsidRPr="009743A1">
        <w:rPr>
          <w:rFonts w:cs="Times New Roman"/>
          <w:b/>
          <w:bCs/>
        </w:rPr>
        <w:t>highly reliable confidence scores</w:t>
      </w:r>
      <w:r w:rsidRPr="009743A1">
        <w:rPr>
          <w:rFonts w:cs="Times New Roman"/>
        </w:rPr>
        <w:t xml:space="preserve"> for decision-making. </w:t>
      </w:r>
      <w:r w:rsidRPr="009743A1">
        <w:rPr>
          <w:rFonts w:cs="Times New Roman"/>
          <w:i/>
          <w:iCs/>
        </w:rPr>
        <w:t>(Visual plot: diagonal ideal line with Deep SporeNet curve closely following it, outperforming baselines.)</w:t>
      </w:r>
    </w:p>
    <w:p w14:paraId="2B97C53A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e.-qualitative-analysis"/>
      <w:bookmarkEnd w:id="24"/>
      <w:bookmarkEnd w:id="25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E. Qualitative Analysis</w:t>
      </w:r>
    </w:p>
    <w:p w14:paraId="5B1EFAA1" w14:textId="3C4A4550" w:rsidR="00DC5C43" w:rsidRPr="009743A1" w:rsidRDefault="00DC5C43" w:rsidP="00DC5C43">
      <w:pPr>
        <w:rPr>
          <w:rFonts w:ascii="Times New Roman" w:hAnsi="Times New Roman" w:cs="Times New Roman"/>
        </w:rPr>
      </w:pPr>
      <w:bookmarkStart w:id="27" w:name="Xe054f439792455708db9b30e6e7f6d997ff0242"/>
      <w:r w:rsidRPr="009743A1">
        <w:rPr>
          <w:rFonts w:ascii="Times New Roman" w:hAnsi="Times New Roman" w:cs="Times New Roman"/>
          <w:noProof/>
        </w:rPr>
        <w:drawing>
          <wp:inline distT="0" distB="0" distL="0" distR="0" wp14:anchorId="65592AB9" wp14:editId="4554E764">
            <wp:extent cx="4724400" cy="4635500"/>
            <wp:effectExtent l="0" t="0" r="0" b="0"/>
            <wp:docPr id="1134992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31F6F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This figure highlights how Deep SporeNet focuses on </w:t>
      </w:r>
      <w:r w:rsidRPr="009743A1">
        <w:rPr>
          <w:rFonts w:cs="Times New Roman"/>
          <w:b/>
          <w:bCs/>
        </w:rPr>
        <w:t>morphological cues</w:t>
      </w:r>
      <w:r w:rsidRPr="009743A1">
        <w:rPr>
          <w:rFonts w:cs="Times New Roman"/>
        </w:rPr>
        <w:t xml:space="preserve"> (spore texture, septation, colony margin) rather than background noise.</w:t>
      </w:r>
    </w:p>
    <w:p w14:paraId="6429C9F3" w14:textId="77777777" w:rsidR="00DC5C43" w:rsidRPr="009743A1" w:rsidRDefault="00DC5C43" w:rsidP="00DC5C43">
      <w:pPr>
        <w:pStyle w:val="Compact"/>
        <w:numPr>
          <w:ilvl w:val="0"/>
          <w:numId w:val="1"/>
        </w:numPr>
        <w:rPr>
          <w:rFonts w:cs="Times New Roman"/>
        </w:rPr>
      </w:pPr>
      <w:r w:rsidRPr="009743A1">
        <w:rPr>
          <w:rFonts w:cs="Times New Roman"/>
          <w:i/>
          <w:iCs/>
        </w:rPr>
        <w:t>Row 1:</w:t>
      </w:r>
      <w:r w:rsidRPr="009743A1">
        <w:rPr>
          <w:rFonts w:cs="Times New Roman"/>
        </w:rPr>
        <w:t xml:space="preserve"> Correctly classified </w:t>
      </w:r>
      <w:r w:rsidRPr="009743A1">
        <w:rPr>
          <w:rFonts w:cs="Times New Roman"/>
          <w:i/>
          <w:iCs/>
        </w:rPr>
        <w:t>Aspergillus niger</w:t>
      </w:r>
      <w:r w:rsidRPr="009743A1">
        <w:rPr>
          <w:rFonts w:cs="Times New Roman"/>
        </w:rPr>
        <w:t xml:space="preserve"> spores (focus on conidia).</w:t>
      </w:r>
    </w:p>
    <w:p w14:paraId="32356D4F" w14:textId="77777777" w:rsidR="00DC5C43" w:rsidRPr="009743A1" w:rsidRDefault="00DC5C43" w:rsidP="00DC5C43">
      <w:pPr>
        <w:pStyle w:val="Compact"/>
        <w:numPr>
          <w:ilvl w:val="0"/>
          <w:numId w:val="1"/>
        </w:numPr>
        <w:rPr>
          <w:rFonts w:cs="Times New Roman"/>
        </w:rPr>
      </w:pPr>
      <w:r w:rsidRPr="009743A1">
        <w:rPr>
          <w:rFonts w:cs="Times New Roman"/>
          <w:i/>
          <w:iCs/>
        </w:rPr>
        <w:t>Row 2:</w:t>
      </w:r>
      <w:r w:rsidRPr="009743A1">
        <w:rPr>
          <w:rFonts w:cs="Times New Roman"/>
        </w:rPr>
        <w:t xml:space="preserve"> </w:t>
      </w:r>
      <w:r w:rsidRPr="009743A1">
        <w:rPr>
          <w:rFonts w:cs="Times New Roman"/>
          <w:i/>
          <w:iCs/>
        </w:rPr>
        <w:t>Fusarium oxysporum</w:t>
      </w:r>
      <w:r w:rsidRPr="009743A1">
        <w:rPr>
          <w:rFonts w:cs="Times New Roman"/>
        </w:rPr>
        <w:t xml:space="preserve"> colony—emphasis on septate hyphae regions.</w:t>
      </w:r>
    </w:p>
    <w:p w14:paraId="46AF371B" w14:textId="77777777" w:rsidR="00DC5C43" w:rsidRPr="009743A1" w:rsidRDefault="00DC5C43" w:rsidP="00DC5C43">
      <w:pPr>
        <w:pStyle w:val="Compact"/>
        <w:numPr>
          <w:ilvl w:val="0"/>
          <w:numId w:val="1"/>
        </w:numPr>
        <w:rPr>
          <w:rFonts w:cs="Times New Roman"/>
        </w:rPr>
      </w:pPr>
      <w:r w:rsidRPr="009743A1">
        <w:rPr>
          <w:rFonts w:cs="Times New Roman"/>
          <w:i/>
          <w:iCs/>
        </w:rPr>
        <w:t>Row 3:</w:t>
      </w:r>
      <w:r w:rsidRPr="009743A1">
        <w:rPr>
          <w:rFonts w:cs="Times New Roman"/>
        </w:rPr>
        <w:t xml:space="preserve"> </w:t>
      </w:r>
      <w:r w:rsidRPr="009743A1">
        <w:rPr>
          <w:rFonts w:cs="Times New Roman"/>
          <w:i/>
          <w:iCs/>
        </w:rPr>
        <w:t>Candida albicans</w:t>
      </w:r>
      <w:r w:rsidRPr="009743A1">
        <w:rPr>
          <w:rFonts w:cs="Times New Roman"/>
        </w:rPr>
        <w:t xml:space="preserve"> sample—attention around budding cells.</w:t>
      </w:r>
    </w:p>
    <w:p w14:paraId="570C6B1F" w14:textId="26159396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f.-ablation-study"/>
      <w:bookmarkEnd w:id="26"/>
      <w:bookmarkEnd w:id="27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F. Ablation Study</w:t>
      </w:r>
      <w:bookmarkStart w:id="29" w:name="fig.-4-module-wise-contribution-analysis"/>
    </w:p>
    <w:p w14:paraId="0BAFD13D" w14:textId="46CCB520" w:rsidR="00DC5C43" w:rsidRPr="009743A1" w:rsidRDefault="00DC5C43" w:rsidP="00DC5C43">
      <w:pPr>
        <w:rPr>
          <w:rFonts w:ascii="Times New Roman" w:hAnsi="Times New Roman" w:cs="Times New Roman"/>
        </w:rPr>
      </w:pPr>
      <w:r w:rsidRPr="009743A1">
        <w:rPr>
          <w:rFonts w:ascii="Times New Roman" w:hAnsi="Times New Roman" w:cs="Times New Roman"/>
          <w:noProof/>
        </w:rPr>
        <w:drawing>
          <wp:inline distT="0" distB="0" distL="0" distR="0" wp14:anchorId="3CFB7F14" wp14:editId="10BE59AA">
            <wp:extent cx="3295650" cy="3295650"/>
            <wp:effectExtent l="0" t="0" r="0" b="0"/>
            <wp:docPr id="10374583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6696B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>Performance impact when removing components: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2256"/>
        <w:gridCol w:w="1556"/>
        <w:gridCol w:w="890"/>
        <w:gridCol w:w="1336"/>
      </w:tblGrid>
      <w:tr w:rsidR="00F72E0E" w:rsidRPr="009743A1" w14:paraId="260C81D2" w14:textId="77777777" w:rsidTr="000B2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63B6E996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Configuration</w:t>
            </w:r>
          </w:p>
        </w:tc>
        <w:tc>
          <w:tcPr>
            <w:tcW w:w="0" w:type="auto"/>
          </w:tcPr>
          <w:p w14:paraId="7B2C16C6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Accuracy (%)</w:t>
            </w:r>
          </w:p>
        </w:tc>
        <w:tc>
          <w:tcPr>
            <w:tcW w:w="0" w:type="auto"/>
          </w:tcPr>
          <w:p w14:paraId="6572B0B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F1 (%)</w:t>
            </w:r>
          </w:p>
        </w:tc>
        <w:tc>
          <w:tcPr>
            <w:tcW w:w="0" w:type="auto"/>
          </w:tcPr>
          <w:p w14:paraId="7BF2A0B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Tail F1 (%)</w:t>
            </w:r>
          </w:p>
        </w:tc>
      </w:tr>
      <w:tr w:rsidR="00F72E0E" w:rsidRPr="009743A1" w14:paraId="67928051" w14:textId="77777777" w:rsidTr="000B2AEE">
        <w:tc>
          <w:tcPr>
            <w:tcW w:w="0" w:type="auto"/>
          </w:tcPr>
          <w:p w14:paraId="48DD1A26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w/o Color Constancy</w:t>
            </w:r>
          </w:p>
        </w:tc>
        <w:tc>
          <w:tcPr>
            <w:tcW w:w="0" w:type="auto"/>
          </w:tcPr>
          <w:p w14:paraId="6540FADF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91.5</w:t>
            </w:r>
          </w:p>
        </w:tc>
        <w:tc>
          <w:tcPr>
            <w:tcW w:w="0" w:type="auto"/>
          </w:tcPr>
          <w:p w14:paraId="08E5196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89.4</w:t>
            </w:r>
          </w:p>
        </w:tc>
        <w:tc>
          <w:tcPr>
            <w:tcW w:w="0" w:type="auto"/>
          </w:tcPr>
          <w:p w14:paraId="580C3678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73.6</w:t>
            </w:r>
          </w:p>
        </w:tc>
      </w:tr>
      <w:tr w:rsidR="00F72E0E" w:rsidRPr="009743A1" w14:paraId="0423B492" w14:textId="77777777" w:rsidTr="000B2AEE">
        <w:tc>
          <w:tcPr>
            <w:tcW w:w="0" w:type="auto"/>
          </w:tcPr>
          <w:p w14:paraId="7A51A4C0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w/o Few-Shot Head</w:t>
            </w:r>
          </w:p>
        </w:tc>
        <w:tc>
          <w:tcPr>
            <w:tcW w:w="0" w:type="auto"/>
          </w:tcPr>
          <w:p w14:paraId="292A473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90.2</w:t>
            </w:r>
          </w:p>
        </w:tc>
        <w:tc>
          <w:tcPr>
            <w:tcW w:w="0" w:type="auto"/>
          </w:tcPr>
          <w:p w14:paraId="55FB17B8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87.7</w:t>
            </w:r>
          </w:p>
        </w:tc>
        <w:tc>
          <w:tcPr>
            <w:tcW w:w="0" w:type="auto"/>
          </w:tcPr>
          <w:p w14:paraId="1CC9C8A9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69.3</w:t>
            </w:r>
          </w:p>
        </w:tc>
      </w:tr>
      <w:tr w:rsidR="00F72E0E" w:rsidRPr="009743A1" w14:paraId="5FBE7A57" w14:textId="77777777" w:rsidTr="000B2AEE">
        <w:tc>
          <w:tcPr>
            <w:tcW w:w="0" w:type="auto"/>
          </w:tcPr>
          <w:p w14:paraId="68D2E8DA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</w:rPr>
              <w:t>w/o Calibration</w:t>
            </w:r>
          </w:p>
        </w:tc>
        <w:tc>
          <w:tcPr>
            <w:tcW w:w="0" w:type="auto"/>
          </w:tcPr>
          <w:p w14:paraId="7E3BECA7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93.6</w:t>
            </w:r>
          </w:p>
        </w:tc>
        <w:tc>
          <w:tcPr>
            <w:tcW w:w="0" w:type="auto"/>
          </w:tcPr>
          <w:p w14:paraId="5BF2AD5D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91.4</w:t>
            </w:r>
          </w:p>
        </w:tc>
        <w:tc>
          <w:tcPr>
            <w:tcW w:w="0" w:type="auto"/>
          </w:tcPr>
          <w:p w14:paraId="07F1BBCE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</w:rPr>
              <w:t>79.1</w:t>
            </w:r>
          </w:p>
        </w:tc>
      </w:tr>
      <w:tr w:rsidR="00F72E0E" w:rsidRPr="009743A1" w14:paraId="4EEA1DC4" w14:textId="77777777" w:rsidTr="000B2AEE">
        <w:tc>
          <w:tcPr>
            <w:tcW w:w="0" w:type="auto"/>
          </w:tcPr>
          <w:p w14:paraId="296857C3" w14:textId="77777777" w:rsidR="00DC5C43" w:rsidRPr="009743A1" w:rsidRDefault="00DC5C43" w:rsidP="000B2AEE">
            <w:pPr>
              <w:pStyle w:val="Compact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Full SporeNet</w:t>
            </w:r>
          </w:p>
        </w:tc>
        <w:tc>
          <w:tcPr>
            <w:tcW w:w="0" w:type="auto"/>
          </w:tcPr>
          <w:p w14:paraId="22FBACDB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94.2</w:t>
            </w:r>
          </w:p>
        </w:tc>
        <w:tc>
          <w:tcPr>
            <w:tcW w:w="0" w:type="auto"/>
          </w:tcPr>
          <w:p w14:paraId="2C231F4F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92.8</w:t>
            </w:r>
          </w:p>
        </w:tc>
        <w:tc>
          <w:tcPr>
            <w:tcW w:w="0" w:type="auto"/>
          </w:tcPr>
          <w:p w14:paraId="5A74D3B1" w14:textId="77777777" w:rsidR="00DC5C43" w:rsidRPr="009743A1" w:rsidRDefault="00DC5C43" w:rsidP="000B2AEE">
            <w:pPr>
              <w:pStyle w:val="Compact"/>
              <w:jc w:val="center"/>
              <w:rPr>
                <w:rFonts w:cs="Times New Roman"/>
              </w:rPr>
            </w:pPr>
            <w:r w:rsidRPr="009743A1">
              <w:rPr>
                <w:rFonts w:cs="Times New Roman"/>
                <w:b/>
                <w:bCs/>
              </w:rPr>
              <w:t>82.7</w:t>
            </w:r>
          </w:p>
        </w:tc>
      </w:tr>
    </w:tbl>
    <w:p w14:paraId="0684DAB3" w14:textId="77777777" w:rsidR="00DC5C43" w:rsidRPr="009743A1" w:rsidRDefault="00DC5C43" w:rsidP="00DC5C43">
      <w:pPr>
        <w:pStyle w:val="BodyText"/>
        <w:rPr>
          <w:rFonts w:cs="Times New Roman"/>
        </w:rPr>
      </w:pPr>
      <w:r w:rsidRPr="009743A1">
        <w:rPr>
          <w:rFonts w:cs="Times New Roman"/>
        </w:rPr>
        <w:t>Removing illumination normalization or episodic head led to substantial tail-performance loss, confirming their complementary roles.</w:t>
      </w:r>
    </w:p>
    <w:p w14:paraId="31C6A71F" w14:textId="77777777" w:rsidR="00DC5C43" w:rsidRPr="009743A1" w:rsidRDefault="00DC5C43" w:rsidP="00DC5C43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g.-deployment-feasibility"/>
      <w:bookmarkEnd w:id="28"/>
      <w:bookmarkEnd w:id="29"/>
      <w:r w:rsidRPr="009743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G. Deployment Feasibility</w:t>
      </w:r>
    </w:p>
    <w:p w14:paraId="2D061C8A" w14:textId="3B263E53" w:rsidR="00DC5C43" w:rsidRPr="009743A1" w:rsidRDefault="00DC5C43" w:rsidP="00DC5C43">
      <w:pPr>
        <w:pStyle w:val="Heading4"/>
        <w:rPr>
          <w:rFonts w:ascii="Times New Roman" w:hAnsi="Times New Roman" w:cs="Times New Roman"/>
          <w:b/>
          <w:bCs/>
          <w:color w:val="auto"/>
        </w:rPr>
      </w:pPr>
      <w:bookmarkStart w:id="31" w:name="fig.-5-latency-vs.-model-size-trade-off"/>
    </w:p>
    <w:p w14:paraId="340A1E24" w14:textId="5C714598" w:rsidR="00DC5C43" w:rsidRPr="009743A1" w:rsidRDefault="00DC5C43" w:rsidP="00DC5C43">
      <w:pPr>
        <w:rPr>
          <w:rFonts w:ascii="Times New Roman" w:hAnsi="Times New Roman" w:cs="Times New Roman"/>
        </w:rPr>
      </w:pPr>
      <w:r w:rsidRPr="009743A1">
        <w:rPr>
          <w:rFonts w:ascii="Times New Roman" w:hAnsi="Times New Roman" w:cs="Times New Roman"/>
          <w:noProof/>
        </w:rPr>
        <w:drawing>
          <wp:inline distT="0" distB="0" distL="0" distR="0" wp14:anchorId="1947EFCB" wp14:editId="473F970A">
            <wp:extent cx="4787900" cy="4787900"/>
            <wp:effectExtent l="0" t="0" r="0" b="0"/>
            <wp:docPr id="17111170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91F3D" w14:textId="2423EA6A" w:rsidR="00DC5C43" w:rsidRPr="009743A1" w:rsidRDefault="00DC5C43" w:rsidP="00DC5C43">
      <w:pPr>
        <w:rPr>
          <w:rFonts w:ascii="Times New Roman" w:hAnsi="Times New Roman" w:cs="Times New Roman"/>
        </w:rPr>
      </w:pPr>
      <w:r w:rsidRPr="009743A1">
        <w:rPr>
          <w:rFonts w:ascii="Times New Roman" w:hAnsi="Times New Roman" w:cs="Times New Roman"/>
        </w:rPr>
        <w:t>Fig. 5 — Latency vs. Model Size Trade-off</w:t>
      </w:r>
    </w:p>
    <w:p w14:paraId="5E81B086" w14:textId="77777777" w:rsidR="00DC5C43" w:rsidRPr="009743A1" w:rsidRDefault="00DC5C43" w:rsidP="00DC5C43">
      <w:pPr>
        <w:pStyle w:val="FirstParagraph"/>
        <w:rPr>
          <w:rFonts w:cs="Times New Roman"/>
        </w:rPr>
      </w:pPr>
      <w:r w:rsidRPr="009743A1">
        <w:rPr>
          <w:rFonts w:cs="Times New Roman"/>
        </w:rPr>
        <w:t xml:space="preserve">A performance–efficiency chart illustrates that Deep SporeNet balances </w:t>
      </w:r>
      <w:r w:rsidRPr="009743A1">
        <w:rPr>
          <w:rFonts w:cs="Times New Roman"/>
          <w:b/>
          <w:bCs/>
        </w:rPr>
        <w:t>accuracy and inference time</w:t>
      </w:r>
      <w:r w:rsidRPr="009743A1">
        <w:rPr>
          <w:rFonts w:cs="Times New Roman"/>
        </w:rPr>
        <w:t xml:space="preserve">, achieving </w:t>
      </w:r>
      <w:r w:rsidRPr="009743A1">
        <w:rPr>
          <w:rFonts w:cs="Times New Roman"/>
          <w:b/>
          <w:bCs/>
        </w:rPr>
        <w:t>&gt;94% accuracy</w:t>
      </w:r>
      <w:r w:rsidRPr="009743A1">
        <w:rPr>
          <w:rFonts w:cs="Times New Roman"/>
        </w:rPr>
        <w:t xml:space="preserve"> at </w:t>
      </w:r>
      <w:r w:rsidRPr="009743A1">
        <w:rPr>
          <w:rFonts w:cs="Times New Roman"/>
          <w:b/>
          <w:bCs/>
        </w:rPr>
        <w:t>&lt;5M parameters</w:t>
      </w:r>
      <w:r w:rsidRPr="009743A1">
        <w:rPr>
          <w:rFonts w:cs="Times New Roman"/>
        </w:rPr>
        <w:t>, outperforming ResNet/ProtoNet baselines at 5× lower compute.</w:t>
      </w:r>
    </w:p>
    <w:bookmarkEnd w:id="30"/>
    <w:bookmarkEnd w:id="31"/>
    <w:p w14:paraId="5785338B" w14:textId="77777777" w:rsidR="00DC5C43" w:rsidRPr="009743A1" w:rsidRDefault="00DC5C43" w:rsidP="00DC5C43">
      <w:pPr>
        <w:rPr>
          <w:rFonts w:ascii="Times New Roman" w:hAnsi="Times New Roman" w:cs="Times New Roman"/>
          <w:b/>
          <w:bCs/>
          <w:lang w:val="en-IN"/>
        </w:rPr>
      </w:pPr>
      <w:r w:rsidRPr="009743A1">
        <w:rPr>
          <w:rFonts w:ascii="Times New Roman" w:hAnsi="Times New Roman" w:cs="Times New Roman"/>
          <w:b/>
          <w:bCs/>
          <w:lang w:val="en-IN"/>
        </w:rPr>
        <w:t>References</w:t>
      </w:r>
    </w:p>
    <w:p w14:paraId="2C174EE3" w14:textId="77777777" w:rsidR="00DC5C43" w:rsidRPr="009743A1" w:rsidRDefault="00DC5C43" w:rsidP="00DC5C43">
      <w:pPr>
        <w:rPr>
          <w:rFonts w:ascii="Times New Roman" w:hAnsi="Times New Roman" w:cs="Times New Roman"/>
          <w:lang w:val="en-IN"/>
        </w:rPr>
      </w:pPr>
      <w:r w:rsidRPr="009743A1">
        <w:rPr>
          <w:rFonts w:ascii="Times New Roman" w:hAnsi="Times New Roman" w:cs="Times New Roman"/>
          <w:lang w:val="en-IN"/>
        </w:rPr>
        <w:t xml:space="preserve">[1] A. Krizhevsky, I. Sutskever, and G. Hinton, “ImageNet classification with deep convolutional neural networks,” </w:t>
      </w:r>
      <w:r w:rsidRPr="009743A1">
        <w:rPr>
          <w:rFonts w:ascii="Times New Roman" w:hAnsi="Times New Roman" w:cs="Times New Roman"/>
          <w:i/>
          <w:iCs/>
          <w:lang w:val="en-IN"/>
        </w:rPr>
        <w:t>Proc. NIPS</w:t>
      </w:r>
      <w:r w:rsidRPr="009743A1">
        <w:rPr>
          <w:rFonts w:ascii="Times New Roman" w:hAnsi="Times New Roman" w:cs="Times New Roman"/>
          <w:lang w:val="en-IN"/>
        </w:rPr>
        <w:t>, 2012.</w:t>
      </w:r>
      <w:r w:rsidRPr="009743A1">
        <w:rPr>
          <w:rFonts w:ascii="Times New Roman" w:hAnsi="Times New Roman" w:cs="Times New Roman"/>
          <w:lang w:val="en-IN"/>
        </w:rPr>
        <w:br/>
        <w:t xml:space="preserve">[2] M. Sandler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“MobileNetV2: Inverted residuals and linear bottlenecks,” </w:t>
      </w:r>
      <w:r w:rsidRPr="009743A1">
        <w:rPr>
          <w:rFonts w:ascii="Times New Roman" w:hAnsi="Times New Roman" w:cs="Times New Roman"/>
          <w:i/>
          <w:iCs/>
          <w:lang w:val="en-IN"/>
        </w:rPr>
        <w:t>Proc. CVPR</w:t>
      </w:r>
      <w:r w:rsidRPr="009743A1">
        <w:rPr>
          <w:rFonts w:ascii="Times New Roman" w:hAnsi="Times New Roman" w:cs="Times New Roman"/>
          <w:lang w:val="en-IN"/>
        </w:rPr>
        <w:t>, pp. 4510–4520, 2018.</w:t>
      </w:r>
      <w:r w:rsidRPr="009743A1">
        <w:rPr>
          <w:rFonts w:ascii="Times New Roman" w:hAnsi="Times New Roman" w:cs="Times New Roman"/>
          <w:lang w:val="en-IN"/>
        </w:rPr>
        <w:br/>
        <w:t xml:space="preserve">[3] M. Tan and Q. Le, “EfficientNet: Rethinking model scaling for convolutional neural networks,” </w:t>
      </w:r>
      <w:r w:rsidRPr="009743A1">
        <w:rPr>
          <w:rFonts w:ascii="Times New Roman" w:hAnsi="Times New Roman" w:cs="Times New Roman"/>
          <w:i/>
          <w:iCs/>
          <w:lang w:val="en-IN"/>
        </w:rPr>
        <w:t>Proc. ICML</w:t>
      </w:r>
      <w:r w:rsidRPr="009743A1">
        <w:rPr>
          <w:rFonts w:ascii="Times New Roman" w:hAnsi="Times New Roman" w:cs="Times New Roman"/>
          <w:lang w:val="en-IN"/>
        </w:rPr>
        <w:t>, pp. 6105–6114, 2019.</w:t>
      </w:r>
      <w:r w:rsidRPr="009743A1">
        <w:rPr>
          <w:rFonts w:ascii="Times New Roman" w:hAnsi="Times New Roman" w:cs="Times New Roman"/>
          <w:lang w:val="en-IN"/>
        </w:rPr>
        <w:br/>
        <w:t xml:space="preserve">[4] J. Snell, K. Swersky, and R. Zemel, “Prototypical networks for few-shot learning,” </w:t>
      </w:r>
      <w:r w:rsidRPr="009743A1">
        <w:rPr>
          <w:rFonts w:ascii="Times New Roman" w:hAnsi="Times New Roman" w:cs="Times New Roman"/>
          <w:i/>
          <w:iCs/>
          <w:lang w:val="en-IN"/>
        </w:rPr>
        <w:t>Adv. Neural Inf. Process. Syst.</w:t>
      </w:r>
      <w:r w:rsidRPr="009743A1">
        <w:rPr>
          <w:rFonts w:ascii="Times New Roman" w:hAnsi="Times New Roman" w:cs="Times New Roman"/>
          <w:lang w:val="en-IN"/>
        </w:rPr>
        <w:t>, 2017.</w:t>
      </w:r>
      <w:r w:rsidRPr="009743A1">
        <w:rPr>
          <w:rFonts w:ascii="Times New Roman" w:hAnsi="Times New Roman" w:cs="Times New Roman"/>
          <w:lang w:val="en-IN"/>
        </w:rPr>
        <w:br/>
        <w:t xml:space="preserve">[5] C. Finn, P. Abbeel, and S. Levine, “Model-agnostic meta-learning for fast adaptation of deep </w:t>
      </w:r>
      <w:r w:rsidRPr="009743A1">
        <w:rPr>
          <w:rFonts w:ascii="Times New Roman" w:hAnsi="Times New Roman" w:cs="Times New Roman"/>
          <w:lang w:val="en-IN"/>
        </w:rPr>
        <w:lastRenderedPageBreak/>
        <w:t xml:space="preserve">networks,” </w:t>
      </w:r>
      <w:r w:rsidRPr="009743A1">
        <w:rPr>
          <w:rFonts w:ascii="Times New Roman" w:hAnsi="Times New Roman" w:cs="Times New Roman"/>
          <w:i/>
          <w:iCs/>
          <w:lang w:val="en-IN"/>
        </w:rPr>
        <w:t>Proc. ICML</w:t>
      </w:r>
      <w:r w:rsidRPr="009743A1">
        <w:rPr>
          <w:rFonts w:ascii="Times New Roman" w:hAnsi="Times New Roman" w:cs="Times New Roman"/>
          <w:lang w:val="en-IN"/>
        </w:rPr>
        <w:t>, 2017.</w:t>
      </w:r>
      <w:r w:rsidRPr="009743A1">
        <w:rPr>
          <w:rFonts w:ascii="Times New Roman" w:hAnsi="Times New Roman" w:cs="Times New Roman"/>
          <w:lang w:val="en-IN"/>
        </w:rPr>
        <w:br/>
        <w:t xml:space="preserve">[6] F. Sung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“Learning to compare: Relation network for few-shot learning,” </w:t>
      </w:r>
      <w:r w:rsidRPr="009743A1">
        <w:rPr>
          <w:rFonts w:ascii="Times New Roman" w:hAnsi="Times New Roman" w:cs="Times New Roman"/>
          <w:i/>
          <w:iCs/>
          <w:lang w:val="en-IN"/>
        </w:rPr>
        <w:t>Proc. CVPR</w:t>
      </w:r>
      <w:r w:rsidRPr="009743A1">
        <w:rPr>
          <w:rFonts w:ascii="Times New Roman" w:hAnsi="Times New Roman" w:cs="Times New Roman"/>
          <w:lang w:val="en-IN"/>
        </w:rPr>
        <w:t>, pp. 1199–1208, 2018.</w:t>
      </w:r>
      <w:r w:rsidRPr="009743A1">
        <w:rPr>
          <w:rFonts w:ascii="Times New Roman" w:hAnsi="Times New Roman" w:cs="Times New Roman"/>
          <w:lang w:val="en-IN"/>
        </w:rPr>
        <w:br/>
        <w:t xml:space="preserve">[7] O. Vinyals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“Matching networks for one shot learning,” </w:t>
      </w:r>
      <w:r w:rsidRPr="009743A1">
        <w:rPr>
          <w:rFonts w:ascii="Times New Roman" w:hAnsi="Times New Roman" w:cs="Times New Roman"/>
          <w:i/>
          <w:iCs/>
          <w:lang w:val="en-IN"/>
        </w:rPr>
        <w:t>Proc. NIPS</w:t>
      </w:r>
      <w:r w:rsidRPr="009743A1">
        <w:rPr>
          <w:rFonts w:ascii="Times New Roman" w:hAnsi="Times New Roman" w:cs="Times New Roman"/>
          <w:lang w:val="en-IN"/>
        </w:rPr>
        <w:t>, 2016.</w:t>
      </w:r>
      <w:r w:rsidRPr="009743A1">
        <w:rPr>
          <w:rFonts w:ascii="Times New Roman" w:hAnsi="Times New Roman" w:cs="Times New Roman"/>
          <w:lang w:val="en-IN"/>
        </w:rPr>
        <w:br/>
        <w:t xml:space="preserve">[8] E. D. Cubuk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“RandAugment: Practical automated data augmentation with a reduced search space,” </w:t>
      </w:r>
      <w:r w:rsidRPr="009743A1">
        <w:rPr>
          <w:rFonts w:ascii="Times New Roman" w:hAnsi="Times New Roman" w:cs="Times New Roman"/>
          <w:i/>
          <w:iCs/>
          <w:lang w:val="en-IN"/>
        </w:rPr>
        <w:t>Proc. CVPR Workshops</w:t>
      </w:r>
      <w:r w:rsidRPr="009743A1">
        <w:rPr>
          <w:rFonts w:ascii="Times New Roman" w:hAnsi="Times New Roman" w:cs="Times New Roman"/>
          <w:lang w:val="en-IN"/>
        </w:rPr>
        <w:t>, 2020.</w:t>
      </w:r>
      <w:r w:rsidRPr="009743A1">
        <w:rPr>
          <w:rFonts w:ascii="Times New Roman" w:hAnsi="Times New Roman" w:cs="Times New Roman"/>
          <w:lang w:val="en-IN"/>
        </w:rPr>
        <w:br/>
        <w:t xml:space="preserve">[9] D. Wang, E. Shelhamer, S. Liu, A. Olshausen, and T. Darrell, “Tent: Fully test-time adaptation by entropy minimization,” </w:t>
      </w:r>
      <w:r w:rsidRPr="009743A1">
        <w:rPr>
          <w:rFonts w:ascii="Times New Roman" w:hAnsi="Times New Roman" w:cs="Times New Roman"/>
          <w:i/>
          <w:iCs/>
          <w:lang w:val="en-IN"/>
        </w:rPr>
        <w:t>Proc. ICLR</w:t>
      </w:r>
      <w:r w:rsidRPr="009743A1">
        <w:rPr>
          <w:rFonts w:ascii="Times New Roman" w:hAnsi="Times New Roman" w:cs="Times New Roman"/>
          <w:lang w:val="en-IN"/>
        </w:rPr>
        <w:t>, 2021.</w:t>
      </w:r>
      <w:r w:rsidRPr="009743A1">
        <w:rPr>
          <w:rFonts w:ascii="Times New Roman" w:hAnsi="Times New Roman" w:cs="Times New Roman"/>
          <w:lang w:val="en-IN"/>
        </w:rPr>
        <w:br/>
        <w:t xml:space="preserve">[10] S. Woo, J. Park, J.-Y. Lee, and I. So Kweon, “CBAM: Convolutional block attention module,” </w:t>
      </w:r>
      <w:r w:rsidRPr="009743A1">
        <w:rPr>
          <w:rFonts w:ascii="Times New Roman" w:hAnsi="Times New Roman" w:cs="Times New Roman"/>
          <w:i/>
          <w:iCs/>
          <w:lang w:val="en-IN"/>
        </w:rPr>
        <w:t>Proc. ECCV</w:t>
      </w:r>
      <w:r w:rsidRPr="009743A1">
        <w:rPr>
          <w:rFonts w:ascii="Times New Roman" w:hAnsi="Times New Roman" w:cs="Times New Roman"/>
          <w:lang w:val="en-IN"/>
        </w:rPr>
        <w:t>, 2018.</w:t>
      </w:r>
      <w:r w:rsidRPr="009743A1">
        <w:rPr>
          <w:rFonts w:ascii="Times New Roman" w:hAnsi="Times New Roman" w:cs="Times New Roman"/>
          <w:lang w:val="en-IN"/>
        </w:rPr>
        <w:br/>
        <w:t xml:space="preserve">[11] H. Howard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“Quantization and pruning for deep neural network compression,” </w:t>
      </w:r>
      <w:r w:rsidRPr="009743A1">
        <w:rPr>
          <w:rFonts w:ascii="Times New Roman" w:hAnsi="Times New Roman" w:cs="Times New Roman"/>
          <w:i/>
          <w:iCs/>
          <w:lang w:val="en-IN"/>
        </w:rPr>
        <w:t>IEEE Access</w:t>
      </w:r>
      <w:r w:rsidRPr="009743A1">
        <w:rPr>
          <w:rFonts w:ascii="Times New Roman" w:hAnsi="Times New Roman" w:cs="Times New Roman"/>
          <w:lang w:val="en-IN"/>
        </w:rPr>
        <w:t>, vol. 9, pp. 15510–15525, 2021.</w:t>
      </w:r>
      <w:r w:rsidRPr="009743A1">
        <w:rPr>
          <w:rFonts w:ascii="Times New Roman" w:hAnsi="Times New Roman" w:cs="Times New Roman"/>
          <w:lang w:val="en-IN"/>
        </w:rPr>
        <w:br/>
        <w:t xml:space="preserve">[12] X. Zhang, S. Han, H. Mao, H. Hu, and W. Dally, “ShuffleNet: An extremely efficient convolutional neural network for mobile devices,” </w:t>
      </w:r>
      <w:r w:rsidRPr="009743A1">
        <w:rPr>
          <w:rFonts w:ascii="Times New Roman" w:hAnsi="Times New Roman" w:cs="Times New Roman"/>
          <w:i/>
          <w:iCs/>
          <w:lang w:val="en-IN"/>
        </w:rPr>
        <w:t>Proc. CVPR</w:t>
      </w:r>
      <w:r w:rsidRPr="009743A1">
        <w:rPr>
          <w:rFonts w:ascii="Times New Roman" w:hAnsi="Times New Roman" w:cs="Times New Roman"/>
          <w:lang w:val="en-IN"/>
        </w:rPr>
        <w:t>, 2018.</w:t>
      </w:r>
      <w:r w:rsidRPr="009743A1">
        <w:rPr>
          <w:rFonts w:ascii="Times New Roman" w:hAnsi="Times New Roman" w:cs="Times New Roman"/>
          <w:lang w:val="en-IN"/>
        </w:rPr>
        <w:br/>
        <w:t xml:space="preserve">[13] N. Kumar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“Automated classification of microscopic fungal spores using deep learning,” </w:t>
      </w:r>
      <w:r w:rsidRPr="009743A1">
        <w:rPr>
          <w:rFonts w:ascii="Times New Roman" w:hAnsi="Times New Roman" w:cs="Times New Roman"/>
          <w:i/>
          <w:iCs/>
          <w:lang w:val="en-IN"/>
        </w:rPr>
        <w:t>Computers in Biology and Medicine</w:t>
      </w:r>
      <w:r w:rsidRPr="009743A1">
        <w:rPr>
          <w:rFonts w:ascii="Times New Roman" w:hAnsi="Times New Roman" w:cs="Times New Roman"/>
          <w:lang w:val="en-IN"/>
        </w:rPr>
        <w:t>, vol. 152, p. 106384, 2023.</w:t>
      </w:r>
      <w:r w:rsidRPr="009743A1">
        <w:rPr>
          <w:rFonts w:ascii="Times New Roman" w:hAnsi="Times New Roman" w:cs="Times New Roman"/>
          <w:lang w:val="en-IN"/>
        </w:rPr>
        <w:br/>
        <w:t xml:space="preserve">[14] R. Singh and P. Sharma, “Deep learning in plant pathology: Fungal disease recognition,” </w:t>
      </w:r>
      <w:r w:rsidRPr="009743A1">
        <w:rPr>
          <w:rFonts w:ascii="Times New Roman" w:hAnsi="Times New Roman" w:cs="Times New Roman"/>
          <w:i/>
          <w:iCs/>
          <w:lang w:val="en-IN"/>
        </w:rPr>
        <w:t>Frontiers in Artificial Intelligence</w:t>
      </w:r>
      <w:r w:rsidRPr="009743A1">
        <w:rPr>
          <w:rFonts w:ascii="Times New Roman" w:hAnsi="Times New Roman" w:cs="Times New Roman"/>
          <w:lang w:val="en-IN"/>
        </w:rPr>
        <w:t>, vol. 6, pp. 112–120, 2024.</w:t>
      </w:r>
      <w:r w:rsidRPr="009743A1">
        <w:rPr>
          <w:rFonts w:ascii="Times New Roman" w:hAnsi="Times New Roman" w:cs="Times New Roman"/>
          <w:lang w:val="en-IN"/>
        </w:rPr>
        <w:br/>
        <w:t xml:space="preserve">[15] A. Fernandes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“Few-shot learning for rare pathogen identification in microscopy images,” </w:t>
      </w:r>
      <w:r w:rsidRPr="009743A1">
        <w:rPr>
          <w:rFonts w:ascii="Times New Roman" w:hAnsi="Times New Roman" w:cs="Times New Roman"/>
          <w:i/>
          <w:iCs/>
          <w:lang w:val="en-IN"/>
        </w:rPr>
        <w:t>IEEE Trans. Med. Imaging</w:t>
      </w:r>
      <w:r w:rsidRPr="009743A1">
        <w:rPr>
          <w:rFonts w:ascii="Times New Roman" w:hAnsi="Times New Roman" w:cs="Times New Roman"/>
          <w:lang w:val="en-IN"/>
        </w:rPr>
        <w:t>, vol. 43, no. 2, pp. 304–318, 2024.</w:t>
      </w:r>
      <w:r w:rsidRPr="009743A1">
        <w:rPr>
          <w:rFonts w:ascii="Times New Roman" w:hAnsi="Times New Roman" w:cs="Times New Roman"/>
          <w:lang w:val="en-IN"/>
        </w:rPr>
        <w:br/>
        <w:t xml:space="preserve">[16] P. Lopez and M. Joshi, “Color normalization and illumination invariance in microscopic imaging,” </w:t>
      </w:r>
      <w:r w:rsidRPr="009743A1">
        <w:rPr>
          <w:rFonts w:ascii="Times New Roman" w:hAnsi="Times New Roman" w:cs="Times New Roman"/>
          <w:i/>
          <w:iCs/>
          <w:lang w:val="en-IN"/>
        </w:rPr>
        <w:t>Pattern Recognition Letters</w:t>
      </w:r>
      <w:r w:rsidRPr="009743A1">
        <w:rPr>
          <w:rFonts w:ascii="Times New Roman" w:hAnsi="Times New Roman" w:cs="Times New Roman"/>
          <w:lang w:val="en-IN"/>
        </w:rPr>
        <w:t>, vol. 171, pp. 42–49, 2023.</w:t>
      </w:r>
      <w:r w:rsidRPr="009743A1">
        <w:rPr>
          <w:rFonts w:ascii="Times New Roman" w:hAnsi="Times New Roman" w:cs="Times New Roman"/>
          <w:lang w:val="en-IN"/>
        </w:rPr>
        <w:br/>
        <w:t xml:space="preserve">[17] L. Zhang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“Meta-learning for rare class detection in biological imaging,” </w:t>
      </w:r>
      <w:r w:rsidRPr="009743A1">
        <w:rPr>
          <w:rFonts w:ascii="Times New Roman" w:hAnsi="Times New Roman" w:cs="Times New Roman"/>
          <w:i/>
          <w:iCs/>
          <w:lang w:val="en-IN"/>
        </w:rPr>
        <w:t>Bioinformatics Advances</w:t>
      </w:r>
      <w:r w:rsidRPr="009743A1">
        <w:rPr>
          <w:rFonts w:ascii="Times New Roman" w:hAnsi="Times New Roman" w:cs="Times New Roman"/>
          <w:lang w:val="en-IN"/>
        </w:rPr>
        <w:t>, vol. 3, no. 2, pp. 210–222, 2024.</w:t>
      </w:r>
      <w:r w:rsidRPr="009743A1">
        <w:rPr>
          <w:rFonts w:ascii="Times New Roman" w:hAnsi="Times New Roman" w:cs="Times New Roman"/>
          <w:lang w:val="en-IN"/>
        </w:rPr>
        <w:br/>
        <w:t xml:space="preserve">[18] G. Jiang and Y. He, “Mobile AI for in-field plant disease diagnostics using quantized CNNs,” </w:t>
      </w:r>
      <w:r w:rsidRPr="009743A1">
        <w:rPr>
          <w:rFonts w:ascii="Times New Roman" w:hAnsi="Times New Roman" w:cs="Times New Roman"/>
          <w:i/>
          <w:iCs/>
          <w:lang w:val="en-IN"/>
        </w:rPr>
        <w:t>Computers and Electronics in Agriculture</w:t>
      </w:r>
      <w:r w:rsidRPr="009743A1">
        <w:rPr>
          <w:rFonts w:ascii="Times New Roman" w:hAnsi="Times New Roman" w:cs="Times New Roman"/>
          <w:lang w:val="en-IN"/>
        </w:rPr>
        <w:t>, vol. 205, 2023.</w:t>
      </w:r>
      <w:r w:rsidRPr="009743A1">
        <w:rPr>
          <w:rFonts w:ascii="Times New Roman" w:hAnsi="Times New Roman" w:cs="Times New Roman"/>
          <w:lang w:val="en-IN"/>
        </w:rPr>
        <w:br/>
        <w:t xml:space="preserve">[19] S. Dutta </w:t>
      </w:r>
      <w:r w:rsidRPr="009743A1">
        <w:rPr>
          <w:rFonts w:ascii="Times New Roman" w:hAnsi="Times New Roman" w:cs="Times New Roman"/>
          <w:i/>
          <w:iCs/>
          <w:lang w:val="en-IN"/>
        </w:rPr>
        <w:t>et al.</w:t>
      </w:r>
      <w:r w:rsidRPr="009743A1">
        <w:rPr>
          <w:rFonts w:ascii="Times New Roman" w:hAnsi="Times New Roman" w:cs="Times New Roman"/>
          <w:lang w:val="en-IN"/>
        </w:rPr>
        <w:t xml:space="preserve">, “Explainable AI for microbiological image analysis: A review,” </w:t>
      </w:r>
      <w:r w:rsidRPr="009743A1">
        <w:rPr>
          <w:rFonts w:ascii="Times New Roman" w:hAnsi="Times New Roman" w:cs="Times New Roman"/>
          <w:i/>
          <w:iCs/>
          <w:lang w:val="en-IN"/>
        </w:rPr>
        <w:t>IEEE Access</w:t>
      </w:r>
      <w:r w:rsidRPr="009743A1">
        <w:rPr>
          <w:rFonts w:ascii="Times New Roman" w:hAnsi="Times New Roman" w:cs="Times New Roman"/>
          <w:lang w:val="en-IN"/>
        </w:rPr>
        <w:t>, vol. 12, pp. 20403–20419, 2024.</w:t>
      </w:r>
      <w:r w:rsidRPr="009743A1">
        <w:rPr>
          <w:rFonts w:ascii="Times New Roman" w:hAnsi="Times New Roman" w:cs="Times New Roman"/>
          <w:lang w:val="en-IN"/>
        </w:rPr>
        <w:br/>
        <w:t xml:space="preserve">[20] H. Zhang, Y. Wang, and X. Zhao, “Calibration of deep neural networks for reliable healthcare diagnostics,” </w:t>
      </w:r>
      <w:r w:rsidRPr="009743A1">
        <w:rPr>
          <w:rFonts w:ascii="Times New Roman" w:hAnsi="Times New Roman" w:cs="Times New Roman"/>
          <w:i/>
          <w:iCs/>
          <w:lang w:val="en-IN"/>
        </w:rPr>
        <w:t>IEEE Journal of Biomedical and Health Informatics</w:t>
      </w:r>
      <w:r w:rsidRPr="009743A1">
        <w:rPr>
          <w:rFonts w:ascii="Times New Roman" w:hAnsi="Times New Roman" w:cs="Times New Roman"/>
          <w:lang w:val="en-IN"/>
        </w:rPr>
        <w:t>, vol. 28, no. 4, pp. 2351–2363, 2025.</w:t>
      </w:r>
    </w:p>
    <w:p w14:paraId="4D9AC9C6" w14:textId="77777777" w:rsidR="00DC5C43" w:rsidRPr="009743A1" w:rsidRDefault="00DC5C43" w:rsidP="00DC5C43">
      <w:pPr>
        <w:rPr>
          <w:rFonts w:ascii="Times New Roman" w:hAnsi="Times New Roman" w:cs="Times New Roman"/>
          <w:lang w:val="en-IN"/>
        </w:rPr>
      </w:pPr>
    </w:p>
    <w:bookmarkEnd w:id="1"/>
    <w:bookmarkEnd w:id="7"/>
    <w:p w14:paraId="283397D1" w14:textId="77777777" w:rsidR="00DC5C43" w:rsidRPr="009743A1" w:rsidRDefault="00DC5C43" w:rsidP="00DC5C43">
      <w:pPr>
        <w:jc w:val="both"/>
        <w:rPr>
          <w:rFonts w:ascii="Times New Roman" w:hAnsi="Times New Roman" w:cs="Times New Roman"/>
        </w:rPr>
      </w:pPr>
    </w:p>
    <w:sectPr w:rsidR="00DC5C43" w:rsidRPr="009743A1" w:rsidSect="00DC5C4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1"/>
    <w:multiLevelType w:val="multilevel"/>
    <w:tmpl w:val="A0928BF6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9781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F8"/>
    <w:rsid w:val="00103835"/>
    <w:rsid w:val="0014365E"/>
    <w:rsid w:val="001E0518"/>
    <w:rsid w:val="00377E65"/>
    <w:rsid w:val="007C095B"/>
    <w:rsid w:val="00825048"/>
    <w:rsid w:val="008976F5"/>
    <w:rsid w:val="0091355E"/>
    <w:rsid w:val="009743A1"/>
    <w:rsid w:val="009855E3"/>
    <w:rsid w:val="00C67433"/>
    <w:rsid w:val="00C71B60"/>
    <w:rsid w:val="00D268B4"/>
    <w:rsid w:val="00D82F96"/>
    <w:rsid w:val="00DB4D24"/>
    <w:rsid w:val="00DC5C43"/>
    <w:rsid w:val="00F52AA2"/>
    <w:rsid w:val="00F72E0E"/>
    <w:rsid w:val="00F941E5"/>
    <w:rsid w:val="00FC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3EE21"/>
  <w15:chartTrackingRefBased/>
  <w15:docId w15:val="{DD891B88-ECB1-4ECA-B301-C83B1184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C43"/>
    <w:pPr>
      <w:spacing w:after="200" w:line="240" w:lineRule="auto"/>
    </w:pPr>
    <w:rPr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5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5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75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5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5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5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5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5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5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5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75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5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5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5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5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5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5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5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5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5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5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5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5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5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5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5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5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5F8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DC5C43"/>
    <w:pPr>
      <w:spacing w:before="180" w:after="18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DC5C43"/>
    <w:rPr>
      <w:rFonts w:ascii="Times New Roman" w:hAnsi="Times New Roman"/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DC5C43"/>
  </w:style>
  <w:style w:type="paragraph" w:customStyle="1" w:styleId="Compact">
    <w:name w:val="Compact"/>
    <w:basedOn w:val="BodyText"/>
    <w:qFormat/>
    <w:rsid w:val="00DC5C43"/>
    <w:pPr>
      <w:spacing w:before="36" w:after="36"/>
    </w:pPr>
  </w:style>
  <w:style w:type="table" w:customStyle="1" w:styleId="Table">
    <w:name w:val="Table"/>
    <w:semiHidden/>
    <w:unhideWhenUsed/>
    <w:qFormat/>
    <w:rsid w:val="00DC5C43"/>
    <w:pPr>
      <w:spacing w:after="200" w:line="240" w:lineRule="auto"/>
    </w:pPr>
    <w:rPr>
      <w:kern w:val="0"/>
      <w:sz w:val="24"/>
      <w:szCs w:val="24"/>
      <w:lang w:val="en-US" w:eastAsia="en-I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3114</Words>
  <Characters>17754</Characters>
  <Application>Microsoft Office Word</Application>
  <DocSecurity>0</DocSecurity>
  <Lines>147</Lines>
  <Paragraphs>41</Paragraphs>
  <ScaleCrop>false</ScaleCrop>
  <Company/>
  <LinksUpToDate>false</LinksUpToDate>
  <CharactersWithSpaces>20827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 sekhar</dc:creator>
  <cp:keywords/>
  <dc:description/>
  <cp:lastModifiedBy>chandra sekhar</cp:lastModifiedBy>
  <cp:revision>11</cp:revision>
  <dcterms:created xsi:type="dcterms:W3CDTF">2025-11-02T12:05:00Z</dcterms:created>
  <dcterms:modified xsi:type="dcterms:W3CDTF">2026-05-02T03:11:00Z</dcterms:modified>
</cp:coreProperties>
</file>