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AF7" w:rsidRDefault="00307AF7" w:rsidP="00307AF7">
      <w:pPr>
        <w:jc w:val="center"/>
        <w:rPr>
          <w:rFonts w:ascii="Times New Roman" w:hAnsi="Times New Roman" w:cs="Times New Roman"/>
          <w:b/>
          <w:sz w:val="24"/>
          <w:szCs w:val="24"/>
        </w:rPr>
      </w:pPr>
      <w:r w:rsidRPr="00307AF7">
        <w:rPr>
          <w:rFonts w:ascii="Times New Roman" w:hAnsi="Times New Roman" w:cs="Times New Roman"/>
          <w:b/>
          <w:sz w:val="24"/>
          <w:szCs w:val="24"/>
        </w:rPr>
        <w:t>Genetic Variability</w:t>
      </w:r>
      <w:r>
        <w:t xml:space="preserve"> </w:t>
      </w:r>
      <w:r>
        <w:rPr>
          <w:rFonts w:ascii="Times New Roman" w:hAnsi="Times New Roman" w:cs="Times New Roman"/>
          <w:b/>
          <w:sz w:val="24"/>
          <w:szCs w:val="24"/>
        </w:rPr>
        <w:t>of seed macro and micronutrient composition in diverse c</w:t>
      </w:r>
      <w:r w:rsidRPr="00307AF7">
        <w:rPr>
          <w:rFonts w:ascii="Times New Roman" w:hAnsi="Times New Roman" w:cs="Times New Roman"/>
          <w:b/>
          <w:sz w:val="24"/>
          <w:szCs w:val="24"/>
        </w:rPr>
        <w:t>owpea (</w:t>
      </w:r>
      <w:r w:rsidRPr="00307AF7">
        <w:rPr>
          <w:rStyle w:val="Emphasis"/>
          <w:rFonts w:ascii="Times New Roman" w:hAnsi="Times New Roman" w:cs="Times New Roman"/>
          <w:b/>
          <w:sz w:val="24"/>
          <w:szCs w:val="24"/>
        </w:rPr>
        <w:t>Vigna unguiculata</w:t>
      </w:r>
      <w:r w:rsidRPr="00307AF7">
        <w:rPr>
          <w:rFonts w:ascii="Times New Roman" w:hAnsi="Times New Roman" w:cs="Times New Roman"/>
          <w:b/>
          <w:sz w:val="24"/>
          <w:szCs w:val="24"/>
        </w:rPr>
        <w:t xml:space="preserve"> L. Walp.) </w:t>
      </w:r>
      <w:r>
        <w:rPr>
          <w:rFonts w:ascii="Times New Roman" w:hAnsi="Times New Roman" w:cs="Times New Roman"/>
          <w:b/>
          <w:sz w:val="24"/>
          <w:szCs w:val="24"/>
        </w:rPr>
        <w:t>genotypes for nutritional q</w:t>
      </w:r>
      <w:r w:rsidRPr="00307AF7">
        <w:rPr>
          <w:rFonts w:ascii="Times New Roman" w:hAnsi="Times New Roman" w:cs="Times New Roman"/>
          <w:b/>
          <w:sz w:val="24"/>
          <w:szCs w:val="24"/>
        </w:rPr>
        <w:t>ua</w:t>
      </w:r>
      <w:r>
        <w:rPr>
          <w:rFonts w:ascii="Times New Roman" w:hAnsi="Times New Roman" w:cs="Times New Roman"/>
          <w:b/>
          <w:sz w:val="24"/>
          <w:szCs w:val="24"/>
        </w:rPr>
        <w:t xml:space="preserve">lity </w:t>
      </w:r>
    </w:p>
    <w:p w:rsidR="009035E1" w:rsidRPr="009035E1" w:rsidRDefault="009035E1" w:rsidP="009035E1">
      <w:pPr>
        <w:tabs>
          <w:tab w:val="left" w:pos="1286"/>
        </w:tabs>
        <w:rPr>
          <w:rFonts w:ascii="Times New Roman" w:hAnsi="Times New Roman" w:cs="Times New Roman"/>
          <w:sz w:val="24"/>
          <w:szCs w:val="24"/>
        </w:rPr>
      </w:pP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sidRPr="000F08E7">
        <w:rPr>
          <w:rFonts w:ascii="Times New Roman" w:hAnsi="Times New Roman" w:cs="Times New Roman"/>
          <w:sz w:val="24"/>
          <w:szCs w:val="24"/>
        </w:rPr>
        <w:t xml:space="preserve"/>
      </w:r>
      <w:r w:rsidR="00E4002C">
        <w:rPr>
          <w:rFonts w:ascii="Times New Roman" w:hAnsi="Times New Roman" w:cs="Times New Roman"/>
          <w:sz w:val="24"/>
          <w:szCs w:val="24"/>
        </w:rPr>
        <w:t/>
      </w:r>
      <w:r w:rsidR="00E4002C" w:rsidRPr="009035E1">
        <w:rPr>
          <w:rFonts w:ascii="Times New Roman" w:eastAsia="Times New Roman" w:hAnsi="Times New Roman" w:cs="Times New Roman"/>
          <w:sz w:val="24"/>
          <w:szCs w:val="24"/>
          <w:vertAlign w:val="superscript"/>
        </w:rPr>
        <w:t/>
      </w:r>
      <w:r w:rsidR="00E4002C">
        <w:rPr>
          <w:rFonts w:ascii="Times New Roman" w:hAnsi="Times New Roman" w:cs="Times New Roman"/>
          <w:sz w:val="24"/>
          <w:szCs w:val="24"/>
        </w:rPr>
        <w:t xml:space="preserve"/>
      </w:r>
      <w:r w:rsidRPr="000F08E7">
        <w:rPr>
          <w:rFonts w:ascii="Times New Roman" w:hAnsi="Times New Roman" w:cs="Times New Roman"/>
          <w:sz w:val="24"/>
          <w:szCs w:val="24"/>
        </w:rPr>
        <w:t/>
      </w:r>
      <w:r w:rsidRPr="000F08E7">
        <w:rPr>
          <w:rFonts w:ascii="Times New Roman" w:hAnsi="Times New Roman" w:cs="Times New Roman"/>
          <w:sz w:val="24"/>
          <w:szCs w:val="24"/>
          <w:vertAlign w:val="superscript"/>
        </w:rPr>
        <w:t/>
      </w:r>
      <w:r>
        <w:rPr>
          <w:rFonts w:ascii="Times New Roman" w:hAnsi="Times New Roman" w:cs="Times New Roman"/>
          <w:sz w:val="24"/>
          <w:szCs w:val="24"/>
          <w:vertAlign w:val="subscript"/>
        </w:rPr>
        <w:t xml:space="preserve"/>
      </w:r>
      <w:r w:rsidRPr="009035E1">
        <w:rPr>
          <w:rFonts w:ascii="STIX-Bold" w:hAnsi="STIX-Bold" w:cs="STIX-Bold"/>
          <w:bCs/>
          <w:sz w:val="20"/>
          <w:szCs w:val="20"/>
        </w:rPr>
        <w:t/>
      </w:r>
      <w:r w:rsidR="00E4002C">
        <w:rPr>
          <w:rFonts w:ascii="STIX-Bold" w:hAnsi="STIX-Bold" w:cs="STIX-Bold"/>
          <w:bCs/>
          <w:sz w:val="20"/>
          <w:szCs w:val="20"/>
          <w:vertAlign w:val="superscript"/>
        </w:rPr>
        <w:t/>
      </w:r>
    </w:p>
    <w:p w:rsidR="009035E1" w:rsidRPr="00E4002C" w:rsidRDefault="009035E1" w:rsidP="009035E1">
      <w:pPr>
        <w:spacing w:after="0" w:line="240" w:lineRule="auto"/>
        <w:jc w:val="center"/>
        <w:rPr>
          <w:rFonts w:ascii="Times New Roman" w:hAnsi="Times New Roman" w:cs="Times New Roman"/>
          <w:sz w:val="24"/>
          <w:szCs w:val="24"/>
        </w:rPr>
      </w:pPr>
      <w:r w:rsidRPr="00E4002C">
        <w:rPr>
          <w:rFonts w:ascii="Times New Roman" w:hAnsi="Times New Roman" w:cs="Times New Roman"/>
          <w:sz w:val="24"/>
          <w:szCs w:val="24"/>
          <w:vertAlign w:val="superscript"/>
        </w:rPr>
        <w:t/>
      </w:r>
      <w:r w:rsidRPr="00E4002C">
        <w:rPr>
          <w:rFonts w:ascii="Times New Roman" w:hAnsi="Times New Roman" w:cs="Times New Roman"/>
          <w:sz w:val="24"/>
          <w:szCs w:val="24"/>
        </w:rPr>
        <w:t xml:space="preserve"/>
      </w:r>
    </w:p>
    <w:p w:rsidR="009035E1" w:rsidRPr="00E4002C" w:rsidRDefault="009035E1" w:rsidP="009035E1">
      <w:pPr>
        <w:spacing w:after="0" w:line="240" w:lineRule="auto"/>
        <w:jc w:val="center"/>
        <w:rPr>
          <w:rFonts w:ascii="Times New Roman" w:hAnsi="Times New Roman" w:cs="Times New Roman"/>
          <w:sz w:val="24"/>
          <w:szCs w:val="24"/>
        </w:rPr>
      </w:pPr>
      <w:r w:rsidRPr="00E4002C">
        <w:rPr>
          <w:rFonts w:ascii="Times New Roman" w:hAnsi="Times New Roman" w:cs="Times New Roman"/>
          <w:sz w:val="24"/>
          <w:szCs w:val="24"/>
          <w:vertAlign w:val="superscript"/>
        </w:rPr>
        <w:t xml:space="preserve"/>
      </w:r>
      <w:r w:rsidRPr="00E4002C">
        <w:rPr>
          <w:rFonts w:ascii="Times New Roman" w:hAnsi="Times New Roman" w:cs="Times New Roman"/>
          <w:sz w:val="24"/>
          <w:szCs w:val="24"/>
        </w:rPr>
        <w:t/>
      </w:r>
    </w:p>
    <w:p w:rsidR="009035E1" w:rsidRPr="00E4002C" w:rsidRDefault="009035E1" w:rsidP="009035E1">
      <w:pPr>
        <w:spacing w:after="0" w:line="240" w:lineRule="auto"/>
        <w:jc w:val="center"/>
        <w:rPr>
          <w:rFonts w:ascii="Times New Roman" w:eastAsia="Times New Roman" w:hAnsi="Times New Roman" w:cs="Times New Roman"/>
          <w:sz w:val="24"/>
          <w:szCs w:val="24"/>
        </w:rPr>
      </w:pPr>
      <w:r w:rsidRPr="00E4002C">
        <w:rPr>
          <w:rFonts w:ascii="Times New Roman" w:hAnsi="Times New Roman" w:cs="Times New Roman"/>
          <w:sz w:val="24"/>
          <w:szCs w:val="24"/>
          <w:vertAlign w:val="superscript"/>
        </w:rPr>
        <w:t xml:space="preserve"/>
      </w:r>
      <w:r w:rsidRPr="00E4002C">
        <w:rPr>
          <w:rFonts w:ascii="Times New Roman" w:hAnsi="Times New Roman" w:cs="Times New Roman"/>
          <w:sz w:val="24"/>
          <w:szCs w:val="24"/>
        </w:rPr>
        <w:t xml:space="preserve"/>
      </w:r>
      <w:r w:rsidRPr="00E4002C">
        <w:rPr>
          <w:rFonts w:ascii="Times New Roman" w:hAnsi="Times New Roman" w:cs="Times New Roman"/>
          <w:sz w:val="24"/>
          <w:szCs w:val="24"/>
          <w:vertAlign w:val="superscript"/>
        </w:rPr>
        <w:t/>
      </w:r>
      <w:r w:rsidRPr="00E4002C">
        <w:rPr>
          <w:rFonts w:ascii="Times New Roman" w:hAnsi="Times New Roman" w:cs="Times New Roman"/>
          <w:sz w:val="24"/>
          <w:szCs w:val="24"/>
        </w:rPr>
        <w:t xml:space="preserve"/>
      </w:r>
      <w:r w:rsidRPr="00E4002C">
        <w:rPr>
          <w:rFonts w:ascii="Times New Roman" w:eastAsia="Times New Roman" w:hAnsi="Times New Roman" w:cs="Times New Roman"/>
          <w:sz w:val="24"/>
          <w:szCs w:val="24"/>
        </w:rPr>
        <w:t/>
      </w:r>
    </w:p>
    <w:p w:rsidR="00E4002C" w:rsidRPr="00E4002C" w:rsidRDefault="00E4002C" w:rsidP="009035E1">
      <w:pPr>
        <w:spacing w:after="0" w:line="240" w:lineRule="auto"/>
        <w:jc w:val="center"/>
        <w:rPr>
          <w:rFonts w:ascii="Times New Roman" w:eastAsia="Times New Roman" w:hAnsi="Times New Roman" w:cs="Times New Roman"/>
          <w:sz w:val="24"/>
          <w:szCs w:val="24"/>
        </w:rPr>
      </w:pPr>
      <w:r w:rsidRPr="00E4002C">
        <w:rPr>
          <w:rFonts w:ascii="Times New Roman" w:eastAsia="Times New Roman" w:hAnsi="Times New Roman" w:cs="Times New Roman"/>
          <w:sz w:val="24"/>
          <w:szCs w:val="24"/>
          <w:vertAlign w:val="superscript"/>
        </w:rPr>
        <w:t/>
      </w:r>
      <w:r w:rsidRPr="00E4002C">
        <w:rPr>
          <w:rFonts w:ascii="Times New Roman" w:hAnsi="Times New Roman" w:cs="Times New Roman"/>
          <w:sz w:val="24"/>
          <w:szCs w:val="24"/>
        </w:rPr>
        <w:t/>
      </w:r>
    </w:p>
    <w:p w:rsidR="009035E1" w:rsidRPr="00E4002C" w:rsidRDefault="00E4002C" w:rsidP="009035E1">
      <w:pPr>
        <w:autoSpaceDE w:val="0"/>
        <w:autoSpaceDN w:val="0"/>
        <w:adjustRightInd w:val="0"/>
        <w:spacing w:after="0" w:line="240" w:lineRule="auto"/>
        <w:rPr>
          <w:rFonts w:ascii="Times New Roman" w:hAnsi="Times New Roman" w:cs="Times New Roman"/>
          <w:sz w:val="24"/>
          <w:szCs w:val="24"/>
          <w:vertAlign w:val="superscript"/>
        </w:rPr>
      </w:pPr>
      <w:r w:rsidRPr="00E4002C">
        <w:rPr>
          <w:rFonts w:ascii="Times New Roman" w:eastAsia="Times New Roman" w:hAnsi="Times New Roman" w:cs="Times New Roman"/>
          <w:sz w:val="24"/>
          <w:szCs w:val="24"/>
          <w:vertAlign w:val="superscript"/>
        </w:rPr>
        <w:t/>
      </w:r>
      <w:r w:rsidR="009035E1" w:rsidRPr="00E4002C">
        <w:rPr>
          <w:rFonts w:ascii="Times New Roman" w:eastAsia="Times New Roman" w:hAnsi="Times New Roman" w:cs="Times New Roman"/>
          <w:sz w:val="24"/>
          <w:szCs w:val="24"/>
          <w:vertAlign w:val="superscript"/>
        </w:rPr>
        <w:t xml:space="preserve"/>
      </w:r>
      <w:r w:rsidR="009035E1" w:rsidRPr="00E4002C">
        <w:rPr>
          <w:rFonts w:ascii="Times New Roman" w:eastAsia="STIX-Regular" w:hAnsi="Times New Roman" w:cs="Times New Roman"/>
          <w:sz w:val="24"/>
          <w:szCs w:val="24"/>
        </w:rPr>
        <w:t/>
      </w:r>
    </w:p>
    <w:p w:rsidR="00C077CD" w:rsidRPr="009035E1" w:rsidRDefault="00C077CD">
      <w:pPr>
        <w:rPr>
          <w:rFonts w:ascii="Times New Roman" w:hAnsi="Times New Roman" w:cs="Times New Roman"/>
          <w:b/>
          <w:bCs/>
          <w:sz w:val="24"/>
          <w:szCs w:val="24"/>
        </w:rPr>
      </w:pPr>
      <w:r w:rsidRPr="009035E1">
        <w:rPr>
          <w:rFonts w:ascii="Times New Roman" w:hAnsi="Times New Roman" w:cs="Times New Roman"/>
          <w:b/>
          <w:bCs/>
          <w:sz w:val="24"/>
          <w:szCs w:val="24"/>
        </w:rPr>
        <w:t>Abstract</w:t>
      </w:r>
    </w:p>
    <w:p w:rsidR="00307AF7" w:rsidRPr="00307AF7" w:rsidRDefault="00307AF7" w:rsidP="00CB3CE1">
      <w:pPr>
        <w:spacing w:line="240" w:lineRule="auto"/>
        <w:jc w:val="both"/>
        <w:rPr>
          <w:rFonts w:ascii="Times New Roman" w:hAnsi="Times New Roman" w:cs="Times New Roman"/>
          <w:bCs/>
          <w:sz w:val="24"/>
          <w:szCs w:val="24"/>
        </w:rPr>
      </w:pPr>
      <w:r w:rsidRPr="00307AF7">
        <w:rPr>
          <w:rFonts w:ascii="Times New Roman" w:hAnsi="Times New Roman" w:cs="Times New Roman"/>
          <w:sz w:val="24"/>
          <w:szCs w:val="24"/>
        </w:rPr>
        <w:t>Cowpea (</w:t>
      </w:r>
      <w:r w:rsidRPr="00307AF7">
        <w:rPr>
          <w:rStyle w:val="Emphasis"/>
          <w:rFonts w:ascii="Times New Roman" w:hAnsi="Times New Roman" w:cs="Times New Roman"/>
          <w:sz w:val="24"/>
          <w:szCs w:val="24"/>
        </w:rPr>
        <w:t>Vigna unguiculata</w:t>
      </w:r>
      <w:r w:rsidRPr="00307AF7">
        <w:rPr>
          <w:rFonts w:ascii="Times New Roman" w:hAnsi="Times New Roman" w:cs="Times New Roman"/>
          <w:sz w:val="24"/>
          <w:szCs w:val="24"/>
        </w:rPr>
        <w:t xml:space="preserve"> L. Walp.) is an important grain legume recognized for its high nutritional value and potential to alleviate protein and micronutrient malnutrition. The present study aimed to evaluate the genetic variability in seed mineral composition among twenty-two promising cowpea</w:t>
      </w:r>
      <w:r w:rsidR="00A97E93">
        <w:rPr>
          <w:rFonts w:ascii="Times New Roman" w:hAnsi="Times New Roman" w:cs="Times New Roman"/>
          <w:sz w:val="24"/>
          <w:szCs w:val="24"/>
        </w:rPr>
        <w:t xml:space="preserve"> genotypes to identify nutrient </w:t>
      </w:r>
      <w:r w:rsidRPr="00307AF7">
        <w:rPr>
          <w:rFonts w:ascii="Times New Roman" w:hAnsi="Times New Roman" w:cs="Times New Roman"/>
          <w:sz w:val="24"/>
          <w:szCs w:val="24"/>
        </w:rPr>
        <w:t>rich genotypes for use in biofortification and breeding programmes. See</w:t>
      </w:r>
      <w:r w:rsidR="00A97E93">
        <w:rPr>
          <w:rFonts w:ascii="Times New Roman" w:hAnsi="Times New Roman" w:cs="Times New Roman"/>
          <w:sz w:val="24"/>
          <w:szCs w:val="24"/>
        </w:rPr>
        <w:t>d samples were analyzed for</w:t>
      </w:r>
      <w:r w:rsidRPr="00307AF7">
        <w:rPr>
          <w:rFonts w:ascii="Times New Roman" w:hAnsi="Times New Roman" w:cs="Times New Roman"/>
          <w:sz w:val="24"/>
          <w:szCs w:val="24"/>
        </w:rPr>
        <w:t xml:space="preserve"> macronutrients (calcium, magnesium, potassium, </w:t>
      </w:r>
      <w:r w:rsidR="00A97E93">
        <w:rPr>
          <w:rFonts w:ascii="Times New Roman" w:hAnsi="Times New Roman" w:cs="Times New Roman"/>
          <w:sz w:val="24"/>
          <w:szCs w:val="24"/>
        </w:rPr>
        <w:t xml:space="preserve">phosphorus, and sulfur) and </w:t>
      </w:r>
      <w:r w:rsidRPr="00307AF7">
        <w:rPr>
          <w:rFonts w:ascii="Times New Roman" w:hAnsi="Times New Roman" w:cs="Times New Roman"/>
          <w:sz w:val="24"/>
          <w:szCs w:val="24"/>
        </w:rPr>
        <w:t>micronutrients (iron, zinc, copper, manganese, and nickel). Significant variation was observed for all mineral elements, indicating the presence of substantial genetic diversity. Calcium concentration ranged from 0.04 to 0.81 mg kg⁻¹, magnesium from 0.54 to 2.61 mg kg⁻¹, potassium from 16.70 to 152.64 mg kg⁻¹, phosphorus from 1.72 to 7.45 mg kg⁻¹, sulfur from 0.83 to 3.44 mg kg⁻¹, iron from 0.21 to 2.35 mg kg⁻¹, zinc from 0.02 to 1.21 mg kg⁻¹, copper from 0.34 to 1.64 mg kg⁻¹, manganese from 0.04 to 1.63 mg kg⁻¹, and nickel from 0.10 to 3.59 mg kg⁻¹. Genotypes IITA-26, IITA-3, IITA-153, IITA-265, IITA-122, IITA-7, IITA-21, and IITA-61 exhibited superior performance for one or more essential mineral elements, demonstrating their potential as valuable genetic resources for nutritional improvement. The observed variability is likely attributable to differences in genotype, mineral uptake efficiency, and adaptation to environmental conditions. The findings confirm that cowpea seeds are rich sources of essential macro- and micronutrients and highlight the considerable scope for exploiting genetic variability in breeding programmes. The identified nutrient-dense genotypes represent promising parental material for the development of biofortified cowpea cultivars with enhanced nutritional quality, thereby contributing to improved food and nutritional security.</w:t>
      </w:r>
    </w:p>
    <w:p w:rsidR="00C077CD" w:rsidRPr="00307AF7" w:rsidRDefault="00C077CD" w:rsidP="00CB3CE1">
      <w:pPr>
        <w:spacing w:line="240" w:lineRule="auto"/>
        <w:jc w:val="both"/>
        <w:rPr>
          <w:rFonts w:ascii="Times New Roman" w:hAnsi="Times New Roman" w:cs="Times New Roman"/>
          <w:bCs/>
          <w:sz w:val="24"/>
          <w:szCs w:val="24"/>
        </w:rPr>
      </w:pPr>
      <w:r w:rsidRPr="009035E1">
        <w:rPr>
          <w:rFonts w:ascii="Times New Roman" w:hAnsi="Times New Roman" w:cs="Times New Roman"/>
          <w:b/>
          <w:bCs/>
          <w:sz w:val="24"/>
          <w:szCs w:val="24"/>
        </w:rPr>
        <w:lastRenderedPageBreak/>
        <w:t>Keywords</w:t>
      </w:r>
      <w:r w:rsidR="00307AF7" w:rsidRPr="009035E1">
        <w:rPr>
          <w:rFonts w:ascii="Times New Roman" w:hAnsi="Times New Roman" w:cs="Times New Roman"/>
          <w:b/>
          <w:bCs/>
          <w:sz w:val="24"/>
          <w:szCs w:val="24"/>
        </w:rPr>
        <w:t>:</w:t>
      </w:r>
      <w:r w:rsidR="00307AF7" w:rsidRPr="00307AF7">
        <w:rPr>
          <w:rFonts w:ascii="Times New Roman" w:hAnsi="Times New Roman" w:cs="Times New Roman"/>
          <w:bCs/>
          <w:sz w:val="24"/>
          <w:szCs w:val="24"/>
        </w:rPr>
        <w:t xml:space="preserve"> </w:t>
      </w:r>
      <w:r w:rsidR="00307AF7" w:rsidRPr="00307AF7">
        <w:rPr>
          <w:rStyle w:val="Emphasis"/>
          <w:rFonts w:ascii="Times New Roman" w:hAnsi="Times New Roman" w:cs="Times New Roman"/>
          <w:sz w:val="24"/>
          <w:szCs w:val="24"/>
        </w:rPr>
        <w:t>Vigna unguiculata</w:t>
      </w:r>
      <w:r w:rsidR="009035E1">
        <w:rPr>
          <w:rFonts w:ascii="Times New Roman" w:hAnsi="Times New Roman" w:cs="Times New Roman"/>
          <w:sz w:val="24"/>
          <w:szCs w:val="24"/>
        </w:rPr>
        <w:t>,</w:t>
      </w:r>
      <w:r w:rsidR="00307AF7" w:rsidRPr="00307AF7">
        <w:rPr>
          <w:rFonts w:ascii="Times New Roman" w:hAnsi="Times New Roman" w:cs="Times New Roman"/>
          <w:sz w:val="24"/>
          <w:szCs w:val="24"/>
        </w:rPr>
        <w:t xml:space="preserve"> genetic variabilit</w:t>
      </w:r>
      <w:r w:rsidR="009035E1">
        <w:rPr>
          <w:rFonts w:ascii="Times New Roman" w:hAnsi="Times New Roman" w:cs="Times New Roman"/>
          <w:sz w:val="24"/>
          <w:szCs w:val="24"/>
        </w:rPr>
        <w:t>y,</w:t>
      </w:r>
      <w:r w:rsidR="00307AF7" w:rsidRPr="00307AF7">
        <w:rPr>
          <w:rFonts w:ascii="Times New Roman" w:hAnsi="Times New Roman" w:cs="Times New Roman"/>
          <w:sz w:val="24"/>
          <w:szCs w:val="24"/>
        </w:rPr>
        <w:t xml:space="preserve"> nutritional quality</w:t>
      </w:r>
      <w:r w:rsidR="009035E1">
        <w:rPr>
          <w:rFonts w:ascii="Times New Roman" w:hAnsi="Times New Roman" w:cs="Times New Roman"/>
          <w:sz w:val="24"/>
          <w:szCs w:val="24"/>
        </w:rPr>
        <w:t>,</w:t>
      </w:r>
      <w:r w:rsidR="00307AF7" w:rsidRPr="00307AF7">
        <w:rPr>
          <w:rFonts w:ascii="Times New Roman" w:hAnsi="Times New Roman" w:cs="Times New Roman"/>
          <w:sz w:val="24"/>
          <w:szCs w:val="24"/>
        </w:rPr>
        <w:t xml:space="preserve"> bi</w:t>
      </w:r>
      <w:r w:rsidR="009035E1">
        <w:rPr>
          <w:rFonts w:ascii="Times New Roman" w:hAnsi="Times New Roman" w:cs="Times New Roman"/>
          <w:sz w:val="24"/>
          <w:szCs w:val="24"/>
        </w:rPr>
        <w:t>ofortification, micronutrients.</w:t>
      </w:r>
    </w:p>
    <w:p w:rsidR="00C077CD" w:rsidRPr="009035E1" w:rsidRDefault="00C077CD" w:rsidP="00CB3CE1">
      <w:pPr>
        <w:spacing w:line="240" w:lineRule="auto"/>
        <w:rPr>
          <w:rFonts w:ascii="Times New Roman" w:hAnsi="Times New Roman" w:cs="Times New Roman"/>
          <w:b/>
          <w:bCs/>
          <w:sz w:val="24"/>
          <w:szCs w:val="24"/>
        </w:rPr>
      </w:pPr>
      <w:r w:rsidRPr="009035E1">
        <w:rPr>
          <w:rFonts w:ascii="Times New Roman" w:hAnsi="Times New Roman" w:cs="Times New Roman"/>
          <w:b/>
          <w:bCs/>
          <w:sz w:val="24"/>
          <w:szCs w:val="24"/>
        </w:rPr>
        <w:t>Introduction</w:t>
      </w:r>
    </w:p>
    <w:p w:rsidR="00FB670C" w:rsidRDefault="00FB670C" w:rsidP="00CB3CE1">
      <w:pPr>
        <w:spacing w:before="120" w:after="120" w:line="240" w:lineRule="auto"/>
        <w:ind w:firstLine="720"/>
        <w:jc w:val="both"/>
        <w:rPr>
          <w:rFonts w:ascii="Times New Roman" w:hAnsi="Times New Roman" w:cs="Times New Roman"/>
          <w:sz w:val="24"/>
          <w:szCs w:val="24"/>
        </w:rPr>
      </w:pPr>
      <w:r w:rsidRPr="00FB670C">
        <w:rPr>
          <w:rFonts w:ascii="Times New Roman" w:hAnsi="Times New Roman" w:cs="Times New Roman"/>
          <w:sz w:val="24"/>
          <w:szCs w:val="24"/>
        </w:rPr>
        <w:t>Cowpea (</w:t>
      </w:r>
      <w:r w:rsidRPr="009035E1">
        <w:rPr>
          <w:rFonts w:ascii="Times New Roman" w:hAnsi="Times New Roman" w:cs="Times New Roman"/>
          <w:i/>
          <w:sz w:val="24"/>
          <w:szCs w:val="24"/>
        </w:rPr>
        <w:t>Vigna unguiculata</w:t>
      </w:r>
      <w:r w:rsidRPr="00FB670C">
        <w:rPr>
          <w:rFonts w:ascii="Times New Roman" w:hAnsi="Times New Roman" w:cs="Times New Roman"/>
          <w:sz w:val="24"/>
          <w:szCs w:val="24"/>
        </w:rPr>
        <w:t xml:space="preserve"> L. Walp.) is an important grain legume cultivated extensively in tropical and subtropical regions due to its adaptability to marginal environments and its high nutritional value. </w:t>
      </w:r>
      <w:r w:rsidRPr="00433FDA">
        <w:rPr>
          <w:rFonts w:ascii="Times New Roman" w:hAnsi="Times New Roman" w:cs="Times New Roman"/>
          <w:sz w:val="24"/>
          <w:szCs w:val="24"/>
        </w:rPr>
        <w:t xml:space="preserve">It is a self-pollinating crop with a diploid chromosome number of 22 (2n=22) and a genome size of 620 Mb (Boukar </w:t>
      </w:r>
      <w:r w:rsidRPr="00433FDA">
        <w:rPr>
          <w:rFonts w:ascii="Times New Roman" w:hAnsi="Times New Roman" w:cs="Times New Roman"/>
          <w:i/>
          <w:sz w:val="24"/>
          <w:szCs w:val="24"/>
        </w:rPr>
        <w:t>et al.,</w:t>
      </w:r>
      <w:r w:rsidRPr="00433FDA">
        <w:rPr>
          <w:rFonts w:ascii="Times New Roman" w:hAnsi="Times New Roman" w:cs="Times New Roman"/>
          <w:sz w:val="24"/>
          <w:szCs w:val="24"/>
        </w:rPr>
        <w:t xml:space="preserve"> 2019; Gbedevi </w:t>
      </w:r>
      <w:r w:rsidRPr="00433FDA">
        <w:rPr>
          <w:rFonts w:ascii="Times New Roman" w:hAnsi="Times New Roman" w:cs="Times New Roman"/>
          <w:i/>
          <w:sz w:val="24"/>
          <w:szCs w:val="24"/>
        </w:rPr>
        <w:t>et al</w:t>
      </w:r>
      <w:r w:rsidRPr="00433FDA">
        <w:rPr>
          <w:rFonts w:ascii="Times New Roman" w:hAnsi="Times New Roman" w:cs="Times New Roman"/>
          <w:sz w:val="24"/>
          <w:szCs w:val="24"/>
        </w:rPr>
        <w:t xml:space="preserve">., 2021; Mekonnen </w:t>
      </w:r>
      <w:r w:rsidRPr="00433FDA">
        <w:rPr>
          <w:rFonts w:ascii="Times New Roman" w:hAnsi="Times New Roman" w:cs="Times New Roman"/>
          <w:i/>
          <w:sz w:val="24"/>
          <w:szCs w:val="24"/>
        </w:rPr>
        <w:t>et al</w:t>
      </w:r>
      <w:r w:rsidRPr="00433FDA">
        <w:rPr>
          <w:rFonts w:ascii="Times New Roman" w:hAnsi="Times New Roman" w:cs="Times New Roman"/>
          <w:sz w:val="24"/>
          <w:szCs w:val="24"/>
        </w:rPr>
        <w:t xml:space="preserve">., 2022). Cowpea is known as "poor man's meat" because of its high nutritional value and high protein content (20-25%) (Rangkham and Khanna, 2018). </w:t>
      </w:r>
      <w:r w:rsidRPr="00FB670C">
        <w:rPr>
          <w:rFonts w:ascii="Times New Roman" w:hAnsi="Times New Roman" w:cs="Times New Roman"/>
          <w:sz w:val="24"/>
          <w:szCs w:val="24"/>
        </w:rPr>
        <w:t>Besides serving as a major source of dietary protein, cowpea grains and leaves are rich in essential minerals such as iron (Fe), zinc (Zn), calcium (Ca), magnesium (Mg), potassium (K), and phosphorus (P), making the crop a promising candidate for nutritional security and biofortification programs (Boukar et al., 2011; Gonçalves et al., 2016; Carvalho et al., 2012).</w:t>
      </w:r>
    </w:p>
    <w:p w:rsidR="00FB670C" w:rsidRDefault="00FB670C" w:rsidP="00CB3CE1">
      <w:pPr>
        <w:spacing w:before="120" w:after="120" w:line="240" w:lineRule="auto"/>
        <w:ind w:firstLine="720"/>
        <w:jc w:val="both"/>
        <w:rPr>
          <w:rFonts w:ascii="Times New Roman" w:hAnsi="Times New Roman" w:cs="Times New Roman"/>
          <w:sz w:val="24"/>
          <w:szCs w:val="24"/>
        </w:rPr>
      </w:pPr>
      <w:r w:rsidRPr="00433FDA">
        <w:rPr>
          <w:rFonts w:ascii="Times New Roman" w:hAnsi="Times New Roman" w:cs="Times New Roman"/>
          <w:sz w:val="24"/>
          <w:szCs w:val="24"/>
        </w:rPr>
        <w:t>It is thought to have originated in the southernmost region of Africa, with China serving as a secondary center of diversity (Padulosi and Ng, 1997</w:t>
      </w:r>
      <w:r>
        <w:rPr>
          <w:rFonts w:ascii="Times New Roman" w:hAnsi="Times New Roman" w:cs="Times New Roman"/>
          <w:sz w:val="24"/>
          <w:szCs w:val="24"/>
        </w:rPr>
        <w:t>).</w:t>
      </w:r>
      <w:r w:rsidRPr="00FB670C">
        <w:t xml:space="preserve"> </w:t>
      </w:r>
      <w:r w:rsidRPr="00FB670C">
        <w:rPr>
          <w:rFonts w:ascii="Times New Roman" w:hAnsi="Times New Roman" w:cs="Times New Roman"/>
          <w:sz w:val="24"/>
          <w:szCs w:val="24"/>
        </w:rPr>
        <w:t>Genetic variability for mineral composition and protein content has been widely reported in cowpea, indicating substantial opportunities for genetic improvement. Early studies demonstrated significant relationships among agronomic, culinary, and nutritional traits. For example, breeding for larger grain size, higher grain yield, and increased grains per pod may reduce grain iron and zinc concentrations, whereas indirect selection through protein content can enhance iron accumulation. Furthermore, the positive association between grain size, protein content, and zinc concentration suggests the possibility of simultaneous improvement of these traits through integrated selection strategies (Blair et al., 2010; Carvalho et al., 2012; Nkhoma et al., 2020).</w:t>
      </w:r>
    </w:p>
    <w:p w:rsidR="00F61819" w:rsidRDefault="00FB670C" w:rsidP="00CB3CE1">
      <w:pPr>
        <w:spacing w:before="120" w:after="120" w:line="240" w:lineRule="auto"/>
        <w:ind w:firstLine="720"/>
        <w:jc w:val="both"/>
        <w:rPr>
          <w:rFonts w:ascii="Times New Roman" w:hAnsi="Times New Roman" w:cs="Times New Roman"/>
          <w:sz w:val="24"/>
          <w:szCs w:val="24"/>
        </w:rPr>
      </w:pPr>
      <w:r w:rsidRPr="00FB670C">
        <w:rPr>
          <w:rFonts w:ascii="Times New Roman" w:hAnsi="Times New Roman" w:cs="Times New Roman"/>
          <w:sz w:val="24"/>
          <w:szCs w:val="24"/>
        </w:rPr>
        <w:t>Several studies have reported considerable genetic variation and high heritability for mineral and protein contents in cowpea leaves, immature pods, and grains, indicating that these traits are largely under genetic control and can be effectively improved through breeding (Gonçalves et al., 2016; Carvalho et al., 2017).  The influence of genotype, environment, and genotype × environment interaction on mineral accumulation has also been extensively documented. Although environmental factors significantly affect mineral composition and grain yield, stable genotypes with desirable nutrient profiles have been identified across diverse production environments, demonstrating the potential for developing nutritionally superior cultivars with broad adaptation (Nkhoma et al., 2020; Boukar et al., 2011). In addition, studies have shown that cowpea genotypes with higher biological nitrogen fixation often accumulate greater concentrations of protein and micronutrients in both leaves and seeds, suggesting a physiological relationship between nitrogen fixation efficiency and nutrient enrichment (Dakora &amp; Belane, 2019).</w:t>
      </w:r>
    </w:p>
    <w:p w:rsidR="00F61819" w:rsidRPr="00F61819" w:rsidRDefault="00F61819" w:rsidP="00CB3CE1">
      <w:pPr>
        <w:spacing w:before="120" w:after="120" w:line="240" w:lineRule="auto"/>
        <w:ind w:firstLine="720"/>
        <w:jc w:val="both"/>
        <w:rPr>
          <w:rFonts w:ascii="Times New Roman" w:hAnsi="Times New Roman" w:cs="Times New Roman"/>
          <w:sz w:val="24"/>
          <w:szCs w:val="24"/>
        </w:rPr>
      </w:pPr>
      <w:r w:rsidRPr="00F61819">
        <w:rPr>
          <w:rFonts w:ascii="Times New Roman" w:hAnsi="Times New Roman" w:cs="Times New Roman"/>
          <w:sz w:val="24"/>
          <w:szCs w:val="24"/>
        </w:rPr>
        <w:lastRenderedPageBreak/>
        <w:t>In view of this, the present study focuses on the comprehensive evaluation of 20 superior cowpea genotypes selected from a core collection of 150 diverse gen</w:t>
      </w:r>
      <w:r w:rsidR="00CB3CE1">
        <w:rPr>
          <w:rFonts w:ascii="Times New Roman" w:hAnsi="Times New Roman" w:cs="Times New Roman"/>
          <w:sz w:val="24"/>
          <w:szCs w:val="24"/>
        </w:rPr>
        <w:t xml:space="preserve">otypes for their macro </w:t>
      </w:r>
      <w:r w:rsidRPr="00F61819">
        <w:rPr>
          <w:rFonts w:ascii="Times New Roman" w:hAnsi="Times New Roman" w:cs="Times New Roman"/>
          <w:sz w:val="24"/>
          <w:szCs w:val="24"/>
        </w:rPr>
        <w:t>and micronutrient composition</w:t>
      </w:r>
      <w:r w:rsidR="00CB3CE1">
        <w:rPr>
          <w:rFonts w:ascii="Times New Roman" w:hAnsi="Times New Roman" w:cs="Times New Roman"/>
          <w:sz w:val="24"/>
          <w:szCs w:val="24"/>
        </w:rPr>
        <w:t xml:space="preserve"> along with 2 check genotypes</w:t>
      </w:r>
      <w:r w:rsidRPr="00F61819">
        <w:rPr>
          <w:rFonts w:ascii="Times New Roman" w:hAnsi="Times New Roman" w:cs="Times New Roman"/>
          <w:sz w:val="24"/>
          <w:szCs w:val="24"/>
        </w:rPr>
        <w:t xml:space="preserve">. </w:t>
      </w:r>
    </w:p>
    <w:p w:rsidR="00C077CD" w:rsidRPr="009035E1" w:rsidRDefault="00C077CD">
      <w:pPr>
        <w:rPr>
          <w:rFonts w:ascii="Times New Roman" w:hAnsi="Times New Roman" w:cs="Times New Roman"/>
          <w:b/>
          <w:bCs/>
          <w:sz w:val="24"/>
          <w:szCs w:val="24"/>
        </w:rPr>
      </w:pPr>
      <w:r w:rsidRPr="009035E1">
        <w:rPr>
          <w:rFonts w:ascii="Times New Roman" w:hAnsi="Times New Roman" w:cs="Times New Roman"/>
          <w:b/>
          <w:bCs/>
          <w:sz w:val="24"/>
          <w:szCs w:val="24"/>
        </w:rPr>
        <w:t xml:space="preserve">Material and methods </w:t>
      </w:r>
    </w:p>
    <w:p w:rsidR="00C230B1" w:rsidRDefault="00C230B1" w:rsidP="00C230B1">
      <w:pPr>
        <w:pStyle w:val="NormalWeb"/>
        <w:jc w:val="both"/>
      </w:pPr>
      <w:r>
        <w:t>The present study was conducted in the laboratories of the Division of Genetics and Plant Breeding and the Division of Soil Science and Agricultural Chemistry, Faculty of Agriculture, Wadura, Sopore, Sher-e-Kashmir University of Agricultural Sciences and Technology of Kashmir (SKUAS</w:t>
      </w:r>
      <w:r w:rsidR="00B83568">
        <w:t xml:space="preserve">T-K), Jammu and Kashmir, India. </w:t>
      </w:r>
      <w:r>
        <w:t>A core collection comprising 150 cowpea (</w:t>
      </w:r>
      <w:r>
        <w:rPr>
          <w:rStyle w:val="Emphasis"/>
        </w:rPr>
        <w:t>Vigna unguiculata</w:t>
      </w:r>
      <w:r>
        <w:t xml:space="preserve"> L. Walp.) genotypes, along with four check varieties, was initially evaluated during 2020–2022 at the Research Farm of the Division of Genetics and Plant Breeding, Faculty of Agriculture, Wadura, SKUAST-K, using an Augmented Block Design (ABD) as proposed by Federer (1956). The experimental design consisted of 10 blocks, each containing 15 unreplicated test genotypes and four replicated check varieties. Each genotype was grown in a single row of 2 m length with a row-to-row spacing of 80 cm. The check varieties were randomly allocated within each block. At maturity, seeds from all 150 genotypes were harvested, cleaned, and stored for further analysis.</w:t>
      </w:r>
      <w:r w:rsidR="00EF2E66" w:rsidRPr="00EF2E66">
        <w:t xml:space="preserve"> Based on the comprehensive evaluation of </w:t>
      </w:r>
      <w:r w:rsidR="00B83568">
        <w:t xml:space="preserve">agronomic performance and yield </w:t>
      </w:r>
      <w:r w:rsidR="00EF2E66" w:rsidRPr="00EF2E66">
        <w:t>related traits, 22 superior genotypes were selected from the core collection for nutritional characterization. The selected genotypes were analyzed for major nutritional attributes, including calcium (Ca), magnesium (Mg), phosphorus (P), potassium (K), sulphur (S), iron (Fe), zinc (Zn), copper (Cu), manganese (Mn), and nickel (Ni), to identify nutritionally superior genotypes for use in future biofortification and cowpea improvement programs</w:t>
      </w:r>
      <w:r w:rsidR="00EF2E66">
        <w:t>.</w:t>
      </w:r>
    </w:p>
    <w:p w:rsidR="00EF2E66" w:rsidRPr="00B83568" w:rsidRDefault="00EF2E66" w:rsidP="00EF2E66">
      <w:pPr>
        <w:spacing w:before="100" w:beforeAutospacing="1" w:after="100" w:afterAutospacing="1" w:line="240" w:lineRule="auto"/>
        <w:outlineLvl w:val="2"/>
        <w:rPr>
          <w:rFonts w:ascii="Times New Roman" w:eastAsia="Times New Roman" w:hAnsi="Times New Roman" w:cs="Times New Roman"/>
          <w:b/>
          <w:bCs/>
          <w:sz w:val="27"/>
          <w:szCs w:val="27"/>
        </w:rPr>
      </w:pPr>
      <w:r w:rsidRPr="00B83568">
        <w:rPr>
          <w:rFonts w:ascii="Times New Roman" w:eastAsia="Times New Roman" w:hAnsi="Times New Roman" w:cs="Times New Roman"/>
          <w:b/>
          <w:bCs/>
          <w:sz w:val="27"/>
          <w:szCs w:val="27"/>
        </w:rPr>
        <w:t>Determination of Macro- and Micronutrient Composition</w:t>
      </w:r>
    </w:p>
    <w:p w:rsidR="00447445" w:rsidRDefault="00EF2E66" w:rsidP="00447445">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sz w:val="24"/>
          <w:szCs w:val="24"/>
        </w:rPr>
        <w:t>The concentrations of macro- and micronutrients in cowpea seeds were determined in the Laboratory of Soil Science and Agricultural Chemistry, Faculty of Agriculture, Wadura, SKUAST-K. Prior to analysis, seed samples were finely ground using a laboratory grinder and passed through a fine sieve to obtain a homogeneous flour.</w:t>
      </w:r>
    </w:p>
    <w:p w:rsidR="00EF2E66" w:rsidRPr="00447445" w:rsidRDefault="00EF2E66" w:rsidP="00447445">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b/>
          <w:bCs/>
          <w:sz w:val="24"/>
          <w:szCs w:val="24"/>
        </w:rPr>
        <w:t>Sample Digestion</w:t>
      </w:r>
    </w:p>
    <w:p w:rsidR="00EF2E66" w:rsidRPr="00EF2E66" w:rsidRDefault="00EF2E66" w:rsidP="00EF2E66">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sz w:val="24"/>
          <w:szCs w:val="24"/>
        </w:rPr>
        <w:t>For mineral analysis, 1.0 g of the powdered seed sample was digested using a di-acid mixture of nitric acid and perchloric acid (HNO₃₄; 9:4, v/v). The digestion was carried out on a hot plate until a clear solution was obtained. After cooling, the digest was filtered through Whatman No. 42 filter paper and the filtrate was q</w:t>
      </w:r>
      <w:r w:rsidR="00147C1C">
        <w:rPr>
          <w:rFonts w:ascii="Times New Roman" w:eastAsia="Times New Roman" w:hAnsi="Times New Roman" w:cs="Times New Roman"/>
          <w:sz w:val="24"/>
          <w:szCs w:val="24"/>
        </w:rPr>
        <w:t>uantitatively transferred to a 10</w:t>
      </w:r>
      <w:r w:rsidRPr="00EF2E66">
        <w:rPr>
          <w:rFonts w:ascii="Times New Roman" w:eastAsia="Times New Roman" w:hAnsi="Times New Roman" w:cs="Times New Roman"/>
          <w:sz w:val="24"/>
          <w:szCs w:val="24"/>
        </w:rPr>
        <w:t>0 mL volumetric flask. The final volume was made up with deionized water and used for subsequent mineral analysis.</w:t>
      </w:r>
    </w:p>
    <w:p w:rsidR="00EF2E66" w:rsidRPr="00EF2E66" w:rsidRDefault="00EF2E66" w:rsidP="00EF2E66">
      <w:pPr>
        <w:spacing w:before="100" w:beforeAutospacing="1" w:after="100" w:afterAutospacing="1" w:line="240" w:lineRule="auto"/>
        <w:outlineLvl w:val="3"/>
        <w:rPr>
          <w:rFonts w:ascii="Times New Roman" w:eastAsia="Times New Roman" w:hAnsi="Times New Roman" w:cs="Times New Roman"/>
          <w:b/>
          <w:bCs/>
          <w:sz w:val="24"/>
          <w:szCs w:val="24"/>
        </w:rPr>
      </w:pPr>
      <w:r w:rsidRPr="00EF2E66">
        <w:rPr>
          <w:rFonts w:ascii="Times New Roman" w:eastAsia="Times New Roman" w:hAnsi="Times New Roman" w:cs="Times New Roman"/>
          <w:b/>
          <w:bCs/>
          <w:sz w:val="24"/>
          <w:szCs w:val="24"/>
        </w:rPr>
        <w:lastRenderedPageBreak/>
        <w:t xml:space="preserve">Determination of </w:t>
      </w:r>
      <w:r w:rsidR="00B83568">
        <w:rPr>
          <w:rFonts w:ascii="Times New Roman" w:eastAsia="Times New Roman" w:hAnsi="Times New Roman" w:cs="Times New Roman"/>
          <w:b/>
          <w:bCs/>
          <w:sz w:val="24"/>
          <w:szCs w:val="24"/>
        </w:rPr>
        <w:t>macro and m</w:t>
      </w:r>
      <w:r w:rsidRPr="00EF2E66">
        <w:rPr>
          <w:rFonts w:ascii="Times New Roman" w:eastAsia="Times New Roman" w:hAnsi="Times New Roman" w:cs="Times New Roman"/>
          <w:b/>
          <w:bCs/>
          <w:sz w:val="24"/>
          <w:szCs w:val="24"/>
        </w:rPr>
        <w:t>icronutrients</w:t>
      </w:r>
    </w:p>
    <w:p w:rsidR="00EF2E66" w:rsidRPr="00EF2E66" w:rsidRDefault="00EF2E66" w:rsidP="00EF2E66">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sz w:val="24"/>
          <w:szCs w:val="24"/>
        </w:rPr>
        <w:t xml:space="preserve">The concentrations of </w:t>
      </w:r>
      <w:r w:rsidR="00B83568" w:rsidRPr="00EF2E66">
        <w:rPr>
          <w:rFonts w:ascii="Times New Roman" w:eastAsia="Times New Roman" w:hAnsi="Times New Roman" w:cs="Times New Roman"/>
          <w:sz w:val="24"/>
          <w:szCs w:val="24"/>
        </w:rPr>
        <w:t>Cal</w:t>
      </w:r>
      <w:r w:rsidR="00B83568">
        <w:rPr>
          <w:rFonts w:ascii="Times New Roman" w:eastAsia="Times New Roman" w:hAnsi="Times New Roman" w:cs="Times New Roman"/>
          <w:sz w:val="24"/>
          <w:szCs w:val="24"/>
        </w:rPr>
        <w:t>cium (Ca),</w:t>
      </w:r>
      <w:r w:rsidR="00B83568" w:rsidRPr="00EF2E66">
        <w:rPr>
          <w:rFonts w:ascii="Times New Roman" w:eastAsia="Times New Roman" w:hAnsi="Times New Roman" w:cs="Times New Roman"/>
          <w:sz w:val="24"/>
          <w:szCs w:val="24"/>
        </w:rPr>
        <w:t xml:space="preserve"> magnesium (Mg) </w:t>
      </w:r>
      <w:r w:rsidRPr="00EF2E66">
        <w:rPr>
          <w:rFonts w:ascii="Times New Roman" w:eastAsia="Times New Roman" w:hAnsi="Times New Roman" w:cs="Times New Roman"/>
          <w:sz w:val="24"/>
          <w:szCs w:val="24"/>
        </w:rPr>
        <w:t>iron (Fe), zinc (Zn), copper (Cu), manganese (Mn), and nickel (Ni) were determined from the digested samples using an Atomic Absorption Spectrophotometer (AAS 2380, PerkinElmer, USA) following the procedure described by Lindsay and Norvell (1978). Calibration standards were prepared from 1000 mg L⁻¹ stock solutions, and calibration curves were generated prior to sample analysis. The concentrations of individual elements were estimated from the corresponding standard curves and expressed on a dry weight basis</w:t>
      </w:r>
      <w:r w:rsidR="00E01C5C">
        <w:rPr>
          <w:rFonts w:ascii="Times New Roman" w:eastAsia="Times New Roman" w:hAnsi="Times New Roman" w:cs="Times New Roman"/>
          <w:sz w:val="24"/>
          <w:szCs w:val="24"/>
        </w:rPr>
        <w:t xml:space="preserve"> (Fig.1a)</w:t>
      </w:r>
      <w:r w:rsidRPr="00EF2E66">
        <w:rPr>
          <w:rFonts w:ascii="Times New Roman" w:eastAsia="Times New Roman" w:hAnsi="Times New Roman" w:cs="Times New Roman"/>
          <w:sz w:val="24"/>
          <w:szCs w:val="24"/>
        </w:rPr>
        <w:t>.</w:t>
      </w:r>
    </w:p>
    <w:p w:rsidR="00EF2E66" w:rsidRPr="00EF2E66" w:rsidRDefault="00EF2E66" w:rsidP="00EF2E66">
      <w:pPr>
        <w:spacing w:before="100" w:beforeAutospacing="1" w:after="100" w:afterAutospacing="1" w:line="240" w:lineRule="auto"/>
        <w:outlineLvl w:val="3"/>
        <w:rPr>
          <w:rFonts w:ascii="Times New Roman" w:eastAsia="Times New Roman" w:hAnsi="Times New Roman" w:cs="Times New Roman"/>
          <w:b/>
          <w:bCs/>
          <w:sz w:val="24"/>
          <w:szCs w:val="24"/>
        </w:rPr>
      </w:pPr>
      <w:r w:rsidRPr="00EF2E66">
        <w:rPr>
          <w:rFonts w:ascii="Times New Roman" w:eastAsia="Times New Roman" w:hAnsi="Times New Roman" w:cs="Times New Roman"/>
          <w:b/>
          <w:bCs/>
          <w:sz w:val="24"/>
          <w:szCs w:val="24"/>
        </w:rPr>
        <w:t>Determination of Phosphorus</w:t>
      </w:r>
    </w:p>
    <w:p w:rsidR="00447445" w:rsidRDefault="00EF2E66" w:rsidP="00447445">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sz w:val="24"/>
          <w:szCs w:val="24"/>
        </w:rPr>
        <w:t>Phosphorus (P) content was determined by the vanadomolybdophosphoric acid yellow colour method following the procedure described by Jackson (1973). The absorbance of the developed yellow colour was measured spectrophotometrically, and phosphorus concentration was calculated using a standard calibration curve.</w:t>
      </w:r>
    </w:p>
    <w:p w:rsidR="00EF2E66" w:rsidRPr="00447445" w:rsidRDefault="00EF2E66" w:rsidP="00447445">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b/>
          <w:bCs/>
          <w:sz w:val="24"/>
          <w:szCs w:val="24"/>
        </w:rPr>
        <w:t>Determination of Potassium</w:t>
      </w:r>
    </w:p>
    <w:p w:rsidR="00EF2E66" w:rsidRPr="00EF2E66" w:rsidRDefault="00EF2E66" w:rsidP="00EF2E66">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sz w:val="24"/>
          <w:szCs w:val="24"/>
        </w:rPr>
        <w:t>Potassium (K) concentration was estimated using a flame photometer according to the method described by Jackson (1973). Standard potassium solutions were used for instrument calibration, and sample concentrations were determined from the standard curve.</w:t>
      </w:r>
    </w:p>
    <w:p w:rsidR="00EF2E66" w:rsidRPr="00EF2E66" w:rsidRDefault="00EF2E66" w:rsidP="00EF2E66">
      <w:pPr>
        <w:spacing w:before="100" w:beforeAutospacing="1" w:after="100" w:afterAutospacing="1" w:line="240" w:lineRule="auto"/>
        <w:outlineLvl w:val="3"/>
        <w:rPr>
          <w:rFonts w:ascii="Times New Roman" w:eastAsia="Times New Roman" w:hAnsi="Times New Roman" w:cs="Times New Roman"/>
          <w:b/>
          <w:bCs/>
          <w:sz w:val="24"/>
          <w:szCs w:val="24"/>
        </w:rPr>
      </w:pPr>
      <w:r w:rsidRPr="00EF2E66">
        <w:rPr>
          <w:rFonts w:ascii="Times New Roman" w:eastAsia="Times New Roman" w:hAnsi="Times New Roman" w:cs="Times New Roman"/>
          <w:b/>
          <w:bCs/>
          <w:sz w:val="24"/>
          <w:szCs w:val="24"/>
        </w:rPr>
        <w:t>Determination of Sulphur</w:t>
      </w:r>
    </w:p>
    <w:p w:rsidR="00EF2E66" w:rsidRDefault="00EF2E66" w:rsidP="00EF2E66">
      <w:pPr>
        <w:spacing w:before="100" w:beforeAutospacing="1" w:after="100" w:afterAutospacing="1" w:line="240" w:lineRule="auto"/>
        <w:jc w:val="both"/>
        <w:rPr>
          <w:rFonts w:ascii="Times New Roman" w:eastAsia="Times New Roman" w:hAnsi="Times New Roman" w:cs="Times New Roman"/>
          <w:sz w:val="24"/>
          <w:szCs w:val="24"/>
        </w:rPr>
      </w:pPr>
      <w:r w:rsidRPr="00EF2E66">
        <w:rPr>
          <w:rFonts w:ascii="Times New Roman" w:eastAsia="Times New Roman" w:hAnsi="Times New Roman" w:cs="Times New Roman"/>
          <w:sz w:val="24"/>
          <w:szCs w:val="24"/>
        </w:rPr>
        <w:t>Sulphur (S) content was estimated by the turbidimetric method described by Chesnin and Yien (1951). The intensity of turbidity produced by the formation of barium sulphate was measured spectrophotometrically, and sulphur concentration was calculated using a standard calibration curve.</w:t>
      </w:r>
    </w:p>
    <w:p w:rsidR="00442672" w:rsidRPr="00433FDA" w:rsidRDefault="00442672" w:rsidP="00B83568">
      <w:pPr>
        <w:spacing w:before="100" w:beforeAutospacing="1" w:after="100" w:afterAutospacing="1" w:line="240" w:lineRule="auto"/>
        <w:jc w:val="both"/>
        <w:rPr>
          <w:rFonts w:ascii="Times New Roman" w:hAnsi="Times New Roman" w:cs="Times New Roman"/>
          <w:sz w:val="24"/>
          <w:szCs w:val="24"/>
        </w:rPr>
      </w:pPr>
    </w:p>
    <w:p w:rsidR="00442672" w:rsidRPr="00433FDA" w:rsidRDefault="00442672" w:rsidP="00442672">
      <w:pPr>
        <w:spacing w:before="120" w:after="120" w:line="360" w:lineRule="auto"/>
        <w:jc w:val="both"/>
        <w:rPr>
          <w:rFonts w:ascii="Times New Roman" w:hAnsi="Times New Roman" w:cs="Times New Roman"/>
          <w:sz w:val="24"/>
          <w:szCs w:val="24"/>
        </w:rPr>
      </w:pPr>
    </w:p>
    <w:p w:rsidR="00442672" w:rsidRPr="00433FDA" w:rsidRDefault="00442672" w:rsidP="00442672">
      <w:pPr>
        <w:spacing w:before="120" w:after="120" w:line="360" w:lineRule="auto"/>
        <w:jc w:val="both"/>
        <w:rPr>
          <w:rFonts w:ascii="Times New Roman" w:hAnsi="Times New Roman" w:cs="Times New Roman"/>
          <w:sz w:val="24"/>
          <w:szCs w:val="24"/>
        </w:rPr>
      </w:pPr>
    </w:p>
    <w:p w:rsidR="00442672" w:rsidRPr="00433FDA" w:rsidRDefault="00442672" w:rsidP="00442672">
      <w:pPr>
        <w:spacing w:before="120" w:after="120" w:line="360" w:lineRule="auto"/>
        <w:jc w:val="both"/>
        <w:rPr>
          <w:rFonts w:ascii="Times New Roman" w:hAnsi="Times New Roman" w:cs="Times New Roman"/>
          <w:sz w:val="24"/>
          <w:szCs w:val="24"/>
        </w:rPr>
      </w:pPr>
    </w:p>
    <w:p w:rsidR="00442672" w:rsidRPr="00433FDA" w:rsidRDefault="00442672" w:rsidP="00442672">
      <w:pPr>
        <w:spacing w:before="120" w:after="120" w:line="360" w:lineRule="auto"/>
        <w:jc w:val="both"/>
        <w:rPr>
          <w:rFonts w:ascii="Times New Roman" w:hAnsi="Times New Roman" w:cs="Times New Roman"/>
          <w:sz w:val="24"/>
          <w:szCs w:val="24"/>
        </w:rPr>
      </w:pPr>
    </w:p>
    <w:p w:rsidR="00442672" w:rsidRPr="00433FDA" w:rsidRDefault="00442672" w:rsidP="00442672">
      <w:pPr>
        <w:spacing w:before="120" w:after="120" w:line="360" w:lineRule="auto"/>
        <w:jc w:val="both"/>
        <w:rPr>
          <w:rFonts w:ascii="Times New Roman" w:hAnsi="Times New Roman" w:cs="Times New Roman"/>
          <w:sz w:val="24"/>
          <w:szCs w:val="24"/>
        </w:rPr>
      </w:pPr>
    </w:p>
    <w:p w:rsidR="00442672" w:rsidRDefault="00442672" w:rsidP="00442672">
      <w:pPr>
        <w:spacing w:before="120" w:after="120" w:line="360" w:lineRule="auto"/>
        <w:jc w:val="both"/>
        <w:rPr>
          <w:rFonts w:ascii="Times New Roman" w:hAnsi="Times New Roman" w:cs="Times New Roman"/>
          <w:sz w:val="24"/>
          <w:szCs w:val="24"/>
        </w:rPr>
        <w:sectPr w:rsidR="00442672" w:rsidSect="00C230B1">
          <w:pgSz w:w="11907" w:h="16839" w:code="9"/>
          <w:pgMar w:top="2268" w:right="1701" w:bottom="2268" w:left="2268" w:header="720" w:footer="720" w:gutter="0"/>
          <w:pgNumType w:start="40"/>
          <w:cols w:space="720"/>
          <w:docGrid w:linePitch="360"/>
        </w:sectPr>
      </w:pPr>
    </w:p>
    <w:p w:rsidR="00442672" w:rsidRPr="00F0476D" w:rsidRDefault="00442672" w:rsidP="00442672">
      <w:pPr>
        <w:jc w:val="center"/>
      </w:pPr>
      <w:r w:rsidRPr="00F0476D">
        <w:rPr>
          <w:noProof/>
        </w:rPr>
        <w:lastRenderedPageBreak/>
        <w:drawing>
          <wp:anchor distT="0" distB="0" distL="114300" distR="114300" simplePos="0" relativeHeight="251659264" behindDoc="0" locked="0" layoutInCell="1" allowOverlap="1">
            <wp:simplePos x="0" y="0"/>
            <wp:positionH relativeFrom="column">
              <wp:posOffset>6350</wp:posOffset>
            </wp:positionH>
            <wp:positionV relativeFrom="paragraph">
              <wp:posOffset>294005</wp:posOffset>
            </wp:positionV>
            <wp:extent cx="5063490" cy="266128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3490" cy="266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672" w:rsidRPr="00F0476D" w:rsidRDefault="00442672" w:rsidP="00442672">
      <w:pPr>
        <w:tabs>
          <w:tab w:val="left" w:pos="1141"/>
        </w:tabs>
        <w:jc w:val="both"/>
      </w:pPr>
      <w:r w:rsidRPr="00F0476D">
        <w:rPr>
          <w:noProof/>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2805430</wp:posOffset>
                </wp:positionV>
                <wp:extent cx="5063490" cy="332740"/>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0B1" w:rsidRPr="00235F05" w:rsidRDefault="00447445" w:rsidP="00442672">
                            <w:pPr>
                              <w:spacing w:after="0" w:line="240" w:lineRule="auto"/>
                              <w:ind w:left="851" w:hanging="851"/>
                              <w:jc w:val="both"/>
                              <w:rPr>
                                <w:b/>
                                <w:sz w:val="24"/>
                                <w:szCs w:val="24"/>
                              </w:rPr>
                            </w:pPr>
                            <w:r>
                              <w:rPr>
                                <w:rFonts w:ascii="Times New Roman" w:hAnsi="Times New Roman" w:cs="Times New Roman"/>
                                <w:b/>
                                <w:bCs/>
                                <w:sz w:val="24"/>
                                <w:szCs w:val="28"/>
                              </w:rPr>
                              <w:t>Fig. 1</w:t>
                            </w:r>
                            <w:r w:rsidR="00C230B1" w:rsidRPr="00E1030B">
                              <w:rPr>
                                <w:rFonts w:ascii="Times New Roman" w:hAnsi="Times New Roman" w:cs="Times New Roman"/>
                                <w:b/>
                                <w:bCs/>
                                <w:sz w:val="24"/>
                                <w:szCs w:val="24"/>
                              </w:rPr>
                              <w:t xml:space="preserve">: </w:t>
                            </w:r>
                            <w:r w:rsidR="00C230B1" w:rsidRPr="00CF6758">
                              <w:rPr>
                                <w:rFonts w:ascii="Times New Roman" w:hAnsi="Times New Roman" w:cs="Times New Roman"/>
                                <w:b/>
                                <w:sz w:val="24"/>
                                <w:szCs w:val="24"/>
                              </w:rPr>
                              <w:t>Sample preparation for analysis of different micronutrients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pt;margin-top:220.9pt;width:398.7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CvtgIAALk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" filled="f" stroked="f">
                <v:textbox>
                  <w:txbxContent>
                    <w:p w:rsidR="00C230B1" w:rsidRPr="00235F05" w:rsidRDefault="00447445" w:rsidP="00442672">
                      <w:pPr>
                        <w:spacing w:after="0" w:line="240" w:lineRule="auto"/>
                        <w:ind w:left="851" w:hanging="851"/>
                        <w:jc w:val="both"/>
                        <w:rPr>
                          <w:b/>
                          <w:sz w:val="24"/>
                          <w:szCs w:val="24"/>
                        </w:rPr>
                      </w:pPr>
                      <w:r>
                        <w:rPr>
                          <w:rFonts w:ascii="Times New Roman" w:hAnsi="Times New Roman" w:cs="Times New Roman"/>
                          <w:b/>
                          <w:bCs/>
                          <w:sz w:val="24"/>
                          <w:szCs w:val="28"/>
                        </w:rPr>
                        <w:t>Fig. 1</w:t>
                      </w:r>
                      <w:r w:rsidR="00C230B1" w:rsidRPr="00E1030B">
                        <w:rPr>
                          <w:rFonts w:ascii="Times New Roman" w:hAnsi="Times New Roman" w:cs="Times New Roman"/>
                          <w:b/>
                          <w:bCs/>
                          <w:sz w:val="24"/>
                          <w:szCs w:val="24"/>
                        </w:rPr>
                        <w:t xml:space="preserve">: </w:t>
                      </w:r>
                      <w:r w:rsidR="00C230B1" w:rsidRPr="00CF6758">
                        <w:rPr>
                          <w:rFonts w:ascii="Times New Roman" w:hAnsi="Times New Roman" w:cs="Times New Roman"/>
                          <w:b/>
                          <w:sz w:val="24"/>
                          <w:szCs w:val="24"/>
                        </w:rPr>
                        <w:t>Sample preparation for analysis of different micronutrients</w:t>
                      </w:r>
                    </w:p>
                  </w:txbxContent>
                </v:textbox>
              </v:shape>
            </w:pict>
          </mc:Fallback>
        </mc:AlternateContent>
      </w:r>
    </w:p>
    <w:p w:rsidR="00442672" w:rsidRPr="00F0476D" w:rsidRDefault="00442672" w:rsidP="00442672"/>
    <w:p w:rsidR="00442672" w:rsidRPr="00F0476D" w:rsidRDefault="00442672" w:rsidP="00442672">
      <w:pPr>
        <w:rPr>
          <w:noProof/>
          <w:lang w:val="en-GB" w:eastAsia="en-GB"/>
        </w:rPr>
      </w:pPr>
    </w:p>
    <w:p w:rsidR="00442672" w:rsidRPr="00F0476D" w:rsidRDefault="00442672" w:rsidP="00442672">
      <w:pPr>
        <w:rPr>
          <w:noProof/>
          <w:lang w:val="en-GB" w:eastAsia="en-GB"/>
        </w:rPr>
      </w:pPr>
    </w:p>
    <w:p w:rsidR="00442672" w:rsidRPr="00F0476D" w:rsidRDefault="009A4F9A" w:rsidP="00442672">
      <w:r>
        <w:rPr>
          <w:noProof/>
        </w:rPr>
        <w:t xml:space="preserve">                           </w:t>
      </w:r>
    </w:p>
    <w:p w:rsidR="00442672" w:rsidRPr="00F0476D" w:rsidRDefault="00442672" w:rsidP="00442672">
      <w:r w:rsidRPr="00F0476D">
        <w:tab/>
      </w:r>
    </w:p>
    <w:p w:rsidR="00442672" w:rsidRPr="00F0476D" w:rsidRDefault="00442672" w:rsidP="00442672"/>
    <w:p w:rsidR="00442672" w:rsidRDefault="00442672" w:rsidP="00442672">
      <w:pPr>
        <w:spacing w:before="120" w:after="12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1796415</wp:posOffset>
                </wp:positionH>
                <wp:positionV relativeFrom="paragraph">
                  <wp:posOffset>460375</wp:posOffset>
                </wp:positionV>
                <wp:extent cx="1296035" cy="982980"/>
                <wp:effectExtent l="0" t="3175" r="127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30B1" w:rsidRDefault="00C230B1" w:rsidP="004426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41.45pt;margin-top:36.25pt;width:102.05pt;height: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" stroked="f">
                <v:textbox>
                  <w:txbxContent>
                    <w:p w:rsidR="00C230B1" w:rsidRDefault="00C230B1" w:rsidP="00442672"/>
                  </w:txbxContent>
                </v:textbox>
              </v:shape>
            </w:pict>
          </mc:Fallback>
        </mc:AlternateContent>
      </w:r>
    </w:p>
    <w:p w:rsidR="00442672" w:rsidRDefault="00442672" w:rsidP="00442672">
      <w:pPr>
        <w:spacing w:before="120" w:after="120" w:line="360" w:lineRule="auto"/>
        <w:jc w:val="both"/>
        <w:rPr>
          <w:rFonts w:ascii="Times New Roman" w:hAnsi="Times New Roman" w:cs="Times New Roman"/>
          <w:b/>
          <w:sz w:val="24"/>
          <w:szCs w:val="24"/>
        </w:rPr>
        <w:sectPr w:rsidR="00442672" w:rsidSect="00C230B1">
          <w:footerReference w:type="default" r:id="rId8"/>
          <w:pgSz w:w="11907" w:h="16839" w:code="9"/>
          <w:pgMar w:top="2268" w:right="1701" w:bottom="2268" w:left="2268" w:header="720" w:footer="720" w:gutter="0"/>
          <w:cols w:space="720"/>
          <w:docGrid w:linePitch="360"/>
        </w:sectPr>
      </w:pPr>
    </w:p>
    <w:p w:rsidR="00EF2E66" w:rsidRDefault="00EF2E66" w:rsidP="00447445">
      <w:pPr>
        <w:pStyle w:val="Default"/>
        <w:spacing w:line="360" w:lineRule="auto"/>
        <w:jc w:val="both"/>
        <w:rPr>
          <w:rFonts w:ascii="Times New Roman" w:hAnsi="Times New Roman" w:cs="Times New Roman"/>
          <w:b/>
          <w:bCs/>
        </w:rPr>
      </w:pPr>
      <w:r>
        <w:rPr>
          <w:rFonts w:ascii="Times New Roman" w:hAnsi="Times New Roman" w:cs="Times New Roman"/>
          <w:b/>
          <w:bCs/>
        </w:rPr>
        <w:lastRenderedPageBreak/>
        <w:t>Result</w:t>
      </w:r>
      <w:r w:rsidR="009A4F9A">
        <w:rPr>
          <w:rFonts w:ascii="Times New Roman" w:hAnsi="Times New Roman" w:cs="Times New Roman"/>
          <w:b/>
          <w:bCs/>
        </w:rPr>
        <w:t xml:space="preserve"> and Discussion</w:t>
      </w:r>
    </w:p>
    <w:p w:rsidR="003C4137" w:rsidRDefault="003C4137" w:rsidP="004474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E4002C" w:rsidRPr="00E4002C">
        <w:rPr>
          <w:rFonts w:ascii="Times New Roman" w:eastAsia="Times New Roman" w:hAnsi="Times New Roman" w:cs="Times New Roman"/>
          <w:sz w:val="24"/>
          <w:szCs w:val="24"/>
        </w:rPr>
        <w:t>e evaluation of twenty-two promising cowpea genotypes revealed significant gen</w:t>
      </w:r>
      <w:r>
        <w:rPr>
          <w:rFonts w:ascii="Times New Roman" w:eastAsia="Times New Roman" w:hAnsi="Times New Roman" w:cs="Times New Roman"/>
          <w:sz w:val="24"/>
          <w:szCs w:val="24"/>
        </w:rPr>
        <w:t>etic variability for both macro</w:t>
      </w:r>
      <w:r w:rsidR="00E4002C" w:rsidRPr="00E4002C">
        <w:rPr>
          <w:rFonts w:ascii="Times New Roman" w:eastAsia="Times New Roman" w:hAnsi="Times New Roman" w:cs="Times New Roman"/>
          <w:sz w:val="24"/>
          <w:szCs w:val="24"/>
        </w:rPr>
        <w:t xml:space="preserve"> and micronutrient concentrations in seeds, indicating substantial diversity for nutritional quality traits. Such variation is highly desirable for biofortification and breeding programm</w:t>
      </w:r>
      <w:r>
        <w:rPr>
          <w:rFonts w:ascii="Times New Roman" w:eastAsia="Times New Roman" w:hAnsi="Times New Roman" w:cs="Times New Roman"/>
          <w:sz w:val="24"/>
          <w:szCs w:val="24"/>
        </w:rPr>
        <w:t xml:space="preserve">es aimed at developing nutrient </w:t>
      </w:r>
      <w:r w:rsidR="00E4002C" w:rsidRPr="00E4002C">
        <w:rPr>
          <w:rFonts w:ascii="Times New Roman" w:eastAsia="Times New Roman" w:hAnsi="Times New Roman" w:cs="Times New Roman"/>
          <w:sz w:val="24"/>
          <w:szCs w:val="24"/>
        </w:rPr>
        <w:t>rich cowpea cultivars. Similar findings have been reported by Souza and Sorrels (1991), Ng'uni et al. (2012), and Gerrano et al. (2019), who highlighted that the existence of wide genetic variability for mineral composition provides an excellent opportunity for improving the nutritional value of cowpea through selection and hybridization.</w:t>
      </w:r>
    </w:p>
    <w:p w:rsidR="003C4137" w:rsidRDefault="00E4002C" w:rsidP="003C4137">
      <w:pPr>
        <w:spacing w:before="100" w:beforeAutospacing="1" w:after="100" w:afterAutospacing="1" w:line="240" w:lineRule="auto"/>
        <w:ind w:firstLine="720"/>
        <w:jc w:val="both"/>
        <w:rPr>
          <w:rFonts w:ascii="Times New Roman" w:eastAsia="Times New Roman" w:hAnsi="Times New Roman" w:cs="Times New Roman"/>
          <w:sz w:val="24"/>
          <w:szCs w:val="24"/>
        </w:rPr>
      </w:pPr>
      <w:r w:rsidRPr="00E4002C">
        <w:rPr>
          <w:rFonts w:ascii="Times New Roman" w:eastAsia="Times New Roman" w:hAnsi="Times New Roman" w:cs="Times New Roman"/>
          <w:sz w:val="24"/>
          <w:szCs w:val="24"/>
        </w:rPr>
        <w:t xml:space="preserve">Among the macronutrients, calcium (Ca) concentration ranged from </w:t>
      </w:r>
      <w:r w:rsidRPr="003C4137">
        <w:rPr>
          <w:rFonts w:ascii="Times New Roman" w:eastAsia="Times New Roman" w:hAnsi="Times New Roman" w:cs="Times New Roman"/>
          <w:bCs/>
          <w:sz w:val="24"/>
          <w:szCs w:val="24"/>
        </w:rPr>
        <w:t>0.04 to 0.81 mg kg⁻¹</w:t>
      </w:r>
      <w:r w:rsidRPr="00E4002C">
        <w:rPr>
          <w:rFonts w:ascii="Times New Roman" w:eastAsia="Times New Roman" w:hAnsi="Times New Roman" w:cs="Times New Roman"/>
          <w:sz w:val="24"/>
          <w:szCs w:val="24"/>
        </w:rPr>
        <w:t xml:space="preserve">, with genotype </w:t>
      </w:r>
      <w:r w:rsidRPr="003C4137">
        <w:rPr>
          <w:rFonts w:ascii="Times New Roman" w:eastAsia="Times New Roman" w:hAnsi="Times New Roman" w:cs="Times New Roman"/>
          <w:bCs/>
          <w:sz w:val="24"/>
          <w:szCs w:val="24"/>
        </w:rPr>
        <w:t>IITA-26</w:t>
      </w:r>
      <w:r w:rsidRPr="00E4002C">
        <w:rPr>
          <w:rFonts w:ascii="Times New Roman" w:eastAsia="Times New Roman" w:hAnsi="Times New Roman" w:cs="Times New Roman"/>
          <w:sz w:val="24"/>
          <w:szCs w:val="24"/>
        </w:rPr>
        <w:t xml:space="preserve"> recording the highest concentration whereas </w:t>
      </w:r>
      <w:r w:rsidRPr="003C4137">
        <w:rPr>
          <w:rFonts w:ascii="Times New Roman" w:eastAsia="Times New Roman" w:hAnsi="Times New Roman" w:cs="Times New Roman"/>
          <w:bCs/>
          <w:sz w:val="24"/>
          <w:szCs w:val="24"/>
        </w:rPr>
        <w:t>IITA-158</w:t>
      </w:r>
      <w:r w:rsidRPr="00E4002C">
        <w:rPr>
          <w:rFonts w:ascii="Times New Roman" w:eastAsia="Times New Roman" w:hAnsi="Times New Roman" w:cs="Times New Roman"/>
          <w:sz w:val="24"/>
          <w:szCs w:val="24"/>
        </w:rPr>
        <w:t xml:space="preserve"> exhibited the low</w:t>
      </w:r>
      <w:r w:rsidR="000974C5">
        <w:rPr>
          <w:rFonts w:ascii="Times New Roman" w:eastAsia="Times New Roman" w:hAnsi="Times New Roman" w:cs="Times New Roman"/>
          <w:sz w:val="24"/>
          <w:szCs w:val="24"/>
        </w:rPr>
        <w:t>est concentration</w:t>
      </w:r>
      <w:r w:rsidRPr="00E4002C">
        <w:rPr>
          <w:rFonts w:ascii="Times New Roman" w:eastAsia="Times New Roman" w:hAnsi="Times New Roman" w:cs="Times New Roman"/>
          <w:sz w:val="24"/>
          <w:szCs w:val="24"/>
        </w:rPr>
        <w:t>. Calcium is an essential nutrient involved in bone and teeth formation, muscle contraction, nerve transmission, and enzyme activation (Murray et al., 2000). The observed variability indicates differential calcium uptake and accumulation among genotypes, suggesting the existence of exploitable genetic diversity. Similar variability in calcium content has been reported in cowpea germplasm by Madode et al. (2012) and Gerrano et al. (2017, 2019), although differences in absolute concentrations may be attributed to genotype, soil fertility, climatic conditions, and analytical methods.</w:t>
      </w:r>
      <w:r w:rsidR="003C4137">
        <w:rPr>
          <w:rFonts w:ascii="Times New Roman" w:eastAsia="Times New Roman" w:hAnsi="Times New Roman" w:cs="Times New Roman"/>
          <w:sz w:val="24"/>
          <w:szCs w:val="24"/>
        </w:rPr>
        <w:t xml:space="preserve"> </w:t>
      </w:r>
      <w:r w:rsidRPr="00E4002C">
        <w:rPr>
          <w:rFonts w:ascii="Times New Roman" w:eastAsia="Times New Roman" w:hAnsi="Times New Roman" w:cs="Times New Roman"/>
          <w:sz w:val="24"/>
          <w:szCs w:val="24"/>
        </w:rPr>
        <w:t xml:space="preserve">Magnesium (Mg) concentration varied significantly from </w:t>
      </w:r>
      <w:r w:rsidRPr="003C4137">
        <w:rPr>
          <w:rFonts w:ascii="Times New Roman" w:eastAsia="Times New Roman" w:hAnsi="Times New Roman" w:cs="Times New Roman"/>
          <w:bCs/>
          <w:sz w:val="24"/>
          <w:szCs w:val="24"/>
        </w:rPr>
        <w:t>0.54 to 2.61 mg kg⁻¹</w:t>
      </w:r>
      <w:r w:rsidRPr="00E4002C">
        <w:rPr>
          <w:rFonts w:ascii="Times New Roman" w:eastAsia="Times New Roman" w:hAnsi="Times New Roman" w:cs="Times New Roman"/>
          <w:sz w:val="24"/>
          <w:szCs w:val="24"/>
        </w:rPr>
        <w:t xml:space="preserve">, with </w:t>
      </w:r>
      <w:r w:rsidRPr="003C4137">
        <w:rPr>
          <w:rFonts w:ascii="Times New Roman" w:eastAsia="Times New Roman" w:hAnsi="Times New Roman" w:cs="Times New Roman"/>
          <w:bCs/>
          <w:sz w:val="24"/>
          <w:szCs w:val="24"/>
        </w:rPr>
        <w:t>IITA-3</w:t>
      </w:r>
      <w:r w:rsidRPr="00E4002C">
        <w:rPr>
          <w:rFonts w:ascii="Times New Roman" w:eastAsia="Times New Roman" w:hAnsi="Times New Roman" w:cs="Times New Roman"/>
          <w:sz w:val="24"/>
          <w:szCs w:val="24"/>
        </w:rPr>
        <w:t xml:space="preserve"> exhibiting the highest concentration and </w:t>
      </w:r>
      <w:r w:rsidRPr="003C4137">
        <w:rPr>
          <w:rFonts w:ascii="Times New Roman" w:eastAsia="Times New Roman" w:hAnsi="Times New Roman" w:cs="Times New Roman"/>
          <w:bCs/>
          <w:sz w:val="24"/>
          <w:szCs w:val="24"/>
        </w:rPr>
        <w:t>IITA-10</w:t>
      </w:r>
      <w:r w:rsidRPr="00E4002C">
        <w:rPr>
          <w:rFonts w:ascii="Times New Roman" w:eastAsia="Times New Roman" w:hAnsi="Times New Roman" w:cs="Times New Roman"/>
          <w:sz w:val="24"/>
          <w:szCs w:val="24"/>
        </w:rPr>
        <w:t xml:space="preserve"> the lowest. Magnesium is a vital component of chlorophyll and functions as a cofactor for numerous enzymes involved in carbohydrate metabolism, protein synthesis, and energy production. The wide variation observed in the present study agrees with reports by Gerrano et al. (2015, 2017), indicating that magnesium accumulation is under substantial genetic control and therefore amenable to improvement through breeding.</w:t>
      </w:r>
      <w:r w:rsidR="003C4137">
        <w:rPr>
          <w:rFonts w:ascii="Times New Roman" w:eastAsia="Times New Roman" w:hAnsi="Times New Roman" w:cs="Times New Roman"/>
          <w:sz w:val="24"/>
          <w:szCs w:val="24"/>
        </w:rPr>
        <w:t xml:space="preserve"> </w:t>
      </w:r>
    </w:p>
    <w:p w:rsidR="003C4137" w:rsidRDefault="00E4002C" w:rsidP="003C4137">
      <w:pPr>
        <w:spacing w:before="100" w:beforeAutospacing="1" w:after="100" w:afterAutospacing="1" w:line="240" w:lineRule="auto"/>
        <w:ind w:firstLine="720"/>
        <w:jc w:val="both"/>
        <w:rPr>
          <w:rFonts w:ascii="Times New Roman" w:eastAsia="Times New Roman" w:hAnsi="Times New Roman" w:cs="Times New Roman"/>
          <w:sz w:val="24"/>
          <w:szCs w:val="24"/>
        </w:rPr>
      </w:pPr>
      <w:r w:rsidRPr="00E4002C">
        <w:rPr>
          <w:rFonts w:ascii="Times New Roman" w:eastAsia="Times New Roman" w:hAnsi="Times New Roman" w:cs="Times New Roman"/>
          <w:sz w:val="24"/>
          <w:szCs w:val="24"/>
        </w:rPr>
        <w:t xml:space="preserve">Potassium (K), the most abundant macronutrient observed in this study, ranged from </w:t>
      </w:r>
      <w:r w:rsidRPr="003C4137">
        <w:rPr>
          <w:rFonts w:ascii="Times New Roman" w:eastAsia="Times New Roman" w:hAnsi="Times New Roman" w:cs="Times New Roman"/>
          <w:bCs/>
          <w:sz w:val="24"/>
          <w:szCs w:val="24"/>
        </w:rPr>
        <w:t>16.70 to 152.64 mg kg⁻¹</w:t>
      </w:r>
      <w:r w:rsidRPr="00E4002C">
        <w:rPr>
          <w:rFonts w:ascii="Times New Roman" w:eastAsia="Times New Roman" w:hAnsi="Times New Roman" w:cs="Times New Roman"/>
          <w:sz w:val="24"/>
          <w:szCs w:val="24"/>
        </w:rPr>
        <w:t xml:space="preserve">. The highest potassium concentration was recorded in </w:t>
      </w:r>
      <w:r w:rsidRPr="003C4137">
        <w:rPr>
          <w:rFonts w:ascii="Times New Roman" w:eastAsia="Times New Roman" w:hAnsi="Times New Roman" w:cs="Times New Roman"/>
          <w:bCs/>
          <w:sz w:val="24"/>
          <w:szCs w:val="24"/>
        </w:rPr>
        <w:t>IITA-153</w:t>
      </w:r>
      <w:r w:rsidRPr="00E4002C">
        <w:rPr>
          <w:rFonts w:ascii="Times New Roman" w:eastAsia="Times New Roman" w:hAnsi="Times New Roman" w:cs="Times New Roman"/>
          <w:sz w:val="24"/>
          <w:szCs w:val="24"/>
        </w:rPr>
        <w:t xml:space="preserve">, while </w:t>
      </w:r>
      <w:r w:rsidRPr="003C4137">
        <w:rPr>
          <w:rFonts w:ascii="Times New Roman" w:eastAsia="Times New Roman" w:hAnsi="Times New Roman" w:cs="Times New Roman"/>
          <w:bCs/>
          <w:sz w:val="24"/>
          <w:szCs w:val="24"/>
        </w:rPr>
        <w:t>IITA-340</w:t>
      </w:r>
      <w:r w:rsidRPr="00E4002C">
        <w:rPr>
          <w:rFonts w:ascii="Times New Roman" w:eastAsia="Times New Roman" w:hAnsi="Times New Roman" w:cs="Times New Roman"/>
          <w:sz w:val="24"/>
          <w:szCs w:val="24"/>
        </w:rPr>
        <w:t xml:space="preserve"> contained the lowest concentration. Potassium plays an essential role in osmotic regulation, enzyme activation, maintenance of cellular homeostasis, and plant growth. Likewise, phosphorus (P) concentration ranged from </w:t>
      </w:r>
      <w:r w:rsidRPr="003C4137">
        <w:rPr>
          <w:rFonts w:ascii="Times New Roman" w:eastAsia="Times New Roman" w:hAnsi="Times New Roman" w:cs="Times New Roman"/>
          <w:bCs/>
          <w:sz w:val="24"/>
          <w:szCs w:val="24"/>
        </w:rPr>
        <w:t>1.72 to 7.45 mg kg⁻¹</w:t>
      </w:r>
      <w:r w:rsidRPr="00E4002C">
        <w:rPr>
          <w:rFonts w:ascii="Times New Roman" w:eastAsia="Times New Roman" w:hAnsi="Times New Roman" w:cs="Times New Roman"/>
          <w:sz w:val="24"/>
          <w:szCs w:val="24"/>
        </w:rPr>
        <w:t xml:space="preserve">, with </w:t>
      </w:r>
      <w:r w:rsidRPr="003C4137">
        <w:rPr>
          <w:rFonts w:ascii="Times New Roman" w:eastAsia="Times New Roman" w:hAnsi="Times New Roman" w:cs="Times New Roman"/>
          <w:bCs/>
          <w:sz w:val="24"/>
          <w:szCs w:val="24"/>
        </w:rPr>
        <w:t>IITA-265</w:t>
      </w:r>
      <w:r w:rsidRPr="00E4002C">
        <w:rPr>
          <w:rFonts w:ascii="Times New Roman" w:eastAsia="Times New Roman" w:hAnsi="Times New Roman" w:cs="Times New Roman"/>
          <w:sz w:val="24"/>
          <w:szCs w:val="24"/>
        </w:rPr>
        <w:t xml:space="preserve"> and </w:t>
      </w:r>
      <w:r w:rsidRPr="003C4137">
        <w:rPr>
          <w:rFonts w:ascii="Times New Roman" w:eastAsia="Times New Roman" w:hAnsi="Times New Roman" w:cs="Times New Roman"/>
          <w:bCs/>
          <w:sz w:val="24"/>
          <w:szCs w:val="24"/>
        </w:rPr>
        <w:t>IITA-340</w:t>
      </w:r>
      <w:r w:rsidRPr="00E4002C">
        <w:rPr>
          <w:rFonts w:ascii="Times New Roman" w:eastAsia="Times New Roman" w:hAnsi="Times New Roman" w:cs="Times New Roman"/>
          <w:sz w:val="24"/>
          <w:szCs w:val="24"/>
        </w:rPr>
        <w:t xml:space="preserve"> recording the highest values and </w:t>
      </w:r>
      <w:r w:rsidRPr="003C4137">
        <w:rPr>
          <w:rFonts w:ascii="Times New Roman" w:eastAsia="Times New Roman" w:hAnsi="Times New Roman" w:cs="Times New Roman"/>
          <w:bCs/>
          <w:sz w:val="24"/>
          <w:szCs w:val="24"/>
        </w:rPr>
        <w:t>IITA-10</w:t>
      </w:r>
      <w:r w:rsidRPr="00E4002C">
        <w:rPr>
          <w:rFonts w:ascii="Times New Roman" w:eastAsia="Times New Roman" w:hAnsi="Times New Roman" w:cs="Times New Roman"/>
          <w:sz w:val="24"/>
          <w:szCs w:val="24"/>
        </w:rPr>
        <w:t xml:space="preserve"> the lowest. Phosphorus is indispensable for ATP synthesis, nucleic acid formation, membrane structure, and energy transfer within cells. Sulfur (S) concentration also exhibited substantial variation, ranging from </w:t>
      </w:r>
      <w:r w:rsidRPr="003C4137">
        <w:rPr>
          <w:rFonts w:ascii="Times New Roman" w:eastAsia="Times New Roman" w:hAnsi="Times New Roman" w:cs="Times New Roman"/>
          <w:bCs/>
          <w:sz w:val="24"/>
          <w:szCs w:val="24"/>
        </w:rPr>
        <w:t>0.83 to 3.44 mg kg⁻¹</w:t>
      </w:r>
      <w:r w:rsidRPr="00E4002C">
        <w:rPr>
          <w:rFonts w:ascii="Times New Roman" w:eastAsia="Times New Roman" w:hAnsi="Times New Roman" w:cs="Times New Roman"/>
          <w:sz w:val="24"/>
          <w:szCs w:val="24"/>
        </w:rPr>
        <w:t xml:space="preserve">, with </w:t>
      </w:r>
      <w:r w:rsidRPr="003C4137">
        <w:rPr>
          <w:rFonts w:ascii="Times New Roman" w:eastAsia="Times New Roman" w:hAnsi="Times New Roman" w:cs="Times New Roman"/>
          <w:bCs/>
          <w:sz w:val="24"/>
          <w:szCs w:val="24"/>
        </w:rPr>
        <w:t>IITA-3</w:t>
      </w:r>
      <w:r w:rsidRPr="00E4002C">
        <w:rPr>
          <w:rFonts w:ascii="Times New Roman" w:eastAsia="Times New Roman" w:hAnsi="Times New Roman" w:cs="Times New Roman"/>
          <w:sz w:val="24"/>
          <w:szCs w:val="24"/>
        </w:rPr>
        <w:t xml:space="preserve"> recording the highest concentration and </w:t>
      </w:r>
      <w:r w:rsidRPr="003C4137">
        <w:rPr>
          <w:rFonts w:ascii="Times New Roman" w:eastAsia="Times New Roman" w:hAnsi="Times New Roman" w:cs="Times New Roman"/>
          <w:bCs/>
          <w:sz w:val="24"/>
          <w:szCs w:val="24"/>
        </w:rPr>
        <w:t>IITA-340</w:t>
      </w:r>
      <w:r w:rsidRPr="00E4002C">
        <w:rPr>
          <w:rFonts w:ascii="Times New Roman" w:eastAsia="Times New Roman" w:hAnsi="Times New Roman" w:cs="Times New Roman"/>
          <w:sz w:val="24"/>
          <w:szCs w:val="24"/>
        </w:rPr>
        <w:t xml:space="preserve"> the lowest. Sulfur contrib</w:t>
      </w:r>
      <w:r w:rsidR="003C4137">
        <w:rPr>
          <w:rFonts w:ascii="Times New Roman" w:eastAsia="Times New Roman" w:hAnsi="Times New Roman" w:cs="Times New Roman"/>
          <w:sz w:val="24"/>
          <w:szCs w:val="24"/>
        </w:rPr>
        <w:t xml:space="preserve">utes to the synthesis of sulfur </w:t>
      </w:r>
      <w:r w:rsidRPr="00E4002C">
        <w:rPr>
          <w:rFonts w:ascii="Times New Roman" w:eastAsia="Times New Roman" w:hAnsi="Times New Roman" w:cs="Times New Roman"/>
          <w:sz w:val="24"/>
          <w:szCs w:val="24"/>
        </w:rPr>
        <w:t>containing amino acids, vitamins, proteins, and several secondary metabolites important for plant metabolism and human nutrition.</w:t>
      </w:r>
    </w:p>
    <w:p w:rsidR="003C4137" w:rsidRDefault="00E4002C" w:rsidP="003C4137">
      <w:pPr>
        <w:spacing w:before="100" w:beforeAutospacing="1" w:after="100" w:afterAutospacing="1" w:line="240" w:lineRule="auto"/>
        <w:ind w:firstLine="720"/>
        <w:jc w:val="both"/>
        <w:rPr>
          <w:rFonts w:ascii="Times New Roman" w:eastAsia="Times New Roman" w:hAnsi="Times New Roman" w:cs="Times New Roman"/>
          <w:sz w:val="24"/>
          <w:szCs w:val="24"/>
        </w:rPr>
      </w:pPr>
      <w:r w:rsidRPr="00E4002C">
        <w:rPr>
          <w:rFonts w:ascii="Times New Roman" w:eastAsia="Times New Roman" w:hAnsi="Times New Roman" w:cs="Times New Roman"/>
          <w:sz w:val="24"/>
          <w:szCs w:val="24"/>
        </w:rPr>
        <w:t xml:space="preserve">Significant variation was also observed for all micronutrients evaluated. Iron (Fe) concentration ranged from </w:t>
      </w:r>
      <w:r w:rsidRPr="003C4137">
        <w:rPr>
          <w:rFonts w:ascii="Times New Roman" w:eastAsia="Times New Roman" w:hAnsi="Times New Roman" w:cs="Times New Roman"/>
          <w:bCs/>
          <w:sz w:val="24"/>
          <w:szCs w:val="24"/>
        </w:rPr>
        <w:t>0.21 to 2.35 mg kg⁻¹</w:t>
      </w:r>
      <w:r w:rsidRPr="00E4002C">
        <w:rPr>
          <w:rFonts w:ascii="Times New Roman" w:eastAsia="Times New Roman" w:hAnsi="Times New Roman" w:cs="Times New Roman"/>
          <w:sz w:val="24"/>
          <w:szCs w:val="24"/>
        </w:rPr>
        <w:t xml:space="preserve">, with </w:t>
      </w:r>
      <w:r w:rsidRPr="003C4137">
        <w:rPr>
          <w:rFonts w:ascii="Times New Roman" w:eastAsia="Times New Roman" w:hAnsi="Times New Roman" w:cs="Times New Roman"/>
          <w:bCs/>
          <w:sz w:val="24"/>
          <w:szCs w:val="24"/>
        </w:rPr>
        <w:t>IITA-122</w:t>
      </w:r>
      <w:r w:rsidRPr="00E4002C">
        <w:rPr>
          <w:rFonts w:ascii="Times New Roman" w:eastAsia="Times New Roman" w:hAnsi="Times New Roman" w:cs="Times New Roman"/>
          <w:sz w:val="24"/>
          <w:szCs w:val="24"/>
        </w:rPr>
        <w:t xml:space="preserve"> exhibiting the highest concentration and </w:t>
      </w:r>
      <w:r w:rsidRPr="003C4137">
        <w:rPr>
          <w:rFonts w:ascii="Times New Roman" w:eastAsia="Times New Roman" w:hAnsi="Times New Roman" w:cs="Times New Roman"/>
          <w:bCs/>
          <w:sz w:val="24"/>
          <w:szCs w:val="24"/>
        </w:rPr>
        <w:t>IITA-6</w:t>
      </w:r>
      <w:r w:rsidRPr="00E4002C">
        <w:rPr>
          <w:rFonts w:ascii="Times New Roman" w:eastAsia="Times New Roman" w:hAnsi="Times New Roman" w:cs="Times New Roman"/>
          <w:sz w:val="24"/>
          <w:szCs w:val="24"/>
        </w:rPr>
        <w:t xml:space="preserve"> the lowest. Iron is an essential component of haemoglobin and numerous enzymes involved in respiration and metabolism, and its deficiency remains one of the leading causes of nutritional anaemia worldwide (Welch and Graham, 2004). The considerable variation observed among genotypes suggests the possibility of identifying superior donor parents for iron biofortification. Similar genetic variability for iron concentration has been reported by Carnovale et al. (1990), Gerrano et al. (2015, 2017, 2019), and Madode et al. (2012).</w:t>
      </w:r>
      <w:r w:rsidR="003C4137">
        <w:rPr>
          <w:rFonts w:ascii="Times New Roman" w:eastAsia="Times New Roman" w:hAnsi="Times New Roman" w:cs="Times New Roman"/>
          <w:sz w:val="24"/>
          <w:szCs w:val="24"/>
        </w:rPr>
        <w:t xml:space="preserve"> </w:t>
      </w:r>
      <w:r w:rsidRPr="00E4002C">
        <w:rPr>
          <w:rFonts w:ascii="Times New Roman" w:eastAsia="Times New Roman" w:hAnsi="Times New Roman" w:cs="Times New Roman"/>
          <w:sz w:val="24"/>
          <w:szCs w:val="24"/>
        </w:rPr>
        <w:t xml:space="preserve">Nickel (Ni) concentration varied from </w:t>
      </w:r>
      <w:r w:rsidRPr="003C4137">
        <w:rPr>
          <w:rFonts w:ascii="Times New Roman" w:eastAsia="Times New Roman" w:hAnsi="Times New Roman" w:cs="Times New Roman"/>
          <w:bCs/>
          <w:sz w:val="24"/>
          <w:szCs w:val="24"/>
        </w:rPr>
        <w:t>0.10 to 3.59 mg kg</w:t>
      </w:r>
      <w:r w:rsidRPr="00E4002C">
        <w:rPr>
          <w:rFonts w:ascii="Times New Roman" w:eastAsia="Times New Roman" w:hAnsi="Times New Roman" w:cs="Times New Roman"/>
          <w:b/>
          <w:bCs/>
          <w:sz w:val="24"/>
          <w:szCs w:val="24"/>
        </w:rPr>
        <w:t>⁻¹</w:t>
      </w:r>
      <w:r w:rsidRPr="00E4002C">
        <w:rPr>
          <w:rFonts w:ascii="Times New Roman" w:eastAsia="Times New Roman" w:hAnsi="Times New Roman" w:cs="Times New Roman"/>
          <w:sz w:val="24"/>
          <w:szCs w:val="24"/>
        </w:rPr>
        <w:t xml:space="preserve">, with </w:t>
      </w:r>
      <w:r w:rsidRPr="003C4137">
        <w:rPr>
          <w:rFonts w:ascii="Times New Roman" w:eastAsia="Times New Roman" w:hAnsi="Times New Roman" w:cs="Times New Roman"/>
          <w:bCs/>
          <w:sz w:val="24"/>
          <w:szCs w:val="24"/>
        </w:rPr>
        <w:t>IITA-61</w:t>
      </w:r>
      <w:r w:rsidRPr="00E4002C">
        <w:rPr>
          <w:rFonts w:ascii="Times New Roman" w:eastAsia="Times New Roman" w:hAnsi="Times New Roman" w:cs="Times New Roman"/>
          <w:sz w:val="24"/>
          <w:szCs w:val="24"/>
        </w:rPr>
        <w:t xml:space="preserve"> recording the highest concentration. </w:t>
      </w:r>
      <w:r w:rsidRPr="00E4002C">
        <w:rPr>
          <w:rFonts w:ascii="Times New Roman" w:eastAsia="Times New Roman" w:hAnsi="Times New Roman" w:cs="Times New Roman"/>
          <w:sz w:val="24"/>
          <w:szCs w:val="24"/>
        </w:rPr>
        <w:lastRenderedPageBreak/>
        <w:t xml:space="preserve">Although nickel is required only in trace amounts, it plays an important physiological role through its involvement in urease activity and nitrogen metabolism. Copper (Cu) concentration ranged from </w:t>
      </w:r>
      <w:r w:rsidRPr="003C4137">
        <w:rPr>
          <w:rFonts w:ascii="Times New Roman" w:eastAsia="Times New Roman" w:hAnsi="Times New Roman" w:cs="Times New Roman"/>
          <w:bCs/>
          <w:sz w:val="24"/>
          <w:szCs w:val="24"/>
        </w:rPr>
        <w:t>0.34 to 1.64 mg kg⁻¹</w:t>
      </w:r>
      <w:r w:rsidRPr="00E4002C">
        <w:rPr>
          <w:rFonts w:ascii="Times New Roman" w:eastAsia="Times New Roman" w:hAnsi="Times New Roman" w:cs="Times New Roman"/>
          <w:sz w:val="24"/>
          <w:szCs w:val="24"/>
        </w:rPr>
        <w:t xml:space="preserve">, with the highest concentration observed in </w:t>
      </w:r>
      <w:r w:rsidRPr="003C4137">
        <w:rPr>
          <w:rFonts w:ascii="Times New Roman" w:eastAsia="Times New Roman" w:hAnsi="Times New Roman" w:cs="Times New Roman"/>
          <w:bCs/>
          <w:sz w:val="24"/>
          <w:szCs w:val="24"/>
        </w:rPr>
        <w:t>IITA-21</w:t>
      </w:r>
      <w:r w:rsidRPr="00E4002C">
        <w:rPr>
          <w:rFonts w:ascii="Times New Roman" w:eastAsia="Times New Roman" w:hAnsi="Times New Roman" w:cs="Times New Roman"/>
          <w:sz w:val="24"/>
          <w:szCs w:val="24"/>
        </w:rPr>
        <w:t xml:space="preserve">. Copper functions as an essential micronutrient involved in respiration, photosynthesis, antioxidant defence, and lignin biosynthesis. Manganese (Mn) concentration ranged from </w:t>
      </w:r>
      <w:r w:rsidRPr="003C4137">
        <w:rPr>
          <w:rFonts w:ascii="Times New Roman" w:eastAsia="Times New Roman" w:hAnsi="Times New Roman" w:cs="Times New Roman"/>
          <w:bCs/>
          <w:sz w:val="24"/>
          <w:szCs w:val="24"/>
        </w:rPr>
        <w:t>0.04 to 1.63 mg kg⁻¹</w:t>
      </w:r>
      <w:r w:rsidRPr="00E4002C">
        <w:rPr>
          <w:rFonts w:ascii="Times New Roman" w:eastAsia="Times New Roman" w:hAnsi="Times New Roman" w:cs="Times New Roman"/>
          <w:sz w:val="24"/>
          <w:szCs w:val="24"/>
        </w:rPr>
        <w:t xml:space="preserve">, with </w:t>
      </w:r>
      <w:r w:rsidRPr="003C4137">
        <w:rPr>
          <w:rFonts w:ascii="Times New Roman" w:eastAsia="Times New Roman" w:hAnsi="Times New Roman" w:cs="Times New Roman"/>
          <w:bCs/>
          <w:sz w:val="24"/>
          <w:szCs w:val="24"/>
        </w:rPr>
        <w:t>IITA-</w:t>
      </w:r>
      <w:r w:rsidRPr="00E4002C">
        <w:rPr>
          <w:rFonts w:ascii="Times New Roman" w:eastAsia="Times New Roman" w:hAnsi="Times New Roman" w:cs="Times New Roman"/>
          <w:b/>
          <w:bCs/>
          <w:sz w:val="24"/>
          <w:szCs w:val="24"/>
        </w:rPr>
        <w:t>7</w:t>
      </w:r>
      <w:r w:rsidRPr="00E4002C">
        <w:rPr>
          <w:rFonts w:ascii="Times New Roman" w:eastAsia="Times New Roman" w:hAnsi="Times New Roman" w:cs="Times New Roman"/>
          <w:sz w:val="24"/>
          <w:szCs w:val="24"/>
        </w:rPr>
        <w:t xml:space="preserve"> exhibiting the highest concentration, whereas </w:t>
      </w:r>
      <w:r w:rsidRPr="003C4137">
        <w:rPr>
          <w:rFonts w:ascii="Times New Roman" w:eastAsia="Times New Roman" w:hAnsi="Times New Roman" w:cs="Times New Roman"/>
          <w:bCs/>
          <w:sz w:val="24"/>
          <w:szCs w:val="24"/>
        </w:rPr>
        <w:t>IITA-203</w:t>
      </w:r>
      <w:r w:rsidRPr="00E4002C">
        <w:rPr>
          <w:rFonts w:ascii="Times New Roman" w:eastAsia="Times New Roman" w:hAnsi="Times New Roman" w:cs="Times New Roman"/>
          <w:sz w:val="24"/>
          <w:szCs w:val="24"/>
        </w:rPr>
        <w:t xml:space="preserve"> recorded the lowest. Manganese acts as an activator of several enzymes involved in carbohydrate metabolism and antioxidant defence (Reynolds et al., 1994). Zinc (Zn) concentration varied from </w:t>
      </w:r>
      <w:r w:rsidRPr="003C4137">
        <w:rPr>
          <w:rFonts w:ascii="Times New Roman" w:eastAsia="Times New Roman" w:hAnsi="Times New Roman" w:cs="Times New Roman"/>
          <w:bCs/>
          <w:sz w:val="24"/>
          <w:szCs w:val="24"/>
        </w:rPr>
        <w:t>0.02 to 1.21 mg kg⁻¹</w:t>
      </w:r>
      <w:r w:rsidRPr="00E4002C">
        <w:rPr>
          <w:rFonts w:ascii="Times New Roman" w:eastAsia="Times New Roman" w:hAnsi="Times New Roman" w:cs="Times New Roman"/>
          <w:sz w:val="24"/>
          <w:szCs w:val="24"/>
        </w:rPr>
        <w:t xml:space="preserve">, with </w:t>
      </w:r>
      <w:r w:rsidRPr="003C4137">
        <w:rPr>
          <w:rFonts w:ascii="Times New Roman" w:eastAsia="Times New Roman" w:hAnsi="Times New Roman" w:cs="Times New Roman"/>
          <w:bCs/>
          <w:sz w:val="24"/>
          <w:szCs w:val="24"/>
        </w:rPr>
        <w:t>IITA-10</w:t>
      </w:r>
      <w:r w:rsidRPr="00E4002C">
        <w:rPr>
          <w:rFonts w:ascii="Times New Roman" w:eastAsia="Times New Roman" w:hAnsi="Times New Roman" w:cs="Times New Roman"/>
          <w:sz w:val="24"/>
          <w:szCs w:val="24"/>
        </w:rPr>
        <w:t xml:space="preserve"> exhibiting the highest concentration</w:t>
      </w:r>
      <w:r w:rsidR="000974C5">
        <w:rPr>
          <w:rFonts w:ascii="Times New Roman" w:eastAsia="Times New Roman" w:hAnsi="Times New Roman" w:cs="Times New Roman"/>
          <w:sz w:val="24"/>
          <w:szCs w:val="24"/>
        </w:rPr>
        <w:t xml:space="preserve"> (Fig 2a and 2b)</w:t>
      </w:r>
      <w:r w:rsidRPr="00E4002C">
        <w:rPr>
          <w:rFonts w:ascii="Times New Roman" w:eastAsia="Times New Roman" w:hAnsi="Times New Roman" w:cs="Times New Roman"/>
          <w:sz w:val="24"/>
          <w:szCs w:val="24"/>
        </w:rPr>
        <w:t>. Zinc is involved in protein synthesis, enzyme activation, nucleic acid metabolism, immune function, and normal growth and development (Zlotkin and Buchanan, 1988; Arinola, 2008).</w:t>
      </w:r>
    </w:p>
    <w:p w:rsidR="003C4137" w:rsidRDefault="00E4002C" w:rsidP="00191263">
      <w:pPr>
        <w:spacing w:before="120" w:after="120" w:line="240" w:lineRule="auto"/>
        <w:ind w:firstLine="720"/>
        <w:jc w:val="both"/>
        <w:rPr>
          <w:rFonts w:ascii="Times New Roman" w:eastAsia="Times New Roman" w:hAnsi="Times New Roman" w:cs="Times New Roman"/>
          <w:sz w:val="24"/>
          <w:szCs w:val="24"/>
        </w:rPr>
      </w:pPr>
      <w:r w:rsidRPr="00E4002C">
        <w:rPr>
          <w:rFonts w:ascii="Times New Roman" w:eastAsia="Times New Roman" w:hAnsi="Times New Roman" w:cs="Times New Roman"/>
          <w:sz w:val="24"/>
          <w:szCs w:val="24"/>
        </w:rPr>
        <w:t>The variability observed for bo</w:t>
      </w:r>
      <w:r w:rsidR="003C4137">
        <w:rPr>
          <w:rFonts w:ascii="Times New Roman" w:eastAsia="Times New Roman" w:hAnsi="Times New Roman" w:cs="Times New Roman"/>
          <w:sz w:val="24"/>
          <w:szCs w:val="24"/>
        </w:rPr>
        <w:t>th macro</w:t>
      </w:r>
      <w:r w:rsidRPr="00E4002C">
        <w:rPr>
          <w:rFonts w:ascii="Times New Roman" w:eastAsia="Times New Roman" w:hAnsi="Times New Roman" w:cs="Times New Roman"/>
          <w:sz w:val="24"/>
          <w:szCs w:val="24"/>
        </w:rPr>
        <w:t xml:space="preserve"> and micronutrients is consistent with earlier reports describing substantial genetic diversity for mineral composition in cowpea. Madode et al. (2012) reported wide variation for calcium, iron, and zinc among Beninese cowpea landraces, while Ano and Ubochi (2008) and Ojimelukwe et al. (2014) similarly documented considerable variation in mineral composition among Nigerian cowpea genotypes. Extensive investigations by Carnovale et al. (1990) and Gerrano et al. (2015, 2017, 2019) further confirmed that mineral composition in cowpea is highly variable and largely influenced by genetic factors.</w:t>
      </w:r>
      <w:r w:rsidR="003C4137">
        <w:rPr>
          <w:rFonts w:ascii="Times New Roman" w:eastAsia="Times New Roman" w:hAnsi="Times New Roman" w:cs="Times New Roman"/>
          <w:sz w:val="24"/>
          <w:szCs w:val="24"/>
        </w:rPr>
        <w:t xml:space="preserve">  </w:t>
      </w:r>
      <w:r w:rsidRPr="00E4002C">
        <w:rPr>
          <w:rFonts w:ascii="Times New Roman" w:eastAsia="Times New Roman" w:hAnsi="Times New Roman" w:cs="Times New Roman"/>
          <w:sz w:val="24"/>
          <w:szCs w:val="24"/>
        </w:rPr>
        <w:t>Although the mineral concentrations observed in the present study differ from those reported previously, these differences are expected because mineral accumulation is influenced by genotype, soil fertility, nutrient availability, environmental conditions, soil texture, agronomic practices, and genotype × environment interactions (Madode et al., 2012; Shegro et al., 2012). Differences in analytical procedures and expression units may also contribute to variations among studies. Nevertheless, the consistent observation across studies is the existence of considerable genetic diversity for mineral accumulation, providing strong opportunities for genetic improvement</w:t>
      </w:r>
      <w:r w:rsidR="00CB3CE1">
        <w:rPr>
          <w:rFonts w:ascii="Times New Roman" w:eastAsia="Times New Roman" w:hAnsi="Times New Roman" w:cs="Times New Roman"/>
          <w:sz w:val="24"/>
          <w:szCs w:val="24"/>
        </w:rPr>
        <w:t xml:space="preserve"> </w:t>
      </w:r>
      <w:r w:rsidR="00CB3CE1" w:rsidRPr="00F61819">
        <w:rPr>
          <w:rFonts w:ascii="Times New Roman" w:hAnsi="Times New Roman" w:cs="Times New Roman"/>
          <w:sz w:val="24"/>
          <w:szCs w:val="24"/>
        </w:rPr>
        <w:t>(Bouis &amp; Saltzman, 2017; Carvalho et al., 2017; Boukar et al., 2011</w:t>
      </w:r>
      <w:r w:rsidR="00CB3CE1">
        <w:rPr>
          <w:rFonts w:ascii="Times New Roman" w:hAnsi="Times New Roman" w:cs="Times New Roman"/>
          <w:sz w:val="24"/>
          <w:szCs w:val="24"/>
        </w:rPr>
        <w:t>)</w:t>
      </w:r>
      <w:r w:rsidRPr="00E4002C">
        <w:rPr>
          <w:rFonts w:ascii="Times New Roman" w:eastAsia="Times New Roman" w:hAnsi="Times New Roman" w:cs="Times New Roman"/>
          <w:sz w:val="24"/>
          <w:szCs w:val="24"/>
        </w:rPr>
        <w:t>.</w:t>
      </w:r>
      <w:r w:rsidR="00CB3CE1" w:rsidRPr="00CB3CE1">
        <w:rPr>
          <w:rFonts w:ascii="Times New Roman" w:hAnsi="Times New Roman" w:cs="Times New Roman"/>
          <w:sz w:val="24"/>
          <w:szCs w:val="24"/>
        </w:rPr>
        <w:t xml:space="preserve"> </w:t>
      </w:r>
      <w:r w:rsidR="00CB3CE1" w:rsidRPr="00F61819">
        <w:rPr>
          <w:rFonts w:ascii="Times New Roman" w:hAnsi="Times New Roman" w:cs="Times New Roman"/>
          <w:sz w:val="24"/>
          <w:szCs w:val="24"/>
        </w:rPr>
        <w:t>Identifying nutrit</w:t>
      </w:r>
      <w:r w:rsidR="00CB3CE1">
        <w:rPr>
          <w:rFonts w:ascii="Times New Roman" w:hAnsi="Times New Roman" w:cs="Times New Roman"/>
          <w:sz w:val="24"/>
          <w:szCs w:val="24"/>
        </w:rPr>
        <w:t xml:space="preserve">ionally superior genotypes with </w:t>
      </w:r>
      <w:r w:rsidR="00CB3CE1" w:rsidRPr="00F61819">
        <w:rPr>
          <w:rFonts w:ascii="Times New Roman" w:hAnsi="Times New Roman" w:cs="Times New Roman"/>
          <w:sz w:val="24"/>
          <w:szCs w:val="24"/>
        </w:rPr>
        <w:t>mineral concentrations will provide valuable genetic resources for biofortification breeding programs aimed at developing cowpea cultivars with improved nutritional quality. Such cultivars have the potential to contribute significantly to alleviating micronutrient malnutrition and strengthening food and nutritional security, particularly in regions where cowpea s</w:t>
      </w:r>
      <w:r w:rsidR="00191263">
        <w:rPr>
          <w:rFonts w:ascii="Times New Roman" w:hAnsi="Times New Roman" w:cs="Times New Roman"/>
          <w:sz w:val="24"/>
          <w:szCs w:val="24"/>
        </w:rPr>
        <w:t>erves as a major dietary staple.</w:t>
      </w:r>
    </w:p>
    <w:p w:rsidR="003C4137" w:rsidRPr="000B2A2E" w:rsidRDefault="003C4137" w:rsidP="003C4137">
      <w:pPr>
        <w:spacing w:before="100" w:beforeAutospacing="1" w:after="100" w:afterAutospacing="1" w:line="240" w:lineRule="auto"/>
        <w:jc w:val="both"/>
        <w:rPr>
          <w:rFonts w:ascii="Times New Roman" w:eastAsia="Times New Roman" w:hAnsi="Times New Roman" w:cs="Times New Roman"/>
          <w:b/>
          <w:sz w:val="24"/>
          <w:szCs w:val="24"/>
        </w:rPr>
      </w:pPr>
      <w:r w:rsidRPr="000B2A2E">
        <w:rPr>
          <w:rFonts w:ascii="Times New Roman" w:eastAsia="Times New Roman" w:hAnsi="Times New Roman" w:cs="Times New Roman"/>
          <w:b/>
          <w:sz w:val="24"/>
          <w:szCs w:val="24"/>
        </w:rPr>
        <w:t>Conclusion</w:t>
      </w:r>
    </w:p>
    <w:p w:rsidR="003C4137" w:rsidRDefault="00E4002C" w:rsidP="003C4137">
      <w:pPr>
        <w:spacing w:before="100" w:beforeAutospacing="1" w:after="100" w:afterAutospacing="1" w:line="240" w:lineRule="auto"/>
        <w:jc w:val="both"/>
        <w:rPr>
          <w:rFonts w:ascii="Times New Roman" w:eastAsia="Times New Roman" w:hAnsi="Times New Roman" w:cs="Times New Roman"/>
          <w:sz w:val="24"/>
          <w:szCs w:val="24"/>
        </w:rPr>
      </w:pPr>
      <w:r w:rsidRPr="00E4002C">
        <w:rPr>
          <w:rFonts w:ascii="Times New Roman" w:eastAsia="Times New Roman" w:hAnsi="Times New Roman" w:cs="Times New Roman"/>
          <w:sz w:val="24"/>
          <w:szCs w:val="24"/>
        </w:rPr>
        <w:t xml:space="preserve">The present investigation identified several nutritionally superior genotypes that may serve as valuable parental lines in breeding programmes. </w:t>
      </w:r>
      <w:r w:rsidRPr="003C4137">
        <w:rPr>
          <w:rFonts w:ascii="Times New Roman" w:eastAsia="Times New Roman" w:hAnsi="Times New Roman" w:cs="Times New Roman"/>
          <w:bCs/>
          <w:sz w:val="24"/>
          <w:szCs w:val="24"/>
        </w:rPr>
        <w:t>IITA-26</w:t>
      </w:r>
      <w:r w:rsidRPr="00E4002C">
        <w:rPr>
          <w:rFonts w:ascii="Times New Roman" w:eastAsia="Times New Roman" w:hAnsi="Times New Roman" w:cs="Times New Roman"/>
          <w:sz w:val="24"/>
          <w:szCs w:val="24"/>
        </w:rPr>
        <w:t xml:space="preserve"> exhibited the highest calcium concentration, </w:t>
      </w:r>
      <w:r w:rsidRPr="003C4137">
        <w:rPr>
          <w:rFonts w:ascii="Times New Roman" w:eastAsia="Times New Roman" w:hAnsi="Times New Roman" w:cs="Times New Roman"/>
          <w:bCs/>
          <w:sz w:val="24"/>
          <w:szCs w:val="24"/>
        </w:rPr>
        <w:t>IITA-3</w:t>
      </w:r>
      <w:r w:rsidRPr="00E4002C">
        <w:rPr>
          <w:rFonts w:ascii="Times New Roman" w:eastAsia="Times New Roman" w:hAnsi="Times New Roman" w:cs="Times New Roman"/>
          <w:sz w:val="24"/>
          <w:szCs w:val="24"/>
        </w:rPr>
        <w:t xml:space="preserve"> recorded superior magnesium and sulfur concentrations, </w:t>
      </w:r>
      <w:r w:rsidRPr="003C4137">
        <w:rPr>
          <w:rFonts w:ascii="Times New Roman" w:eastAsia="Times New Roman" w:hAnsi="Times New Roman" w:cs="Times New Roman"/>
          <w:bCs/>
          <w:sz w:val="24"/>
          <w:szCs w:val="24"/>
        </w:rPr>
        <w:t>IITA-153</w:t>
      </w:r>
      <w:r w:rsidRPr="00E4002C">
        <w:rPr>
          <w:rFonts w:ascii="Times New Roman" w:eastAsia="Times New Roman" w:hAnsi="Times New Roman" w:cs="Times New Roman"/>
          <w:sz w:val="24"/>
          <w:szCs w:val="24"/>
        </w:rPr>
        <w:t xml:space="preserve"> accumulated the highest potassium concentration, </w:t>
      </w:r>
      <w:r w:rsidRPr="003C4137">
        <w:rPr>
          <w:rFonts w:ascii="Times New Roman" w:eastAsia="Times New Roman" w:hAnsi="Times New Roman" w:cs="Times New Roman"/>
          <w:bCs/>
          <w:sz w:val="24"/>
          <w:szCs w:val="24"/>
        </w:rPr>
        <w:t>IITA-265</w:t>
      </w:r>
      <w:r w:rsidRPr="00E4002C">
        <w:rPr>
          <w:rFonts w:ascii="Times New Roman" w:eastAsia="Times New Roman" w:hAnsi="Times New Roman" w:cs="Times New Roman"/>
          <w:sz w:val="24"/>
          <w:szCs w:val="24"/>
        </w:rPr>
        <w:t xml:space="preserve"> and </w:t>
      </w:r>
      <w:r w:rsidRPr="003C4137">
        <w:rPr>
          <w:rFonts w:ascii="Times New Roman" w:eastAsia="Times New Roman" w:hAnsi="Times New Roman" w:cs="Times New Roman"/>
          <w:bCs/>
          <w:sz w:val="24"/>
          <w:szCs w:val="24"/>
        </w:rPr>
        <w:t>IITA-340</w:t>
      </w:r>
      <w:r w:rsidRPr="00E4002C">
        <w:rPr>
          <w:rFonts w:ascii="Times New Roman" w:eastAsia="Times New Roman" w:hAnsi="Times New Roman" w:cs="Times New Roman"/>
          <w:sz w:val="24"/>
          <w:szCs w:val="24"/>
        </w:rPr>
        <w:t xml:space="preserve"> showed superior phosphorus concentration, </w:t>
      </w:r>
      <w:r w:rsidRPr="003C4137">
        <w:rPr>
          <w:rFonts w:ascii="Times New Roman" w:eastAsia="Times New Roman" w:hAnsi="Times New Roman" w:cs="Times New Roman"/>
          <w:bCs/>
          <w:sz w:val="24"/>
          <w:szCs w:val="24"/>
        </w:rPr>
        <w:t>IITA-122</w:t>
      </w:r>
      <w:r w:rsidRPr="00E4002C">
        <w:rPr>
          <w:rFonts w:ascii="Times New Roman" w:eastAsia="Times New Roman" w:hAnsi="Times New Roman" w:cs="Times New Roman"/>
          <w:sz w:val="24"/>
          <w:szCs w:val="24"/>
        </w:rPr>
        <w:t xml:space="preserve"> was identified as the richest source of iron, </w:t>
      </w:r>
      <w:r w:rsidRPr="003C4137">
        <w:rPr>
          <w:rFonts w:ascii="Times New Roman" w:eastAsia="Times New Roman" w:hAnsi="Times New Roman" w:cs="Times New Roman"/>
          <w:bCs/>
          <w:sz w:val="24"/>
          <w:szCs w:val="24"/>
        </w:rPr>
        <w:t>IITA-10</w:t>
      </w:r>
      <w:r w:rsidRPr="00E4002C">
        <w:rPr>
          <w:rFonts w:ascii="Times New Roman" w:eastAsia="Times New Roman" w:hAnsi="Times New Roman" w:cs="Times New Roman"/>
          <w:sz w:val="24"/>
          <w:szCs w:val="24"/>
        </w:rPr>
        <w:t xml:space="preserve"> exhibited the highest zinc concentration, </w:t>
      </w:r>
      <w:r w:rsidRPr="003C4137">
        <w:rPr>
          <w:rFonts w:ascii="Times New Roman" w:eastAsia="Times New Roman" w:hAnsi="Times New Roman" w:cs="Times New Roman"/>
          <w:bCs/>
          <w:sz w:val="24"/>
          <w:szCs w:val="24"/>
        </w:rPr>
        <w:t>IITA-21</w:t>
      </w:r>
      <w:r w:rsidRPr="00E4002C">
        <w:rPr>
          <w:rFonts w:ascii="Times New Roman" w:eastAsia="Times New Roman" w:hAnsi="Times New Roman" w:cs="Times New Roman"/>
          <w:sz w:val="24"/>
          <w:szCs w:val="24"/>
        </w:rPr>
        <w:t xml:space="preserve"> accumulated the highest copper concentration, </w:t>
      </w:r>
      <w:r w:rsidRPr="003C4137">
        <w:rPr>
          <w:rFonts w:ascii="Times New Roman" w:eastAsia="Times New Roman" w:hAnsi="Times New Roman" w:cs="Times New Roman"/>
          <w:bCs/>
          <w:sz w:val="24"/>
          <w:szCs w:val="24"/>
        </w:rPr>
        <w:t>IITA</w:t>
      </w:r>
      <w:r w:rsidRPr="00E4002C">
        <w:rPr>
          <w:rFonts w:ascii="Times New Roman" w:eastAsia="Times New Roman" w:hAnsi="Times New Roman" w:cs="Times New Roman"/>
          <w:b/>
          <w:bCs/>
          <w:sz w:val="24"/>
          <w:szCs w:val="24"/>
        </w:rPr>
        <w:t>-7</w:t>
      </w:r>
      <w:r w:rsidRPr="00E4002C">
        <w:rPr>
          <w:rFonts w:ascii="Times New Roman" w:eastAsia="Times New Roman" w:hAnsi="Times New Roman" w:cs="Times New Roman"/>
          <w:sz w:val="24"/>
          <w:szCs w:val="24"/>
        </w:rPr>
        <w:t xml:space="preserve"> recorded the highest manganese concentration, and </w:t>
      </w:r>
      <w:r w:rsidRPr="003C4137">
        <w:rPr>
          <w:rFonts w:ascii="Times New Roman" w:eastAsia="Times New Roman" w:hAnsi="Times New Roman" w:cs="Times New Roman"/>
          <w:bCs/>
          <w:sz w:val="24"/>
          <w:szCs w:val="24"/>
        </w:rPr>
        <w:t>IITA-61</w:t>
      </w:r>
      <w:r w:rsidRPr="00E4002C">
        <w:rPr>
          <w:rFonts w:ascii="Times New Roman" w:eastAsia="Times New Roman" w:hAnsi="Times New Roman" w:cs="Times New Roman"/>
          <w:sz w:val="24"/>
          <w:szCs w:val="24"/>
        </w:rPr>
        <w:t xml:space="preserve"> possessed the highest nickel concentration. These genotypes represent valuable genetic resources for developing biofortified cowpea cultivars possessing enhanced nutritional quality.</w:t>
      </w:r>
      <w:r w:rsidR="003C4137" w:rsidRPr="003C4137">
        <w:rPr>
          <w:rFonts w:ascii="Times New Roman" w:eastAsia="Times New Roman" w:hAnsi="Times New Roman" w:cs="Times New Roman"/>
          <w:sz w:val="24"/>
          <w:szCs w:val="24"/>
        </w:rPr>
        <w:t xml:space="preserve"> </w:t>
      </w:r>
      <w:r w:rsidR="003C4137" w:rsidRPr="00E4002C">
        <w:rPr>
          <w:rFonts w:ascii="Times New Roman" w:eastAsia="Times New Roman" w:hAnsi="Times New Roman" w:cs="Times New Roman"/>
          <w:sz w:val="24"/>
          <w:szCs w:val="24"/>
        </w:rPr>
        <w:t xml:space="preserve">Overall, the present study demonstrates substantial genetic variability for seed mineral composition among the evaluated cowpea genotypes. The wide diversity observed for both macro- and micronutrients provides a strong </w:t>
      </w:r>
      <w:r w:rsidR="003C4137" w:rsidRPr="00E4002C">
        <w:rPr>
          <w:rFonts w:ascii="Times New Roman" w:eastAsia="Times New Roman" w:hAnsi="Times New Roman" w:cs="Times New Roman"/>
          <w:sz w:val="24"/>
          <w:szCs w:val="24"/>
        </w:rPr>
        <w:lastRenderedPageBreak/>
        <w:t>foundation for the selection of nutritionally superior parents and the development of biofortified cultivars through conventional and molecular breeding approaches. Such cultivars have considerable potential to improve dietary mineral intake and contribute towards alleviating micronutrient malnutrition, particularly in regions where cowpea is an important staple food.</w:t>
      </w:r>
    </w:p>
    <w:p w:rsidR="00E4002C" w:rsidRPr="00E4002C" w:rsidRDefault="00E4002C" w:rsidP="003C4137">
      <w:pPr>
        <w:spacing w:before="100" w:beforeAutospacing="1" w:after="100" w:afterAutospacing="1" w:line="240" w:lineRule="auto"/>
        <w:ind w:firstLine="720"/>
        <w:jc w:val="both"/>
        <w:rPr>
          <w:rFonts w:ascii="Times New Roman" w:eastAsia="Times New Roman" w:hAnsi="Times New Roman" w:cs="Times New Roman"/>
          <w:sz w:val="24"/>
          <w:szCs w:val="24"/>
        </w:rPr>
      </w:pPr>
    </w:p>
    <w:p w:rsidR="00BE59C5" w:rsidRDefault="00BE59C5" w:rsidP="00E4002C">
      <w:pPr>
        <w:spacing w:before="100" w:beforeAutospacing="1" w:after="100" w:afterAutospacing="1" w:line="240" w:lineRule="auto"/>
        <w:rPr>
          <w:rFonts w:ascii="Times New Roman" w:eastAsia="Times New Roman" w:hAnsi="Times New Roman" w:cs="Times New Roman"/>
          <w:sz w:val="24"/>
          <w:szCs w:val="24"/>
        </w:rPr>
      </w:pPr>
    </w:p>
    <w:p w:rsidR="00BE59C5" w:rsidRDefault="00BE59C5" w:rsidP="00E4002C">
      <w:pPr>
        <w:spacing w:before="100" w:beforeAutospacing="1" w:after="100" w:afterAutospacing="1" w:line="240" w:lineRule="auto"/>
        <w:rPr>
          <w:rFonts w:ascii="Times New Roman" w:eastAsia="Times New Roman" w:hAnsi="Times New Roman" w:cs="Times New Roman"/>
          <w:sz w:val="24"/>
          <w:szCs w:val="24"/>
        </w:rPr>
      </w:pPr>
    </w:p>
    <w:p w:rsidR="00BE59C5" w:rsidRPr="00E4002C" w:rsidRDefault="00BE59C5" w:rsidP="00E4002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24CB90B" wp14:editId="72590516">
            <wp:extent cx="5943600" cy="3983355"/>
            <wp:effectExtent l="0" t="0" r="0"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47445" w:rsidRPr="00447445" w:rsidRDefault="00447445" w:rsidP="00447445">
      <w:pPr>
        <w:spacing w:before="12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hAnsi="Times New Roman" w:cs="Times New Roman"/>
          <w:b/>
          <w:sz w:val="24"/>
          <w:szCs w:val="24"/>
        </w:rPr>
        <w:t>Fig. 2</w:t>
      </w:r>
      <w:r w:rsidR="000974C5">
        <w:rPr>
          <w:rFonts w:ascii="Times New Roman" w:hAnsi="Times New Roman" w:cs="Times New Roman"/>
          <w:b/>
          <w:sz w:val="24"/>
          <w:szCs w:val="24"/>
        </w:rPr>
        <w:t>a-</w:t>
      </w:r>
      <w:r w:rsidRPr="00EA567C">
        <w:rPr>
          <w:rFonts w:ascii="Times New Roman" w:hAnsi="Times New Roman" w:cs="Times New Roman"/>
          <w:b/>
          <w:bCs/>
          <w:sz w:val="24"/>
          <w:szCs w:val="24"/>
        </w:rPr>
        <w:t>:</w:t>
      </w:r>
      <w:r>
        <w:rPr>
          <w:rFonts w:ascii="Times New Roman" w:hAnsi="Times New Roman" w:cs="Times New Roman"/>
          <w:b/>
          <w:bCs/>
          <w:sz w:val="24"/>
          <w:szCs w:val="24"/>
        </w:rPr>
        <w:t> </w:t>
      </w:r>
      <w:r w:rsidRPr="00A51057">
        <w:rPr>
          <w:rFonts w:ascii="Times New Roman" w:hAnsi="Times New Roman" w:cs="Times New Roman"/>
          <w:b/>
          <w:sz w:val="24"/>
          <w:szCs w:val="24"/>
        </w:rPr>
        <w:t>Graphical representation of different nutrients</w:t>
      </w:r>
    </w:p>
    <w:p w:rsidR="00442672" w:rsidRDefault="00442672" w:rsidP="00442672">
      <w:pPr>
        <w:spacing w:before="120" w:after="120" w:line="360" w:lineRule="auto"/>
        <w:rPr>
          <w:rFonts w:ascii="Times New Roman" w:eastAsia="Times New Roman" w:hAnsi="Times New Roman" w:cs="Times New Roman"/>
          <w:b/>
          <w:sz w:val="24"/>
          <w:szCs w:val="24"/>
        </w:rPr>
      </w:pPr>
    </w:p>
    <w:p w:rsidR="00442672" w:rsidRDefault="00442672" w:rsidP="00442672">
      <w:pPr>
        <w:spacing w:before="120" w:after="120" w:line="360" w:lineRule="auto"/>
        <w:rPr>
          <w:rFonts w:ascii="Times New Roman" w:eastAsia="Times New Roman" w:hAnsi="Times New Roman" w:cs="Times New Roman"/>
          <w:b/>
          <w:sz w:val="24"/>
          <w:szCs w:val="24"/>
        </w:rPr>
      </w:pPr>
    </w:p>
    <w:p w:rsidR="00442672" w:rsidRDefault="00442672" w:rsidP="00442672">
      <w:pPr>
        <w:spacing w:before="120" w:after="120" w:line="360" w:lineRule="auto"/>
        <w:rPr>
          <w:rFonts w:ascii="Times New Roman" w:eastAsia="Times New Roman" w:hAnsi="Times New Roman" w:cs="Times New Roman"/>
          <w:b/>
          <w:sz w:val="24"/>
          <w:szCs w:val="24"/>
        </w:rPr>
      </w:pPr>
    </w:p>
    <w:p w:rsidR="00442672" w:rsidRDefault="00442672" w:rsidP="00442672">
      <w:pPr>
        <w:spacing w:before="120" w:after="120" w:line="360" w:lineRule="auto"/>
        <w:rPr>
          <w:rFonts w:ascii="Times New Roman" w:eastAsia="Times New Roman" w:hAnsi="Times New Roman" w:cs="Times New Roman"/>
          <w:b/>
          <w:sz w:val="24"/>
          <w:szCs w:val="24"/>
        </w:rPr>
      </w:pPr>
    </w:p>
    <w:p w:rsidR="00442672" w:rsidRDefault="00442672" w:rsidP="00442672">
      <w:pPr>
        <w:spacing w:before="120" w:after="120" w:line="360" w:lineRule="auto"/>
        <w:rPr>
          <w:rFonts w:ascii="Times New Roman" w:eastAsia="Times New Roman" w:hAnsi="Times New Roman" w:cs="Times New Roman"/>
          <w:b/>
          <w:sz w:val="24"/>
          <w:szCs w:val="24"/>
        </w:rPr>
      </w:pPr>
    </w:p>
    <w:p w:rsidR="00442672" w:rsidRDefault="00442672" w:rsidP="00442672">
      <w:pPr>
        <w:spacing w:before="120" w:after="120" w:line="360" w:lineRule="auto"/>
        <w:rPr>
          <w:rFonts w:ascii="Times New Roman" w:eastAsia="Times New Roman" w:hAnsi="Times New Roman" w:cs="Times New Roman"/>
          <w:b/>
          <w:sz w:val="24"/>
          <w:szCs w:val="24"/>
        </w:rPr>
      </w:pPr>
    </w:p>
    <w:p w:rsidR="00442672" w:rsidRDefault="00730137" w:rsidP="00442672">
      <w:pPr>
        <w:spacing w:before="12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noProof/>
        </w:rPr>
        <w:drawing>
          <wp:inline distT="0" distB="0" distL="0" distR="0" wp14:anchorId="3CCD06CB" wp14:editId="7BB78532">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675E" w:rsidRPr="00A51057" w:rsidRDefault="00B61F08" w:rsidP="002E675E">
      <w:pPr>
        <w:jc w:val="center"/>
        <w:rPr>
          <w:rFonts w:ascii="Times New Roman" w:hAnsi="Times New Roman" w:cs="Times New Roman"/>
          <w:b/>
          <w:bCs/>
          <w:sz w:val="24"/>
          <w:szCs w:val="24"/>
        </w:rPr>
      </w:pPr>
      <w:r>
        <w:rPr>
          <w:rFonts w:ascii="Times New Roman" w:hAnsi="Times New Roman" w:cs="Times New Roman"/>
          <w:b/>
          <w:sz w:val="24"/>
          <w:szCs w:val="24"/>
        </w:rPr>
        <w:t>Fig. 2</w:t>
      </w:r>
      <w:r w:rsidR="000974C5">
        <w:rPr>
          <w:rFonts w:ascii="Times New Roman" w:hAnsi="Times New Roman" w:cs="Times New Roman"/>
          <w:b/>
          <w:sz w:val="24"/>
          <w:szCs w:val="24"/>
        </w:rPr>
        <w:t>b</w:t>
      </w:r>
      <w:bookmarkStart w:id="0" w:name="_GoBack"/>
      <w:bookmarkEnd w:id="0"/>
      <w:r w:rsidR="002E675E" w:rsidRPr="00EA567C">
        <w:rPr>
          <w:rFonts w:ascii="Times New Roman" w:hAnsi="Times New Roman" w:cs="Times New Roman"/>
          <w:b/>
          <w:bCs/>
          <w:sz w:val="24"/>
          <w:szCs w:val="24"/>
        </w:rPr>
        <w:t>:</w:t>
      </w:r>
      <w:r w:rsidR="002E675E">
        <w:rPr>
          <w:rFonts w:ascii="Times New Roman" w:hAnsi="Times New Roman" w:cs="Times New Roman"/>
          <w:b/>
          <w:bCs/>
          <w:sz w:val="24"/>
          <w:szCs w:val="24"/>
        </w:rPr>
        <w:t> </w:t>
      </w:r>
      <w:r w:rsidR="002E675E" w:rsidRPr="00A51057">
        <w:rPr>
          <w:rFonts w:ascii="Times New Roman" w:hAnsi="Times New Roman" w:cs="Times New Roman"/>
          <w:b/>
          <w:sz w:val="24"/>
          <w:szCs w:val="24"/>
        </w:rPr>
        <w:t>Graphi</w:t>
      </w:r>
      <w:r w:rsidR="00B36E73">
        <w:rPr>
          <w:rFonts w:ascii="Times New Roman" w:hAnsi="Times New Roman" w:cs="Times New Roman"/>
          <w:b/>
          <w:sz w:val="24"/>
          <w:szCs w:val="24"/>
        </w:rPr>
        <w:t>cal representation of Potassium</w:t>
      </w:r>
    </w:p>
    <w:p w:rsidR="00442672" w:rsidRDefault="00442672"/>
    <w:p w:rsidR="00F02F47" w:rsidRPr="000F08E7" w:rsidRDefault="00F02F47" w:rsidP="00F02F47">
      <w:pPr>
        <w:pStyle w:val="NormalWeb"/>
        <w:spacing w:before="0" w:beforeAutospacing="0" w:after="0" w:afterAutospacing="0"/>
        <w:rPr>
          <w:rStyle w:val="Strong"/>
        </w:rPr>
      </w:pPr>
      <w:r w:rsidRPr="000F08E7">
        <w:rPr>
          <w:rStyle w:val="Strong"/>
        </w:rPr>
        <w:t>Author Contributions:</w:t>
      </w:r>
    </w:p>
    <w:p w:rsidR="00F02F47" w:rsidRPr="000F08E7" w:rsidRDefault="00F02F47" w:rsidP="00F02F47">
      <w:pPr>
        <w:pStyle w:val="NormalWeb"/>
        <w:spacing w:before="0" w:beforeAutospacing="0" w:after="0" w:afterAutospacing="0"/>
        <w:jc w:val="both"/>
      </w:pPr>
      <w:r w:rsidRPr="000F08E7">
        <w:t>Sami Jan: Investigation, Methodology, Data curation, Formal analysis, Writing – original draft. M. Ashraf Bhat: Conceptualization, Methodology, Project administration, Supervision, Validation, Resources, Writing – review &amp; editing. Akshay Kumar: Data curation, Investigation, Methodology, Software, Formal analysis, Validation, Writing – review &amp; editing. Nakeeb-un-Nisa: Investigation, Validation, Data curation, Writing – review &amp; editing. M. Altaf Wani: Conceptualization, Methodology, Supervision, Validation, Project administration, Writing – review &amp; editing. Farooq Ahmad Bhat: Formal analysis, Validation, Visualization, Writing – review &amp; editing. Phalisteen Sultan: Data curation, Validation, Software, Writing – review &amp; editing.</w:t>
      </w:r>
      <w:r w:rsidR="006925A6" w:rsidRPr="006925A6">
        <w:t xml:space="preserve"> </w:t>
      </w:r>
      <w:r w:rsidR="006925A6">
        <w:t xml:space="preserve">Nasir Bashir Naikoo: </w:t>
      </w:r>
      <w:r w:rsidR="006925A6" w:rsidRPr="000F08E7">
        <w:t>Investigation, Validation, Data curation</w:t>
      </w:r>
      <w:r w:rsidR="006925A6" w:rsidRPr="000F08E7">
        <w:t xml:space="preserve"> </w:t>
      </w:r>
      <w:r w:rsidRPr="000F08E7">
        <w:t>Zafir Ahmad Naik:  Formal analysis, Writing – review &amp; editing.</w:t>
      </w:r>
      <w:r w:rsidR="006925A6" w:rsidRPr="006925A6">
        <w:t xml:space="preserve"> </w:t>
      </w:r>
      <w:r w:rsidR="006925A6">
        <w:t>Haleema Bano:</w:t>
      </w:r>
      <w:r w:rsidR="006925A6" w:rsidRPr="006925A6">
        <w:t xml:space="preserve"> </w:t>
      </w:r>
      <w:r w:rsidR="006925A6" w:rsidRPr="000F08E7">
        <w:t>Validation, Software</w:t>
      </w:r>
      <w:r w:rsidR="006925A6">
        <w:t>.</w:t>
      </w:r>
    </w:p>
    <w:p w:rsidR="00F02F47" w:rsidRPr="000F08E7" w:rsidRDefault="00F02F47" w:rsidP="00F02F47">
      <w:pPr>
        <w:pStyle w:val="NormalWeb"/>
        <w:spacing w:before="0" w:beforeAutospacing="0" w:after="0" w:afterAutospacing="0"/>
        <w:jc w:val="both"/>
      </w:pPr>
    </w:p>
    <w:p w:rsidR="00F02F47" w:rsidRPr="000F08E7" w:rsidRDefault="00F02F47" w:rsidP="00F02F47">
      <w:pPr>
        <w:pStyle w:val="NormalWeb"/>
        <w:spacing w:before="0" w:beforeAutospacing="0" w:after="0" w:afterAutospacing="0"/>
        <w:jc w:val="both"/>
        <w:rPr>
          <w:b/>
        </w:rPr>
      </w:pPr>
      <w:r w:rsidRPr="000F08E7">
        <w:rPr>
          <w:b/>
        </w:rPr>
        <w:t>Ethical approval</w:t>
      </w:r>
    </w:p>
    <w:p w:rsidR="00F02F47" w:rsidRPr="000F08E7" w:rsidRDefault="00F02F47" w:rsidP="00F02F47">
      <w:pPr>
        <w:pStyle w:val="NormalWeb"/>
        <w:spacing w:before="0" w:beforeAutospacing="0" w:after="0" w:afterAutospacing="0"/>
        <w:jc w:val="both"/>
      </w:pPr>
      <w:r w:rsidRPr="000F08E7">
        <w:t>This study did not involve human participants or animals; therefore, ethical approval was not required.</w:t>
      </w:r>
    </w:p>
    <w:p w:rsidR="00F02F47" w:rsidRPr="000F08E7" w:rsidRDefault="00F02F47" w:rsidP="00F02F47">
      <w:pPr>
        <w:pStyle w:val="NormalWeb"/>
        <w:spacing w:before="0" w:beforeAutospacing="0" w:after="0" w:afterAutospacing="0"/>
        <w:jc w:val="both"/>
      </w:pPr>
    </w:p>
    <w:p w:rsidR="00F02F47" w:rsidRPr="000F08E7" w:rsidRDefault="00F02F47" w:rsidP="00F02F47">
      <w:pPr>
        <w:pStyle w:val="NormalWeb"/>
        <w:spacing w:before="0" w:beforeAutospacing="0" w:after="0" w:afterAutospacing="0"/>
        <w:jc w:val="both"/>
      </w:pPr>
      <w:r w:rsidRPr="000F08E7">
        <w:rPr>
          <w:b/>
        </w:rPr>
        <w:t>Consent to participate</w:t>
      </w:r>
      <w:r w:rsidRPr="000F08E7">
        <w:t>:</w:t>
      </w:r>
    </w:p>
    <w:p w:rsidR="00F02F47" w:rsidRPr="000F08E7" w:rsidRDefault="00F02F47" w:rsidP="00F02F47">
      <w:pPr>
        <w:pStyle w:val="NormalWeb"/>
        <w:spacing w:before="0" w:beforeAutospacing="0" w:after="0" w:afterAutospacing="0"/>
        <w:jc w:val="both"/>
      </w:pPr>
      <w:r w:rsidRPr="000F08E7">
        <w:t>Not applicable.</w:t>
      </w:r>
    </w:p>
    <w:p w:rsidR="00F02F47" w:rsidRPr="000F08E7" w:rsidRDefault="00F02F47" w:rsidP="00F02F47">
      <w:pPr>
        <w:pStyle w:val="NormalWeb"/>
        <w:spacing w:before="0" w:beforeAutospacing="0" w:after="0" w:afterAutospacing="0"/>
        <w:jc w:val="both"/>
      </w:pPr>
    </w:p>
    <w:p w:rsidR="00F02F47" w:rsidRPr="000F08E7" w:rsidRDefault="00F02F47" w:rsidP="00F02F47">
      <w:pPr>
        <w:pStyle w:val="NormalWeb"/>
        <w:spacing w:before="0" w:beforeAutospacing="0" w:after="0" w:afterAutospacing="0"/>
        <w:jc w:val="both"/>
        <w:rPr>
          <w:b/>
        </w:rPr>
      </w:pPr>
      <w:r w:rsidRPr="000F08E7">
        <w:rPr>
          <w:b/>
        </w:rPr>
        <w:t>Consent to publish:</w:t>
      </w:r>
    </w:p>
    <w:p w:rsidR="00F02F47" w:rsidRPr="000F08E7" w:rsidRDefault="00F02F47" w:rsidP="00F02F47">
      <w:pPr>
        <w:pStyle w:val="NormalWeb"/>
        <w:spacing w:before="0" w:beforeAutospacing="0" w:after="0" w:afterAutospacing="0"/>
        <w:jc w:val="both"/>
      </w:pPr>
      <w:r w:rsidRPr="000F08E7">
        <w:t>All authors have read and approved the final manuscript for publication.</w:t>
      </w:r>
    </w:p>
    <w:p w:rsidR="00F02F47" w:rsidRPr="000F08E7" w:rsidRDefault="00F02F47" w:rsidP="00F02F47">
      <w:pPr>
        <w:pStyle w:val="NormalWeb"/>
      </w:pPr>
      <w:r w:rsidRPr="000F08E7">
        <w:rPr>
          <w:rStyle w:val="Strong"/>
        </w:rPr>
        <w:t>Declaration of Interest:</w:t>
      </w:r>
      <w:r w:rsidRPr="000F08E7">
        <w:br/>
        <w:t>The authors declare that there are no conflicts of interest regarding the publication of this paper.</w:t>
      </w:r>
    </w:p>
    <w:p w:rsidR="00F02F47" w:rsidRPr="000F08E7" w:rsidRDefault="00F02F47" w:rsidP="00F02F47">
      <w:pPr>
        <w:pStyle w:val="NormalWeb"/>
      </w:pPr>
      <w:r w:rsidRPr="000F08E7">
        <w:rPr>
          <w:rStyle w:val="Strong"/>
        </w:rPr>
        <w:lastRenderedPageBreak/>
        <w:t>Ethical Statement:</w:t>
      </w:r>
      <w:r w:rsidRPr="000F08E7">
        <w:br/>
        <w:t>This study did not involve any experiments on human participants or animals.</w:t>
      </w:r>
    </w:p>
    <w:p w:rsidR="00F02F47" w:rsidRPr="000F08E7" w:rsidRDefault="00F02F47" w:rsidP="00F02F47">
      <w:pPr>
        <w:pStyle w:val="NormalWeb"/>
        <w:spacing w:before="0" w:beforeAutospacing="0" w:after="0" w:afterAutospacing="0"/>
      </w:pPr>
      <w:r w:rsidRPr="000F08E7">
        <w:rPr>
          <w:rStyle w:val="Strong"/>
        </w:rPr>
        <w:t>Funding Statement:</w:t>
      </w:r>
      <w:r w:rsidRPr="000F08E7">
        <w:br/>
        <w:t>This research did not receive any specific grant from funding agencies in the public, commercial, or not-for-profit sectors.</w:t>
      </w:r>
    </w:p>
    <w:p w:rsidR="00F02F47" w:rsidRPr="000F08E7" w:rsidRDefault="00F02F47" w:rsidP="00F02F47">
      <w:pPr>
        <w:pStyle w:val="NormalWeb"/>
        <w:spacing w:before="0" w:beforeAutospacing="0" w:after="0" w:afterAutospacing="0"/>
        <w:jc w:val="both"/>
      </w:pPr>
    </w:p>
    <w:p w:rsidR="00F02F47" w:rsidRPr="000F08E7" w:rsidRDefault="00F02F47" w:rsidP="00F02F47">
      <w:pPr>
        <w:pStyle w:val="NormalWeb"/>
        <w:spacing w:before="0" w:beforeAutospacing="0" w:after="0" w:afterAutospacing="0"/>
        <w:jc w:val="both"/>
        <w:rPr>
          <w:b/>
        </w:rPr>
      </w:pPr>
      <w:r w:rsidRPr="000F08E7">
        <w:rPr>
          <w:b/>
        </w:rPr>
        <w:t>Consent to Participate declaration</w:t>
      </w:r>
    </w:p>
    <w:p w:rsidR="00F02F47" w:rsidRPr="000F08E7" w:rsidRDefault="00F02F47" w:rsidP="00F02F47">
      <w:pPr>
        <w:pStyle w:val="NormalWeb"/>
        <w:spacing w:before="0" w:beforeAutospacing="0" w:after="0" w:afterAutospacing="0"/>
        <w:jc w:val="both"/>
      </w:pPr>
      <w:r w:rsidRPr="000F08E7">
        <w:t>Not applicable</w:t>
      </w:r>
    </w:p>
    <w:p w:rsidR="00F02F47" w:rsidRPr="000F08E7" w:rsidRDefault="00F02F47" w:rsidP="00F02F47">
      <w:pPr>
        <w:spacing w:after="0" w:line="240" w:lineRule="auto"/>
        <w:rPr>
          <w:rFonts w:ascii="Times New Roman" w:eastAsia="Times New Roman" w:hAnsi="Times New Roman" w:cs="Times New Roman"/>
          <w:b/>
          <w:sz w:val="24"/>
          <w:szCs w:val="24"/>
        </w:rPr>
      </w:pPr>
    </w:p>
    <w:p w:rsidR="00F02F47" w:rsidRPr="000F08E7" w:rsidRDefault="00F02F47" w:rsidP="00F02F47">
      <w:pPr>
        <w:spacing w:after="0" w:line="240" w:lineRule="auto"/>
        <w:rPr>
          <w:rFonts w:ascii="Times New Roman" w:eastAsia="Times New Roman" w:hAnsi="Times New Roman" w:cs="Times New Roman"/>
          <w:b/>
          <w:sz w:val="24"/>
          <w:szCs w:val="24"/>
        </w:rPr>
      </w:pPr>
      <w:r w:rsidRPr="000F08E7">
        <w:rPr>
          <w:rFonts w:ascii="Times New Roman" w:eastAsia="Times New Roman" w:hAnsi="Times New Roman" w:cs="Times New Roman"/>
          <w:b/>
          <w:sz w:val="24"/>
          <w:szCs w:val="24"/>
        </w:rPr>
        <w:t>Data Availability declaration</w:t>
      </w:r>
    </w:p>
    <w:p w:rsidR="00F02F47" w:rsidRPr="000F08E7" w:rsidRDefault="00F02F47" w:rsidP="00F02F47">
      <w:pPr>
        <w:pStyle w:val="NormalWeb"/>
        <w:spacing w:before="0" w:beforeAutospacing="0" w:after="0" w:afterAutospacing="0"/>
        <w:jc w:val="both"/>
      </w:pPr>
      <w:r w:rsidRPr="000F08E7">
        <w:t>Data will be made available on the request</w:t>
      </w:r>
    </w:p>
    <w:p w:rsidR="00F02F47" w:rsidRPr="000F08E7" w:rsidRDefault="00F02F47" w:rsidP="00F02F47">
      <w:pPr>
        <w:pStyle w:val="NormalWeb"/>
        <w:jc w:val="both"/>
        <w:rPr>
          <w:b/>
        </w:rPr>
      </w:pPr>
      <w:r w:rsidRPr="000F08E7">
        <w:rPr>
          <w:rStyle w:val="Strong"/>
        </w:rPr>
        <w:t>Acknowledgements:</w:t>
      </w:r>
      <w:r w:rsidRPr="000F08E7">
        <w:br/>
        <w:t xml:space="preserve">The authors gratefully acknowledge the support provided by the </w:t>
      </w:r>
      <w:r w:rsidRPr="000F08E7">
        <w:rPr>
          <w:rStyle w:val="Strong"/>
        </w:rPr>
        <w:t>Dean, Faculty of Agriculture</w:t>
      </w:r>
      <w:r w:rsidRPr="000F08E7">
        <w:t>,</w:t>
      </w:r>
      <w:r>
        <w:t xml:space="preserve"> SKUAST-K</w:t>
      </w:r>
      <w:r w:rsidRPr="000F08E7">
        <w:t xml:space="preserve"> and express their sincere gratitude to the </w:t>
      </w:r>
      <w:r w:rsidRPr="000F08E7">
        <w:rPr>
          <w:rStyle w:val="Strong"/>
        </w:rPr>
        <w:t>Director of Extension</w:t>
      </w:r>
      <w:r>
        <w:rPr>
          <w:rStyle w:val="Strong"/>
        </w:rPr>
        <w:t>, SKUAST-K</w:t>
      </w:r>
      <w:r w:rsidRPr="000F08E7">
        <w:t xml:space="preserve"> for their continuous support, guidance, and encouragement throughout the course of this study.</w:t>
      </w:r>
    </w:p>
    <w:p w:rsidR="00F02F47" w:rsidRPr="000F08E7" w:rsidRDefault="00F02F47" w:rsidP="00F02F47">
      <w:pPr>
        <w:spacing w:after="0" w:line="240" w:lineRule="auto"/>
        <w:rPr>
          <w:rFonts w:ascii="Times New Roman" w:hAnsi="Times New Roman" w:cs="Times New Roman"/>
          <w:b/>
          <w:sz w:val="24"/>
          <w:szCs w:val="24"/>
        </w:rPr>
      </w:pPr>
      <w:r w:rsidRPr="000F08E7">
        <w:rPr>
          <w:rFonts w:ascii="Times New Roman" w:hAnsi="Times New Roman" w:cs="Times New Roman"/>
          <w:b/>
          <w:sz w:val="24"/>
          <w:szCs w:val="24"/>
        </w:rPr>
        <w:t>References</w:t>
      </w:r>
    </w:p>
    <w:p w:rsidR="004922C9" w:rsidRPr="009B22E4" w:rsidRDefault="004922C9" w:rsidP="004922C9">
      <w:pPr>
        <w:spacing w:after="0" w:line="240" w:lineRule="auto"/>
        <w:jc w:val="both"/>
        <w:rPr>
          <w:rFonts w:ascii="Times New Roman" w:eastAsia="Times New Roman" w:hAnsi="Times New Roman" w:cs="Times New Roman"/>
          <w:sz w:val="24"/>
          <w:szCs w:val="24"/>
        </w:rPr>
      </w:pPr>
      <w:r w:rsidRPr="009B22E4">
        <w:rPr>
          <w:rFonts w:ascii="Times New Roman" w:eastAsia="Times New Roman" w:hAnsi="Times New Roman" w:cs="Times New Roman"/>
          <w:sz w:val="24"/>
          <w:szCs w:val="24"/>
        </w:rPr>
        <w:t>Blair, M. W., Astudillo, C., Grusak, M. A., Graham, R., &amp; Beebe, S. E. (2010). Inheritance of seed iron and zinc concentrations in common bean (</w:t>
      </w:r>
      <w:r w:rsidRPr="009B22E4">
        <w:rPr>
          <w:rFonts w:ascii="Times New Roman" w:eastAsia="Times New Roman" w:hAnsi="Times New Roman" w:cs="Times New Roman"/>
          <w:i/>
          <w:iCs/>
          <w:sz w:val="24"/>
          <w:szCs w:val="24"/>
        </w:rPr>
        <w:t>Phaseolus vulgaris</w:t>
      </w:r>
      <w:r w:rsidRPr="009B22E4">
        <w:rPr>
          <w:rFonts w:ascii="Times New Roman" w:eastAsia="Times New Roman" w:hAnsi="Times New Roman" w:cs="Times New Roman"/>
          <w:sz w:val="24"/>
          <w:szCs w:val="24"/>
        </w:rPr>
        <w:t xml:space="preserve"> L.). </w:t>
      </w:r>
      <w:r w:rsidRPr="009B22E4">
        <w:rPr>
          <w:rFonts w:ascii="Times New Roman" w:eastAsia="Times New Roman" w:hAnsi="Times New Roman" w:cs="Times New Roman"/>
          <w:i/>
          <w:iCs/>
          <w:sz w:val="24"/>
          <w:szCs w:val="24"/>
        </w:rPr>
        <w:t>Molecular Breeding</w:t>
      </w:r>
      <w:r w:rsidRPr="009B22E4">
        <w:rPr>
          <w:rFonts w:ascii="Times New Roman" w:eastAsia="Times New Roman" w:hAnsi="Times New Roman" w:cs="Times New Roman"/>
          <w:sz w:val="24"/>
          <w:szCs w:val="24"/>
        </w:rPr>
        <w:t xml:space="preserve">, 25, 197–207. </w:t>
      </w:r>
    </w:p>
    <w:p w:rsidR="004922C9" w:rsidRDefault="004922C9" w:rsidP="004922C9">
      <w:pPr>
        <w:spacing w:after="0" w:line="240" w:lineRule="auto"/>
        <w:jc w:val="both"/>
        <w:rPr>
          <w:rFonts w:ascii="Times New Roman" w:eastAsia="Times New Roman" w:hAnsi="Times New Roman" w:cs="Times New Roman"/>
          <w:b/>
          <w:bCs/>
          <w:sz w:val="24"/>
          <w:szCs w:val="24"/>
        </w:rPr>
      </w:pPr>
    </w:p>
    <w:p w:rsidR="004922C9" w:rsidRPr="009B22E4" w:rsidRDefault="004922C9" w:rsidP="004922C9">
      <w:pPr>
        <w:spacing w:after="0" w:line="240" w:lineRule="auto"/>
        <w:jc w:val="both"/>
        <w:rPr>
          <w:rFonts w:ascii="Times New Roman" w:eastAsia="Times New Roman" w:hAnsi="Times New Roman" w:cs="Times New Roman"/>
          <w:sz w:val="24"/>
          <w:szCs w:val="24"/>
        </w:rPr>
      </w:pPr>
      <w:r w:rsidRPr="009B22E4">
        <w:rPr>
          <w:rFonts w:ascii="Times New Roman" w:eastAsia="Times New Roman" w:hAnsi="Times New Roman" w:cs="Times New Roman"/>
          <w:sz w:val="24"/>
          <w:szCs w:val="24"/>
        </w:rPr>
        <w:t xml:space="preserve">Bouis, H. E., &amp; Saltzman, A. (2017). Improving nutrition through biofortification: A review of evidence from HarvestPlus, 2003–2016. </w:t>
      </w:r>
      <w:r w:rsidRPr="009B22E4">
        <w:rPr>
          <w:rFonts w:ascii="Times New Roman" w:eastAsia="Times New Roman" w:hAnsi="Times New Roman" w:cs="Times New Roman"/>
          <w:i/>
          <w:iCs/>
          <w:sz w:val="24"/>
          <w:szCs w:val="24"/>
        </w:rPr>
        <w:t>Global Food Security</w:t>
      </w:r>
      <w:r w:rsidRPr="009B22E4">
        <w:rPr>
          <w:rFonts w:ascii="Times New Roman" w:eastAsia="Times New Roman" w:hAnsi="Times New Roman" w:cs="Times New Roman"/>
          <w:sz w:val="24"/>
          <w:szCs w:val="24"/>
        </w:rPr>
        <w:t xml:space="preserve">, 12, 49–58. </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Boukar, O., Belko, N., Chamarthi, S., Togola, A., Batieno, J., Owusu, E., Haruna, M., Diallo, S., Umar, M. L., Olufajo, O., &amp; Fatokun, C. (2019).</w:t>
      </w:r>
      <w:r w:rsidRPr="004922C9">
        <w:rPr>
          <w:rFonts w:ascii="Times New Roman" w:eastAsia="Times New Roman" w:hAnsi="Times New Roman" w:cs="Times New Roman"/>
          <w:sz w:val="24"/>
          <w:szCs w:val="24"/>
        </w:rPr>
        <w:t xml:space="preserve"> Cowpea (</w:t>
      </w:r>
      <w:r w:rsidRPr="004922C9">
        <w:rPr>
          <w:rFonts w:ascii="Times New Roman" w:eastAsia="Times New Roman" w:hAnsi="Times New Roman" w:cs="Times New Roman"/>
          <w:i/>
          <w:iCs/>
          <w:sz w:val="24"/>
          <w:szCs w:val="24"/>
        </w:rPr>
        <w:t>Vigna unguiculata</w:t>
      </w:r>
      <w:r w:rsidRPr="004922C9">
        <w:rPr>
          <w:rFonts w:ascii="Times New Roman" w:eastAsia="Times New Roman" w:hAnsi="Times New Roman" w:cs="Times New Roman"/>
          <w:sz w:val="24"/>
          <w:szCs w:val="24"/>
        </w:rPr>
        <w:t xml:space="preserve">): Genetics, genomics and breeding. </w:t>
      </w:r>
      <w:r w:rsidRPr="004922C9">
        <w:rPr>
          <w:rFonts w:ascii="Times New Roman" w:eastAsia="Times New Roman" w:hAnsi="Times New Roman" w:cs="Times New Roman"/>
          <w:i/>
          <w:iCs/>
          <w:sz w:val="24"/>
          <w:szCs w:val="24"/>
        </w:rPr>
        <w:t>Plant Breeding, 138</w:t>
      </w:r>
      <w:r w:rsidRPr="004922C9">
        <w:rPr>
          <w:rFonts w:ascii="Times New Roman" w:eastAsia="Times New Roman" w:hAnsi="Times New Roman" w:cs="Times New Roman"/>
          <w:sz w:val="24"/>
          <w:szCs w:val="24"/>
        </w:rPr>
        <w:t>(4), 415–424.</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Boukar, O., Massawe, F., Muranaka, S., Franco, J., Maziya-Dixon, B., Singh, B., &amp; Fatokun, C. (2011).</w:t>
      </w:r>
      <w:r w:rsidRPr="004922C9">
        <w:rPr>
          <w:rFonts w:ascii="Times New Roman" w:eastAsia="Times New Roman" w:hAnsi="Times New Roman" w:cs="Times New Roman"/>
          <w:sz w:val="24"/>
          <w:szCs w:val="24"/>
        </w:rPr>
        <w:t xml:space="preserve"> Evaluation of cowpea germplasm lines for protein and mineral concentrations in grains. </w:t>
      </w:r>
      <w:r w:rsidRPr="004922C9">
        <w:rPr>
          <w:rFonts w:ascii="Times New Roman" w:eastAsia="Times New Roman" w:hAnsi="Times New Roman" w:cs="Times New Roman"/>
          <w:i/>
          <w:iCs/>
          <w:sz w:val="24"/>
          <w:szCs w:val="24"/>
        </w:rPr>
        <w:t>Plant Genetic Resources: Characterization and Utilization, 9</w:t>
      </w:r>
      <w:r w:rsidRPr="004922C9">
        <w:rPr>
          <w:rFonts w:ascii="Times New Roman" w:eastAsia="Times New Roman" w:hAnsi="Times New Roman" w:cs="Times New Roman"/>
          <w:sz w:val="24"/>
          <w:szCs w:val="24"/>
        </w:rPr>
        <w:t>(4), 515–522.</w:t>
      </w:r>
    </w:p>
    <w:p w:rsidR="004922C9" w:rsidRPr="009B22E4" w:rsidRDefault="004922C9" w:rsidP="004922C9">
      <w:pPr>
        <w:spacing w:after="0" w:line="240" w:lineRule="auto"/>
        <w:jc w:val="both"/>
        <w:rPr>
          <w:rFonts w:ascii="Times New Roman" w:hAnsi="Times New Roman" w:cs="Times New Roman"/>
          <w:sz w:val="24"/>
          <w:szCs w:val="24"/>
        </w:rPr>
      </w:pPr>
      <w:r w:rsidRPr="009B22E4">
        <w:rPr>
          <w:rFonts w:ascii="Times New Roman" w:hAnsi="Times New Roman" w:cs="Times New Roman"/>
          <w:sz w:val="24"/>
          <w:szCs w:val="24"/>
        </w:rPr>
        <w:t xml:space="preserve">Carvalho, A. F. U., de Sousa, N. M., Farias, D. F., da Rocha-Bezerra, L. C. B., da Silva, R. M. P., Viana, M. P., ... &amp; Freire Filho, F. R. (2012). Nutritional ranking of 30 Brazilian genotypes of cowpeas including determination of antioxidant capacity and vitamins. </w:t>
      </w:r>
      <w:r w:rsidRPr="009B22E4">
        <w:rPr>
          <w:rFonts w:ascii="Times New Roman" w:hAnsi="Times New Roman" w:cs="Times New Roman"/>
          <w:i/>
          <w:iCs/>
          <w:sz w:val="24"/>
          <w:szCs w:val="24"/>
        </w:rPr>
        <w:t>Journal of Food Composition and Analysis</w:t>
      </w:r>
      <w:r w:rsidRPr="009B22E4">
        <w:rPr>
          <w:rFonts w:ascii="Times New Roman" w:hAnsi="Times New Roman" w:cs="Times New Roman"/>
          <w:sz w:val="24"/>
          <w:szCs w:val="24"/>
        </w:rPr>
        <w:t xml:space="preserve">, </w:t>
      </w:r>
      <w:r w:rsidRPr="009B22E4">
        <w:rPr>
          <w:rFonts w:ascii="Times New Roman" w:hAnsi="Times New Roman" w:cs="Times New Roman"/>
          <w:i/>
          <w:iCs/>
          <w:sz w:val="24"/>
          <w:szCs w:val="24"/>
        </w:rPr>
        <w:t>26</w:t>
      </w:r>
      <w:r w:rsidRPr="009B22E4">
        <w:rPr>
          <w:rFonts w:ascii="Times New Roman" w:hAnsi="Times New Roman" w:cs="Times New Roman"/>
          <w:sz w:val="24"/>
          <w:szCs w:val="24"/>
        </w:rPr>
        <w:t>(1-2), 81-88.</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Carvalho, M., Lino-Neto, T., Rosa, E., &amp; Carnide, V. (2012</w:t>
      </w:r>
      <w:r w:rsidRPr="004922C9">
        <w:rPr>
          <w:rFonts w:ascii="Times New Roman" w:eastAsia="Times New Roman" w:hAnsi="Times New Roman" w:cs="Times New Roman"/>
          <w:b/>
          <w:bCs/>
          <w:sz w:val="24"/>
          <w:szCs w:val="24"/>
        </w:rPr>
        <w:t>).</w:t>
      </w:r>
      <w:r w:rsidRPr="004922C9">
        <w:rPr>
          <w:rFonts w:ascii="Times New Roman" w:eastAsia="Times New Roman" w:hAnsi="Times New Roman" w:cs="Times New Roman"/>
          <w:sz w:val="24"/>
          <w:szCs w:val="24"/>
        </w:rPr>
        <w:t xml:space="preserve"> Cowpea: A legume crop for a challenging environment. </w:t>
      </w:r>
      <w:r w:rsidRPr="004922C9">
        <w:rPr>
          <w:rFonts w:ascii="Times New Roman" w:eastAsia="Times New Roman" w:hAnsi="Times New Roman" w:cs="Times New Roman"/>
          <w:i/>
          <w:iCs/>
          <w:sz w:val="24"/>
          <w:szCs w:val="24"/>
        </w:rPr>
        <w:t>Journal of the Science of Food and Agriculture, 92</w:t>
      </w:r>
      <w:r w:rsidRPr="004922C9">
        <w:rPr>
          <w:rFonts w:ascii="Times New Roman" w:eastAsia="Times New Roman" w:hAnsi="Times New Roman" w:cs="Times New Roman"/>
          <w:sz w:val="24"/>
          <w:szCs w:val="24"/>
        </w:rPr>
        <w:t>(10), 1987–1996.</w:t>
      </w:r>
    </w:p>
    <w:p w:rsidR="004922C9" w:rsidRPr="009B22E4" w:rsidRDefault="004922C9" w:rsidP="004922C9">
      <w:pPr>
        <w:spacing w:after="0" w:line="240" w:lineRule="auto"/>
        <w:jc w:val="both"/>
        <w:rPr>
          <w:rFonts w:ascii="Times New Roman" w:hAnsi="Times New Roman" w:cs="Times New Roman"/>
          <w:sz w:val="24"/>
          <w:szCs w:val="24"/>
        </w:rPr>
      </w:pPr>
      <w:r w:rsidRPr="009B22E4">
        <w:rPr>
          <w:rFonts w:ascii="Times New Roman" w:hAnsi="Times New Roman" w:cs="Times New Roman"/>
          <w:sz w:val="24"/>
          <w:szCs w:val="24"/>
        </w:rPr>
        <w:t xml:space="preserve">Carvalho, M., Lino‐Neto, T., Rosa, E., &amp; Carnide, V. (2017). Cowpea: a legume crop for a challenging environment. </w:t>
      </w:r>
      <w:r w:rsidRPr="009B22E4">
        <w:rPr>
          <w:rFonts w:ascii="Times New Roman" w:hAnsi="Times New Roman" w:cs="Times New Roman"/>
          <w:i/>
          <w:iCs/>
          <w:sz w:val="24"/>
          <w:szCs w:val="24"/>
        </w:rPr>
        <w:t>Journal of the Science of Food and Agriculture</w:t>
      </w:r>
      <w:r w:rsidRPr="009B22E4">
        <w:rPr>
          <w:rFonts w:ascii="Times New Roman" w:hAnsi="Times New Roman" w:cs="Times New Roman"/>
          <w:sz w:val="24"/>
          <w:szCs w:val="24"/>
        </w:rPr>
        <w:t xml:space="preserve">, </w:t>
      </w:r>
      <w:r w:rsidRPr="009B22E4">
        <w:rPr>
          <w:rFonts w:ascii="Times New Roman" w:hAnsi="Times New Roman" w:cs="Times New Roman"/>
          <w:i/>
          <w:iCs/>
          <w:sz w:val="24"/>
          <w:szCs w:val="24"/>
        </w:rPr>
        <w:t>97</w:t>
      </w:r>
      <w:r w:rsidRPr="009B22E4">
        <w:rPr>
          <w:rFonts w:ascii="Times New Roman" w:hAnsi="Times New Roman" w:cs="Times New Roman"/>
          <w:sz w:val="24"/>
          <w:szCs w:val="24"/>
        </w:rPr>
        <w:t>(13), 4273-4284.</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lastRenderedPageBreak/>
        <w:t>Carvalho, M., Muñoz-Amatriaín, M., Castro, I., Lino-Neto, T., Matos, M., Egea-Cortines, M., Rosa, E., Close, T. J., &amp; Carnide, V. (2017).</w:t>
      </w:r>
      <w:r w:rsidRPr="004922C9">
        <w:rPr>
          <w:rFonts w:ascii="Times New Roman" w:eastAsia="Times New Roman" w:hAnsi="Times New Roman" w:cs="Times New Roman"/>
          <w:sz w:val="24"/>
          <w:szCs w:val="24"/>
        </w:rPr>
        <w:t xml:space="preserve"> Genetic mapping of seed nutritional traits in cowpea (</w:t>
      </w:r>
      <w:r w:rsidRPr="004922C9">
        <w:rPr>
          <w:rFonts w:ascii="Times New Roman" w:eastAsia="Times New Roman" w:hAnsi="Times New Roman" w:cs="Times New Roman"/>
          <w:i/>
          <w:iCs/>
          <w:sz w:val="24"/>
          <w:szCs w:val="24"/>
        </w:rPr>
        <w:t>Vigna unguiculata</w:t>
      </w:r>
      <w:r w:rsidRPr="004922C9">
        <w:rPr>
          <w:rFonts w:ascii="Times New Roman" w:eastAsia="Times New Roman" w:hAnsi="Times New Roman" w:cs="Times New Roman"/>
          <w:sz w:val="24"/>
          <w:szCs w:val="24"/>
        </w:rPr>
        <w:t xml:space="preserve"> L. Walp.). </w:t>
      </w:r>
      <w:r w:rsidRPr="004922C9">
        <w:rPr>
          <w:rFonts w:ascii="Times New Roman" w:eastAsia="Times New Roman" w:hAnsi="Times New Roman" w:cs="Times New Roman"/>
          <w:i/>
          <w:iCs/>
          <w:sz w:val="24"/>
          <w:szCs w:val="24"/>
        </w:rPr>
        <w:t>Theoretical and Applied Genetics, 130</w:t>
      </w:r>
      <w:r w:rsidRPr="004922C9">
        <w:rPr>
          <w:rFonts w:ascii="Times New Roman" w:eastAsia="Times New Roman" w:hAnsi="Times New Roman" w:cs="Times New Roman"/>
          <w:sz w:val="24"/>
          <w:szCs w:val="24"/>
        </w:rPr>
        <w:t>, 843–859.</w:t>
      </w:r>
    </w:p>
    <w:p w:rsidR="004922C9" w:rsidRPr="009B22E4" w:rsidRDefault="004922C9" w:rsidP="004922C9">
      <w:pPr>
        <w:pStyle w:val="pdq2pgselectionanchorcontainer"/>
        <w:jc w:val="both"/>
      </w:pPr>
      <w:r w:rsidRPr="009B22E4">
        <w:t xml:space="preserve">Chesnin, L., &amp; Yien, C. H. (1951). Turbidimetric determination of available sulphates. </w:t>
      </w:r>
      <w:r w:rsidRPr="009B22E4">
        <w:rPr>
          <w:rStyle w:val="Emphasis"/>
        </w:rPr>
        <w:t>Soil Science Society of America Proceedings, 15</w:t>
      </w:r>
      <w:r w:rsidRPr="009B22E4">
        <w:t>, 149–151.</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Dakora, F. D., &amp; Belane, A. K. (2019).</w:t>
      </w:r>
      <w:r w:rsidRPr="004922C9">
        <w:rPr>
          <w:rFonts w:ascii="Times New Roman" w:eastAsia="Times New Roman" w:hAnsi="Times New Roman" w:cs="Times New Roman"/>
          <w:sz w:val="24"/>
          <w:szCs w:val="24"/>
        </w:rPr>
        <w:t xml:space="preserve"> Nitrogen fixation and agronomic benefits of grain legumes in African agriculture. </w:t>
      </w:r>
      <w:r w:rsidRPr="004922C9">
        <w:rPr>
          <w:rFonts w:ascii="Times New Roman" w:eastAsia="Times New Roman" w:hAnsi="Times New Roman" w:cs="Times New Roman"/>
          <w:i/>
          <w:iCs/>
          <w:sz w:val="24"/>
          <w:szCs w:val="24"/>
        </w:rPr>
        <w:t>Symbiosis, 78</w:t>
      </w:r>
      <w:r w:rsidRPr="004922C9">
        <w:rPr>
          <w:rFonts w:ascii="Times New Roman" w:eastAsia="Times New Roman" w:hAnsi="Times New Roman" w:cs="Times New Roman"/>
          <w:sz w:val="24"/>
          <w:szCs w:val="24"/>
        </w:rPr>
        <w:t>(1), 1–13.</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Gbedevi, K. M., Boukar, O., Tongoona, P., Fatokun, C., &amp; Muranaka, S. (2021).</w:t>
      </w:r>
      <w:r w:rsidRPr="004922C9">
        <w:rPr>
          <w:rFonts w:ascii="Times New Roman" w:eastAsia="Times New Roman" w:hAnsi="Times New Roman" w:cs="Times New Roman"/>
          <w:sz w:val="24"/>
          <w:szCs w:val="24"/>
        </w:rPr>
        <w:t xml:space="preserve"> Genetic diversity and population structure of cowpea (</w:t>
      </w:r>
      <w:r w:rsidRPr="004922C9">
        <w:rPr>
          <w:rFonts w:ascii="Times New Roman" w:eastAsia="Times New Roman" w:hAnsi="Times New Roman" w:cs="Times New Roman"/>
          <w:i/>
          <w:iCs/>
          <w:sz w:val="24"/>
          <w:szCs w:val="24"/>
        </w:rPr>
        <w:t>Vigna unguiculata</w:t>
      </w:r>
      <w:r w:rsidRPr="004922C9">
        <w:rPr>
          <w:rFonts w:ascii="Times New Roman" w:eastAsia="Times New Roman" w:hAnsi="Times New Roman" w:cs="Times New Roman"/>
          <w:sz w:val="24"/>
          <w:szCs w:val="24"/>
        </w:rPr>
        <w:t xml:space="preserve"> L. Walp.): A review. </w:t>
      </w:r>
      <w:r w:rsidRPr="004922C9">
        <w:rPr>
          <w:rFonts w:ascii="Times New Roman" w:eastAsia="Times New Roman" w:hAnsi="Times New Roman" w:cs="Times New Roman"/>
          <w:i/>
          <w:iCs/>
          <w:sz w:val="24"/>
          <w:szCs w:val="24"/>
        </w:rPr>
        <w:t>Plants, 10</w:t>
      </w:r>
      <w:r w:rsidRPr="004922C9">
        <w:rPr>
          <w:rFonts w:ascii="Times New Roman" w:eastAsia="Times New Roman" w:hAnsi="Times New Roman" w:cs="Times New Roman"/>
          <w:sz w:val="24"/>
          <w:szCs w:val="24"/>
        </w:rPr>
        <w:t>(12), 2676.</w:t>
      </w:r>
    </w:p>
    <w:p w:rsidR="004922C9" w:rsidRPr="009B22E4" w:rsidRDefault="004922C9" w:rsidP="004922C9">
      <w:pPr>
        <w:spacing w:after="0" w:line="240" w:lineRule="auto"/>
        <w:jc w:val="both"/>
        <w:rPr>
          <w:rFonts w:ascii="Times New Roman" w:hAnsi="Times New Roman" w:cs="Times New Roman"/>
          <w:sz w:val="24"/>
          <w:szCs w:val="24"/>
        </w:rPr>
      </w:pPr>
      <w:r w:rsidRPr="009B22E4">
        <w:rPr>
          <w:rFonts w:ascii="Times New Roman" w:hAnsi="Times New Roman" w:cs="Times New Roman"/>
          <w:sz w:val="24"/>
          <w:szCs w:val="24"/>
        </w:rPr>
        <w:t xml:space="preserve">Gonçalves, A., Goufo, P., Barros, A., Domínguez-Perles, R., Trindade, H., Rosa, E. A. S., Ferreira, L., &amp; Rodrigues, M. (2016). </w:t>
      </w:r>
      <w:r w:rsidRPr="009B22E4">
        <w:rPr>
          <w:rStyle w:val="Emphasis"/>
          <w:rFonts w:ascii="Times New Roman" w:hAnsi="Times New Roman" w:cs="Times New Roman"/>
          <w:sz w:val="24"/>
          <w:szCs w:val="24"/>
        </w:rPr>
        <w:t>Cowpea (Vigna unguiculata L. Walp), a renewed multipurpose crop for a more sustainable agri-food system: Nutritional advantages and constraints</w:t>
      </w:r>
      <w:r w:rsidRPr="009B22E4">
        <w:rPr>
          <w:rFonts w:ascii="Times New Roman" w:hAnsi="Times New Roman" w:cs="Times New Roman"/>
          <w:sz w:val="24"/>
          <w:szCs w:val="24"/>
        </w:rPr>
        <w:t xml:space="preserve">. </w:t>
      </w:r>
      <w:r w:rsidRPr="009B22E4">
        <w:rPr>
          <w:rStyle w:val="Emphasis"/>
          <w:rFonts w:ascii="Times New Roman" w:hAnsi="Times New Roman" w:cs="Times New Roman"/>
          <w:sz w:val="24"/>
          <w:szCs w:val="24"/>
        </w:rPr>
        <w:t>Journal of the Science of Food and Agriculture, 96</w:t>
      </w:r>
      <w:r w:rsidRPr="009B22E4">
        <w:rPr>
          <w:rFonts w:ascii="Times New Roman" w:hAnsi="Times New Roman" w:cs="Times New Roman"/>
          <w:sz w:val="24"/>
          <w:szCs w:val="24"/>
        </w:rPr>
        <w:t>(9), 2941–2951</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Gonçalves, A., Goufo, P., Barros, A., Domínguez-Perles, R., Trindade, H., Rosa, E. A. S., Ferreira, L., &amp; Rodrigues, M. (2016).</w:t>
      </w:r>
      <w:r w:rsidRPr="004922C9">
        <w:rPr>
          <w:rFonts w:ascii="Times New Roman" w:eastAsia="Times New Roman" w:hAnsi="Times New Roman" w:cs="Times New Roman"/>
          <w:sz w:val="24"/>
          <w:szCs w:val="24"/>
        </w:rPr>
        <w:t xml:space="preserve"> Cowpea (</w:t>
      </w:r>
      <w:r w:rsidRPr="004922C9">
        <w:rPr>
          <w:rFonts w:ascii="Times New Roman" w:eastAsia="Times New Roman" w:hAnsi="Times New Roman" w:cs="Times New Roman"/>
          <w:i/>
          <w:iCs/>
          <w:sz w:val="24"/>
          <w:szCs w:val="24"/>
        </w:rPr>
        <w:t>Vigna unguiculata</w:t>
      </w:r>
      <w:r w:rsidRPr="004922C9">
        <w:rPr>
          <w:rFonts w:ascii="Times New Roman" w:eastAsia="Times New Roman" w:hAnsi="Times New Roman" w:cs="Times New Roman"/>
          <w:sz w:val="24"/>
          <w:szCs w:val="24"/>
        </w:rPr>
        <w:t xml:space="preserve"> L. Walp.), a renewed multipurpose crop for a more sustainable agri-food system: Nutritional advantages and constraints. </w:t>
      </w:r>
      <w:r w:rsidRPr="004922C9">
        <w:rPr>
          <w:rFonts w:ascii="Times New Roman" w:eastAsia="Times New Roman" w:hAnsi="Times New Roman" w:cs="Times New Roman"/>
          <w:i/>
          <w:iCs/>
          <w:sz w:val="24"/>
          <w:szCs w:val="24"/>
        </w:rPr>
        <w:t>Journal of the Science of Food and Agriculture, 96</w:t>
      </w:r>
      <w:r w:rsidRPr="004922C9">
        <w:rPr>
          <w:rFonts w:ascii="Times New Roman" w:eastAsia="Times New Roman" w:hAnsi="Times New Roman" w:cs="Times New Roman"/>
          <w:sz w:val="24"/>
          <w:szCs w:val="24"/>
        </w:rPr>
        <w:t>(9), 2941–2951.</w:t>
      </w:r>
    </w:p>
    <w:p w:rsidR="004922C9" w:rsidRPr="009B22E4" w:rsidRDefault="004922C9" w:rsidP="004922C9">
      <w:pPr>
        <w:pStyle w:val="NormalWeb"/>
        <w:jc w:val="both"/>
      </w:pPr>
      <w:r w:rsidRPr="009B22E4">
        <w:t xml:space="preserve">Jackson, M. L. (1973). </w:t>
      </w:r>
      <w:r w:rsidRPr="009B22E4">
        <w:rPr>
          <w:rStyle w:val="Emphasis"/>
        </w:rPr>
        <w:t>Soil Chemical Analysis</w:t>
      </w:r>
      <w:r w:rsidRPr="009B22E4">
        <w:t>. Prentice Hall of India, New Delhi.</w:t>
      </w:r>
    </w:p>
    <w:p w:rsidR="004922C9" w:rsidRPr="009B22E4" w:rsidRDefault="004922C9" w:rsidP="004922C9">
      <w:pPr>
        <w:pStyle w:val="NormalWeb"/>
        <w:jc w:val="both"/>
      </w:pPr>
      <w:r w:rsidRPr="009B22E4">
        <w:t xml:space="preserve">Lindsay, W. L., &amp; Norvell, W. A. (1978). Development of a DTPA soil test for zinc, iron, manganese, and copper. </w:t>
      </w:r>
      <w:r w:rsidRPr="009B22E4">
        <w:rPr>
          <w:rStyle w:val="Emphasis"/>
        </w:rPr>
        <w:t>Soil Science Society of America Journal, 42</w:t>
      </w:r>
      <w:r w:rsidRPr="009B22E4">
        <w:t>(3), 421–428.</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Mekonnen, T., Boukar, O., Fatokun, C., &amp; Gepts, P. (2022).</w:t>
      </w:r>
      <w:r w:rsidRPr="004922C9">
        <w:rPr>
          <w:rFonts w:ascii="Times New Roman" w:eastAsia="Times New Roman" w:hAnsi="Times New Roman" w:cs="Times New Roman"/>
          <w:sz w:val="24"/>
          <w:szCs w:val="24"/>
        </w:rPr>
        <w:t xml:space="preserve"> Advances in cowpea genomics and breeding for climate resilience and nutritional improvement. </w:t>
      </w:r>
      <w:r w:rsidRPr="004922C9">
        <w:rPr>
          <w:rFonts w:ascii="Times New Roman" w:eastAsia="Times New Roman" w:hAnsi="Times New Roman" w:cs="Times New Roman"/>
          <w:i/>
          <w:iCs/>
          <w:sz w:val="24"/>
          <w:szCs w:val="24"/>
        </w:rPr>
        <w:t>Frontiers in Plant Science, 13</w:t>
      </w:r>
      <w:r w:rsidRPr="004922C9">
        <w:rPr>
          <w:rFonts w:ascii="Times New Roman" w:eastAsia="Times New Roman" w:hAnsi="Times New Roman" w:cs="Times New Roman"/>
          <w:sz w:val="24"/>
          <w:szCs w:val="24"/>
        </w:rPr>
        <w:t>, 861634.</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Nkhoma, N., Shimelis, H., &amp; Laing, M. D. (2020).</w:t>
      </w:r>
      <w:r w:rsidRPr="004922C9">
        <w:rPr>
          <w:rFonts w:ascii="Times New Roman" w:eastAsia="Times New Roman" w:hAnsi="Times New Roman" w:cs="Times New Roman"/>
          <w:sz w:val="24"/>
          <w:szCs w:val="24"/>
        </w:rPr>
        <w:t xml:space="preserve"> Genotype × environment interaction and stability analysis of grain yield and nutritional quality traits in cowpea. </w:t>
      </w:r>
      <w:r w:rsidRPr="004922C9">
        <w:rPr>
          <w:rFonts w:ascii="Times New Roman" w:eastAsia="Times New Roman" w:hAnsi="Times New Roman" w:cs="Times New Roman"/>
          <w:i/>
          <w:iCs/>
          <w:sz w:val="24"/>
          <w:szCs w:val="24"/>
        </w:rPr>
        <w:t>Euphytica, 216</w:t>
      </w:r>
      <w:r w:rsidRPr="004922C9">
        <w:rPr>
          <w:rFonts w:ascii="Times New Roman" w:eastAsia="Times New Roman" w:hAnsi="Times New Roman" w:cs="Times New Roman"/>
          <w:sz w:val="24"/>
          <w:szCs w:val="24"/>
        </w:rPr>
        <w:t>, 1–15.</w:t>
      </w:r>
    </w:p>
    <w:p w:rsidR="004922C9" w:rsidRPr="009B22E4" w:rsidRDefault="004922C9" w:rsidP="004922C9">
      <w:pPr>
        <w:spacing w:after="0" w:line="240" w:lineRule="auto"/>
        <w:jc w:val="both"/>
        <w:rPr>
          <w:rFonts w:ascii="Times New Roman" w:eastAsia="Times New Roman" w:hAnsi="Times New Roman" w:cs="Times New Roman"/>
          <w:sz w:val="24"/>
          <w:szCs w:val="24"/>
        </w:rPr>
      </w:pPr>
      <w:r w:rsidRPr="009B22E4">
        <w:rPr>
          <w:rFonts w:ascii="Times New Roman" w:hAnsi="Times New Roman" w:cs="Times New Roman"/>
          <w:sz w:val="24"/>
          <w:szCs w:val="24"/>
        </w:rPr>
        <w:t xml:space="preserve">Nkhoma, N., Shimelis, H., Laing, M. D., Shayanowako, A., &amp; Mathew, I. (2020). </w:t>
      </w:r>
      <w:r w:rsidRPr="009B22E4">
        <w:rPr>
          <w:rStyle w:val="Emphasis"/>
          <w:rFonts w:ascii="Times New Roman" w:hAnsi="Times New Roman" w:cs="Times New Roman"/>
          <w:sz w:val="24"/>
          <w:szCs w:val="24"/>
        </w:rPr>
        <w:t>Assessing the genetic diversity of cowpea [Vigna unguiculata (L.) Walp.] germplasm collections using phenotypic traits and SNP markers</w:t>
      </w:r>
      <w:r w:rsidRPr="009B22E4">
        <w:rPr>
          <w:rFonts w:ascii="Times New Roman" w:hAnsi="Times New Roman" w:cs="Times New Roman"/>
          <w:sz w:val="24"/>
          <w:szCs w:val="24"/>
        </w:rPr>
        <w:t xml:space="preserve">. </w:t>
      </w:r>
      <w:r w:rsidRPr="009B22E4">
        <w:rPr>
          <w:rStyle w:val="Emphasis"/>
          <w:rFonts w:ascii="Times New Roman" w:hAnsi="Times New Roman" w:cs="Times New Roman"/>
          <w:sz w:val="24"/>
          <w:szCs w:val="24"/>
        </w:rPr>
        <w:t>BMC Genetics, 21</w:t>
      </w:r>
      <w:r w:rsidRPr="009B22E4">
        <w:rPr>
          <w:rFonts w:ascii="Times New Roman" w:hAnsi="Times New Roman" w:cs="Times New Roman"/>
          <w:sz w:val="24"/>
          <w:szCs w:val="24"/>
        </w:rPr>
        <w:t>, 110</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t>Padulosi, S., &amp; Ng, N. Q. (1997).</w:t>
      </w:r>
      <w:r w:rsidRPr="004922C9">
        <w:rPr>
          <w:rFonts w:ascii="Times New Roman" w:eastAsia="Times New Roman" w:hAnsi="Times New Roman" w:cs="Times New Roman"/>
          <w:sz w:val="24"/>
          <w:szCs w:val="24"/>
        </w:rPr>
        <w:t xml:space="preserve"> Origin, taxonomy, and morphology of </w:t>
      </w:r>
      <w:r w:rsidRPr="004922C9">
        <w:rPr>
          <w:rFonts w:ascii="Times New Roman" w:eastAsia="Times New Roman" w:hAnsi="Times New Roman" w:cs="Times New Roman"/>
          <w:i/>
          <w:iCs/>
          <w:sz w:val="24"/>
          <w:szCs w:val="24"/>
        </w:rPr>
        <w:t>Vigna unguiculata</w:t>
      </w:r>
      <w:r w:rsidRPr="004922C9">
        <w:rPr>
          <w:rFonts w:ascii="Times New Roman" w:eastAsia="Times New Roman" w:hAnsi="Times New Roman" w:cs="Times New Roman"/>
          <w:sz w:val="24"/>
          <w:szCs w:val="24"/>
        </w:rPr>
        <w:t xml:space="preserve"> (L.) Walp. In B. B. Singh, D. R. Mohan Raj, K. E. Dashiell, &amp; L. E. N. Jackai (Eds.), </w:t>
      </w:r>
      <w:r w:rsidRPr="004922C9">
        <w:rPr>
          <w:rFonts w:ascii="Times New Roman" w:eastAsia="Times New Roman" w:hAnsi="Times New Roman" w:cs="Times New Roman"/>
          <w:i/>
          <w:iCs/>
          <w:sz w:val="24"/>
          <w:szCs w:val="24"/>
        </w:rPr>
        <w:t>Advances in Cowpea Research</w:t>
      </w:r>
      <w:r w:rsidRPr="004922C9">
        <w:rPr>
          <w:rFonts w:ascii="Times New Roman" w:eastAsia="Times New Roman" w:hAnsi="Times New Roman" w:cs="Times New Roman"/>
          <w:sz w:val="24"/>
          <w:szCs w:val="24"/>
        </w:rPr>
        <w:t xml:space="preserve"> (pp. 1–12). International Institute of Tropical Agriculture (IITA) and Japan International Research Center for Agricultural Sciences (JIRCAS).</w:t>
      </w:r>
    </w:p>
    <w:p w:rsidR="004922C9" w:rsidRPr="004922C9" w:rsidRDefault="004922C9" w:rsidP="004922C9">
      <w:pPr>
        <w:spacing w:before="100" w:beforeAutospacing="1" w:after="100" w:afterAutospacing="1" w:line="240" w:lineRule="auto"/>
        <w:jc w:val="both"/>
        <w:rPr>
          <w:rFonts w:ascii="Times New Roman" w:eastAsia="Times New Roman" w:hAnsi="Times New Roman" w:cs="Times New Roman"/>
          <w:sz w:val="24"/>
          <w:szCs w:val="24"/>
        </w:rPr>
      </w:pPr>
      <w:r w:rsidRPr="004922C9">
        <w:rPr>
          <w:rFonts w:ascii="Times New Roman" w:eastAsia="Times New Roman" w:hAnsi="Times New Roman" w:cs="Times New Roman"/>
          <w:bCs/>
          <w:sz w:val="24"/>
          <w:szCs w:val="24"/>
        </w:rPr>
        <w:lastRenderedPageBreak/>
        <w:t>Rangkham, S., &amp; Khanna, V. G. (2018)</w:t>
      </w:r>
      <w:r w:rsidRPr="004922C9">
        <w:rPr>
          <w:rFonts w:ascii="Times New Roman" w:eastAsia="Times New Roman" w:hAnsi="Times New Roman" w:cs="Times New Roman"/>
          <w:b/>
          <w:bCs/>
          <w:sz w:val="24"/>
          <w:szCs w:val="24"/>
        </w:rPr>
        <w:t>.</w:t>
      </w:r>
      <w:r w:rsidRPr="004922C9">
        <w:rPr>
          <w:rFonts w:ascii="Times New Roman" w:eastAsia="Times New Roman" w:hAnsi="Times New Roman" w:cs="Times New Roman"/>
          <w:sz w:val="24"/>
          <w:szCs w:val="24"/>
        </w:rPr>
        <w:t xml:space="preserve"> Nutritional composition and health benefits of cowpea (</w:t>
      </w:r>
      <w:r w:rsidRPr="004922C9">
        <w:rPr>
          <w:rFonts w:ascii="Times New Roman" w:eastAsia="Times New Roman" w:hAnsi="Times New Roman" w:cs="Times New Roman"/>
          <w:i/>
          <w:iCs/>
          <w:sz w:val="24"/>
          <w:szCs w:val="24"/>
        </w:rPr>
        <w:t>Vigna unguiculata</w:t>
      </w:r>
      <w:r w:rsidRPr="004922C9">
        <w:rPr>
          <w:rFonts w:ascii="Times New Roman" w:eastAsia="Times New Roman" w:hAnsi="Times New Roman" w:cs="Times New Roman"/>
          <w:sz w:val="24"/>
          <w:szCs w:val="24"/>
        </w:rPr>
        <w:t xml:space="preserve">): A review. </w:t>
      </w:r>
      <w:r w:rsidRPr="004922C9">
        <w:rPr>
          <w:rFonts w:ascii="Times New Roman" w:eastAsia="Times New Roman" w:hAnsi="Times New Roman" w:cs="Times New Roman"/>
          <w:i/>
          <w:iCs/>
          <w:sz w:val="24"/>
          <w:szCs w:val="24"/>
        </w:rPr>
        <w:t>International Journal of Current Microbiology and Applied Sciences, 7</w:t>
      </w:r>
      <w:r w:rsidRPr="004922C9">
        <w:rPr>
          <w:rFonts w:ascii="Times New Roman" w:eastAsia="Times New Roman" w:hAnsi="Times New Roman" w:cs="Times New Roman"/>
          <w:sz w:val="24"/>
          <w:szCs w:val="24"/>
        </w:rPr>
        <w:t>(4), 2106–2112.</w:t>
      </w:r>
    </w:p>
    <w:p w:rsidR="00147C1C" w:rsidRDefault="00147C1C" w:rsidP="004922C9">
      <w:pPr>
        <w:jc w:val="both"/>
      </w:pPr>
    </w:p>
    <w:p w:rsidR="00147C1C" w:rsidRPr="00147C1C" w:rsidRDefault="00147C1C" w:rsidP="00147C1C"/>
    <w:p w:rsidR="00147C1C" w:rsidRPr="00147C1C" w:rsidRDefault="00147C1C" w:rsidP="00147C1C"/>
    <w:p w:rsidR="00147C1C" w:rsidRPr="00147C1C" w:rsidRDefault="00147C1C" w:rsidP="00147C1C"/>
    <w:p w:rsidR="00147C1C" w:rsidRPr="00147C1C" w:rsidRDefault="00147C1C" w:rsidP="00147C1C"/>
    <w:p w:rsidR="00147C1C" w:rsidRPr="00147C1C" w:rsidRDefault="00147C1C" w:rsidP="00147C1C"/>
    <w:p w:rsidR="00147C1C" w:rsidRDefault="00147C1C" w:rsidP="00147C1C"/>
    <w:p w:rsidR="00442672" w:rsidRPr="00147C1C" w:rsidRDefault="00147C1C" w:rsidP="00147C1C">
      <w:pPr>
        <w:tabs>
          <w:tab w:val="left" w:pos="6193"/>
        </w:tabs>
      </w:pPr>
      <w:r>
        <w:tab/>
      </w:r>
    </w:p>
    <w:sectPr w:rsidR="00442672" w:rsidRPr="00147C1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DF1" w:rsidRDefault="00221DF1" w:rsidP="00442672">
      <w:pPr>
        <w:spacing w:after="0" w:line="240" w:lineRule="auto"/>
      </w:pPr>
      <w:r>
        <w:separator/>
      </w:r>
    </w:p>
  </w:endnote>
  <w:endnote w:type="continuationSeparator" w:id="0">
    <w:p w:rsidR="00221DF1" w:rsidRDefault="00221DF1" w:rsidP="0044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STIX-Bold">
    <w:panose1 w:val="00000000000000000000"/>
    <w:charset w:val="00"/>
    <w:family w:val="roman"/>
    <w:notTrueType/>
    <w:pitch w:val="default"/>
    <w:sig w:usb0="00000003" w:usb1="00000000" w:usb2="00000000" w:usb3="00000000" w:csb0="00000001" w:csb1="00000000"/>
  </w:font>
  <w:font w:name="STIX-Regular">
    <w:altName w:val="Arial Unicode MS"/>
    <w:panose1 w:val="00000000000000000000"/>
    <w:charset w:val="81"/>
    <w:family w:val="roman"/>
    <w:notTrueType/>
    <w:pitch w:val="default"/>
    <w:sig w:usb0="00000003" w:usb1="09070000" w:usb2="00000010" w:usb3="00000000" w:csb0="000A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0B1" w:rsidRDefault="00C230B1" w:rsidP="00C230B1">
    <w:pPr>
      <w:pStyle w:val="Foote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0B1" w:rsidRDefault="00C230B1" w:rsidP="00C230B1">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DF1" w:rsidRDefault="00221DF1" w:rsidP="00442672">
      <w:pPr>
        <w:spacing w:after="0" w:line="240" w:lineRule="auto"/>
      </w:pPr>
      <w:r>
        <w:separator/>
      </w:r>
    </w:p>
  </w:footnote>
  <w:footnote w:type="continuationSeparator" w:id="0">
    <w:p w:rsidR="00221DF1" w:rsidRDefault="00221DF1" w:rsidP="004426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AE6086"/>
    <w:multiLevelType w:val="multilevel"/>
    <w:tmpl w:val="2346AC1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BBA268F"/>
    <w:multiLevelType w:val="hybridMultilevel"/>
    <w:tmpl w:val="F5E26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cxNTQ3MjGxNDQysDRX0lEKTi0uzszPAykwqgUAIsRdPSwAAAA="/>
  </w:docVars>
  <w:rsids>
    <w:rsidRoot w:val="00442672"/>
    <w:rsid w:val="000974C5"/>
    <w:rsid w:val="000B2A2E"/>
    <w:rsid w:val="001052E9"/>
    <w:rsid w:val="00147C1C"/>
    <w:rsid w:val="001538C7"/>
    <w:rsid w:val="00191263"/>
    <w:rsid w:val="001B518B"/>
    <w:rsid w:val="00221DF1"/>
    <w:rsid w:val="002E675E"/>
    <w:rsid w:val="0030271B"/>
    <w:rsid w:val="00307AF7"/>
    <w:rsid w:val="003C4137"/>
    <w:rsid w:val="00442672"/>
    <w:rsid w:val="00447445"/>
    <w:rsid w:val="004922C9"/>
    <w:rsid w:val="006925A6"/>
    <w:rsid w:val="00694EF7"/>
    <w:rsid w:val="00730137"/>
    <w:rsid w:val="008D0431"/>
    <w:rsid w:val="009035E1"/>
    <w:rsid w:val="009A4F9A"/>
    <w:rsid w:val="00A97E93"/>
    <w:rsid w:val="00B36E73"/>
    <w:rsid w:val="00B61F08"/>
    <w:rsid w:val="00B83568"/>
    <w:rsid w:val="00BE59C5"/>
    <w:rsid w:val="00C077CD"/>
    <w:rsid w:val="00C230B1"/>
    <w:rsid w:val="00C32B71"/>
    <w:rsid w:val="00CB3CE1"/>
    <w:rsid w:val="00D523B6"/>
    <w:rsid w:val="00DB628E"/>
    <w:rsid w:val="00E01C5C"/>
    <w:rsid w:val="00E4002C"/>
    <w:rsid w:val="00EC1B9F"/>
    <w:rsid w:val="00EF2E66"/>
    <w:rsid w:val="00F01D8F"/>
    <w:rsid w:val="00F02F47"/>
    <w:rsid w:val="00F4700A"/>
    <w:rsid w:val="00F61819"/>
    <w:rsid w:val="00FB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4E2F01-8232-43FD-93D9-CD829FD9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F2E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F2E6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672"/>
    <w:pPr>
      <w:ind w:left="720"/>
      <w:contextualSpacing/>
    </w:pPr>
    <w:rPr>
      <w:rFonts w:ascii="Calibri" w:eastAsia="Calibri" w:hAnsi="Calibri" w:cs="Arial"/>
    </w:rPr>
  </w:style>
  <w:style w:type="paragraph" w:customStyle="1" w:styleId="Default">
    <w:name w:val="Default"/>
    <w:rsid w:val="00442672"/>
    <w:pPr>
      <w:autoSpaceDE w:val="0"/>
      <w:autoSpaceDN w:val="0"/>
      <w:adjustRightInd w:val="0"/>
      <w:spacing w:after="0" w:line="240" w:lineRule="auto"/>
    </w:pPr>
    <w:rPr>
      <w:rFonts w:ascii="Myriad Pro" w:eastAsia="Calibri" w:hAnsi="Myriad Pro" w:cs="Myriad Pro"/>
      <w:color w:val="000000"/>
      <w:sz w:val="24"/>
      <w:szCs w:val="24"/>
    </w:rPr>
  </w:style>
  <w:style w:type="paragraph" w:styleId="Footer">
    <w:name w:val="footer"/>
    <w:basedOn w:val="Normal"/>
    <w:link w:val="FooterChar"/>
    <w:uiPriority w:val="99"/>
    <w:unhideWhenUsed/>
    <w:rsid w:val="00442672"/>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442672"/>
    <w:rPr>
      <w:rFonts w:ascii="Calibri" w:eastAsia="Calibri" w:hAnsi="Calibri" w:cs="Arial"/>
    </w:rPr>
  </w:style>
  <w:style w:type="paragraph" w:styleId="Header">
    <w:name w:val="header"/>
    <w:basedOn w:val="Normal"/>
    <w:link w:val="HeaderChar"/>
    <w:uiPriority w:val="99"/>
    <w:unhideWhenUsed/>
    <w:rsid w:val="00442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672"/>
  </w:style>
  <w:style w:type="paragraph" w:customStyle="1" w:styleId="isselectedend">
    <w:name w:val="isselectedend"/>
    <w:basedOn w:val="Normal"/>
    <w:rsid w:val="00FB670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B670C"/>
    <w:rPr>
      <w:i/>
      <w:iCs/>
    </w:rPr>
  </w:style>
  <w:style w:type="paragraph" w:styleId="NormalWeb">
    <w:name w:val="Normal (Web)"/>
    <w:basedOn w:val="Normal"/>
    <w:uiPriority w:val="99"/>
    <w:unhideWhenUsed/>
    <w:rsid w:val="00FB67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F2E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F2E66"/>
    <w:rPr>
      <w:rFonts w:ascii="Times New Roman" w:eastAsia="Times New Roman" w:hAnsi="Times New Roman" w:cs="Times New Roman"/>
      <w:b/>
      <w:bCs/>
      <w:sz w:val="24"/>
      <w:szCs w:val="24"/>
    </w:rPr>
  </w:style>
  <w:style w:type="character" w:styleId="Strong">
    <w:name w:val="Strong"/>
    <w:basedOn w:val="DefaultParagraphFont"/>
    <w:uiPriority w:val="22"/>
    <w:qFormat/>
    <w:rsid w:val="002E675E"/>
    <w:rPr>
      <w:b/>
      <w:bCs/>
    </w:rPr>
  </w:style>
  <w:style w:type="paragraph" w:customStyle="1" w:styleId="pdq2pgselectionanchorcontainer">
    <w:name w:val="pdq2pg_selectionanchorcontainer"/>
    <w:basedOn w:val="Normal"/>
    <w:rsid w:val="00E400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5527">
      <w:bodyDiv w:val="1"/>
      <w:marLeft w:val="0"/>
      <w:marRight w:val="0"/>
      <w:marTop w:val="0"/>
      <w:marBottom w:val="0"/>
      <w:divBdr>
        <w:top w:val="none" w:sz="0" w:space="0" w:color="auto"/>
        <w:left w:val="none" w:sz="0" w:space="0" w:color="auto"/>
        <w:bottom w:val="none" w:sz="0" w:space="0" w:color="auto"/>
        <w:right w:val="none" w:sz="0" w:space="0" w:color="auto"/>
      </w:divBdr>
    </w:div>
    <w:div w:id="1472867759">
      <w:bodyDiv w:val="1"/>
      <w:marLeft w:val="0"/>
      <w:marRight w:val="0"/>
      <w:marTop w:val="0"/>
      <w:marBottom w:val="0"/>
      <w:divBdr>
        <w:top w:val="none" w:sz="0" w:space="0" w:color="auto"/>
        <w:left w:val="none" w:sz="0" w:space="0" w:color="auto"/>
        <w:bottom w:val="none" w:sz="0" w:space="0" w:color="auto"/>
        <w:right w:val="none" w:sz="0" w:space="0" w:color="auto"/>
      </w:divBdr>
    </w:div>
    <w:div w:id="1705398651">
      <w:bodyDiv w:val="1"/>
      <w:marLeft w:val="0"/>
      <w:marRight w:val="0"/>
      <w:marTop w:val="0"/>
      <w:marBottom w:val="0"/>
      <w:divBdr>
        <w:top w:val="none" w:sz="0" w:space="0" w:color="auto"/>
        <w:left w:val="none" w:sz="0" w:space="0" w:color="auto"/>
        <w:bottom w:val="none" w:sz="0" w:space="0" w:color="auto"/>
        <w:right w:val="none" w:sz="0" w:space="0" w:color="auto"/>
      </w:divBdr>
    </w:div>
    <w:div w:id="1741365758">
      <w:bodyDiv w:val="1"/>
      <w:marLeft w:val="0"/>
      <w:marRight w:val="0"/>
      <w:marTop w:val="0"/>
      <w:marBottom w:val="0"/>
      <w:divBdr>
        <w:top w:val="none" w:sz="0" w:space="0" w:color="auto"/>
        <w:left w:val="none" w:sz="0" w:space="0" w:color="auto"/>
        <w:bottom w:val="none" w:sz="0" w:space="0" w:color="auto"/>
        <w:right w:val="none" w:sz="0" w:space="0" w:color="auto"/>
      </w:divBdr>
    </w:div>
    <w:div w:id="191361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E:\Ph.D%20Thesis%20data%20and%20oll\thesis%20seminar%20ppt\thesis%20final%20data\micronutri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h.D%20Thesis%20data%20and%20oll\thesis%20seminar%20ppt\thesis%20final%20data\micronutrien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42074552156029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Sheet1!$Q$9</c:f>
              <c:strCache>
                <c:ptCount val="1"/>
                <c:pt idx="0">
                  <c:v>Ca  (mg/kg)</c:v>
                </c:pt>
              </c:strCache>
            </c:strRef>
          </c:tx>
          <c:spPr>
            <a:ln w="28575" cap="rnd">
              <a:solidFill>
                <a:schemeClr val="accent1"/>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Sheet1!$R$9:$AK$9</c:f>
              <c:numCache>
                <c:formatCode>0.00</c:formatCode>
                <c:ptCount val="20"/>
                <c:pt idx="0">
                  <c:v>0.11</c:v>
                </c:pt>
                <c:pt idx="1">
                  <c:v>0.49</c:v>
                </c:pt>
                <c:pt idx="2">
                  <c:v>0.45</c:v>
                </c:pt>
                <c:pt idx="3">
                  <c:v>0.08</c:v>
                </c:pt>
                <c:pt idx="4">
                  <c:v>0.12</c:v>
                </c:pt>
                <c:pt idx="5">
                  <c:v>0.18</c:v>
                </c:pt>
                <c:pt idx="6">
                  <c:v>0.15</c:v>
                </c:pt>
                <c:pt idx="7">
                  <c:v>0.12</c:v>
                </c:pt>
                <c:pt idx="8">
                  <c:v>0.77</c:v>
                </c:pt>
                <c:pt idx="9">
                  <c:v>0.81</c:v>
                </c:pt>
                <c:pt idx="10">
                  <c:v>0.51</c:v>
                </c:pt>
                <c:pt idx="11">
                  <c:v>0.16</c:v>
                </c:pt>
                <c:pt idx="12">
                  <c:v>0.16</c:v>
                </c:pt>
                <c:pt idx="13">
                  <c:v>0.11</c:v>
                </c:pt>
                <c:pt idx="14">
                  <c:v>0.04</c:v>
                </c:pt>
                <c:pt idx="15">
                  <c:v>0.15</c:v>
                </c:pt>
                <c:pt idx="16">
                  <c:v>0.14000000000000001</c:v>
                </c:pt>
                <c:pt idx="17">
                  <c:v>0.13</c:v>
                </c:pt>
                <c:pt idx="18">
                  <c:v>0.11</c:v>
                </c:pt>
                <c:pt idx="19">
                  <c:v>0.09</c:v>
                </c:pt>
              </c:numCache>
            </c:numRef>
          </c:val>
          <c:smooth val="0"/>
        </c:ser>
        <c:ser>
          <c:idx val="1"/>
          <c:order val="1"/>
          <c:tx>
            <c:strRef>
              <c:f>Sheet1!$Q$10</c:f>
              <c:strCache>
                <c:ptCount val="1"/>
                <c:pt idx="0">
                  <c:v>Mg (mg/kg)</c:v>
                </c:pt>
              </c:strCache>
            </c:strRef>
          </c:tx>
          <c:spPr>
            <a:ln w="28575" cap="rnd">
              <a:solidFill>
                <a:schemeClr val="accent2"/>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Sheet1!$R$10:$AK$10</c:f>
              <c:numCache>
                <c:formatCode>0.00</c:formatCode>
                <c:ptCount val="20"/>
                <c:pt idx="0">
                  <c:v>2.0099999999999998</c:v>
                </c:pt>
                <c:pt idx="1">
                  <c:v>2.61</c:v>
                </c:pt>
                <c:pt idx="2">
                  <c:v>1.55</c:v>
                </c:pt>
                <c:pt idx="3">
                  <c:v>1.86</c:v>
                </c:pt>
                <c:pt idx="4">
                  <c:v>0.54</c:v>
                </c:pt>
                <c:pt idx="5">
                  <c:v>0.98</c:v>
                </c:pt>
                <c:pt idx="6">
                  <c:v>1.54</c:v>
                </c:pt>
                <c:pt idx="7">
                  <c:v>1.77</c:v>
                </c:pt>
                <c:pt idx="8">
                  <c:v>1.24</c:v>
                </c:pt>
                <c:pt idx="9">
                  <c:v>1.98</c:v>
                </c:pt>
                <c:pt idx="10">
                  <c:v>2.15</c:v>
                </c:pt>
                <c:pt idx="11">
                  <c:v>1.45</c:v>
                </c:pt>
                <c:pt idx="12">
                  <c:v>1.22</c:v>
                </c:pt>
                <c:pt idx="13">
                  <c:v>1.65</c:v>
                </c:pt>
                <c:pt idx="14">
                  <c:v>1.45</c:v>
                </c:pt>
                <c:pt idx="15">
                  <c:v>1.1100000000000001</c:v>
                </c:pt>
                <c:pt idx="16">
                  <c:v>1.21</c:v>
                </c:pt>
                <c:pt idx="17">
                  <c:v>1.23</c:v>
                </c:pt>
                <c:pt idx="18">
                  <c:v>0.89</c:v>
                </c:pt>
                <c:pt idx="19">
                  <c:v>1.77</c:v>
                </c:pt>
              </c:numCache>
            </c:numRef>
          </c:val>
          <c:smooth val="0"/>
        </c:ser>
        <c:ser>
          <c:idx val="2"/>
          <c:order val="2"/>
          <c:tx>
            <c:strRef>
              <c:f>Sheet1!$Q$11</c:f>
              <c:strCache>
                <c:ptCount val="1"/>
                <c:pt idx="0">
                  <c:v>Phosphorus  (mg/kg)</c:v>
                </c:pt>
              </c:strCache>
            </c:strRef>
          </c:tx>
          <c:spPr>
            <a:ln w="28575" cap="rnd">
              <a:solidFill>
                <a:schemeClr val="accent3"/>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Sheet1!$R$11:$AK$11</c:f>
              <c:numCache>
                <c:formatCode>0.00</c:formatCode>
                <c:ptCount val="20"/>
                <c:pt idx="0">
                  <c:v>5.0785</c:v>
                </c:pt>
                <c:pt idx="1">
                  <c:v>6.45</c:v>
                </c:pt>
                <c:pt idx="2">
                  <c:v>5.1871999999999998</c:v>
                </c:pt>
                <c:pt idx="3">
                  <c:v>5.5412999999999997</c:v>
                </c:pt>
                <c:pt idx="4">
                  <c:v>1.7222</c:v>
                </c:pt>
                <c:pt idx="5">
                  <c:v>7.1750999999999996</c:v>
                </c:pt>
                <c:pt idx="6">
                  <c:v>2.4016000000000002</c:v>
                </c:pt>
                <c:pt idx="7">
                  <c:v>2.54</c:v>
                </c:pt>
                <c:pt idx="8">
                  <c:v>6.77</c:v>
                </c:pt>
                <c:pt idx="9">
                  <c:v>4.6070000000000002</c:v>
                </c:pt>
                <c:pt idx="10">
                  <c:v>3.45</c:v>
                </c:pt>
                <c:pt idx="11">
                  <c:v>2.4500000000000002</c:v>
                </c:pt>
                <c:pt idx="12">
                  <c:v>5.44</c:v>
                </c:pt>
                <c:pt idx="13">
                  <c:v>4.45</c:v>
                </c:pt>
                <c:pt idx="14">
                  <c:v>3.14</c:v>
                </c:pt>
                <c:pt idx="15">
                  <c:v>3.5638000000000001</c:v>
                </c:pt>
                <c:pt idx="16">
                  <c:v>7.45</c:v>
                </c:pt>
                <c:pt idx="17">
                  <c:v>7.45</c:v>
                </c:pt>
                <c:pt idx="18">
                  <c:v>4.51</c:v>
                </c:pt>
                <c:pt idx="19">
                  <c:v>4.78</c:v>
                </c:pt>
              </c:numCache>
            </c:numRef>
          </c:val>
          <c:smooth val="0"/>
        </c:ser>
        <c:ser>
          <c:idx val="3"/>
          <c:order val="3"/>
          <c:tx>
            <c:strRef>
              <c:f>Sheet1!$Q$12</c:f>
              <c:strCache>
                <c:ptCount val="1"/>
                <c:pt idx="0">
                  <c:v>Sulphur  (mg/kg)</c:v>
                </c:pt>
              </c:strCache>
            </c:strRef>
          </c:tx>
          <c:spPr>
            <a:ln w="28575" cap="rnd">
              <a:solidFill>
                <a:schemeClr val="accent4"/>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Sheet1!$R$12:$AK$12</c:f>
              <c:numCache>
                <c:formatCode>0.00</c:formatCode>
                <c:ptCount val="20"/>
                <c:pt idx="0">
                  <c:v>2.5499999999999998</c:v>
                </c:pt>
                <c:pt idx="1">
                  <c:v>3.44</c:v>
                </c:pt>
                <c:pt idx="2">
                  <c:v>2.1800000000000002</c:v>
                </c:pt>
                <c:pt idx="3">
                  <c:v>2.4803000000000002</c:v>
                </c:pt>
                <c:pt idx="4">
                  <c:v>3.0665</c:v>
                </c:pt>
                <c:pt idx="5">
                  <c:v>2.56</c:v>
                </c:pt>
                <c:pt idx="6">
                  <c:v>1.44</c:v>
                </c:pt>
                <c:pt idx="7">
                  <c:v>2.44</c:v>
                </c:pt>
                <c:pt idx="8">
                  <c:v>1.75</c:v>
                </c:pt>
                <c:pt idx="9">
                  <c:v>1.44</c:v>
                </c:pt>
                <c:pt idx="10">
                  <c:v>2.48</c:v>
                </c:pt>
                <c:pt idx="11">
                  <c:v>1.2077</c:v>
                </c:pt>
                <c:pt idx="12">
                  <c:v>3.24</c:v>
                </c:pt>
                <c:pt idx="13">
                  <c:v>2.5369999999999999</c:v>
                </c:pt>
                <c:pt idx="14">
                  <c:v>2.4500000000000002</c:v>
                </c:pt>
                <c:pt idx="15">
                  <c:v>0.89300000000000002</c:v>
                </c:pt>
                <c:pt idx="16">
                  <c:v>2.1587000000000001</c:v>
                </c:pt>
                <c:pt idx="17">
                  <c:v>0.83220000000000005</c:v>
                </c:pt>
                <c:pt idx="18">
                  <c:v>1.5129999999999999</c:v>
                </c:pt>
                <c:pt idx="19">
                  <c:v>2.78</c:v>
                </c:pt>
              </c:numCache>
            </c:numRef>
          </c:val>
          <c:smooth val="0"/>
        </c:ser>
        <c:ser>
          <c:idx val="4"/>
          <c:order val="4"/>
          <c:tx>
            <c:strRef>
              <c:f>Sheet1!$Q$13</c:f>
              <c:strCache>
                <c:ptCount val="1"/>
                <c:pt idx="0">
                  <c:v>Fe  (mg/kg) </c:v>
                </c:pt>
              </c:strCache>
            </c:strRef>
          </c:tx>
          <c:spPr>
            <a:ln w="28575" cap="rnd">
              <a:solidFill>
                <a:schemeClr val="accent5"/>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Sheet1!$R$13:$AK$13</c:f>
              <c:numCache>
                <c:formatCode>0.00</c:formatCode>
                <c:ptCount val="20"/>
                <c:pt idx="0">
                  <c:v>1.21</c:v>
                </c:pt>
                <c:pt idx="1">
                  <c:v>1.5860000000000001</c:v>
                </c:pt>
                <c:pt idx="2">
                  <c:v>0.214</c:v>
                </c:pt>
                <c:pt idx="3">
                  <c:v>0.94499999999999995</c:v>
                </c:pt>
                <c:pt idx="4">
                  <c:v>0.56200000000000006</c:v>
                </c:pt>
                <c:pt idx="5">
                  <c:v>1.524</c:v>
                </c:pt>
                <c:pt idx="6">
                  <c:v>0.74099999999999999</c:v>
                </c:pt>
                <c:pt idx="7">
                  <c:v>0.64100000000000001</c:v>
                </c:pt>
                <c:pt idx="8">
                  <c:v>0.24099999999999999</c:v>
                </c:pt>
                <c:pt idx="9">
                  <c:v>1.1519999999999999</c:v>
                </c:pt>
                <c:pt idx="10">
                  <c:v>1.1120000000000001</c:v>
                </c:pt>
                <c:pt idx="11">
                  <c:v>2.3450000000000002</c:v>
                </c:pt>
                <c:pt idx="12">
                  <c:v>1.1319999999999999</c:v>
                </c:pt>
                <c:pt idx="13">
                  <c:v>1.7210000000000001</c:v>
                </c:pt>
                <c:pt idx="14">
                  <c:v>0.45200000000000001</c:v>
                </c:pt>
                <c:pt idx="15">
                  <c:v>1.3779999999999999</c:v>
                </c:pt>
                <c:pt idx="16">
                  <c:v>0.45100000000000001</c:v>
                </c:pt>
                <c:pt idx="17">
                  <c:v>1.2450000000000001</c:v>
                </c:pt>
                <c:pt idx="18">
                  <c:v>1.754</c:v>
                </c:pt>
                <c:pt idx="19">
                  <c:v>0.245</c:v>
                </c:pt>
              </c:numCache>
            </c:numRef>
          </c:val>
          <c:smooth val="0"/>
        </c:ser>
        <c:ser>
          <c:idx val="5"/>
          <c:order val="5"/>
          <c:tx>
            <c:strRef>
              <c:f>Sheet1!$Q$14</c:f>
              <c:strCache>
                <c:ptCount val="1"/>
                <c:pt idx="0">
                  <c:v>Ni  (mg/kg)</c:v>
                </c:pt>
              </c:strCache>
            </c:strRef>
          </c:tx>
          <c:spPr>
            <a:ln w="28575" cap="rnd">
              <a:solidFill>
                <a:schemeClr val="accent6"/>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Sheet1!$R$14:$AK$14</c:f>
              <c:numCache>
                <c:formatCode>0.00</c:formatCode>
                <c:ptCount val="20"/>
                <c:pt idx="0">
                  <c:v>0.35399999999999998</c:v>
                </c:pt>
                <c:pt idx="1">
                  <c:v>2.1240000000000001</c:v>
                </c:pt>
                <c:pt idx="2">
                  <c:v>0.25700000000000001</c:v>
                </c:pt>
                <c:pt idx="3">
                  <c:v>0.78100000000000003</c:v>
                </c:pt>
                <c:pt idx="4">
                  <c:v>0.374</c:v>
                </c:pt>
                <c:pt idx="5">
                  <c:v>0.378</c:v>
                </c:pt>
                <c:pt idx="6">
                  <c:v>0.32400000000000001</c:v>
                </c:pt>
                <c:pt idx="7">
                  <c:v>1.4510000000000001</c:v>
                </c:pt>
                <c:pt idx="8">
                  <c:v>1.548</c:v>
                </c:pt>
                <c:pt idx="9">
                  <c:v>0.41199999999999998</c:v>
                </c:pt>
                <c:pt idx="10">
                  <c:v>3.5859999999999999</c:v>
                </c:pt>
                <c:pt idx="11">
                  <c:v>1.6779999999999999</c:v>
                </c:pt>
                <c:pt idx="12">
                  <c:v>1.258</c:v>
                </c:pt>
                <c:pt idx="13">
                  <c:v>1.2430000000000001</c:v>
                </c:pt>
                <c:pt idx="14">
                  <c:v>0.78900000000000003</c:v>
                </c:pt>
                <c:pt idx="15">
                  <c:v>3.145</c:v>
                </c:pt>
                <c:pt idx="16">
                  <c:v>0.17799999999999999</c:v>
                </c:pt>
                <c:pt idx="17">
                  <c:v>1.347</c:v>
                </c:pt>
                <c:pt idx="18">
                  <c:v>0.17599999999999999</c:v>
                </c:pt>
                <c:pt idx="19">
                  <c:v>0.98399999999999999</c:v>
                </c:pt>
              </c:numCache>
            </c:numRef>
          </c:val>
          <c:smooth val="0"/>
        </c:ser>
        <c:ser>
          <c:idx val="6"/>
          <c:order val="6"/>
          <c:tx>
            <c:strRef>
              <c:f>Sheet1!$Q$15</c:f>
              <c:strCache>
                <c:ptCount val="1"/>
                <c:pt idx="0">
                  <c:v>Cu ( (mg/kg)</c:v>
                </c:pt>
              </c:strCache>
            </c:strRef>
          </c:tx>
          <c:spPr>
            <a:ln w="28575" cap="rnd">
              <a:solidFill>
                <a:schemeClr val="accent1">
                  <a:lumMod val="60000"/>
                </a:schemeClr>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Sheet1!$R$15:$AK$15</c:f>
              <c:numCache>
                <c:formatCode>0.00</c:formatCode>
                <c:ptCount val="20"/>
                <c:pt idx="0">
                  <c:v>0.624</c:v>
                </c:pt>
                <c:pt idx="1">
                  <c:v>0.38100000000000001</c:v>
                </c:pt>
                <c:pt idx="2">
                  <c:v>0.55100000000000005</c:v>
                </c:pt>
                <c:pt idx="3">
                  <c:v>0.504</c:v>
                </c:pt>
                <c:pt idx="4">
                  <c:v>0.55700000000000005</c:v>
                </c:pt>
                <c:pt idx="5">
                  <c:v>1.4219999999999999</c:v>
                </c:pt>
                <c:pt idx="6">
                  <c:v>0.52400000000000002</c:v>
                </c:pt>
                <c:pt idx="7">
                  <c:v>1.641</c:v>
                </c:pt>
                <c:pt idx="8">
                  <c:v>1.3420000000000001</c:v>
                </c:pt>
                <c:pt idx="9">
                  <c:v>0.63200000000000001</c:v>
                </c:pt>
                <c:pt idx="10">
                  <c:v>0.434</c:v>
                </c:pt>
                <c:pt idx="11">
                  <c:v>0.63200000000000001</c:v>
                </c:pt>
                <c:pt idx="12">
                  <c:v>0.745</c:v>
                </c:pt>
                <c:pt idx="13">
                  <c:v>1.6319999999999999</c:v>
                </c:pt>
                <c:pt idx="14">
                  <c:v>0.34100000000000003</c:v>
                </c:pt>
                <c:pt idx="15">
                  <c:v>0.52400000000000002</c:v>
                </c:pt>
                <c:pt idx="16">
                  <c:v>0.65400000000000003</c:v>
                </c:pt>
                <c:pt idx="17">
                  <c:v>0.67700000000000005</c:v>
                </c:pt>
                <c:pt idx="18">
                  <c:v>0.64400000000000002</c:v>
                </c:pt>
                <c:pt idx="19">
                  <c:v>0.64700000000000002</c:v>
                </c:pt>
              </c:numCache>
            </c:numRef>
          </c:val>
          <c:smooth val="0"/>
        </c:ser>
        <c:ser>
          <c:idx val="7"/>
          <c:order val="7"/>
          <c:tx>
            <c:strRef>
              <c:f>Sheet1!$Q$16</c:f>
              <c:strCache>
                <c:ptCount val="1"/>
                <c:pt idx="0">
                  <c:v>Mn ( (mg/kg)</c:v>
                </c:pt>
              </c:strCache>
            </c:strRef>
          </c:tx>
          <c:spPr>
            <a:ln w="28575" cap="rnd">
              <a:solidFill>
                <a:schemeClr val="accent2">
                  <a:lumMod val="60000"/>
                </a:schemeClr>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Sheet1!$R$16:$AK$16</c:f>
              <c:numCache>
                <c:formatCode>0.00</c:formatCode>
                <c:ptCount val="20"/>
                <c:pt idx="0">
                  <c:v>1.1120000000000001</c:v>
                </c:pt>
                <c:pt idx="1">
                  <c:v>1.204</c:v>
                </c:pt>
                <c:pt idx="2">
                  <c:v>1.6240000000000001</c:v>
                </c:pt>
                <c:pt idx="3">
                  <c:v>1.6319999999999999</c:v>
                </c:pt>
                <c:pt idx="4">
                  <c:v>1.321</c:v>
                </c:pt>
                <c:pt idx="5">
                  <c:v>0.501</c:v>
                </c:pt>
                <c:pt idx="6">
                  <c:v>1.204</c:v>
                </c:pt>
                <c:pt idx="7">
                  <c:v>0.214</c:v>
                </c:pt>
                <c:pt idx="8">
                  <c:v>1.304</c:v>
                </c:pt>
                <c:pt idx="9">
                  <c:v>4.2000000000000003E-2</c:v>
                </c:pt>
                <c:pt idx="10">
                  <c:v>1.405</c:v>
                </c:pt>
                <c:pt idx="11">
                  <c:v>1.4039999999999999</c:v>
                </c:pt>
                <c:pt idx="12">
                  <c:v>1.206</c:v>
                </c:pt>
                <c:pt idx="13">
                  <c:v>0.26600000000000001</c:v>
                </c:pt>
                <c:pt idx="14">
                  <c:v>0.23100000000000001</c:v>
                </c:pt>
                <c:pt idx="15">
                  <c:v>4.3999999999999997E-2</c:v>
                </c:pt>
                <c:pt idx="16">
                  <c:v>0.27100000000000002</c:v>
                </c:pt>
                <c:pt idx="17">
                  <c:v>1.206</c:v>
                </c:pt>
                <c:pt idx="18">
                  <c:v>0.28599999999999998</c:v>
                </c:pt>
                <c:pt idx="19">
                  <c:v>0.214</c:v>
                </c:pt>
              </c:numCache>
            </c:numRef>
          </c:val>
          <c:smooth val="0"/>
        </c:ser>
        <c:ser>
          <c:idx val="8"/>
          <c:order val="8"/>
          <c:tx>
            <c:strRef>
              <c:f>Sheet1!$Q$17</c:f>
              <c:strCache>
                <c:ptCount val="1"/>
                <c:pt idx="0">
                  <c:v>Zn ( (mg/kg)</c:v>
                </c:pt>
              </c:strCache>
            </c:strRef>
          </c:tx>
          <c:spPr>
            <a:ln w="28575" cap="rnd">
              <a:solidFill>
                <a:schemeClr val="accent3">
                  <a:lumMod val="60000"/>
                </a:schemeClr>
              </a:solidFill>
              <a:round/>
            </a:ln>
            <a:effectLst/>
          </c:spPr>
          <c:marker>
            <c:symbol val="none"/>
          </c:marker>
          <c:cat>
            <c:strRef>
              <c:f>Sheet1!$R$8:$AK$8</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Sheet1!$R$17:$AK$17</c:f>
              <c:numCache>
                <c:formatCode>0.00</c:formatCode>
                <c:ptCount val="20"/>
                <c:pt idx="0">
                  <c:v>0.61</c:v>
                </c:pt>
                <c:pt idx="1">
                  <c:v>0.24</c:v>
                </c:pt>
                <c:pt idx="2">
                  <c:v>1.1200000000000001</c:v>
                </c:pt>
                <c:pt idx="3">
                  <c:v>0.28000000000000003</c:v>
                </c:pt>
                <c:pt idx="4">
                  <c:v>1.21</c:v>
                </c:pt>
                <c:pt idx="5">
                  <c:v>1.1100000000000001</c:v>
                </c:pt>
                <c:pt idx="6">
                  <c:v>1.1200000000000001</c:v>
                </c:pt>
                <c:pt idx="7">
                  <c:v>0.62</c:v>
                </c:pt>
                <c:pt idx="8">
                  <c:v>0.26</c:v>
                </c:pt>
                <c:pt idx="9">
                  <c:v>0.83</c:v>
                </c:pt>
                <c:pt idx="10">
                  <c:v>0.34</c:v>
                </c:pt>
                <c:pt idx="11">
                  <c:v>0.52</c:v>
                </c:pt>
                <c:pt idx="12">
                  <c:v>0.02</c:v>
                </c:pt>
                <c:pt idx="13">
                  <c:v>0.24</c:v>
                </c:pt>
                <c:pt idx="14">
                  <c:v>0.74</c:v>
                </c:pt>
                <c:pt idx="15">
                  <c:v>0.86</c:v>
                </c:pt>
                <c:pt idx="16">
                  <c:v>0.78</c:v>
                </c:pt>
                <c:pt idx="17">
                  <c:v>0.21</c:v>
                </c:pt>
                <c:pt idx="18">
                  <c:v>1.01</c:v>
                </c:pt>
                <c:pt idx="19">
                  <c:v>0.26</c:v>
                </c:pt>
              </c:numCache>
            </c:numRef>
          </c:val>
          <c:smooth val="0"/>
        </c:ser>
        <c:dLbls>
          <c:showLegendKey val="0"/>
          <c:showVal val="0"/>
          <c:showCatName val="0"/>
          <c:showSerName val="0"/>
          <c:showPercent val="0"/>
          <c:showBubbleSize val="0"/>
        </c:dLbls>
        <c:smooth val="0"/>
        <c:axId val="223098760"/>
        <c:axId val="223097976"/>
      </c:lineChart>
      <c:catAx>
        <c:axId val="22309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97976"/>
        <c:crosses val="autoZero"/>
        <c:auto val="1"/>
        <c:lblAlgn val="ctr"/>
        <c:lblOffset val="100"/>
        <c:noMultiLvlLbl val="0"/>
      </c:catAx>
      <c:valAx>
        <c:axId val="223097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9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Potassium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Sheet1!$C$34</c:f>
              <c:strCache>
                <c:ptCount val="1"/>
                <c:pt idx="0">
                  <c:v>Potasium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Sheet1!$D$33:$W$33</c:f>
              <c:strCache>
                <c:ptCount val="20"/>
                <c:pt idx="0">
                  <c:v>IITA-1</c:v>
                </c:pt>
                <c:pt idx="1">
                  <c:v>IITA-3</c:v>
                </c:pt>
                <c:pt idx="2">
                  <c:v>IITA-6</c:v>
                </c:pt>
                <c:pt idx="3">
                  <c:v>IITA-7</c:v>
                </c:pt>
                <c:pt idx="4">
                  <c:v>IITA-10</c:v>
                </c:pt>
                <c:pt idx="5">
                  <c:v>IITA-15</c:v>
                </c:pt>
                <c:pt idx="6">
                  <c:v>IITA-19</c:v>
                </c:pt>
                <c:pt idx="7">
                  <c:v>IITA-21</c:v>
                </c:pt>
                <c:pt idx="8">
                  <c:v>IITA-25</c:v>
                </c:pt>
                <c:pt idx="9">
                  <c:v>IITA-26</c:v>
                </c:pt>
                <c:pt idx="10">
                  <c:v>IITA-61</c:v>
                </c:pt>
                <c:pt idx="11">
                  <c:v>IITA-122</c:v>
                </c:pt>
                <c:pt idx="12">
                  <c:v>IITA-128</c:v>
                </c:pt>
                <c:pt idx="13">
                  <c:v>IITA-153</c:v>
                </c:pt>
                <c:pt idx="14">
                  <c:v>IITA-158</c:v>
                </c:pt>
                <c:pt idx="15">
                  <c:v>IITA-203</c:v>
                </c:pt>
                <c:pt idx="16">
                  <c:v>IITA-265</c:v>
                </c:pt>
                <c:pt idx="17">
                  <c:v>IITA-340</c:v>
                </c:pt>
                <c:pt idx="18">
                  <c:v>IITA-342</c:v>
                </c:pt>
                <c:pt idx="19">
                  <c:v>IITA-204</c:v>
                </c:pt>
              </c:strCache>
            </c:strRef>
          </c:cat>
          <c:val>
            <c:numRef>
              <c:f>Sheet1!$D$34:$W$34</c:f>
              <c:numCache>
                <c:formatCode>0.00</c:formatCode>
                <c:ptCount val="20"/>
                <c:pt idx="0">
                  <c:v>110</c:v>
                </c:pt>
                <c:pt idx="1">
                  <c:v>107</c:v>
                </c:pt>
                <c:pt idx="2">
                  <c:v>106</c:v>
                </c:pt>
                <c:pt idx="3">
                  <c:v>108</c:v>
                </c:pt>
                <c:pt idx="4">
                  <c:v>104</c:v>
                </c:pt>
                <c:pt idx="5">
                  <c:v>102</c:v>
                </c:pt>
                <c:pt idx="6">
                  <c:v>67.900000000000006</c:v>
                </c:pt>
                <c:pt idx="7">
                  <c:v>102</c:v>
                </c:pt>
                <c:pt idx="8">
                  <c:v>107.5</c:v>
                </c:pt>
                <c:pt idx="9">
                  <c:v>105.5</c:v>
                </c:pt>
                <c:pt idx="10">
                  <c:v>88.41</c:v>
                </c:pt>
                <c:pt idx="11">
                  <c:v>38.5</c:v>
                </c:pt>
                <c:pt idx="12">
                  <c:v>125</c:v>
                </c:pt>
                <c:pt idx="13">
                  <c:v>152.63999999999999</c:v>
                </c:pt>
                <c:pt idx="14">
                  <c:v>94.2</c:v>
                </c:pt>
                <c:pt idx="15">
                  <c:v>89.4</c:v>
                </c:pt>
                <c:pt idx="16">
                  <c:v>57.2</c:v>
                </c:pt>
                <c:pt idx="17">
                  <c:v>16.7</c:v>
                </c:pt>
                <c:pt idx="18">
                  <c:v>32</c:v>
                </c:pt>
                <c:pt idx="19">
                  <c:v>118</c:v>
                </c:pt>
              </c:numCache>
            </c:numRef>
          </c:val>
          <c:smooth val="0"/>
        </c:ser>
        <c:dLbls>
          <c:showLegendKey val="0"/>
          <c:showVal val="0"/>
          <c:showCatName val="0"/>
          <c:showSerName val="0"/>
          <c:showPercent val="0"/>
          <c:showBubbleSize val="0"/>
        </c:dLbls>
        <c:marker val="1"/>
        <c:smooth val="0"/>
        <c:axId val="478537376"/>
        <c:axId val="222683872"/>
      </c:lineChart>
      <c:catAx>
        <c:axId val="47853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683872"/>
        <c:crosses val="autoZero"/>
        <c:auto val="1"/>
        <c:lblAlgn val="ctr"/>
        <c:lblOffset val="100"/>
        <c:noMultiLvlLbl val="0"/>
      </c:catAx>
      <c:valAx>
        <c:axId val="222683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53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1503</TotalTime>
  <Pages>12</Pages>
  <Words>3680</Words>
  <Characters>20979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sami</dc:creator>
  <cp:keywords/>
  <dc:description/>
  <cp:lastModifiedBy>syed sami</cp:lastModifiedBy>
  <cp:revision>18</cp:revision>
  <dcterms:created xsi:type="dcterms:W3CDTF">2026-07-02T07:42:00Z</dcterms:created>
  <dcterms:modified xsi:type="dcterms:W3CDTF">2026-07-06T06:10:00Z</dcterms:modified>
</cp:coreProperties>
</file>