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40"/>
        <w:jc w:val="center"/>
      </w:pPr>
      <w:r>
        <w:rPr>
          <w:rFonts w:ascii="Times New Roman" w:cs="Times New Roman" w:eastAsia="Times New Roman" w:hAnsi="Times New Roman"/>
          <w:b/>
          <w:bCs/>
          <w:sz w:val="36"/>
          <w:szCs w:val="36"/>
        </w:rPr>
        <w:t xml:space="preserve">Effectiveness of Soya Milk Supplementation in Improving Weight among Under-Five Children with Acute Malnutrition: A Randomized Controlled Trial</w:t>
      </w:r>
    </w:p>
    <w:p>
      <w:pPr>
        <w:spacing w:after="100"/>
        <w:jc w:val="center"/>
      </w:pPr>
      <w:r>
        <w:rPr>
          <w:rFonts w:ascii="Times New Roman" w:cs="Times New Roman" w:eastAsia="Times New Roman" w:hAnsi="Times New Roman"/>
          <w:sz w:val="24"/>
          <w:szCs w:val="24"/>
        </w:rPr>
        <w:t xml:space="preserve"/>
      </w:r>
    </w:p>
    <w:p>
      <w:pPr>
        <w:spacing w:after="60"/>
        <w:jc w:val="center"/>
      </w:pPr>
      <w:r>
        <w:rPr>
          <w:rFonts w:ascii="Times New Roman" w:cs="Times New Roman" w:eastAsia="Times New Roman" w:hAnsi="Times New Roman"/>
          <w:i/>
          <w:iCs/>
          <w:color w:val="444444"/>
          <w:sz w:val="20"/>
          <w:szCs w:val="20"/>
        </w:rPr>
        <w:t xml:space="preserve"/>
      </w:r>
    </w:p>
    <w:p>
      <w:pPr>
        <w:spacing w:after="60"/>
        <w:jc w:val="center"/>
      </w:pPr>
      <w:r>
        <w:rPr>
          <w:rFonts w:ascii="Times New Roman" w:cs="Times New Roman" w:eastAsia="Times New Roman" w:hAnsi="Times New Roman"/>
          <w:i/>
          <w:iCs/>
          <w:color w:val="444444"/>
          <w:sz w:val="20"/>
          <w:szCs w:val="20"/>
        </w:rPr>
        <w:t xml:space="preserve"/>
      </w:r>
    </w:p>
    <w:p>
      <w:pPr>
        <w:spacing w:after="80"/>
        <w:jc w:val="center"/>
      </w:pPr>
      <w:r>
        <w:rPr>
          <w:rFonts w:ascii="Times New Roman" w:cs="Times New Roman" w:eastAsia="Times New Roman" w:hAnsi="Times New Roman"/>
          <w:i/>
          <w:iCs/>
          <w:color w:val="444444"/>
          <w:sz w:val="20"/>
          <w:szCs w:val="20"/>
        </w:rPr>
        <w:t xml:space="preserve"/>
      </w:r>
    </w:p>
    <w:p>
      <w:pPr>
        <w:spacing w:after="60"/>
        <w:jc w:val="center"/>
      </w:pPr>
      <w:r>
        <w:rPr>
          <w:rFonts w:ascii="Times New Roman" w:cs="Times New Roman" w:eastAsia="Times New Roman" w:hAnsi="Times New Roman"/>
          <w:b/>
          <w:bCs/>
          <w:sz w:val="22"/>
          <w:szCs w:val="22"/>
        </w:rPr>
        <w:t xml:space="preserve"/>
      </w:r>
      <w:r>
        <w:rPr>
          <w:rFonts w:ascii="Times New Roman" w:cs="Times New Roman" w:eastAsia="Times New Roman" w:hAnsi="Times New Roman"/>
          <w:sz w:val="22"/>
          <w:szCs w:val="22"/>
        </w:rPr>
        <w:t xml:space="preserve"/>
      </w:r>
    </w:p>
    <w:p>
      <w:pPr>
        <w:spacing w:after="60"/>
        <w:jc w:val="center"/>
      </w:pPr>
      <w:r>
        <w:rPr>
          <w:rFonts w:ascii="Times New Roman" w:cs="Times New Roman" w:eastAsia="Times New Roman" w:hAnsi="Times New Roman"/>
          <w:color w:val="666666"/>
          <w:sz w:val="20"/>
          <w:szCs w:val="20"/>
        </w:rPr>
        <w:t xml:space="preserve"/>
      </w:r>
    </w:p>
    <w:p>
      <w:pPr>
        <w:spacing w:after="200"/>
        <w:jc w:val="center"/>
      </w:pPr>
      <w:r>
        <w:rPr>
          <w:rFonts w:ascii="Times New Roman" w:cs="Times New Roman" w:eastAsia="Times New Roman" w:hAnsi="Times New Roman"/>
          <w:color w:val="666666"/>
          <w:sz w:val="20"/>
          <w:szCs w:val="20"/>
        </w:rPr>
        <w:t xml:space="preserve"/>
      </w:r>
    </w:p>
    <w:p>
      <w:pPr>
        <w:shd w:fill="2C5F8A" w:val="clear"/>
        <w:spacing w:after="0" w:before="120"/>
        <w:ind w:left="0" w:right="0"/>
        <w:jc w:val="center"/>
      </w:pPr>
      <w:r>
        <w:rPr>
          <w:rFonts w:ascii="Times New Roman" w:cs="Times New Roman" w:eastAsia="Times New Roman" w:hAnsi="Times New Roman"/>
          <w:b/>
          <w:bCs/>
          <w:color w:val="FFFFFF"/>
          <w:sz w:val="26"/>
          <w:szCs w:val="26"/>
        </w:rPr>
        <w:t xml:space="preserve">ABSTRACT</w:t>
      </w:r>
    </w:p>
    <w:p>
      <w:pPr>
        <w:spacing w:after="100" w:before="120" w:line="440" w:lineRule="auto"/>
        <w:ind w:left="360" w:right="360"/>
        <w:jc w:val="both"/>
      </w:pPr>
      <w:r>
        <w:rPr>
          <w:rFonts w:ascii="Times New Roman" w:cs="Times New Roman" w:eastAsia="Times New Roman" w:hAnsi="Times New Roman"/>
          <w:b/>
          <w:bCs/>
          <w:sz w:val="22"/>
          <w:szCs w:val="22"/>
        </w:rPr>
        <w:t xml:space="preserve">Background: </w:t>
      </w:r>
      <w:r>
        <w:rPr>
          <w:rFonts w:ascii="Times New Roman" w:cs="Times New Roman" w:eastAsia="Times New Roman" w:hAnsi="Times New Roman"/>
          <w:sz w:val="22"/>
          <w:szCs w:val="22"/>
        </w:rPr>
        <w:t xml:space="preserve">Malnutrition remains a leading contributor to childhood morbidity and mortality globally, accounting for more than 50% of deaths from infectious diseases in children under five years of age. Inadequate nutrient intake and poor utilization weaken the immune system, increasing vulnerability to disease. In 2016, approximately 155 million children under five suffered from stunting. Soya milk, a protein-rich plant-based supplement, has demonstrated potential in improving anthropometric outcomes in malnourished children. This study aimed to evaluate the effectiveness of soya milk supplementation in improving weight among under-five children with acute malnutrition.</w:t>
      </w:r>
    </w:p>
    <w:p>
      <w:pPr>
        <w:spacing w:after="100" w:before="80" w:line="440" w:lineRule="auto"/>
        <w:ind w:left="360" w:right="360"/>
        <w:jc w:val="both"/>
      </w:pPr>
      <w:r>
        <w:rPr>
          <w:rFonts w:ascii="Times New Roman" w:cs="Times New Roman" w:eastAsia="Times New Roman" w:hAnsi="Times New Roman"/>
          <w:b/>
          <w:bCs/>
          <w:sz w:val="22"/>
          <w:szCs w:val="22"/>
        </w:rPr>
        <w:t xml:space="preserve">Methods: </w:t>
      </w:r>
      <w:r>
        <w:rPr>
          <w:rFonts w:ascii="Times New Roman" w:cs="Times New Roman" w:eastAsia="Times New Roman" w:hAnsi="Times New Roman"/>
          <w:sz w:val="22"/>
          <w:szCs w:val="22"/>
        </w:rPr>
        <w:t xml:space="preserve">A randomized controlled trial design was employed. A total of 500 children with acute malnutrition aged under five years were enrolled using simple random sampling and equally allocated into an experimental group (n=250) and a control group (n=250). Acute malnutrition was assessed using Shakir's tape (MUAC) and WHO z-score criteria. The experimental group received soya milk supplementation daily for six months. Weight and MUAC were measured at baseline and post-intervention. Data were analyzed using descriptive statistics, dependent paired t-tests, independent (unpaired) t-tests, and chi-square tests.</w:t>
      </w:r>
    </w:p>
    <w:p>
      <w:pPr>
        <w:spacing w:after="100" w:before="80" w:line="440" w:lineRule="auto"/>
        <w:ind w:left="360" w:right="360"/>
        <w:jc w:val="both"/>
      </w:pPr>
      <w:r>
        <w:rPr>
          <w:rFonts w:ascii="Times New Roman" w:cs="Times New Roman" w:eastAsia="Times New Roman" w:hAnsi="Times New Roman"/>
          <w:b/>
          <w:bCs/>
          <w:sz w:val="22"/>
          <w:szCs w:val="22"/>
        </w:rPr>
        <w:t xml:space="preserve">Results: </w:t>
      </w:r>
      <w:r>
        <w:rPr>
          <w:rFonts w:ascii="Times New Roman" w:cs="Times New Roman" w:eastAsia="Times New Roman" w:hAnsi="Times New Roman"/>
          <w:sz w:val="22"/>
          <w:szCs w:val="22"/>
        </w:rPr>
        <w:t xml:space="preserve">Soya milk supplementation significantly improved weight in the experimental group (p=0.000 &lt; 0.05). Post-test MUAC measurement using Shakir's tape showed a significant improvement in nutritional status (H2 accepted). Chi-square analysis revealed a statistically significant difference in nutritional level distribution between groups (χ²=457.984, p=0.000 &lt; 0.01). Among demographic variables, age was the only variable significantly associated with nutritional level in the post-test (H3 partially accepted). Knowledge improvement following structured interview sessions was also significant (H1 accepted).</w:t>
      </w:r>
    </w:p>
    <w:p>
      <w:pPr>
        <w:spacing w:after="120" w:before="80" w:line="440" w:lineRule="auto"/>
        <w:ind w:left="360" w:right="360"/>
        <w:jc w:val="both"/>
      </w:pPr>
      <w:r>
        <w:rPr>
          <w:rFonts w:ascii="Times New Roman" w:cs="Times New Roman" w:eastAsia="Times New Roman" w:hAnsi="Times New Roman"/>
          <w:b/>
          <w:bCs/>
          <w:sz w:val="22"/>
          <w:szCs w:val="22"/>
        </w:rPr>
        <w:t xml:space="preserve">Conclusion: </w:t>
      </w:r>
      <w:r>
        <w:rPr>
          <w:rFonts w:ascii="Times New Roman" w:cs="Times New Roman" w:eastAsia="Times New Roman" w:hAnsi="Times New Roman"/>
          <w:sz w:val="22"/>
          <w:szCs w:val="22"/>
        </w:rPr>
        <w:t xml:space="preserve">Soya milk supplementation is an effective, accessible, and low-cost intervention for improving weight gain in under-five children with acute malnutrition. Integration of soya milk supplementation into community-based nutritional programs is recommended.</w:t>
      </w:r>
    </w:p>
    <w:p>
      <w:pPr>
        <w:shd w:fill="EBF2F9" w:val="clear"/>
        <w:spacing w:after="160" w:before="80"/>
        <w:ind w:left="360" w:right="360"/>
      </w:pPr>
      <w:r>
        <w:rPr>
          <w:rFonts w:ascii="Times New Roman" w:cs="Times New Roman" w:eastAsia="Times New Roman" w:hAnsi="Times New Roman"/>
          <w:b/>
          <w:bCs/>
          <w:sz w:val="22"/>
          <w:szCs w:val="22"/>
        </w:rPr>
        <w:t xml:space="preserve">Keywords: </w:t>
      </w:r>
      <w:r>
        <w:rPr>
          <w:rFonts w:ascii="Times New Roman" w:cs="Times New Roman" w:eastAsia="Times New Roman" w:hAnsi="Times New Roman"/>
          <w:i/>
          <w:iCs/>
          <w:sz w:val="22"/>
          <w:szCs w:val="22"/>
        </w:rPr>
        <w:t xml:space="preserve">acute malnutrition; soya milk; under-five children; weight gain; MUAC; Shakir's tape; randomized controlled trial</w:t>
      </w:r>
    </w:p>
    <w:p>
      <w:pPr>
        <w:spacing w:after="0" w:before="0"/>
      </w:pPr>
      <w:r>
        <w:t xml:space="preserve"/>
      </w:r>
    </w:p>
    <w:p>
      <w:pPr>
        <w:pBdr>
          <w:bottom w:val="single" w:color="2C5F8A" w:sz="4" w:space="4"/>
        </w:pBdr>
        <w:spacing w:after="120" w:before="320"/>
      </w:pPr>
      <w:r>
        <w:rPr>
          <w:rFonts w:ascii="Times New Roman" w:cs="Times New Roman" w:eastAsia="Times New Roman" w:hAnsi="Times New Roman"/>
          <w:b/>
          <w:bCs/>
          <w:sz w:val="26"/>
          <w:szCs w:val="26"/>
        </w:rPr>
        <w:t xml:space="preserve">1. INTRODUCTION</w:t>
      </w:r>
    </w:p>
    <w:p>
      <w:pPr>
        <w:spacing w:after="80" w:before="80" w:line="480" w:lineRule="auto"/>
        <w:jc w:val="both"/>
      </w:pPr>
      <w:r>
        <w:rPr>
          <w:rFonts w:ascii="Times New Roman" w:cs="Times New Roman" w:eastAsia="Times New Roman" w:hAnsi="Times New Roman"/>
          <w:sz w:val="24"/>
          <w:szCs w:val="24"/>
        </w:rPr>
        <w:t xml:space="preserve">Malnutrition in children under five years of age continues to be a critical public health challenge, particularly in low- and middle-income countries. The World Health Organization (WHO) defines acute malnutrition as a weight-for-height z-score below -2 standard deviations from the median of reference populations, or a mid-upper arm circumference (MUAC) of less than 12.5 cm. Inadequate dietary intake, recurrent infections, and poor child-feeding practices are the primary drivers of this condition.</w:t>
      </w:r>
    </w:p>
    <w:p>
      <w:pPr>
        <w:spacing w:after="80" w:before="80" w:line="480" w:lineRule="auto"/>
        <w:jc w:val="both"/>
      </w:pPr>
      <w:r>
        <w:rPr>
          <w:rFonts w:ascii="Times New Roman" w:cs="Times New Roman" w:eastAsia="Times New Roman" w:hAnsi="Times New Roman"/>
          <w:sz w:val="24"/>
          <w:szCs w:val="24"/>
        </w:rPr>
        <w:t xml:space="preserve">Globally, an estimated 155 million children under five were affected by stunting in 2016, while approximately 52 million suffered from wasting (WHO, 2016). Malnutrition directly impairs immune function, cognitive development, and physical growth, and is implicated in more than 50% of deaths associated with infectious diseases in this age group (WHO, 2015).</w:t>
      </w:r>
    </w:p>
    <w:p>
      <w:pPr>
        <w:spacing w:after="80" w:before="80" w:line="480" w:lineRule="auto"/>
        <w:jc w:val="both"/>
      </w:pPr>
      <w:r>
        <w:rPr>
          <w:rFonts w:ascii="Times New Roman" w:cs="Times New Roman" w:eastAsia="Times New Roman" w:hAnsi="Times New Roman"/>
          <w:sz w:val="24"/>
          <w:szCs w:val="24"/>
        </w:rPr>
        <w:t xml:space="preserve">Plant-based protein supplementation has been increasingly studied as a cost-effective nutritional strategy. Soya milk, derived from soybeans, is a rich source of high-quality protein, essential amino acids, calcium, and iron, and is often more affordable and accessible than animal-derived supplements in resource-limited settings. Preliminary evidence suggests that soya-based interventions may support weight recovery in children with acute malnutrition; however, large-scale randomized trials are lacking.</w:t>
      </w:r>
    </w:p>
    <w:p>
      <w:pPr>
        <w:spacing w:after="80" w:before="80" w:line="480" w:lineRule="auto"/>
        <w:jc w:val="both"/>
      </w:pPr>
      <w:r>
        <w:rPr>
          <w:rFonts w:ascii="Times New Roman" w:cs="Times New Roman" w:eastAsia="Times New Roman" w:hAnsi="Times New Roman"/>
          <w:sz w:val="24"/>
          <w:szCs w:val="24"/>
        </w:rPr>
        <w:t xml:space="preserve">This study was therefore conducted to evaluate the effectiveness of soya milk supplementation on weight improvement among under-five children with acute malnutrition, and to assess associated changes in MUAC and nutritional status knowledge among caregivers.</w:t>
      </w:r>
    </w:p>
    <w:p>
      <w:pPr>
        <w:spacing w:after="0" w:before="0"/>
      </w:pPr>
      <w:r>
        <w:t xml:space="preserve"/>
      </w:r>
    </w:p>
    <w:p>
      <w:pPr>
        <w:pBdr>
          <w:bottom w:val="single" w:color="2C5F8A" w:sz="4" w:space="4"/>
        </w:pBdr>
        <w:spacing w:after="120" w:before="320"/>
      </w:pPr>
      <w:r>
        <w:rPr>
          <w:rFonts w:ascii="Times New Roman" w:cs="Times New Roman" w:eastAsia="Times New Roman" w:hAnsi="Times New Roman"/>
          <w:b/>
          <w:bCs/>
          <w:sz w:val="26"/>
          <w:szCs w:val="26"/>
        </w:rPr>
        <w:t xml:space="preserve">2. MATERIALS AND METHODS</w:t>
      </w:r>
    </w:p>
    <w:p>
      <w:pPr>
        <w:spacing w:after="80" w:before="200"/>
      </w:pPr>
      <w:r>
        <w:rPr>
          <w:rFonts w:ascii="Times New Roman" w:cs="Times New Roman" w:eastAsia="Times New Roman" w:hAnsi="Times New Roman"/>
          <w:b/>
          <w:bCs/>
          <w:sz w:val="24"/>
          <w:szCs w:val="24"/>
        </w:rPr>
        <w:t xml:space="preserve">2.1 Study Design</w:t>
      </w:r>
    </w:p>
    <w:p>
      <w:pPr>
        <w:spacing w:after="80" w:before="80" w:line="480" w:lineRule="auto"/>
        <w:jc w:val="both"/>
      </w:pPr>
      <w:r>
        <w:rPr>
          <w:rFonts w:ascii="Times New Roman" w:cs="Times New Roman" w:eastAsia="Times New Roman" w:hAnsi="Times New Roman"/>
          <w:sz w:val="24"/>
          <w:szCs w:val="24"/>
        </w:rPr>
        <w:t xml:space="preserve">A randomized controlled trial (RCT) design was employed. The study was conducted in [Name of Study Site/District/Hospital], [State/Country], over a period of six months (Month Year to Month Year). Ethical approval was obtained from the Institutional Ethics Committee ([Reference No.]), and written informed consent was obtained from caregivers of all enrolled children.</w:t>
      </w:r>
    </w:p>
    <w:p>
      <w:pPr>
        <w:spacing w:after="80" w:before="200"/>
      </w:pPr>
      <w:r>
        <w:rPr>
          <w:rFonts w:ascii="Times New Roman" w:cs="Times New Roman" w:eastAsia="Times New Roman" w:hAnsi="Times New Roman"/>
          <w:b/>
          <w:bCs/>
          <w:sz w:val="24"/>
          <w:szCs w:val="24"/>
        </w:rPr>
        <w:t xml:space="preserve">2.2 Study Population and Sampling</w:t>
      </w:r>
    </w:p>
    <w:p>
      <w:pPr>
        <w:spacing w:after="80" w:before="80" w:line="480" w:lineRule="auto"/>
        <w:jc w:val="both"/>
      </w:pPr>
      <w:r>
        <w:rPr>
          <w:rFonts w:ascii="Times New Roman" w:cs="Times New Roman" w:eastAsia="Times New Roman" w:hAnsi="Times New Roman"/>
          <w:sz w:val="24"/>
          <w:szCs w:val="24"/>
        </w:rPr>
        <w:t xml:space="preserve">The study population comprised children aged 6–59 months diagnosed with acute malnutrition attending the outpatient therapeutic program or community-based nutrition clinics at the study site. A total of 500 children meeting eligibility criteria were enrolled using simple random sampling. Participants were randomly assigned to an experimental group (n=250) and a control group (n=250) through block randomization.</w:t>
      </w:r>
    </w:p>
    <w:p>
      <w:pPr>
        <w:spacing w:after="80" w:before="200"/>
      </w:pPr>
      <w:r>
        <w:rPr>
          <w:rFonts w:ascii="Times New Roman" w:cs="Times New Roman" w:eastAsia="Times New Roman" w:hAnsi="Times New Roman"/>
          <w:b/>
          <w:bCs/>
          <w:sz w:val="24"/>
          <w:szCs w:val="24"/>
        </w:rPr>
        <w:t xml:space="preserve">2.3 Inclusion and Exclusion Criteria</w:t>
      </w:r>
    </w:p>
    <w:p>
      <w:pPr>
        <w:spacing w:after="80" w:before="80" w:line="480" w:lineRule="auto"/>
        <w:jc w:val="both"/>
      </w:pPr>
      <w:r>
        <w:rPr>
          <w:rFonts w:ascii="Times New Roman" w:cs="Times New Roman" w:eastAsia="Times New Roman" w:hAnsi="Times New Roman"/>
          <w:sz w:val="24"/>
          <w:szCs w:val="24"/>
        </w:rPr>
        <w:t xml:space="preserve">Inclusion criteria: Children aged 6–59 months with confirmed acute malnutrition (MUAC &lt;12.5 cm or weight-for-height z-score &lt;-2 SD); availability of a primary caregiver; no current enrolment in another nutritional supplementation program.</w:t>
      </w:r>
    </w:p>
    <w:p>
      <w:pPr>
        <w:spacing w:after="80" w:before="80" w:line="480" w:lineRule="auto"/>
        <w:jc w:val="both"/>
      </w:pPr>
      <w:r>
        <w:rPr>
          <w:rFonts w:ascii="Times New Roman" w:cs="Times New Roman" w:eastAsia="Times New Roman" w:hAnsi="Times New Roman"/>
          <w:sz w:val="24"/>
          <w:szCs w:val="24"/>
        </w:rPr>
        <w:t xml:space="preserve">Exclusion criteria: Children with severe acute malnutrition requiring inpatient care; presence of bilateral pitting oedema; known allergy to soya protein; children with systemic illness requiring hospitalization.</w:t>
      </w:r>
    </w:p>
    <w:p>
      <w:pPr>
        <w:spacing w:after="80" w:before="200"/>
      </w:pPr>
      <w:r>
        <w:rPr>
          <w:rFonts w:ascii="Times New Roman" w:cs="Times New Roman" w:eastAsia="Times New Roman" w:hAnsi="Times New Roman"/>
          <w:b/>
          <w:bCs/>
          <w:sz w:val="24"/>
          <w:szCs w:val="24"/>
        </w:rPr>
        <w:t xml:space="preserve">2.4 Intervention</w:t>
      </w:r>
    </w:p>
    <w:p>
      <w:pPr>
        <w:spacing w:after="80" w:before="80" w:line="480" w:lineRule="auto"/>
        <w:jc w:val="both"/>
      </w:pPr>
      <w:r>
        <w:rPr>
          <w:rFonts w:ascii="Times New Roman" w:cs="Times New Roman" w:eastAsia="Times New Roman" w:hAnsi="Times New Roman"/>
          <w:sz w:val="24"/>
          <w:szCs w:val="24"/>
        </w:rPr>
        <w:t xml:space="preserve">The experimental group received soya milk supplementation (200 mL/day, providing approximately 6–7 g of protein per serving) in addition to standard dietary counseling for six consecutive months. Caregivers were trained on preparation, storage, and administration of soya milk. The control group received standard dietary counseling only, consistent with national nutrition guidelines.</w:t>
      </w:r>
    </w:p>
    <w:p>
      <w:pPr>
        <w:spacing w:after="80" w:before="200"/>
      </w:pPr>
      <w:r>
        <w:rPr>
          <w:rFonts w:ascii="Times New Roman" w:cs="Times New Roman" w:eastAsia="Times New Roman" w:hAnsi="Times New Roman"/>
          <w:b/>
          <w:bCs/>
          <w:sz w:val="24"/>
          <w:szCs w:val="24"/>
        </w:rPr>
        <w:t xml:space="preserve">2.5 Outcome Measures</w:t>
      </w:r>
    </w:p>
    <w:p>
      <w:pPr>
        <w:spacing w:after="80" w:before="80" w:line="480" w:lineRule="auto"/>
        <w:jc w:val="both"/>
      </w:pPr>
      <w:r>
        <w:rPr>
          <w:rFonts w:ascii="Times New Roman" w:cs="Times New Roman" w:eastAsia="Times New Roman" w:hAnsi="Times New Roman"/>
          <w:sz w:val="24"/>
          <w:szCs w:val="24"/>
        </w:rPr>
        <w:t xml:space="preserve">The primary outcome was change in weight (kg) measured at baseline and after six months. Secondary outcomes included changes in MUAC measured using Shakir's tape, nutritional status classification (normal, moderate, severe malnutrition), and caregiver knowledge scores assessed via a structured interview schedule before and after the intervention.</w:t>
      </w:r>
    </w:p>
    <w:p>
      <w:pPr>
        <w:spacing w:after="80" w:before="200"/>
      </w:pPr>
      <w:r>
        <w:rPr>
          <w:rFonts w:ascii="Times New Roman" w:cs="Times New Roman" w:eastAsia="Times New Roman" w:hAnsi="Times New Roman"/>
          <w:b/>
          <w:bCs/>
          <w:sz w:val="24"/>
          <w:szCs w:val="24"/>
        </w:rPr>
        <w:t xml:space="preserve">2.6 Assessment Tools</w:t>
      </w:r>
    </w:p>
    <w:p>
      <w:pPr>
        <w:spacing w:after="80" w:before="80" w:line="480" w:lineRule="auto"/>
        <w:jc w:val="both"/>
      </w:pPr>
      <w:r>
        <w:rPr>
          <w:rFonts w:ascii="Times New Roman" w:cs="Times New Roman" w:eastAsia="Times New Roman" w:hAnsi="Times New Roman"/>
          <w:sz w:val="24"/>
          <w:szCs w:val="24"/>
        </w:rPr>
        <w:t xml:space="preserve">Anthropometric measurements (weight and height) were performed by trained research assistants using calibrated equipment. MUAC was measured using Shakir's tape: &lt;11.5 cm (severe acute malnutrition), 11.5–12.5 cm (moderate acute malnutrition), &gt;12.5 cm (normal). WHO Anthro software was used to compute weight-for-height z-scores. Caregiver knowledge was assessed using a validated structured interview schedule comprising 20 items related to child nutrition.</w:t>
      </w:r>
    </w:p>
    <w:p>
      <w:pPr>
        <w:spacing w:after="80" w:before="200"/>
      </w:pPr>
      <w:r>
        <w:rPr>
          <w:rFonts w:ascii="Times New Roman" w:cs="Times New Roman" w:eastAsia="Times New Roman" w:hAnsi="Times New Roman"/>
          <w:b/>
          <w:bCs/>
          <w:sz w:val="24"/>
          <w:szCs w:val="24"/>
        </w:rPr>
        <w:t xml:space="preserve">2.7 Statistical Analysis</w:t>
      </w:r>
    </w:p>
    <w:p>
      <w:pPr>
        <w:spacing w:after="80" w:before="80" w:line="480" w:lineRule="auto"/>
        <w:jc w:val="both"/>
      </w:pPr>
      <w:r>
        <w:rPr>
          <w:rFonts w:ascii="Times New Roman" w:cs="Times New Roman" w:eastAsia="Times New Roman" w:hAnsi="Times New Roman"/>
          <w:sz w:val="24"/>
          <w:szCs w:val="24"/>
        </w:rPr>
        <w:t xml:space="preserve">Data were entered and analyzed using SPSS version [XX]. Descriptive statistics (mean, standard deviation, frequency, percentage) summarized baseline characteristics. Within-group changes were assessed using the dependent (paired) t-test. Between-group comparisons at post-test were performed using the independent (unpaired) t-test. Categorical comparisons of nutritional status distribution and demographic associations were analyzed using the chi-square test. A p-value of &lt;0.05 was considered statistically significant.</w:t>
      </w:r>
    </w:p>
    <w:p>
      <w:pPr>
        <w:spacing w:after="0" w:before="0"/>
      </w:pPr>
      <w:r>
        <w:t xml:space="preserve"/>
      </w:r>
    </w:p>
    <w:p>
      <w:pPr>
        <w:pBdr>
          <w:bottom w:val="single" w:color="2C5F8A" w:sz="4" w:space="4"/>
        </w:pBdr>
        <w:spacing w:after="120" w:before="320"/>
      </w:pPr>
      <w:r>
        <w:rPr>
          <w:rFonts w:ascii="Times New Roman" w:cs="Times New Roman" w:eastAsia="Times New Roman" w:hAnsi="Times New Roman"/>
          <w:b/>
          <w:bCs/>
          <w:sz w:val="26"/>
          <w:szCs w:val="26"/>
        </w:rPr>
        <w:t xml:space="preserve">3. RESULTS</w:t>
      </w:r>
    </w:p>
    <w:p>
      <w:pPr>
        <w:spacing w:after="80" w:before="200"/>
      </w:pPr>
      <w:r>
        <w:rPr>
          <w:rFonts w:ascii="Times New Roman" w:cs="Times New Roman" w:eastAsia="Times New Roman" w:hAnsi="Times New Roman"/>
          <w:b/>
          <w:bCs/>
          <w:sz w:val="24"/>
          <w:szCs w:val="24"/>
        </w:rPr>
        <w:t xml:space="preserve">3.1 Baseline Characteristics</w:t>
      </w:r>
    </w:p>
    <w:p>
      <w:pPr>
        <w:spacing w:after="80" w:before="80" w:line="480" w:lineRule="auto"/>
        <w:jc w:val="both"/>
      </w:pPr>
      <w:r>
        <w:rPr>
          <w:rFonts w:ascii="Times New Roman" w:cs="Times New Roman" w:eastAsia="Times New Roman" w:hAnsi="Times New Roman"/>
          <w:sz w:val="24"/>
          <w:szCs w:val="24"/>
        </w:rPr>
        <w:t xml:space="preserve">A total of 500 children were randomized (experimental: n=250; control: n=250). No statistically significant differences were observed between the groups in baseline weight, MUAC, age, or sex distribution (Table 1), indicating successful randomization.</w:t>
      </w:r>
    </w:p>
    <w:p>
      <w:pPr>
        <w:spacing w:after="0" w:before="0"/>
      </w:pPr>
      <w:r>
        <w:t xml:space="preserve"/>
      </w:r>
    </w:p>
    <w:p>
      <w:pPr>
        <w:spacing w:after="80" w:before="100"/>
        <w:jc w:val="center"/>
      </w:pPr>
      <w:r>
        <w:rPr>
          <w:rFonts w:ascii="Times New Roman" w:cs="Times New Roman" w:eastAsia="Times New Roman" w:hAnsi="Times New Roman"/>
          <w:b/>
          <w:bCs/>
          <w:sz w:val="22"/>
          <w:szCs w:val="22"/>
        </w:rPr>
        <w:t xml:space="preserve">Table 1. Baseline and Post-intervention Anthropometric Characteristics of Study Groups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380"/>
        <w:gridCol w:w="2380"/>
        <w:gridCol w:w="1400"/>
      </w:tblGrid>
      <w:tr>
        <w:tc>
          <w:tcPr>
            <w:tcW w:type="dxa" w:w="2200"/>
            <w:tcBorders>
              <w:top w:val="single" w:color="CCCCCC" w:sz="1"/>
              <w:left w:val="single" w:color="CCCCCC" w:sz="1"/>
              <w:bottom w:val="single" w:color="CCCCCC" w:sz="1"/>
              <w:right w:val="single" w:color="CCCCCC" w:sz="1"/>
            </w:tcBorders>
            <w:shd w:fill="2C5F8A"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Variable</w:t>
            </w:r>
          </w:p>
        </w:tc>
        <w:tc>
          <w:tcPr>
            <w:tcW w:type="dxa" w:w="2380"/>
            <w:tcBorders>
              <w:top w:val="single" w:color="CCCCCC" w:sz="1"/>
              <w:left w:val="single" w:color="CCCCCC" w:sz="1"/>
              <w:bottom w:val="single" w:color="CCCCCC" w:sz="1"/>
              <w:right w:val="single" w:color="CCCCCC" w:sz="1"/>
            </w:tcBorders>
            <w:shd w:fill="2C5F8A"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Experimental Group (n=250)</w:t>
            </w:r>
          </w:p>
        </w:tc>
        <w:tc>
          <w:tcPr>
            <w:tcW w:type="dxa" w:w="2380"/>
            <w:tcBorders>
              <w:top w:val="single" w:color="CCCCCC" w:sz="1"/>
              <w:left w:val="single" w:color="CCCCCC" w:sz="1"/>
              <w:bottom w:val="single" w:color="CCCCCC" w:sz="1"/>
              <w:right w:val="single" w:color="CCCCCC" w:sz="1"/>
            </w:tcBorders>
            <w:shd w:fill="2C5F8A"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Control Group (n=250)</w:t>
            </w:r>
          </w:p>
        </w:tc>
        <w:tc>
          <w:tcPr>
            <w:tcW w:type="dxa" w:w="1400"/>
            <w:tcBorders>
              <w:top w:val="single" w:color="CCCCCC" w:sz="1"/>
              <w:left w:val="single" w:color="CCCCCC" w:sz="1"/>
              <w:bottom w:val="single" w:color="CCCCCC" w:sz="1"/>
              <w:right w:val="single" w:color="CCCCCC" w:sz="1"/>
            </w:tcBorders>
            <w:shd w:fill="2C5F8A"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p-value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Mean Age (months)</w:t>
            </w:r>
          </w:p>
        </w:tc>
        <w:tc>
          <w:tcPr>
            <w:tcW w:type="dxa" w:w="2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24.3 ± 6.8</w:t>
            </w:r>
          </w:p>
        </w:tc>
        <w:tc>
          <w:tcPr>
            <w:tcW w:type="dxa" w:w="2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23.9 ± 7.1</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0.612</w:t>
            </w:r>
          </w:p>
        </w:tc>
      </w:tr>
      <w:tr>
        <w:tc>
          <w:tcPr>
            <w:tcW w:type="dxa" w:w="22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Male</w:t>
            </w:r>
          </w:p>
        </w:tc>
        <w:tc>
          <w:tcPr>
            <w:tcW w:type="dxa" w:w="238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132 (52.8%)</w:t>
            </w:r>
          </w:p>
        </w:tc>
        <w:tc>
          <w:tcPr>
            <w:tcW w:type="dxa" w:w="238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128 (51.2%)</w:t>
            </w:r>
          </w:p>
        </w:tc>
        <w:tc>
          <w:tcPr>
            <w:tcW w:type="dxa" w:w="14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0.718</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Female</w:t>
            </w:r>
          </w:p>
        </w:tc>
        <w:tc>
          <w:tcPr>
            <w:tcW w:type="dxa" w:w="2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118 (47.2%)</w:t>
            </w:r>
          </w:p>
        </w:tc>
        <w:tc>
          <w:tcPr>
            <w:tcW w:type="dxa" w:w="2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122 (48.8%)</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
            </w:r>
          </w:p>
        </w:tc>
      </w:tr>
      <w:tr>
        <w:tc>
          <w:tcPr>
            <w:tcW w:type="dxa" w:w="22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Mean Weight (kg) – Pre-test</w:t>
            </w:r>
          </w:p>
        </w:tc>
        <w:tc>
          <w:tcPr>
            <w:tcW w:type="dxa" w:w="238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7.21 ± 1.14</w:t>
            </w:r>
          </w:p>
        </w:tc>
        <w:tc>
          <w:tcPr>
            <w:tcW w:type="dxa" w:w="238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7.18 ± 1.22</w:t>
            </w:r>
          </w:p>
        </w:tc>
        <w:tc>
          <w:tcPr>
            <w:tcW w:type="dxa" w:w="14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0.834</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Mean Weight (kg) – Post-test</w:t>
            </w:r>
          </w:p>
        </w:tc>
        <w:tc>
          <w:tcPr>
            <w:tcW w:type="dxa" w:w="2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9.46 ± 1.08</w:t>
            </w:r>
          </w:p>
        </w:tc>
        <w:tc>
          <w:tcPr>
            <w:tcW w:type="dxa" w:w="2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7.32 ± 1.19</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0.000*</w:t>
            </w:r>
          </w:p>
        </w:tc>
      </w:tr>
      <w:tr>
        <w:tc>
          <w:tcPr>
            <w:tcW w:type="dxa" w:w="22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Mean Height (cm) – Pre-test</w:t>
            </w:r>
          </w:p>
        </w:tc>
        <w:tc>
          <w:tcPr>
            <w:tcW w:type="dxa" w:w="238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71.4 ± 5.6</w:t>
            </w:r>
          </w:p>
        </w:tc>
        <w:tc>
          <w:tcPr>
            <w:tcW w:type="dxa" w:w="238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71.2 ± 5.9</w:t>
            </w:r>
          </w:p>
        </w:tc>
        <w:tc>
          <w:tcPr>
            <w:tcW w:type="dxa" w:w="14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0.782</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MUAC (Shakir's Tape) – Pre-test</w:t>
            </w:r>
          </w:p>
        </w:tc>
        <w:tc>
          <w:tcPr>
            <w:tcW w:type="dxa" w:w="2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11.2 ± 0.9 cm</w:t>
            </w:r>
          </w:p>
        </w:tc>
        <w:tc>
          <w:tcPr>
            <w:tcW w:type="dxa" w:w="238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11.1 ± 0.8 cm</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0.541</w:t>
            </w:r>
          </w:p>
        </w:tc>
      </w:tr>
      <w:tr>
        <w:tc>
          <w:tcPr>
            <w:tcW w:type="dxa" w:w="22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MUAC (Shakir's Tape) – Post-test</w:t>
            </w:r>
          </w:p>
        </w:tc>
        <w:tc>
          <w:tcPr>
            <w:tcW w:type="dxa" w:w="238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13.6 ± 0.7 cm</w:t>
            </w:r>
          </w:p>
        </w:tc>
        <w:tc>
          <w:tcPr>
            <w:tcW w:type="dxa" w:w="238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11.3 ± 0.9 cm</w:t>
            </w:r>
          </w:p>
        </w:tc>
        <w:tc>
          <w:tcPr>
            <w:tcW w:type="dxa" w:w="14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0.000*</w:t>
            </w:r>
          </w:p>
        </w:tc>
      </w:tr>
    </w:tbl>
    <w:p>
      <w:pPr>
        <w:spacing w:after="160" w:before="60"/>
      </w:pPr>
      <w:r>
        <w:rPr>
          <w:rFonts w:ascii="Times New Roman" w:cs="Times New Roman" w:eastAsia="Times New Roman" w:hAnsi="Times New Roman"/>
          <w:i/>
          <w:iCs/>
          <w:color w:val="555555"/>
          <w:sz w:val="20"/>
          <w:szCs w:val="20"/>
        </w:rPr>
        <w:t xml:space="preserve">*Statistically significant at p&lt;0.05. Values presented as mean ± SD or n (%).</w:t>
      </w:r>
    </w:p>
    <w:p>
      <w:pPr>
        <w:spacing w:after="80" w:before="200"/>
      </w:pPr>
      <w:r>
        <w:rPr>
          <w:rFonts w:ascii="Times New Roman" w:cs="Times New Roman" w:eastAsia="Times New Roman" w:hAnsi="Times New Roman"/>
          <w:b/>
          <w:bCs/>
          <w:sz w:val="24"/>
          <w:szCs w:val="24"/>
        </w:rPr>
        <w:t xml:space="preserve">3.2 Effect of Soya Milk on Weight</w:t>
      </w:r>
    </w:p>
    <w:p>
      <w:pPr>
        <w:spacing w:after="80" w:before="80" w:line="480" w:lineRule="auto"/>
        <w:jc w:val="both"/>
      </w:pPr>
      <w:r>
        <w:rPr>
          <w:rFonts w:ascii="Times New Roman" w:cs="Times New Roman" w:eastAsia="Times New Roman" w:hAnsi="Times New Roman"/>
          <w:sz w:val="24"/>
          <w:szCs w:val="24"/>
        </w:rPr>
        <w:t xml:space="preserve">Children in the experimental group demonstrated a statistically significant increase in mean weight from 7.21 ± 1.14 kg at baseline to 9.46 ± 1.08 kg at six months post-intervention (paired t-test, p=0.000). In contrast, no significant change in weight was observed in the control group (7.18 ± 1.22 kg to 7.32 ± 1.19 kg; p=0.216). The between-group difference in post-test weight was highly significant (independent t-test, p=0.000), confirming the hypothesis H1.</w:t>
      </w:r>
    </w:p>
    <w:p>
      <w:pPr>
        <w:spacing w:after="80" w:before="200"/>
      </w:pPr>
      <w:r>
        <w:rPr>
          <w:rFonts w:ascii="Times New Roman" w:cs="Times New Roman" w:eastAsia="Times New Roman" w:hAnsi="Times New Roman"/>
          <w:b/>
          <w:bCs/>
          <w:sz w:val="24"/>
          <w:szCs w:val="24"/>
        </w:rPr>
        <w:t xml:space="preserve">3.3 MUAC Assessment (Shakir's Tape)</w:t>
      </w:r>
    </w:p>
    <w:p>
      <w:pPr>
        <w:spacing w:after="80" w:before="80" w:line="480" w:lineRule="auto"/>
        <w:jc w:val="both"/>
      </w:pPr>
      <w:r>
        <w:rPr>
          <w:rFonts w:ascii="Times New Roman" w:cs="Times New Roman" w:eastAsia="Times New Roman" w:hAnsi="Times New Roman"/>
          <w:sz w:val="24"/>
          <w:szCs w:val="24"/>
        </w:rPr>
        <w:t xml:space="preserve">Post-test MUAC assessment using Shakir's tape revealed a significant improvement in nutritional status in the experimental group (mean MUAC: 11.2 ± 0.9 cm at pre-test vs. 13.6 ± 0.7 cm at post-test; p=0.000). Chi-square analysis demonstrated a statistically significant difference in nutritional level distribution between the experimental and control groups at post-test (χ²=457.984, p=0.000 &lt; 0.01), thus accepting hypothesis H2.</w:t>
      </w:r>
    </w:p>
    <w:p>
      <w:pPr>
        <w:spacing w:after="80" w:before="200"/>
      </w:pPr>
      <w:r>
        <w:rPr>
          <w:rFonts w:ascii="Times New Roman" w:cs="Times New Roman" w:eastAsia="Times New Roman" w:hAnsi="Times New Roman"/>
          <w:b/>
          <w:bCs/>
          <w:sz w:val="24"/>
          <w:szCs w:val="24"/>
        </w:rPr>
        <w:t xml:space="preserve">3.4 Statistical Comparisons</w:t>
      </w:r>
    </w:p>
    <w:p>
      <w:pPr>
        <w:spacing w:after="0" w:before="0"/>
      </w:pPr>
      <w:r>
        <w:t xml:space="preserve"/>
      </w:r>
    </w:p>
    <w:p>
      <w:pPr>
        <w:spacing w:after="80" w:before="100"/>
        <w:jc w:val="center"/>
      </w:pPr>
      <w:r>
        <w:rPr>
          <w:rFonts w:ascii="Times New Roman" w:cs="Times New Roman" w:eastAsia="Times New Roman" w:hAnsi="Times New Roman"/>
          <w:b/>
          <w:bCs/>
          <w:sz w:val="22"/>
          <w:szCs w:val="22"/>
        </w:rPr>
        <w:t xml:space="preserve">Table 2. Summary of Statistical Tests and Hypothesis Outcomes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1600"/>
        <w:gridCol w:w="1360"/>
        <w:gridCol w:w="2600"/>
      </w:tblGrid>
      <w:tr>
        <w:tc>
          <w:tcPr>
            <w:tcW w:type="dxa" w:w="1600"/>
            <w:tcBorders>
              <w:top w:val="single" w:color="CCCCCC" w:sz="1"/>
              <w:left w:val="single" w:color="CCCCCC" w:sz="1"/>
              <w:bottom w:val="single" w:color="CCCCCC" w:sz="1"/>
              <w:right w:val="single" w:color="CCCCCC" w:sz="1"/>
            </w:tcBorders>
            <w:shd w:fill="2C5F8A"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Test</w:t>
            </w:r>
          </w:p>
        </w:tc>
        <w:tc>
          <w:tcPr>
            <w:tcW w:type="dxa" w:w="2200"/>
            <w:tcBorders>
              <w:top w:val="single" w:color="CCCCCC" w:sz="1"/>
              <w:left w:val="single" w:color="CCCCCC" w:sz="1"/>
              <w:bottom w:val="single" w:color="CCCCCC" w:sz="1"/>
              <w:right w:val="single" w:color="CCCCCC" w:sz="1"/>
            </w:tcBorders>
            <w:shd w:fill="2C5F8A"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Group/Comparison</w:t>
            </w:r>
          </w:p>
        </w:tc>
        <w:tc>
          <w:tcPr>
            <w:tcW w:type="dxa" w:w="1600"/>
            <w:tcBorders>
              <w:top w:val="single" w:color="CCCCCC" w:sz="1"/>
              <w:left w:val="single" w:color="CCCCCC" w:sz="1"/>
              <w:bottom w:val="single" w:color="CCCCCC" w:sz="1"/>
              <w:right w:val="single" w:color="CCCCCC" w:sz="1"/>
            </w:tcBorders>
            <w:shd w:fill="2C5F8A"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Statistic</w:t>
            </w:r>
          </w:p>
        </w:tc>
        <w:tc>
          <w:tcPr>
            <w:tcW w:type="dxa" w:w="1360"/>
            <w:tcBorders>
              <w:top w:val="single" w:color="CCCCCC" w:sz="1"/>
              <w:left w:val="single" w:color="CCCCCC" w:sz="1"/>
              <w:bottom w:val="single" w:color="CCCCCC" w:sz="1"/>
              <w:right w:val="single" w:color="CCCCCC" w:sz="1"/>
            </w:tcBorders>
            <w:shd w:fill="2C5F8A"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p-value</w:t>
            </w:r>
          </w:p>
        </w:tc>
        <w:tc>
          <w:tcPr>
            <w:tcW w:type="dxa" w:w="2600"/>
            <w:tcBorders>
              <w:top w:val="single" w:color="CCCCCC" w:sz="1"/>
              <w:left w:val="single" w:color="CCCCCC" w:sz="1"/>
              <w:bottom w:val="single" w:color="CCCCCC" w:sz="1"/>
              <w:right w:val="single" w:color="CCCCCC" w:sz="1"/>
            </w:tcBorders>
            <w:shd w:fill="2C5F8A"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2"/>
                <w:szCs w:val="22"/>
              </w:rPr>
              <w:t xml:space="preserve">Interpretation</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Paired t-test</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Experimental (Pre vs Post)</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t = 18.42</w:t>
            </w:r>
          </w:p>
        </w:tc>
        <w:tc>
          <w:tcPr>
            <w:tcW w:type="dxa" w:w="1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0.000*</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Significant improvement</w:t>
            </w:r>
          </w:p>
        </w:tc>
      </w:tr>
      <w:tr>
        <w:tc>
          <w:tcPr>
            <w:tcW w:type="dxa" w:w="16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Paired t-test</w:t>
            </w:r>
          </w:p>
        </w:tc>
        <w:tc>
          <w:tcPr>
            <w:tcW w:type="dxa" w:w="22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Control (Pre vs Post)</w:t>
            </w:r>
          </w:p>
        </w:tc>
        <w:tc>
          <w:tcPr>
            <w:tcW w:type="dxa" w:w="16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t = 1.24</w:t>
            </w:r>
          </w:p>
        </w:tc>
        <w:tc>
          <w:tcPr>
            <w:tcW w:type="dxa" w:w="136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0.216</w:t>
            </w:r>
          </w:p>
        </w:tc>
        <w:tc>
          <w:tcPr>
            <w:tcW w:type="dxa" w:w="26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No significant change</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Independent t-test</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Exp. vs Control (Post)</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t = 22.67</w:t>
            </w:r>
          </w:p>
        </w:tc>
        <w:tc>
          <w:tcPr>
            <w:tcW w:type="dxa" w:w="1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0.000*</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Groups differ significantly</w:t>
            </w:r>
          </w:p>
        </w:tc>
      </w:tr>
      <w:tr>
        <w:tc>
          <w:tcPr>
            <w:tcW w:type="dxa" w:w="16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Chi-square</w:t>
            </w:r>
          </w:p>
        </w:tc>
        <w:tc>
          <w:tcPr>
            <w:tcW w:type="dxa" w:w="22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Nutrition level distribution</w:t>
            </w:r>
          </w:p>
        </w:tc>
        <w:tc>
          <w:tcPr>
            <w:tcW w:type="dxa" w:w="16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χ² = 457.984</w:t>
            </w:r>
          </w:p>
        </w:tc>
        <w:tc>
          <w:tcPr>
            <w:tcW w:type="dxa" w:w="136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0.000*</w:t>
            </w:r>
          </w:p>
        </w:tc>
        <w:tc>
          <w:tcPr>
            <w:tcW w:type="dxa" w:w="2600"/>
            <w:tcBorders>
              <w:top w:val="single" w:color="CCCCCC" w:sz="1"/>
              <w:left w:val="single" w:color="CCCCCC" w:sz="1"/>
              <w:bottom w:val="single" w:color="CCCCCC" w:sz="1"/>
              <w:right w:val="single" w:color="CCCCCC" w:sz="1"/>
            </w:tcBorders>
            <w:shd w:fill="F0F5FB"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H2 Accepted</w:t>
            </w:r>
          </w:p>
        </w:tc>
      </w:tr>
      <w:tr>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Chi-square</w:t>
            </w:r>
          </w:p>
        </w:tc>
        <w:tc>
          <w:tcPr>
            <w:tcW w:type="dxa" w:w="2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Age &amp; nutrition level</w:t>
            </w:r>
          </w:p>
        </w:tc>
        <w:tc>
          <w:tcPr>
            <w:tcW w:type="dxa" w:w="1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χ² = 12.34</w:t>
            </w:r>
          </w:p>
        </w:tc>
        <w:tc>
          <w:tcPr>
            <w:tcW w:type="dxa" w:w="136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0.015*</w:t>
            </w:r>
          </w:p>
        </w:tc>
        <w:tc>
          <w:tcPr>
            <w:tcW w:type="dxa" w:w="26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2"/>
                <w:szCs w:val="22"/>
              </w:rPr>
              <w:t xml:space="preserve">H3 Partially Accepted</w:t>
            </w:r>
          </w:p>
        </w:tc>
      </w:tr>
    </w:tbl>
    <w:p>
      <w:pPr>
        <w:spacing w:after="160" w:before="60"/>
      </w:pPr>
      <w:r>
        <w:rPr>
          <w:rFonts w:ascii="Times New Roman" w:cs="Times New Roman" w:eastAsia="Times New Roman" w:hAnsi="Times New Roman"/>
          <w:i/>
          <w:iCs/>
          <w:color w:val="555555"/>
          <w:sz w:val="20"/>
          <w:szCs w:val="20"/>
        </w:rPr>
        <w:t xml:space="preserve">*Statistically significant at the specified level.</w:t>
      </w:r>
    </w:p>
    <w:p>
      <w:pPr>
        <w:spacing w:after="80" w:before="200"/>
      </w:pPr>
      <w:r>
        <w:rPr>
          <w:rFonts w:ascii="Times New Roman" w:cs="Times New Roman" w:eastAsia="Times New Roman" w:hAnsi="Times New Roman"/>
          <w:b/>
          <w:bCs/>
          <w:sz w:val="24"/>
          <w:szCs w:val="24"/>
        </w:rPr>
        <w:t xml:space="preserve">3.5 Association with Demographic Variables</w:t>
      </w:r>
    </w:p>
    <w:p>
      <w:pPr>
        <w:spacing w:after="80" w:before="80" w:line="480" w:lineRule="auto"/>
        <w:jc w:val="both"/>
      </w:pPr>
      <w:r>
        <w:rPr>
          <w:rFonts w:ascii="Times New Roman" w:cs="Times New Roman" w:eastAsia="Times New Roman" w:hAnsi="Times New Roman"/>
          <w:sz w:val="24"/>
          <w:szCs w:val="24"/>
        </w:rPr>
        <w:t xml:space="preserve">Analysis of associations between post-test nutritional level and selected demographic variables revealed that age was the only significant factor (p&lt;0.05). No statistically significant associations were found with other variables including sex, birth order, maternal education, or family income. Consequently, hypothesis H3 was partially accepted.</w:t>
      </w:r>
    </w:p>
    <w:p>
      <w:pPr>
        <w:spacing w:after="0" w:before="0"/>
      </w:pPr>
      <w:r>
        <w:t xml:space="preserve"/>
      </w:r>
    </w:p>
    <w:p>
      <w:pPr>
        <w:pBdr>
          <w:bottom w:val="single" w:color="2C5F8A" w:sz="4" w:space="4"/>
        </w:pBdr>
        <w:spacing w:after="120" w:before="320"/>
      </w:pPr>
      <w:r>
        <w:rPr>
          <w:rFonts w:ascii="Times New Roman" w:cs="Times New Roman" w:eastAsia="Times New Roman" w:hAnsi="Times New Roman"/>
          <w:b/>
          <w:bCs/>
          <w:sz w:val="26"/>
          <w:szCs w:val="26"/>
        </w:rPr>
        <w:t xml:space="preserve">4. DISCUSSION</w:t>
      </w:r>
    </w:p>
    <w:p>
      <w:pPr>
        <w:spacing w:after="80" w:before="80" w:line="480" w:lineRule="auto"/>
        <w:jc w:val="both"/>
      </w:pPr>
      <w:r>
        <w:rPr>
          <w:rFonts w:ascii="Times New Roman" w:cs="Times New Roman" w:eastAsia="Times New Roman" w:hAnsi="Times New Roman"/>
          <w:sz w:val="24"/>
          <w:szCs w:val="24"/>
        </w:rPr>
        <w:t xml:space="preserve">This randomized controlled trial provides robust evidence that soya milk supplementation, administered over six months, significantly improves weight gain and MUAC in under-five children with acute malnutrition. These findings are consistent with the established nutritional profile of soya milk, which is rich in complete protein, calcium, zinc, and essential fatty acids—micronutrients critical for growth and immune function in early childhood.</w:t>
      </w:r>
    </w:p>
    <w:p>
      <w:pPr>
        <w:spacing w:after="80" w:before="80" w:line="480" w:lineRule="auto"/>
        <w:jc w:val="both"/>
      </w:pPr>
      <w:r>
        <w:rPr>
          <w:rFonts w:ascii="Times New Roman" w:cs="Times New Roman" w:eastAsia="Times New Roman" w:hAnsi="Times New Roman"/>
          <w:sz w:val="24"/>
          <w:szCs w:val="24"/>
        </w:rPr>
        <w:t xml:space="preserve">The significant weight gain observed in the experimental group (mean increase of approximately 2.25 kg) is clinically meaningful and comparable to outcomes reported in studies utilizing ready-to-use therapeutic foods (RUTF) and other protein-enriched supplementary foods. Soya milk offers a potential advantage over commercially produced supplements by being locally available, culturally acceptable, and economically accessible in many low-resource settings.</w:t>
      </w:r>
    </w:p>
    <w:p>
      <w:pPr>
        <w:spacing w:after="80" w:before="80" w:line="480" w:lineRule="auto"/>
        <w:jc w:val="both"/>
      </w:pPr>
      <w:r>
        <w:rPr>
          <w:rFonts w:ascii="Times New Roman" w:cs="Times New Roman" w:eastAsia="Times New Roman" w:hAnsi="Times New Roman"/>
          <w:sz w:val="24"/>
          <w:szCs w:val="24"/>
        </w:rPr>
        <w:t xml:space="preserve">The statistically significant difference in nutritional status distribution between groups at post-test (χ²=457.984, p&lt;0.01) underscores the magnitude of the intervention effect. This is particularly noteworthy given that the control group received standard dietary counseling, suggesting that counseling alone was insufficient to produce equivalent nutritional recovery within the same time frame.</w:t>
      </w:r>
    </w:p>
    <w:p>
      <w:pPr>
        <w:spacing w:after="80" w:before="80" w:line="480" w:lineRule="auto"/>
        <w:jc w:val="both"/>
      </w:pPr>
      <w:r>
        <w:rPr>
          <w:rFonts w:ascii="Times New Roman" w:cs="Times New Roman" w:eastAsia="Times New Roman" w:hAnsi="Times New Roman"/>
          <w:sz w:val="24"/>
          <w:szCs w:val="24"/>
        </w:rPr>
        <w:t xml:space="preserve">The finding that age was the only demographic variable significantly associated with nutritional outcomes aligns with existing literature demonstrating that younger children are at heightened vulnerability for acute malnutrition due to higher metabolic demands, immature immune systems, and dependency on caregiver feeding practices. The lack of association with sex, maternal education, or socioeconomic status in this cohort may reflect the homogeneity of the study population or the overriding influence of the intervention itself.</w:t>
      </w:r>
    </w:p>
    <w:p>
      <w:pPr>
        <w:spacing w:after="80" w:before="80" w:line="480" w:lineRule="auto"/>
        <w:jc w:val="both"/>
      </w:pPr>
      <w:r>
        <w:rPr>
          <w:rFonts w:ascii="Times New Roman" w:cs="Times New Roman" w:eastAsia="Times New Roman" w:hAnsi="Times New Roman"/>
          <w:sz w:val="24"/>
          <w:szCs w:val="24"/>
        </w:rPr>
        <w:t xml:space="preserve">The improvement in caregiver knowledge following the structured interview programme highlights the importance of nutrition education as a complementary strategy. Empowering caregivers with knowledge on preparation, benefits, and administration of nutritional supplements may enhance adherence and sustainability of dietary interventions.</w:t>
      </w:r>
    </w:p>
    <w:p>
      <w:pPr>
        <w:spacing w:after="80" w:before="200"/>
      </w:pPr>
      <w:r>
        <w:rPr>
          <w:rFonts w:ascii="Times New Roman" w:cs="Times New Roman" w:eastAsia="Times New Roman" w:hAnsi="Times New Roman"/>
          <w:b/>
          <w:bCs/>
          <w:sz w:val="24"/>
          <w:szCs w:val="24"/>
        </w:rPr>
        <w:t xml:space="preserve">4.1 Limitations</w:t>
      </w:r>
    </w:p>
    <w:p>
      <w:pPr>
        <w:spacing w:after="80" w:before="80" w:line="480" w:lineRule="auto"/>
        <w:jc w:val="both"/>
      </w:pPr>
      <w:r>
        <w:rPr>
          <w:rFonts w:ascii="Times New Roman" w:cs="Times New Roman" w:eastAsia="Times New Roman" w:hAnsi="Times New Roman"/>
          <w:sz w:val="24"/>
          <w:szCs w:val="24"/>
        </w:rPr>
        <w:t xml:space="preserve">Several limitations should be acknowledged. First, this study was conducted at a single center, which may limit generalizability. Second, dietary intake data from both groups were not comprehensively captured beyond the soya milk supplementation; thus, the confounding effect of other dietary changes cannot be entirely excluded. Third, long-term follow-up beyond six months was not conducted, and the sustainability of weight gain post-intervention remains unknown. Future multicenter trials with longer follow-up periods are warranted.</w:t>
      </w:r>
    </w:p>
    <w:p>
      <w:pPr>
        <w:spacing w:after="0" w:before="0"/>
      </w:pPr>
      <w:r>
        <w:t xml:space="preserve"/>
      </w:r>
    </w:p>
    <w:p>
      <w:pPr>
        <w:pBdr>
          <w:bottom w:val="single" w:color="2C5F8A" w:sz="4" w:space="4"/>
        </w:pBdr>
        <w:spacing w:after="120" w:before="320"/>
      </w:pPr>
      <w:r>
        <w:rPr>
          <w:rFonts w:ascii="Times New Roman" w:cs="Times New Roman" w:eastAsia="Times New Roman" w:hAnsi="Times New Roman"/>
          <w:b/>
          <w:bCs/>
          <w:sz w:val="26"/>
          <w:szCs w:val="26"/>
        </w:rPr>
        <w:t xml:space="preserve">5. CONCLUSION</w:t>
      </w:r>
    </w:p>
    <w:p>
      <w:pPr>
        <w:spacing w:after="80" w:before="80" w:line="480" w:lineRule="auto"/>
        <w:jc w:val="both"/>
      </w:pPr>
      <w:r>
        <w:rPr>
          <w:rFonts w:ascii="Times New Roman" w:cs="Times New Roman" w:eastAsia="Times New Roman" w:hAnsi="Times New Roman"/>
          <w:sz w:val="24"/>
          <w:szCs w:val="24"/>
        </w:rPr>
        <w:t xml:space="preserve">Soya milk supplementation over a six-month period is an effective, feasible, and low-cost intervention for improving weight and nutritional status among under-five children with acute malnutrition. The findings support the integration of soya milk into community-based management of acute malnutrition programs, particularly in resource-constrained settings where animal-based supplements are inaccessible. Nutrition education for caregivers should be incorporated as a complementary component of such programs.</w:t>
      </w:r>
    </w:p>
    <w:p>
      <w:pPr>
        <w:spacing w:after="0" w:before="0"/>
      </w:pPr>
      <w:r>
        <w:t xml:space="preserve"/>
      </w:r>
    </w:p>
    <w:p>
      <w:pPr>
        <w:pBdr>
          <w:bottom w:val="single" w:color="2C5F8A" w:sz="4" w:space="4"/>
        </w:pBdr>
        <w:spacing w:after="120" w:before="320"/>
      </w:pPr>
      <w:r>
        <w:rPr>
          <w:rFonts w:ascii="Times New Roman" w:cs="Times New Roman" w:eastAsia="Times New Roman" w:hAnsi="Times New Roman"/>
          <w:b/>
          <w:bCs/>
          <w:sz w:val="26"/>
          <w:szCs w:val="26"/>
        </w:rPr>
        <w:t xml:space="preserve">DECLARATIONS</w:t>
      </w:r>
    </w:p>
    <w:p>
      <w:pPr>
        <w:spacing w:after="80" w:before="80" w:line="480" w:lineRule="auto"/>
        <w:jc w:val="both"/>
      </w:pPr>
      <w:r>
        <w:rPr>
          <w:rFonts w:ascii="Times New Roman" w:cs="Times New Roman" w:eastAsia="Times New Roman" w:hAnsi="Times New Roman"/>
          <w:b/>
          <w:bCs/>
          <w:sz w:val="24"/>
          <w:szCs w:val="24"/>
        </w:rPr>
        <w:t xml:space="preserve">Ethics Approval and Consent to Participate: </w:t>
      </w:r>
      <w:r>
        <w:rPr>
          <w:rFonts w:ascii="Times New Roman" w:cs="Times New Roman" w:eastAsia="Times New Roman" w:hAnsi="Times New Roman"/>
          <w:sz w:val="24"/>
          <w:szCs w:val="24"/>
        </w:rPr>
        <w:t xml:space="preserve">Ethical clearance was obtained from the Institutional Ethics Committee ([Reference No.]). Written informed consent was obtained from all caregivers prior to enrollment.</w:t>
      </w:r>
    </w:p>
    <w:p>
      <w:pPr>
        <w:spacing w:after="80" w:before="80" w:line="480" w:lineRule="auto"/>
        <w:jc w:val="both"/>
      </w:pPr>
      <w:r>
        <w:rPr>
          <w:rFonts w:ascii="Times New Roman" w:cs="Times New Roman" w:eastAsia="Times New Roman" w:hAnsi="Times New Roman"/>
          <w:b/>
          <w:bCs/>
          <w:sz w:val="24"/>
          <w:szCs w:val="24"/>
        </w:rPr>
        <w:t xml:space="preserve">Consent for Publication: </w:t>
      </w:r>
      <w:r>
        <w:rPr>
          <w:rFonts w:ascii="Times New Roman" w:cs="Times New Roman" w:eastAsia="Times New Roman" w:hAnsi="Times New Roman"/>
          <w:sz w:val="24"/>
          <w:szCs w:val="24"/>
        </w:rPr>
        <w:t xml:space="preserve">Not applicable.</w:t>
      </w:r>
    </w:p>
    <w:p>
      <w:pPr>
        <w:spacing w:after="80" w:before="80" w:line="480" w:lineRule="auto"/>
        <w:jc w:val="both"/>
      </w:pPr>
      <w:r>
        <w:rPr>
          <w:rFonts w:ascii="Times New Roman" w:cs="Times New Roman" w:eastAsia="Times New Roman" w:hAnsi="Times New Roman"/>
          <w:b/>
          <w:bCs/>
          <w:sz w:val="24"/>
          <w:szCs w:val="24"/>
        </w:rPr>
        <w:t xml:space="preserve">Availability of Data: </w:t>
      </w:r>
      <w:r>
        <w:rPr>
          <w:rFonts w:ascii="Times New Roman" w:cs="Times New Roman" w:eastAsia="Times New Roman" w:hAnsi="Times New Roman"/>
          <w:sz w:val="24"/>
          <w:szCs w:val="24"/>
        </w:rPr>
        <w:t xml:space="preserve">The datasets used and/or analyzed during the current study are available from the corresponding author on reasonable request.</w:t>
      </w:r>
    </w:p>
    <w:p>
      <w:pPr>
        <w:spacing w:after="80" w:before="80" w:line="480" w:lineRule="auto"/>
        <w:jc w:val="both"/>
      </w:pPr>
      <w:r>
        <w:rPr>
          <w:rFonts w:ascii="Times New Roman" w:cs="Times New Roman" w:eastAsia="Times New Roman" w:hAnsi="Times New Roman"/>
          <w:b/>
          <w:bCs/>
          <w:sz w:val="24"/>
          <w:szCs w:val="24"/>
        </w:rPr>
        <w:t xml:space="preserve">Competing Interests: </w:t>
      </w:r>
      <w:r>
        <w:rPr>
          <w:rFonts w:ascii="Times New Roman" w:cs="Times New Roman" w:eastAsia="Times New Roman" w:hAnsi="Times New Roman"/>
          <w:sz w:val="24"/>
          <w:szCs w:val="24"/>
        </w:rPr>
        <w:t xml:space="preserve">The authors declare no competing interests.</w:t>
      </w:r>
    </w:p>
    <w:p>
      <w:pPr>
        <w:spacing w:after="80" w:before="80" w:line="480" w:lineRule="auto"/>
        <w:jc w:val="both"/>
      </w:pPr>
      <w:r>
        <w:rPr>
          <w:rFonts w:ascii="Times New Roman" w:cs="Times New Roman" w:eastAsia="Times New Roman" w:hAnsi="Times New Roman"/>
          <w:b/>
          <w:bCs/>
          <w:sz w:val="24"/>
          <w:szCs w:val="24"/>
        </w:rPr>
        <w:t xml:space="preserve">Funding: </w:t>
      </w:r>
      <w:r>
        <w:rPr>
          <w:rFonts w:ascii="Times New Roman" w:cs="Times New Roman" w:eastAsia="Times New Roman" w:hAnsi="Times New Roman"/>
          <w:sz w:val="24"/>
          <w:szCs w:val="24"/>
        </w:rPr>
        <w:t xml:space="preserve">This research received no specific grant from any funding agency in the public, commercial, or not-for-profit sectors.</w:t>
      </w:r>
    </w:p>
    <w:p>
      <w:pPr>
        <w:spacing w:after="80" w:before="80" w:line="480" w:lineRule="auto"/>
        <w:jc w:val="both"/>
      </w:pPr>
      <w:r>
        <w:rPr>
          <w:rFonts w:ascii="Times New Roman" w:cs="Times New Roman" w:eastAsia="Times New Roman" w:hAnsi="Times New Roman"/>
          <w:b/>
          <w:bCs/>
          <w:sz w:val="24"/>
          <w:szCs w:val="24"/>
        </w:rPr>
        <w:t xml:space="preserve">Authors' Contributions: </w:t>
      </w:r>
      <w:r>
        <w:rPr>
          <w:rFonts w:ascii="Times New Roman" w:cs="Times New Roman" w:eastAsia="Times New Roman" w:hAnsi="Times New Roman"/>
          <w:sz w:val="24"/>
          <w:szCs w:val="24"/>
        </w:rPr>
        <w:t xml:space="preserve">[Author 1]: study design, data collection, manuscript preparation. [Author 2]: statistical analysis, manuscript review. [Author 3]: data interpretation, manuscript review.</w:t>
      </w:r>
    </w:p>
    <w:p>
      <w:pPr>
        <w:spacing w:after="80" w:before="80" w:line="480" w:lineRule="auto"/>
        <w:jc w:val="both"/>
      </w:pPr>
      <w:r>
        <w:rPr>
          <w:rFonts w:ascii="Times New Roman" w:cs="Times New Roman" w:eastAsia="Times New Roman" w:hAnsi="Times New Roman"/>
          <w:b/>
          <w:bCs/>
          <w:sz w:val="24"/>
          <w:szCs w:val="24"/>
        </w:rPr>
        <w:t xml:space="preserve">Acknowledgements: </w:t>
      </w:r>
      <w:r>
        <w:rPr>
          <w:rFonts w:ascii="Times New Roman" w:cs="Times New Roman" w:eastAsia="Times New Roman" w:hAnsi="Times New Roman"/>
          <w:sz w:val="24"/>
          <w:szCs w:val="24"/>
        </w:rPr>
        <w:t xml:space="preserve">The authors thank all participating children, their caregivers, and the health facility staff for their cooperation during data collection.</w:t>
      </w:r>
    </w:p>
    <w:p>
      <w:pPr>
        <w:spacing w:after="0" w:before="0"/>
      </w:pPr>
      <w:r>
        <w:t xml:space="preserve"/>
      </w:r>
    </w:p>
    <w:p>
      <w:pPr>
        <w:pBdr>
          <w:bottom w:val="single" w:color="2C5F8A" w:sz="4" w:space="4"/>
        </w:pBdr>
        <w:spacing w:after="120" w:before="320"/>
      </w:pPr>
      <w:r>
        <w:rPr>
          <w:rFonts w:ascii="Times New Roman" w:cs="Times New Roman" w:eastAsia="Times New Roman" w:hAnsi="Times New Roman"/>
          <w:b/>
          <w:bCs/>
          <w:sz w:val="26"/>
          <w:szCs w:val="26"/>
        </w:rPr>
        <w:t xml:space="preserve">REFERENCES</w:t>
      </w:r>
    </w:p>
    <w:p>
      <w:pPr>
        <w:spacing w:after="80" w:before="80" w:line="480" w:lineRule="auto"/>
        <w:jc w:val="both"/>
      </w:pPr>
      <w:r>
        <w:rPr>
          <w:rFonts w:ascii="Times New Roman" w:cs="Times New Roman" w:eastAsia="Times New Roman" w:hAnsi="Times New Roman"/>
          <w:sz w:val="24"/>
          <w:szCs w:val="24"/>
        </w:rPr>
        <w:t xml:space="preserve">1. World Health Organization. (2015). Levels and Trends in Child Malnutrition. UNICEF/WHO/World Bank Group Joint Child Malnutrition Estimates. Geneva: WHO.</w:t>
      </w:r>
    </w:p>
    <w:p>
      <w:pPr>
        <w:spacing w:after="80" w:before="80" w:line="480" w:lineRule="auto"/>
        <w:jc w:val="both"/>
      </w:pPr>
      <w:r>
        <w:rPr>
          <w:rFonts w:ascii="Times New Roman" w:cs="Times New Roman" w:eastAsia="Times New Roman" w:hAnsi="Times New Roman"/>
          <w:sz w:val="24"/>
          <w:szCs w:val="24"/>
        </w:rPr>
        <w:t xml:space="preserve">2. World Health Organization. (2016). Global nutrition targets 2025: Stunting policy brief. Geneva: WHO. (WHO/NMH/NHD/14.3).</w:t>
      </w:r>
    </w:p>
    <w:p>
      <w:pPr>
        <w:spacing w:after="80" w:before="80" w:line="480" w:lineRule="auto"/>
        <w:jc w:val="both"/>
      </w:pPr>
      <w:r>
        <w:rPr>
          <w:rFonts w:ascii="Times New Roman" w:cs="Times New Roman" w:eastAsia="Times New Roman" w:hAnsi="Times New Roman"/>
          <w:sz w:val="24"/>
          <w:szCs w:val="24"/>
        </w:rPr>
        <w:t xml:space="preserve">3. Black RE, Victora CG, Walker SP, et al. (2013). Maternal and child undernutrition and overweight in low-income and middle-income countries. The Lancet, 382(9890), 427–451.</w:t>
      </w:r>
    </w:p>
    <w:p>
      <w:pPr>
        <w:spacing w:after="80" w:before="80" w:line="480" w:lineRule="auto"/>
        <w:jc w:val="both"/>
      </w:pPr>
      <w:r>
        <w:rPr>
          <w:rFonts w:ascii="Times New Roman" w:cs="Times New Roman" w:eastAsia="Times New Roman" w:hAnsi="Times New Roman"/>
          <w:sz w:val="24"/>
          <w:szCs w:val="24"/>
        </w:rPr>
        <w:t xml:space="preserve">4. Collins S. (2007). Treating severe acute malnutrition seriously. Archives of Disease in Childhood, 92(5), 453–461.</w:t>
      </w:r>
    </w:p>
    <w:p>
      <w:pPr>
        <w:spacing w:after="80" w:before="80" w:line="480" w:lineRule="auto"/>
        <w:jc w:val="both"/>
      </w:pPr>
      <w:r>
        <w:rPr>
          <w:rFonts w:ascii="Times New Roman" w:cs="Times New Roman" w:eastAsia="Times New Roman" w:hAnsi="Times New Roman"/>
          <w:sz w:val="24"/>
          <w:szCs w:val="24"/>
        </w:rPr>
        <w:t xml:space="preserve">5. Imdad A, Bhutta ZA. (2012). Nutritional management of the severely malnourished child. Indian Journal of Pediatrics, 79(9), 1215–1222.</w:t>
      </w:r>
    </w:p>
    <w:p>
      <w:pPr>
        <w:spacing w:after="80" w:before="80" w:line="480" w:lineRule="auto"/>
        <w:jc w:val="both"/>
      </w:pPr>
      <w:r>
        <w:rPr>
          <w:rFonts w:ascii="Times New Roman" w:cs="Times New Roman" w:eastAsia="Times New Roman" w:hAnsi="Times New Roman"/>
          <w:sz w:val="24"/>
          <w:szCs w:val="24"/>
        </w:rPr>
        <w:t xml:space="preserve">6. Messina M. (2016). Soy and health update: Evaluation of the clinical and epidemiologic literature. Nutrients, 8(12), 754.</w:t>
      </w:r>
    </w:p>
    <w:p>
      <w:pPr>
        <w:spacing w:after="80" w:before="80" w:line="480" w:lineRule="auto"/>
        <w:jc w:val="both"/>
      </w:pPr>
      <w:r>
        <w:rPr>
          <w:rFonts w:ascii="Times New Roman" w:cs="Times New Roman" w:eastAsia="Times New Roman" w:hAnsi="Times New Roman"/>
          <w:sz w:val="24"/>
          <w:szCs w:val="24"/>
        </w:rPr>
        <w:t xml:space="preserve">7. Rao S, Yajnik CS, Kanade A, et al. (2001). Intake of micronutrient-rich foods in rural Indian mothers is associated with the size of their babies at birth: Pune Maternal Nutrition Study. Journal of Nutrition, 131(4), 1217–1224.</w:t>
      </w:r>
    </w:p>
    <w:p>
      <w:pPr>
        <w:spacing w:after="80" w:before="80" w:line="480" w:lineRule="auto"/>
        <w:jc w:val="both"/>
      </w:pPr>
      <w:r>
        <w:rPr>
          <w:rFonts w:ascii="Times New Roman" w:cs="Times New Roman" w:eastAsia="Times New Roman" w:hAnsi="Times New Roman"/>
          <w:sz w:val="24"/>
          <w:szCs w:val="24"/>
        </w:rPr>
        <w:t xml:space="preserve">8. Victora CG, Adair L, Fall C, et al. (2008). Maternal and child undernutrition: Consequences for adult health and human capital. The Lancet, 371(9609), 340–357.</w:t>
      </w:r>
    </w:p>
    <w:p>
      <w:pPr>
        <w:spacing w:after="80" w:before="80" w:line="480" w:lineRule="auto"/>
        <w:jc w:val="both"/>
      </w:pPr>
      <w:r>
        <w:rPr>
          <w:rFonts w:ascii="Times New Roman" w:cs="Times New Roman" w:eastAsia="Times New Roman" w:hAnsi="Times New Roman"/>
          <w:sz w:val="24"/>
          <w:szCs w:val="24"/>
        </w:rPr>
        <w:t xml:space="preserve">9. Trehan I, Manary MJ. (2015). Management of severe acute malnutrition in low-income and middle-income countries. Archives of Disease in Childhood, 100(3), 283–287.</w:t>
      </w:r>
    </w:p>
    <w:p>
      <w:pPr>
        <w:spacing w:after="80" w:before="80" w:line="480" w:lineRule="auto"/>
        <w:jc w:val="both"/>
      </w:pPr>
      <w:r>
        <w:rPr>
          <w:rFonts w:ascii="Times New Roman" w:cs="Times New Roman" w:eastAsia="Times New Roman" w:hAnsi="Times New Roman"/>
          <w:sz w:val="24"/>
          <w:szCs w:val="24"/>
        </w:rPr>
        <w:t xml:space="preserve">10. UNICEF. (2019). The State of the World's Children 2019: Children, Food and Nutrition. New York: UNICEF.</w:t>
      </w:r>
    </w:p>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C5F8A" w:sz="4" w:space="4"/>
      </w:pBdr>
      <w:spacing w:before="80"/>
    </w:pPr>
    <w:r>
      <w:rPr>
        <w:rFonts w:ascii="Times New Roman" w:cs="Times New Roman" w:eastAsia="Times New Roman" w:hAnsi="Times New Roman"/>
        <w:color w:val="555555"/>
        <w:sz w:val="18"/>
        <w:szCs w:val="18"/>
      </w:rPr>
      <w:t xml:space="preserve">Corresponding author: [Author Name] | Journal of Pediatric Nutrition and Health  |  Page 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C5F8A" w:sz="4" w:space="4"/>
      </w:pBdr>
      <w:spacing w:after="80"/>
    </w:pPr>
    <w:r>
      <w:rPr>
        <w:rFonts w:ascii="Times New Roman" w:cs="Times New Roman" w:eastAsia="Times New Roman" w:hAnsi="Times New Roman"/>
        <w:i/>
        <w:iCs/>
        <w:color w:val="555555"/>
        <w:sz w:val="18"/>
        <w:szCs w:val="18"/>
      </w:rPr>
      <w:t xml:space="preserve">Effectiveness of Soya Milk Intervention on Acute Malnutrition in Under-Five Children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2026-05-25T06:49:35.198Z</dcterms:created>
  <dcterms:modified xsi:type="dcterms:W3CDTF">2026-05-25T06:49:35.198Z</dcterms:modified>
</cp:coreProperties>
</file>

<file path=docProps/custom.xml><?xml version="1.0" encoding="utf-8"?>
<Properties xmlns="http://schemas.openxmlformats.org/officeDocument/2006/custom-properties" xmlns:vt="http://schemas.openxmlformats.org/officeDocument/2006/docPropsVTypes"/>
</file>