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A9B" w:rsidRPr="000268D1" w:rsidRDefault="005135F5" w:rsidP="00094A9B">
      <w:pPr>
        <w:pStyle w:val="Author"/>
        <w:spacing w:before="0" w:after="0"/>
        <w:rPr>
          <w:b/>
          <w:sz w:val="32"/>
          <w:szCs w:val="32"/>
        </w:rPr>
      </w:pPr>
      <w:r w:rsidRPr="005135F5">
        <w:rPr>
          <w:b/>
          <w:sz w:val="32"/>
          <w:szCs w:val="32"/>
        </w:rPr>
        <w:t>An IT Governance Framework for Blockchain-Enabled Information Integrity in Philippine Private Higher Education Institutions</w:t>
      </w:r>
    </w:p>
    <w:p w:rsidR="00094A9B" w:rsidRPr="00094A9B" w:rsidRDefault="00094A9B" w:rsidP="00094A9B">
      <w:pPr>
        <w:pStyle w:val="Author"/>
        <w:spacing w:before="0" w:after="0"/>
        <w:jc w:val="both"/>
        <w:rPr>
          <w:sz w:val="24"/>
          <w:szCs w:val="24"/>
        </w:rPr>
        <w:sectPr w:rsidR="00094A9B" w:rsidRPr="00094A9B" w:rsidSect="00CA5410">
          <w:footerReference w:type="first" r:id="rId7"/>
          <w:pgSz w:w="11906" w:h="16838" w:code="9"/>
          <w:pgMar w:top="1440" w:right="1440" w:bottom="1440" w:left="1440" w:header="720" w:footer="720" w:gutter="0"/>
          <w:cols w:space="720"/>
          <w:titlePg/>
          <w:docGrid w:linePitch="360"/>
        </w:sectPr>
      </w:pPr>
    </w:p>
    <w:p w:rsidR="00094A9B" w:rsidRPr="00FC32AB" w:rsidRDefault="00094A9B" w:rsidP="00094A9B">
      <w:pPr>
        <w:pStyle w:val="Author"/>
        <w:spacing w:before="100" w:beforeAutospacing="1"/>
        <w:rPr>
          <w:sz w:val="24"/>
          <w:szCs w:val="24"/>
        </w:rPr>
      </w:pPr>
      <w:r w:rsidRPr="00B11FFF">
        <w:rPr>
          <w:sz w:val="18"/>
          <w:szCs w:val="18"/>
        </w:rPr>
        <w:br w:type="column"/>
      </w:r>
      <w:r w:rsidRPr="00FC32AB">
        <w:rPr>
          <w:sz w:val="24"/>
          <w:szCs w:val="24"/>
        </w:rPr>
        <w:t xml:space="preserve"/>
      </w:r>
      <w:r w:rsidRPr="00FC32AB">
        <w:rPr>
          <w:sz w:val="24"/>
          <w:szCs w:val="24"/>
        </w:rPr>
        <w:br/>
        <w:t/>
      </w:r>
      <w:r w:rsidRPr="00FC32AB">
        <w:rPr>
          <w:sz w:val="24"/>
          <w:szCs w:val="24"/>
        </w:rPr>
        <w:br/>
        <w:t/>
      </w:r>
      <w:r w:rsidRPr="00FC32AB">
        <w:rPr>
          <w:sz w:val="24"/>
          <w:szCs w:val="24"/>
        </w:rPr>
        <w:br/>
      </w:r>
      <w:hyperlink r:id="rId8" w:history="1">
        <w:r w:rsidRPr="00FC32AB">
          <w:rPr>
            <w:rStyle w:val="Hyperlink"/>
            <w:sz w:val="24"/>
            <w:szCs w:val="24"/>
          </w:rPr>
          <w:t/>
        </w:r>
      </w:hyperlink>
    </w:p>
    <w:p w:rsidR="00094A9B" w:rsidRPr="00FC32AB" w:rsidRDefault="00094A9B" w:rsidP="004302E4">
      <w:pPr>
        <w:pStyle w:val="Author"/>
        <w:spacing w:before="100" w:beforeAutospacing="1"/>
        <w:rPr>
          <w:sz w:val="24"/>
          <w:szCs w:val="24"/>
        </w:rPr>
      </w:pPr>
      <w:r w:rsidRPr="00FC32AB">
        <w:rPr>
          <w:sz w:val="24"/>
          <w:szCs w:val="24"/>
        </w:rPr>
        <w:t xml:space="preserve"/>
      </w:r>
      <w:r w:rsidRPr="00FC32AB">
        <w:rPr>
          <w:sz w:val="24"/>
          <w:szCs w:val="24"/>
        </w:rPr>
        <w:br/>
        <w:t/>
      </w:r>
      <w:r w:rsidRPr="00FC32AB">
        <w:rPr>
          <w:sz w:val="24"/>
          <w:szCs w:val="24"/>
        </w:rPr>
        <w:br/>
        <w:t/>
      </w:r>
      <w:r w:rsidRPr="00FC32AB">
        <w:rPr>
          <w:sz w:val="24"/>
          <w:szCs w:val="24"/>
        </w:rPr>
        <w:br/>
      </w:r>
      <w:hyperlink r:id="rId9" w:history="1">
        <w:r w:rsidRPr="00FC32AB">
          <w:rPr>
            <w:rStyle w:val="Hyperlink"/>
            <w:sz w:val="24"/>
            <w:szCs w:val="24"/>
          </w:rPr>
          <w:t/>
        </w:r>
      </w:hyperlink>
    </w:p>
    <w:p w:rsidR="004302E4" w:rsidRDefault="004302E4" w:rsidP="004302E4">
      <w:pPr>
        <w:pStyle w:val="Author"/>
        <w:spacing w:before="100" w:beforeAutospacing="1"/>
        <w:rPr>
          <w:sz w:val="18"/>
          <w:szCs w:val="18"/>
        </w:rPr>
      </w:pPr>
    </w:p>
    <w:p w:rsidR="00094A9B" w:rsidRPr="00B11FFF" w:rsidRDefault="00094A9B" w:rsidP="00094A9B">
      <w:pPr>
        <w:pStyle w:val="Author"/>
        <w:spacing w:before="100" w:beforeAutospacing="1"/>
        <w:sectPr w:rsidR="00094A9B" w:rsidRPr="00B11FFF" w:rsidSect="003B4E04">
          <w:type w:val="continuous"/>
          <w:pgSz w:w="11906" w:h="16838" w:code="9"/>
          <w:pgMar w:top="450" w:right="893" w:bottom="1440" w:left="893" w:header="720" w:footer="720" w:gutter="0"/>
          <w:cols w:num="3" w:space="720"/>
          <w:docGrid w:linePitch="360"/>
        </w:sectPr>
      </w:pPr>
      <w:r w:rsidRPr="00B11FFF">
        <w:rPr>
          <w:sz w:val="18"/>
          <w:szCs w:val="18"/>
        </w:rPr>
        <w:br w:type="column"/>
      </w:r>
    </w:p>
    <w:p w:rsidR="00094A9B" w:rsidRPr="003E286D" w:rsidRDefault="00094A9B" w:rsidP="003E286D">
      <w:pPr>
        <w:pStyle w:val="isselectedend"/>
        <w:jc w:val="both"/>
        <w:rPr>
          <w:rStyle w:val="Strong"/>
          <w:b w:val="0"/>
          <w:bCs w:val="0"/>
        </w:rPr>
      </w:pPr>
      <w:r w:rsidRPr="00FC32AB">
        <w:rPr>
          <w:i/>
          <w:iCs/>
        </w:rPr>
        <w:t>Abstract</w:t>
      </w:r>
      <w:r w:rsidRPr="00FC32AB">
        <w:t xml:space="preserve">— </w:t>
      </w:r>
      <w:r w:rsidR="003E286D" w:rsidRPr="003E286D">
        <w:t xml:space="preserve">Information integrity is a critical priority for private higher education institutions (PHEIs) as it supports institutional credibility, graduate employability, and compliance with accrediting and regulatory bodies. Academic recordkeeping in Philippine PHEIs continues to evolve as part of broader digital transformation initiatives. Although </w:t>
      </w:r>
      <w:proofErr w:type="spellStart"/>
      <w:r w:rsidR="003E286D" w:rsidRPr="003E286D">
        <w:t>blockchain</w:t>
      </w:r>
      <w:proofErr w:type="spellEnd"/>
      <w:r w:rsidR="003E286D" w:rsidRPr="003E286D">
        <w:t xml:space="preserve"> technology offers features such as immutability, decentralization, and verifiability, its adoption should not be approached solely as a technical undertaking. Effective implementation requires IT governance mechanisms that align technological initiatives with institutional goals, ensure responsible resource allocation, manage organizational and security risks, and facilitate coordination among key stakeholders.</w:t>
      </w:r>
      <w:r w:rsidR="003E286D">
        <w:t xml:space="preserve"> </w:t>
      </w:r>
      <w:r w:rsidR="003E286D" w:rsidRPr="003E286D">
        <w:t xml:space="preserve">This study proposes an adaptable IT Governance Framework for </w:t>
      </w:r>
      <w:proofErr w:type="spellStart"/>
      <w:r w:rsidR="003E286D" w:rsidRPr="003E286D">
        <w:t>blockchain</w:t>
      </w:r>
      <w:proofErr w:type="spellEnd"/>
      <w:r w:rsidR="003E286D" w:rsidRPr="003E286D">
        <w:t xml:space="preserve">-enabled information integrity in Philippine private higher education institutions. Developed from the perspectives of stakeholders within a PHEI context, the framework highlights the coordinating role of the IT Department while integrating the responsibilities of the Registrar, Finance Office, Accreditation or Quality Assurance Unit, and Senior Management. The framework combines </w:t>
      </w:r>
      <w:proofErr w:type="spellStart"/>
      <w:r w:rsidR="003E286D" w:rsidRPr="003E286D">
        <w:t>blockchain</w:t>
      </w:r>
      <w:proofErr w:type="spellEnd"/>
      <w:r w:rsidR="003E286D" w:rsidRPr="003E286D">
        <w:t xml:space="preserve"> capabilities with governance practices involving strategic alignment, resource and investment management, risk management and security, roles and accountability, and performance and compliance monitoring.</w:t>
      </w:r>
      <w:r w:rsidR="003E286D">
        <w:t xml:space="preserve"> </w:t>
      </w:r>
      <w:r w:rsidR="003E286D" w:rsidRPr="003E286D">
        <w:t xml:space="preserve">Using a mixed-method approach involving surveys and interviews with key institutional stakeholders, the findings provide empirical support for governance-driven </w:t>
      </w:r>
      <w:proofErr w:type="spellStart"/>
      <w:r w:rsidR="003E286D" w:rsidRPr="003E286D">
        <w:t>blockchain</w:t>
      </w:r>
      <w:proofErr w:type="spellEnd"/>
      <w:r w:rsidR="003E286D" w:rsidRPr="003E286D">
        <w:t xml:space="preserve"> adoption characterized by clear policies, phased implementation, stakeholder collaboration, and adequate resource allocation. The study concludes that </w:t>
      </w:r>
      <w:proofErr w:type="spellStart"/>
      <w:r w:rsidR="003E286D" w:rsidRPr="003E286D">
        <w:t>blockchain</w:t>
      </w:r>
      <w:proofErr w:type="spellEnd"/>
      <w:r w:rsidR="003E286D" w:rsidRPr="003E286D">
        <w:t xml:space="preserve"> adoption should be regarded not merely as a technology upgrade but as an IT governance initiative that may be adapted by Philippine PHEIs operating within similar governance and regulatory environments.</w:t>
      </w:r>
    </w:p>
    <w:p w:rsidR="00094A9B" w:rsidRPr="00FC32AB" w:rsidRDefault="00094A9B" w:rsidP="00094A9B">
      <w:pPr>
        <w:pStyle w:val="NormalWeb"/>
        <w:spacing w:before="0" w:beforeAutospacing="0" w:after="0" w:afterAutospacing="0"/>
        <w:jc w:val="both"/>
      </w:pPr>
      <w:r w:rsidRPr="00FC32AB">
        <w:rPr>
          <w:rStyle w:val="Strong"/>
        </w:rPr>
        <w:t>Keywords:</w:t>
      </w:r>
      <w:r w:rsidRPr="00FC32AB">
        <w:t xml:space="preserve"> IT Governance, </w:t>
      </w:r>
      <w:proofErr w:type="spellStart"/>
      <w:r w:rsidRPr="00FC32AB">
        <w:t>Blockchain</w:t>
      </w:r>
      <w:proofErr w:type="spellEnd"/>
      <w:r w:rsidRPr="00FC32AB">
        <w:t>, Information Integrity, Academic Recordkeeping, Resource Management, Accreditation, Change Management.</w:t>
      </w:r>
    </w:p>
    <w:p w:rsidR="00094A9B" w:rsidRPr="00FC32AB" w:rsidRDefault="00094A9B" w:rsidP="00094A9B">
      <w:pPr>
        <w:jc w:val="both"/>
        <w:rPr>
          <w:rFonts w:eastAsia="Times New Roman"/>
          <w:sz w:val="24"/>
          <w:szCs w:val="24"/>
          <w:lang w:eastAsia="en-PH"/>
        </w:rPr>
      </w:pPr>
    </w:p>
    <w:p w:rsidR="00094A9B" w:rsidRDefault="00605A2B" w:rsidP="00605A2B">
      <w:pPr>
        <w:pStyle w:val="Heading1"/>
        <w:numPr>
          <w:ilvl w:val="0"/>
          <w:numId w:val="0"/>
        </w:numPr>
        <w:spacing w:before="0" w:after="0"/>
        <w:jc w:val="left"/>
        <w:rPr>
          <w:sz w:val="24"/>
          <w:szCs w:val="24"/>
        </w:rPr>
      </w:pPr>
      <w:r>
        <w:rPr>
          <w:sz w:val="24"/>
          <w:szCs w:val="24"/>
        </w:rPr>
        <w:t>I. INTRODUCTION</w:t>
      </w:r>
    </w:p>
    <w:p w:rsidR="00C65FA7" w:rsidRPr="00C65FA7" w:rsidRDefault="00C65FA7" w:rsidP="00C65FA7"/>
    <w:p w:rsidR="00572C63" w:rsidRPr="00572C63" w:rsidRDefault="00870882" w:rsidP="00572C63">
      <w:pPr>
        <w:spacing w:before="100" w:beforeAutospacing="1" w:after="100" w:afterAutospacing="1"/>
        <w:ind w:firstLine="720"/>
        <w:jc w:val="both"/>
        <w:rPr>
          <w:rFonts w:eastAsia="Times New Roman"/>
          <w:sz w:val="24"/>
          <w:szCs w:val="24"/>
          <w:lang w:val="en-PH" w:eastAsia="en-PH"/>
        </w:rPr>
      </w:pPr>
      <w:r w:rsidRPr="00870882">
        <w:rPr>
          <w:sz w:val="24"/>
          <w:szCs w:val="24"/>
        </w:rPr>
        <w:t>The accuracy and reliability of academic records remain fundamental responsibilities of higher education institutions. Transcripts, diplomas, and certificates represent more than evidence of student achievement; they reflect institutional credibility, support graduate employability, and demonstrate compliance with accrediting and regulatory bodies. Any compromise in the authenticity or integrity of these records can erode stakeholder trust, damage institutional reputation, and undermine confidence in the educational system (Wang et al., 202</w:t>
      </w:r>
      <w:r w:rsidR="00E72AF5">
        <w:rPr>
          <w:sz w:val="24"/>
          <w:szCs w:val="24"/>
        </w:rPr>
        <w:t>4</w:t>
      </w:r>
      <w:r w:rsidRPr="00870882">
        <w:rPr>
          <w:sz w:val="24"/>
          <w:szCs w:val="24"/>
        </w:rPr>
        <w:t xml:space="preserve">; Delgado-von </w:t>
      </w:r>
      <w:proofErr w:type="spellStart"/>
      <w:r w:rsidRPr="00870882">
        <w:rPr>
          <w:sz w:val="24"/>
          <w:szCs w:val="24"/>
        </w:rPr>
        <w:t>Eitzen</w:t>
      </w:r>
      <w:proofErr w:type="spellEnd"/>
      <w:r w:rsidRPr="00870882">
        <w:rPr>
          <w:sz w:val="24"/>
          <w:szCs w:val="24"/>
        </w:rPr>
        <w:t xml:space="preserve"> &amp; </w:t>
      </w:r>
      <w:proofErr w:type="spellStart"/>
      <w:r w:rsidRPr="00870882">
        <w:rPr>
          <w:sz w:val="24"/>
          <w:szCs w:val="24"/>
        </w:rPr>
        <w:t>Pisani</w:t>
      </w:r>
      <w:proofErr w:type="spellEnd"/>
      <w:r w:rsidRPr="00870882">
        <w:rPr>
          <w:sz w:val="24"/>
          <w:szCs w:val="24"/>
        </w:rPr>
        <w:t>, 2021).</w:t>
      </w:r>
      <w:r w:rsidR="00572C63" w:rsidRPr="00572C63">
        <w:rPr>
          <w:rFonts w:eastAsia="Times New Roman"/>
          <w:sz w:val="24"/>
          <w:szCs w:val="24"/>
          <w:lang w:val="en-PH" w:eastAsia="en-PH"/>
        </w:rPr>
        <w:t xml:space="preserve"> As higher education </w:t>
      </w:r>
      <w:r w:rsidR="00572C63" w:rsidRPr="00572C63">
        <w:rPr>
          <w:rFonts w:eastAsia="Times New Roman"/>
          <w:sz w:val="24"/>
          <w:szCs w:val="24"/>
          <w:lang w:val="en-PH" w:eastAsia="en-PH"/>
        </w:rPr>
        <w:lastRenderedPageBreak/>
        <w:t>institutions continue to pursue digital transformation, safeguarding academic information has become both a technological imperative and a governance concern.</w:t>
      </w:r>
    </w:p>
    <w:p w:rsidR="00572C63" w:rsidRPr="00572C63" w:rsidRDefault="00572C63" w:rsidP="00572C63">
      <w:pPr>
        <w:spacing w:before="100" w:beforeAutospacing="1" w:after="100" w:afterAutospacing="1"/>
        <w:ind w:firstLine="720"/>
        <w:jc w:val="both"/>
        <w:rPr>
          <w:rFonts w:eastAsia="Times New Roman"/>
          <w:sz w:val="24"/>
          <w:szCs w:val="24"/>
          <w:lang w:val="en-PH" w:eastAsia="en-PH"/>
        </w:rPr>
      </w:pPr>
      <w:r w:rsidRPr="00572C63">
        <w:rPr>
          <w:rFonts w:eastAsia="Times New Roman"/>
          <w:sz w:val="24"/>
          <w:szCs w:val="24"/>
          <w:lang w:val="en-PH" w:eastAsia="en-PH"/>
        </w:rPr>
        <w:t xml:space="preserve">In private higher education institutions (PHEIs), the responsibility for maintaining information integrity extends across multiple functional units. The Registrar serves as the custodian of academic records and ensures their accuracy, consistency, and accessibility. The Information Technology (IT) Department oversees the technological infrastructure that supports data security, system reliability, and the integration of emerging technologies. The Finance Office evaluates the sustainability of technology investments and allocates the resources necessary for implementation, while the Accreditation Unit ensures adherence to regulatory requirements and quality standards. Senior Management provides strategic direction and institutional oversight, enabling these units to work collaboratively toward shared organizational objectives. </w:t>
      </w:r>
      <w:r w:rsidR="00870882" w:rsidRPr="00870882">
        <w:rPr>
          <w:sz w:val="24"/>
          <w:szCs w:val="24"/>
        </w:rPr>
        <w:t>The effectiveness of academic recordkeeping, therefore, depends not only on the technologies adopted but also on the governance structures that coordinate institutional efforts (Bianchi et al., 2021).</w:t>
      </w:r>
    </w:p>
    <w:p w:rsidR="00572C63" w:rsidRPr="00572C63" w:rsidRDefault="00870882" w:rsidP="00572C63">
      <w:pPr>
        <w:spacing w:before="100" w:beforeAutospacing="1" w:after="100" w:afterAutospacing="1"/>
        <w:ind w:firstLine="720"/>
        <w:jc w:val="both"/>
        <w:rPr>
          <w:rFonts w:eastAsia="Times New Roman"/>
          <w:sz w:val="24"/>
          <w:szCs w:val="24"/>
          <w:lang w:val="en-PH" w:eastAsia="en-PH"/>
        </w:rPr>
      </w:pPr>
      <w:proofErr w:type="spellStart"/>
      <w:r w:rsidRPr="00870882">
        <w:rPr>
          <w:sz w:val="24"/>
          <w:szCs w:val="24"/>
        </w:rPr>
        <w:t>Blockchain</w:t>
      </w:r>
      <w:proofErr w:type="spellEnd"/>
      <w:r w:rsidRPr="00870882">
        <w:rPr>
          <w:sz w:val="24"/>
          <w:szCs w:val="24"/>
        </w:rPr>
        <w:t xml:space="preserve"> technology has emerged as a promising innovation capable of enhancing the integrity of academic records through its features of immutability, decentralization, and verifiability (</w:t>
      </w:r>
      <w:proofErr w:type="spellStart"/>
      <w:r w:rsidRPr="00870882">
        <w:rPr>
          <w:sz w:val="24"/>
          <w:szCs w:val="24"/>
        </w:rPr>
        <w:t>Bhaskar</w:t>
      </w:r>
      <w:proofErr w:type="spellEnd"/>
      <w:r w:rsidRPr="00870882">
        <w:rPr>
          <w:sz w:val="24"/>
          <w:szCs w:val="24"/>
        </w:rPr>
        <w:t xml:space="preserve"> et al., 2021; </w:t>
      </w:r>
      <w:proofErr w:type="spellStart"/>
      <w:r w:rsidRPr="00870882">
        <w:rPr>
          <w:sz w:val="24"/>
          <w:szCs w:val="24"/>
        </w:rPr>
        <w:t>Kuleto</w:t>
      </w:r>
      <w:proofErr w:type="spellEnd"/>
      <w:r w:rsidRPr="00870882">
        <w:rPr>
          <w:sz w:val="24"/>
          <w:szCs w:val="24"/>
        </w:rPr>
        <w:t xml:space="preserve"> et al., 2022).</w:t>
      </w:r>
      <w:r w:rsidR="00572C63" w:rsidRPr="00572C63">
        <w:rPr>
          <w:rFonts w:eastAsia="Times New Roman"/>
          <w:sz w:val="24"/>
          <w:szCs w:val="24"/>
          <w:lang w:val="en-PH" w:eastAsia="en-PH"/>
        </w:rPr>
        <w:t xml:space="preserve"> </w:t>
      </w:r>
      <w:r w:rsidRPr="00870882">
        <w:rPr>
          <w:sz w:val="24"/>
          <w:szCs w:val="24"/>
        </w:rPr>
        <w:t xml:space="preserve">These characteristics offer opportunities to reduce credential fraud, streamline verification processes, and strengthen trust among students, employers, accrediting bodies, and other stakeholders (Castro &amp; Oliveira, 2021; </w:t>
      </w:r>
      <w:proofErr w:type="spellStart"/>
      <w:r w:rsidRPr="00870882">
        <w:rPr>
          <w:sz w:val="24"/>
          <w:szCs w:val="24"/>
        </w:rPr>
        <w:t>Raimundo</w:t>
      </w:r>
      <w:proofErr w:type="spellEnd"/>
      <w:r w:rsidRPr="00870882">
        <w:rPr>
          <w:sz w:val="24"/>
          <w:szCs w:val="24"/>
        </w:rPr>
        <w:t xml:space="preserve"> &amp; </w:t>
      </w:r>
      <w:proofErr w:type="spellStart"/>
      <w:r w:rsidRPr="00870882">
        <w:rPr>
          <w:sz w:val="24"/>
          <w:szCs w:val="24"/>
        </w:rPr>
        <w:t>Rosário</w:t>
      </w:r>
      <w:proofErr w:type="spellEnd"/>
      <w:r w:rsidRPr="00870882">
        <w:rPr>
          <w:sz w:val="24"/>
          <w:szCs w:val="24"/>
        </w:rPr>
        <w:t>, 2021).</w:t>
      </w:r>
      <w:r w:rsidR="00572C63" w:rsidRPr="00572C63">
        <w:rPr>
          <w:rFonts w:eastAsia="Times New Roman"/>
          <w:sz w:val="24"/>
          <w:szCs w:val="24"/>
          <w:lang w:val="en-PH" w:eastAsia="en-PH"/>
        </w:rPr>
        <w:t xml:space="preserve"> However, the successful adoption of </w:t>
      </w:r>
      <w:proofErr w:type="spellStart"/>
      <w:r w:rsidR="00572C63" w:rsidRPr="00572C63">
        <w:rPr>
          <w:rFonts w:eastAsia="Times New Roman"/>
          <w:sz w:val="24"/>
          <w:szCs w:val="24"/>
          <w:lang w:val="en-PH" w:eastAsia="en-PH"/>
        </w:rPr>
        <w:t>blockchain</w:t>
      </w:r>
      <w:proofErr w:type="spellEnd"/>
      <w:r w:rsidR="00572C63" w:rsidRPr="00572C63">
        <w:rPr>
          <w:rFonts w:eastAsia="Times New Roman"/>
          <w:sz w:val="24"/>
          <w:szCs w:val="24"/>
          <w:lang w:val="en-PH" w:eastAsia="en-PH"/>
        </w:rPr>
        <w:t xml:space="preserve"> requires more than technical implementation. Without clear governance mechanisms, defined responsibilities, adequate resource allocation, and effective risk management practices, institutions may encounter implementation challenges that limit the realization of its potential benefits.</w:t>
      </w:r>
    </w:p>
    <w:p w:rsidR="00572C63" w:rsidRPr="00572C63" w:rsidRDefault="00AC7DCA" w:rsidP="00572C63">
      <w:pPr>
        <w:spacing w:before="100" w:beforeAutospacing="1" w:after="100" w:afterAutospacing="1"/>
        <w:ind w:firstLine="284"/>
        <w:jc w:val="both"/>
        <w:rPr>
          <w:rFonts w:eastAsia="Times New Roman"/>
          <w:sz w:val="24"/>
          <w:szCs w:val="24"/>
          <w:lang w:val="en-PH" w:eastAsia="en-PH"/>
        </w:rPr>
      </w:pPr>
      <w:r w:rsidRPr="00AC7DCA">
        <w:rPr>
          <w:sz w:val="24"/>
          <w:szCs w:val="24"/>
        </w:rPr>
        <w:t xml:space="preserve">Recognizing these considerations, this study proposes an adaptable IT Governance Framework for </w:t>
      </w:r>
      <w:proofErr w:type="spellStart"/>
      <w:r w:rsidRPr="00AC7DCA">
        <w:rPr>
          <w:sz w:val="24"/>
          <w:szCs w:val="24"/>
        </w:rPr>
        <w:t>blockchain</w:t>
      </w:r>
      <w:proofErr w:type="spellEnd"/>
      <w:r w:rsidRPr="00AC7DCA">
        <w:rPr>
          <w:sz w:val="24"/>
          <w:szCs w:val="24"/>
        </w:rPr>
        <w:t xml:space="preserve">-enabled information integrity in Philippine private higher education institutions. The framework highlights the importance of strategic alignment, resource and investment management, risk management and security, roles and accountability, and performance and compliance monitoring in guiding </w:t>
      </w:r>
      <w:proofErr w:type="spellStart"/>
      <w:r w:rsidRPr="00AC7DCA">
        <w:rPr>
          <w:sz w:val="24"/>
          <w:szCs w:val="24"/>
        </w:rPr>
        <w:t>blockchain</w:t>
      </w:r>
      <w:proofErr w:type="spellEnd"/>
      <w:r w:rsidRPr="00AC7DCA">
        <w:rPr>
          <w:sz w:val="24"/>
          <w:szCs w:val="24"/>
        </w:rPr>
        <w:t xml:space="preserve"> adoption. Developed from the perspectives of stakeholders within a specific PHEI context, the framework is intended to serve as a practical guide for Philippine private higher education institutions operating within similar governance and regulatory environments. While institutions may differ in organizational structures, resource capacities, and operational practices, the proposed framework may be adapted to their specific contexts while preserving its core governance principles. By positioning </w:t>
      </w:r>
      <w:proofErr w:type="spellStart"/>
      <w:r w:rsidRPr="00AC7DCA">
        <w:rPr>
          <w:sz w:val="24"/>
          <w:szCs w:val="24"/>
        </w:rPr>
        <w:t>blockchain</w:t>
      </w:r>
      <w:proofErr w:type="spellEnd"/>
      <w:r w:rsidRPr="00AC7DCA">
        <w:rPr>
          <w:sz w:val="24"/>
          <w:szCs w:val="24"/>
        </w:rPr>
        <w:t xml:space="preserve"> adoption within a broader IT governance perspective, the study provides a roadmap for strengthening academic information integrity, supporting institutional accountability, and advancing long-term digital transformation initiatives.</w:t>
      </w:r>
    </w:p>
    <w:p w:rsidR="004302E4" w:rsidRPr="00FC32AB" w:rsidRDefault="004302E4" w:rsidP="00094A9B">
      <w:pPr>
        <w:pStyle w:val="NormalWeb"/>
        <w:spacing w:before="0" w:beforeAutospacing="0" w:after="0" w:afterAutospacing="0"/>
        <w:ind w:firstLine="567"/>
        <w:jc w:val="both"/>
      </w:pPr>
    </w:p>
    <w:p w:rsidR="00094A9B" w:rsidRPr="00FC32AB" w:rsidRDefault="00605A2B" w:rsidP="00605A2B">
      <w:pPr>
        <w:pStyle w:val="Heading1"/>
        <w:numPr>
          <w:ilvl w:val="0"/>
          <w:numId w:val="29"/>
        </w:numPr>
        <w:spacing w:after="0"/>
        <w:ind w:left="284" w:hanging="284"/>
        <w:jc w:val="left"/>
        <w:rPr>
          <w:sz w:val="24"/>
          <w:szCs w:val="24"/>
        </w:rPr>
      </w:pPr>
      <w:r>
        <w:rPr>
          <w:sz w:val="24"/>
          <w:szCs w:val="24"/>
        </w:rPr>
        <w:t>M</w:t>
      </w:r>
      <w:r w:rsidR="00094A9B" w:rsidRPr="00FC32AB">
        <w:rPr>
          <w:sz w:val="24"/>
          <w:szCs w:val="24"/>
        </w:rPr>
        <w:t>ETHODOLOGY</w:t>
      </w:r>
    </w:p>
    <w:p w:rsidR="00FC32AB" w:rsidRPr="00FC32AB" w:rsidRDefault="00FC32AB" w:rsidP="00FC32AB">
      <w:pPr>
        <w:rPr>
          <w:sz w:val="24"/>
          <w:szCs w:val="24"/>
        </w:rPr>
      </w:pPr>
    </w:p>
    <w:p w:rsidR="00094A9B" w:rsidRPr="00344E20" w:rsidRDefault="00344E20" w:rsidP="00344E20">
      <w:pPr>
        <w:spacing w:before="100" w:beforeAutospacing="1" w:after="100" w:afterAutospacing="1"/>
        <w:ind w:firstLine="284"/>
        <w:jc w:val="both"/>
        <w:rPr>
          <w:rFonts w:eastAsia="Times New Roman"/>
          <w:sz w:val="24"/>
          <w:szCs w:val="24"/>
          <w:lang w:val="en-PH" w:eastAsia="en-PH"/>
        </w:rPr>
      </w:pPr>
      <w:r w:rsidRPr="00344E20">
        <w:rPr>
          <w:rFonts w:eastAsia="Times New Roman"/>
          <w:sz w:val="24"/>
          <w:szCs w:val="24"/>
          <w:lang w:val="en-PH" w:eastAsia="en-PH"/>
        </w:rPr>
        <w:t xml:space="preserve">The study employed a management-oriented approach to examine information technology (IT) governance practices, strategic alignment, resource management, and stakeholder perspectives concerning </w:t>
      </w:r>
      <w:proofErr w:type="spellStart"/>
      <w:r w:rsidRPr="00344E20">
        <w:rPr>
          <w:rFonts w:eastAsia="Times New Roman"/>
          <w:sz w:val="24"/>
          <w:szCs w:val="24"/>
          <w:lang w:val="en-PH" w:eastAsia="en-PH"/>
        </w:rPr>
        <w:t>blockchain</w:t>
      </w:r>
      <w:proofErr w:type="spellEnd"/>
      <w:r w:rsidRPr="00344E20">
        <w:rPr>
          <w:rFonts w:eastAsia="Times New Roman"/>
          <w:sz w:val="24"/>
          <w:szCs w:val="24"/>
          <w:lang w:val="en-PH" w:eastAsia="en-PH"/>
        </w:rPr>
        <w:t xml:space="preserve"> adoption within a Philippine private higher education institution (PHEI) context. To ensure a comprehensive and balanced analysis, a mixed-method research design integrating quantitative survey data and qualitative interview findings was utilized. Although grounded in a specific institutional setting, the study sought to </w:t>
      </w:r>
      <w:r w:rsidR="00F808C3" w:rsidRPr="00F808C3">
        <w:rPr>
          <w:sz w:val="24"/>
          <w:szCs w:val="24"/>
        </w:rPr>
        <w:t>identify governance practices and institutional functions commonly found among Philippine PHEIs</w:t>
      </w:r>
      <w:r w:rsidRPr="00344E20">
        <w:rPr>
          <w:rFonts w:eastAsia="Times New Roman"/>
          <w:sz w:val="24"/>
          <w:szCs w:val="24"/>
          <w:lang w:val="en-PH" w:eastAsia="en-PH"/>
        </w:rPr>
        <w:t xml:space="preserve">, thereby informing the development of an adaptable framework that may be applied within similar governance and regulatory environments. </w:t>
      </w:r>
    </w:p>
    <w:p w:rsidR="004302E4" w:rsidRPr="00FC32AB" w:rsidRDefault="004302E4" w:rsidP="00094A9B">
      <w:pPr>
        <w:pStyle w:val="NormalWeb"/>
        <w:spacing w:before="0" w:beforeAutospacing="0" w:after="0" w:afterAutospacing="0"/>
        <w:ind w:firstLine="567"/>
        <w:jc w:val="both"/>
      </w:pPr>
    </w:p>
    <w:p w:rsidR="00094A9B" w:rsidRPr="00FC32AB" w:rsidRDefault="00351B09" w:rsidP="00094A9B">
      <w:pPr>
        <w:pStyle w:val="NormalWeb"/>
        <w:spacing w:before="0" w:beforeAutospacing="0" w:after="0" w:afterAutospacing="0"/>
        <w:ind w:firstLine="567"/>
        <w:jc w:val="both"/>
      </w:pPr>
      <w:r>
        <w:t>The management-oriented, mixed-method approach highlights the importance of aligning institutional strategies with governance mechanisms and resource allocation, reflecting the governance principles discussed by Bianchi et al. (2021).</w:t>
      </w:r>
      <w:r>
        <w:t xml:space="preserve"> </w:t>
      </w:r>
      <w:r w:rsidR="00094A9B" w:rsidRPr="00FC32AB">
        <w:t xml:space="preserve">At the same time, it captures the diverse experiences, insights, and expectations of institutional stakeholders. Through the integration of quantitative and qualitative data, the study achieves methodological triangulation, thereby </w:t>
      </w:r>
      <w:r w:rsidR="00F808C3">
        <w:t>enhancing the credibility, reliability, and interpretative depth of the analysis.</w:t>
      </w:r>
      <w:r w:rsidR="00094A9B" w:rsidRPr="00FC32AB">
        <w:t xml:space="preserve"> This design offers a holistic understanding of organizational impact, policy adherence, and decision-making efficiency, which would be less robust if only a s</w:t>
      </w:r>
      <w:r w:rsidR="00B1645C">
        <w:t>ingle-method approach were used</w:t>
      </w:r>
      <w:r w:rsidR="00094A9B" w:rsidRPr="00FC32AB">
        <w:t>.</w:t>
      </w:r>
    </w:p>
    <w:p w:rsidR="004302E4" w:rsidRPr="00FC32AB" w:rsidRDefault="004302E4" w:rsidP="00094A9B">
      <w:pPr>
        <w:pStyle w:val="NormalWeb"/>
        <w:spacing w:before="0" w:beforeAutospacing="0" w:after="0" w:afterAutospacing="0"/>
        <w:ind w:firstLine="567"/>
        <w:jc w:val="both"/>
      </w:pPr>
    </w:p>
    <w:p w:rsidR="00094A9B" w:rsidRPr="00FC32AB" w:rsidRDefault="00094A9B" w:rsidP="00094A9B">
      <w:pPr>
        <w:pStyle w:val="NormalWeb"/>
        <w:spacing w:before="0" w:beforeAutospacing="0" w:after="0" w:afterAutospacing="0"/>
        <w:ind w:firstLine="567"/>
        <w:jc w:val="both"/>
      </w:pPr>
      <w:r w:rsidRPr="00FC32AB">
        <w:t xml:space="preserve">The conceptual framework illustrates how IT governance principles and </w:t>
      </w:r>
      <w:proofErr w:type="spellStart"/>
      <w:r w:rsidRPr="00FC32AB">
        <w:t>blockchain</w:t>
      </w:r>
      <w:proofErr w:type="spellEnd"/>
      <w:r w:rsidRPr="00FC32AB">
        <w:t xml:space="preserve"> technology can be integrated to strengthen information integrity within the</w:t>
      </w:r>
      <w:r w:rsidR="008135C4" w:rsidRPr="008135C4">
        <w:t xml:space="preserve"> </w:t>
      </w:r>
      <w:r w:rsidR="008135C4">
        <w:t>PHEIs</w:t>
      </w:r>
      <w:r w:rsidRPr="00FC32AB">
        <w:t xml:space="preserve">. It demonstrates how effective governance mechanisms ensure that </w:t>
      </w:r>
      <w:proofErr w:type="spellStart"/>
      <w:r w:rsidRPr="00FC32AB">
        <w:t>blockchain</w:t>
      </w:r>
      <w:proofErr w:type="spellEnd"/>
      <w:r w:rsidRPr="00FC32AB">
        <w:t xml:space="preserve"> adoption promotes transparency, compliance, and strategic alignment. The framework also underscores the collaborative role of multiple institutional units, emphasizing that </w:t>
      </w:r>
      <w:proofErr w:type="spellStart"/>
      <w:r w:rsidRPr="00FC32AB">
        <w:t>blockchain</w:t>
      </w:r>
      <w:proofErr w:type="spellEnd"/>
      <w:r w:rsidRPr="00FC32AB">
        <w:t xml:space="preserve"> implementation is not purely a technological endeavor but a coordinated governance process requiring cooperation across administrative, financial, and accreditation domains.</w:t>
      </w:r>
    </w:p>
    <w:p w:rsidR="004302E4" w:rsidRPr="00FC32AB" w:rsidRDefault="004302E4" w:rsidP="00094A9B">
      <w:pPr>
        <w:pStyle w:val="NormalWeb"/>
        <w:spacing w:before="0" w:beforeAutospacing="0" w:after="0" w:afterAutospacing="0"/>
        <w:ind w:firstLine="567"/>
        <w:jc w:val="both"/>
      </w:pPr>
    </w:p>
    <w:p w:rsidR="00094A9B" w:rsidRPr="00FC32AB" w:rsidRDefault="00FC32AB" w:rsidP="004302E4">
      <w:pPr>
        <w:pStyle w:val="NormalWeb"/>
        <w:spacing w:before="0" w:beforeAutospacing="0" w:after="0" w:afterAutospacing="0"/>
        <w:ind w:firstLine="567"/>
        <w:jc w:val="both"/>
      </w:pPr>
      <w:r w:rsidRPr="00FC32AB">
        <w:t>The</w:t>
      </w:r>
      <w:r w:rsidR="00094A9B" w:rsidRPr="00FC32AB">
        <w:t xml:space="preserve"> framework identifies the IT Department as the key driver of institutional coordination, responsible for ensuring that </w:t>
      </w:r>
      <w:proofErr w:type="spellStart"/>
      <w:r w:rsidR="00094A9B" w:rsidRPr="00FC32AB">
        <w:t>blockchain</w:t>
      </w:r>
      <w:proofErr w:type="spellEnd"/>
      <w:r w:rsidR="00094A9B" w:rsidRPr="00FC32AB">
        <w:t xml:space="preserve">-enabled initiatives align with </w:t>
      </w:r>
      <w:r w:rsidR="008135C4">
        <w:t>PHEIs</w:t>
      </w:r>
      <w:r w:rsidR="00094A9B" w:rsidRPr="00FC32AB">
        <w:t xml:space="preserve"> long-term digital transformation objectives. Through structured communication, policy alignment, and oversight, the IT Department facilitates the integration of </w:t>
      </w:r>
      <w:proofErr w:type="spellStart"/>
      <w:r w:rsidR="00094A9B" w:rsidRPr="00FC32AB">
        <w:t>blockchain</w:t>
      </w:r>
      <w:proofErr w:type="spellEnd"/>
      <w:r w:rsidR="00094A9B" w:rsidRPr="00FC32AB">
        <w:t xml:space="preserve"> technology in ways that reinforce institutional accountability and data integrity.</w:t>
      </w:r>
    </w:p>
    <w:p w:rsidR="00094A9B" w:rsidRPr="00FC32AB" w:rsidRDefault="00094A9B" w:rsidP="00094A9B">
      <w:pPr>
        <w:pStyle w:val="NormalWeb"/>
        <w:spacing w:before="0" w:beforeAutospacing="0" w:after="0" w:afterAutospacing="0"/>
        <w:ind w:firstLine="567"/>
        <w:jc w:val="both"/>
      </w:pPr>
    </w:p>
    <w:p w:rsidR="00094A9B" w:rsidRDefault="00FC32AB" w:rsidP="00094A9B">
      <w:pPr>
        <w:pStyle w:val="NormalWeb"/>
        <w:spacing w:before="0" w:beforeAutospacing="0" w:after="0" w:afterAutospacing="0"/>
        <w:jc w:val="center"/>
        <w:rPr>
          <w:sz w:val="20"/>
          <w:szCs w:val="20"/>
        </w:rPr>
      </w:pPr>
      <w:r>
        <w:rPr>
          <w:noProof/>
          <w:sz w:val="20"/>
          <w:szCs w:val="20"/>
        </w:rPr>
        <w:lastRenderedPageBreak/>
        <w:drawing>
          <wp:inline distT="0" distB="0" distL="0" distR="0">
            <wp:extent cx="4597880" cy="5715914"/>
            <wp:effectExtent l="19050" t="19050" r="12700"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Conceptual Framework for Blockchain-Enabled Information Integrity.png"/>
                    <pic:cNvPicPr/>
                  </pic:nvPicPr>
                  <pic:blipFill>
                    <a:blip r:embed="rId10">
                      <a:extLst>
                        <a:ext uri="{28A0092B-C50C-407E-A947-70E740481C1C}">
                          <a14:useLocalDpi xmlns:a14="http://schemas.microsoft.com/office/drawing/2010/main" val="0"/>
                        </a:ext>
                      </a:extLst>
                    </a:blip>
                    <a:stretch>
                      <a:fillRect/>
                    </a:stretch>
                  </pic:blipFill>
                  <pic:spPr>
                    <a:xfrm>
                      <a:off x="0" y="0"/>
                      <a:ext cx="4615563" cy="5737897"/>
                    </a:xfrm>
                    <a:prstGeom prst="rect">
                      <a:avLst/>
                    </a:prstGeom>
                    <a:ln>
                      <a:solidFill>
                        <a:schemeClr val="tx1"/>
                      </a:solidFill>
                    </a:ln>
                  </pic:spPr>
                </pic:pic>
              </a:graphicData>
            </a:graphic>
          </wp:inline>
        </w:drawing>
      </w:r>
    </w:p>
    <w:p w:rsidR="00094A9B" w:rsidRDefault="00094A9B" w:rsidP="00094A9B">
      <w:pPr>
        <w:pStyle w:val="NormalWeb"/>
        <w:spacing w:before="0" w:beforeAutospacing="0" w:after="0" w:afterAutospacing="0"/>
        <w:jc w:val="center"/>
        <w:rPr>
          <w:b/>
          <w:sz w:val="20"/>
          <w:szCs w:val="20"/>
        </w:rPr>
      </w:pPr>
      <w:r w:rsidRPr="00FC32AB">
        <w:rPr>
          <w:b/>
          <w:sz w:val="20"/>
          <w:szCs w:val="20"/>
        </w:rPr>
        <w:t xml:space="preserve">Figure 1. Conceptual Framework for </w:t>
      </w:r>
      <w:proofErr w:type="spellStart"/>
      <w:r w:rsidRPr="00FC32AB">
        <w:rPr>
          <w:b/>
          <w:sz w:val="20"/>
          <w:szCs w:val="20"/>
        </w:rPr>
        <w:t>Blockchain</w:t>
      </w:r>
      <w:proofErr w:type="spellEnd"/>
      <w:r w:rsidRPr="00FC32AB">
        <w:rPr>
          <w:b/>
          <w:sz w:val="20"/>
          <w:szCs w:val="20"/>
        </w:rPr>
        <w:t>-Enabled Information Integrity</w:t>
      </w:r>
    </w:p>
    <w:p w:rsidR="00C65FA7" w:rsidRPr="00FC32AB" w:rsidRDefault="00C65FA7" w:rsidP="00094A9B">
      <w:pPr>
        <w:pStyle w:val="NormalWeb"/>
        <w:spacing w:before="0" w:beforeAutospacing="0" w:after="0" w:afterAutospacing="0"/>
        <w:jc w:val="center"/>
        <w:rPr>
          <w:b/>
          <w:sz w:val="20"/>
          <w:szCs w:val="20"/>
        </w:rPr>
      </w:pPr>
    </w:p>
    <w:p w:rsidR="004302E4" w:rsidRDefault="004302E4" w:rsidP="00094A9B">
      <w:pPr>
        <w:pStyle w:val="NormalWeb"/>
        <w:spacing w:before="0" w:beforeAutospacing="0" w:after="0" w:afterAutospacing="0"/>
        <w:jc w:val="center"/>
        <w:rPr>
          <w:b/>
          <w:sz w:val="16"/>
          <w:szCs w:val="16"/>
        </w:rPr>
      </w:pPr>
    </w:p>
    <w:p w:rsidR="00094A9B" w:rsidRDefault="00094A9B" w:rsidP="00FC32AB">
      <w:pPr>
        <w:pStyle w:val="NormalWeb"/>
        <w:spacing w:before="0" w:beforeAutospacing="0" w:after="0" w:afterAutospacing="0"/>
        <w:ind w:firstLine="567"/>
        <w:jc w:val="both"/>
      </w:pPr>
      <w:r w:rsidRPr="00FC32AB">
        <w:t xml:space="preserve">As shown in Figure 1, the conceptual framework positions </w:t>
      </w:r>
      <w:proofErr w:type="spellStart"/>
      <w:r w:rsidRPr="00FC32AB">
        <w:t>blockchain</w:t>
      </w:r>
      <w:proofErr w:type="spellEnd"/>
      <w:r w:rsidRPr="00FC32AB">
        <w:t xml:space="preserve"> adoption as a governance-driven initiative built upon cross-departmental collaboration. The Registrar, Finance Office, Accreditation Unit, and Senior Management function as the primary domain contributors, each providing specialized expertise in record management, resource allocation, regulatory compliance, and policy formulation. Within this configuration, the IT Department acts as the central coordinating body that connects these institutional units, promoting unified decision-making and information sharing</w:t>
      </w:r>
      <w:r w:rsidR="00FC32AB">
        <w:t>.</w:t>
      </w:r>
    </w:p>
    <w:p w:rsidR="00FC32AB" w:rsidRPr="00FC32AB" w:rsidRDefault="00FC32AB" w:rsidP="00FC32AB">
      <w:pPr>
        <w:pStyle w:val="NormalWeb"/>
        <w:spacing w:before="0" w:beforeAutospacing="0" w:after="0" w:afterAutospacing="0"/>
        <w:ind w:firstLine="567"/>
        <w:jc w:val="both"/>
      </w:pPr>
    </w:p>
    <w:p w:rsidR="00094A9B" w:rsidRDefault="00351B09" w:rsidP="00094A9B">
      <w:pPr>
        <w:pStyle w:val="NormalWeb"/>
        <w:spacing w:before="0" w:beforeAutospacing="0" w:after="0" w:afterAutospacing="0"/>
        <w:ind w:firstLine="567"/>
        <w:jc w:val="both"/>
      </w:pPr>
      <w:r>
        <w:t>The framework directly addresses governance challenges such as fragmented coordination, insufficient risk oversight, and limited transparency by establishing a structured process of accountability and performance monitoring, consistent with the governance principles emphasized by Tan et al. (2021) and van Pelt et al. (202</w:t>
      </w:r>
      <w:r w:rsidR="00AA726C">
        <w:t>0</w:t>
      </w:r>
      <w:r>
        <w:t>)</w:t>
      </w:r>
      <w:r>
        <w:t>.</w:t>
      </w:r>
      <w:r w:rsidR="00094A9B" w:rsidRPr="00FC32AB">
        <w:t xml:space="preserve"> At the core of the model are five key IT governance domains: </w:t>
      </w:r>
      <w:r w:rsidR="00094A9B" w:rsidRPr="00FC32AB">
        <w:rPr>
          <w:rStyle w:val="Strong"/>
          <w:b w:val="0"/>
        </w:rPr>
        <w:t>Strategic Alignment, Resource and Investment Management, Risk Management and Security, Roles and Accountability, and Performance and Compliance Monitoring.</w:t>
      </w:r>
      <w:r w:rsidR="00094A9B" w:rsidRPr="00FC32AB">
        <w:t xml:space="preserve"> These domains collectively form the structural foundation for aligning </w:t>
      </w:r>
      <w:proofErr w:type="spellStart"/>
      <w:r w:rsidR="00094A9B" w:rsidRPr="00FC32AB">
        <w:t>blockchain</w:t>
      </w:r>
      <w:proofErr w:type="spellEnd"/>
      <w:r w:rsidR="00094A9B" w:rsidRPr="00FC32AB">
        <w:t xml:space="preserve"> initiatives with institutional strategies, ensuring effective resource distribution, mitigating operational and cybersecurity risks, and tracking performance and compliance outcomes.</w:t>
      </w:r>
    </w:p>
    <w:p w:rsidR="00FC32AB" w:rsidRPr="00FC32AB" w:rsidRDefault="00FC32AB" w:rsidP="00094A9B">
      <w:pPr>
        <w:pStyle w:val="NormalWeb"/>
        <w:spacing w:before="0" w:beforeAutospacing="0" w:after="0" w:afterAutospacing="0"/>
        <w:ind w:firstLine="567"/>
        <w:jc w:val="both"/>
      </w:pPr>
    </w:p>
    <w:p w:rsidR="00094A9B" w:rsidRPr="00FC32AB" w:rsidRDefault="00351B09" w:rsidP="00094A9B">
      <w:pPr>
        <w:pStyle w:val="NormalWeb"/>
        <w:spacing w:before="0" w:beforeAutospacing="0" w:after="0" w:afterAutospacing="0"/>
        <w:ind w:firstLine="567"/>
        <w:jc w:val="both"/>
      </w:pPr>
      <w:r>
        <w:t xml:space="preserve">On the right side of the framework, these governance domains are linked to </w:t>
      </w:r>
      <w:proofErr w:type="spellStart"/>
      <w:r>
        <w:t>blockchain's</w:t>
      </w:r>
      <w:proofErr w:type="spellEnd"/>
      <w:r>
        <w:t xml:space="preserve"> defining features, including immutability, decentralization, verifiability, smart contracts, consensus protocols, and data encryption, which have been identified as key attributes supporting secure and trustworthy educational record systems (</w:t>
      </w:r>
      <w:proofErr w:type="spellStart"/>
      <w:r>
        <w:t>Bhaskar</w:t>
      </w:r>
      <w:proofErr w:type="spellEnd"/>
      <w:r>
        <w:t xml:space="preserve"> et al., 2021; Delgado-von </w:t>
      </w:r>
      <w:proofErr w:type="spellStart"/>
      <w:r>
        <w:t>Eitzen</w:t>
      </w:r>
      <w:proofErr w:type="spellEnd"/>
      <w:r>
        <w:t xml:space="preserve"> &amp; </w:t>
      </w:r>
      <w:proofErr w:type="spellStart"/>
      <w:r>
        <w:t>Pisani</w:t>
      </w:r>
      <w:proofErr w:type="spellEnd"/>
      <w:r>
        <w:t>, 2021).</w:t>
      </w:r>
      <w:r>
        <w:t xml:space="preserve"> </w:t>
      </w:r>
      <w:r w:rsidR="00094A9B" w:rsidRPr="00FC32AB">
        <w:t xml:space="preserve">These technological capabilities strengthen data reliability and protect academic records from unauthorized access or tampering. By interconnecting governance functions with </w:t>
      </w:r>
      <w:proofErr w:type="spellStart"/>
      <w:r w:rsidR="00094A9B" w:rsidRPr="00FC32AB">
        <w:t>blockchain</w:t>
      </w:r>
      <w:proofErr w:type="spellEnd"/>
      <w:r w:rsidR="00094A9B" w:rsidRPr="00FC32AB">
        <w:t xml:space="preserve"> attributes, the model establishes </w:t>
      </w:r>
      <w:proofErr w:type="spellStart"/>
      <w:r w:rsidR="00094A9B" w:rsidRPr="00FC32AB">
        <w:t>blockchain</w:t>
      </w:r>
      <w:proofErr w:type="spellEnd"/>
      <w:r w:rsidR="00094A9B" w:rsidRPr="00FC32AB">
        <w:t xml:space="preserve"> adoption as a management and governance innovation rather than merely a technical upgrade. It thereby enhances institutional credibility, operational efficiency, and adherence to data privacy and accreditation standards.</w:t>
      </w:r>
    </w:p>
    <w:p w:rsidR="00094A9B" w:rsidRPr="00FC32AB" w:rsidRDefault="00094A9B" w:rsidP="00094A9B">
      <w:pPr>
        <w:pStyle w:val="NormalWeb"/>
        <w:spacing w:before="0" w:beforeAutospacing="0" w:after="0" w:afterAutospacing="0"/>
        <w:jc w:val="both"/>
      </w:pPr>
    </w:p>
    <w:p w:rsidR="00094A9B" w:rsidRPr="00FC32AB" w:rsidRDefault="00094A9B" w:rsidP="00094A9B">
      <w:pPr>
        <w:pStyle w:val="NormalWeb"/>
        <w:spacing w:before="0" w:beforeAutospacing="0" w:after="0" w:afterAutospacing="0"/>
        <w:jc w:val="both"/>
      </w:pPr>
      <w:r w:rsidRPr="00FC32AB">
        <w:rPr>
          <w:rStyle w:val="Strong"/>
          <w:b w:val="0"/>
          <w:bCs w:val="0"/>
        </w:rPr>
        <w:t>Data Collection Methods</w:t>
      </w:r>
    </w:p>
    <w:p w:rsidR="00094A9B" w:rsidRPr="00FC32AB" w:rsidRDefault="00F7120A" w:rsidP="00094A9B">
      <w:pPr>
        <w:pStyle w:val="NormalWeb"/>
        <w:ind w:firstLine="567"/>
        <w:jc w:val="both"/>
      </w:pPr>
      <w:r>
        <w:t xml:space="preserve">To gather empirical insights and inform the development of the proposed framework, the study employed four primary data collection methods: document review, surveys and interviews, comparative </w:t>
      </w:r>
      <w:r>
        <w:t>analysis, and framework design.</w:t>
      </w:r>
    </w:p>
    <w:p w:rsidR="004008AE" w:rsidRDefault="00094A9B" w:rsidP="004008AE">
      <w:pPr>
        <w:pStyle w:val="NormalWeb"/>
        <w:numPr>
          <w:ilvl w:val="0"/>
          <w:numId w:val="22"/>
        </w:numPr>
        <w:spacing w:before="0" w:beforeAutospacing="0" w:after="0" w:afterAutospacing="0"/>
        <w:jc w:val="both"/>
      </w:pPr>
      <w:r w:rsidRPr="00FC32AB">
        <w:rPr>
          <w:rStyle w:val="Strong"/>
          <w:b w:val="0"/>
        </w:rPr>
        <w:t>Document Review</w:t>
      </w:r>
      <w:r w:rsidRPr="00FC32AB">
        <w:t xml:space="preserve">- Existing institutional policies, procedures, and IT systems related to academic recordkeeping were analyzed to identify governance gaps, process inefficiencies, and </w:t>
      </w:r>
      <w:r w:rsidR="004A0158">
        <w:t>operational challenges</w:t>
      </w:r>
      <w:r w:rsidRPr="00FC32AB">
        <w:t xml:space="preserve">. This review provided a foundational understanding of </w:t>
      </w:r>
      <w:r w:rsidR="008135C4">
        <w:t>PHEI</w:t>
      </w:r>
      <w:r w:rsidRPr="00FC32AB">
        <w:t xml:space="preserve">s current information management practices and informed the development of the governance-based </w:t>
      </w:r>
      <w:proofErr w:type="spellStart"/>
      <w:r w:rsidRPr="00FC32AB">
        <w:t>blockchain</w:t>
      </w:r>
      <w:proofErr w:type="spellEnd"/>
      <w:r w:rsidRPr="00FC32AB">
        <w:t xml:space="preserve"> framework.</w:t>
      </w:r>
    </w:p>
    <w:p w:rsidR="004008AE" w:rsidRPr="004008AE" w:rsidRDefault="00094A9B" w:rsidP="004008AE">
      <w:pPr>
        <w:pStyle w:val="NormalWeb"/>
        <w:numPr>
          <w:ilvl w:val="0"/>
          <w:numId w:val="22"/>
        </w:numPr>
        <w:spacing w:before="0" w:beforeAutospacing="0" w:after="0" w:afterAutospacing="0"/>
        <w:jc w:val="both"/>
      </w:pPr>
      <w:r w:rsidRPr="004008AE">
        <w:rPr>
          <w:rStyle w:val="Strong"/>
          <w:b w:val="0"/>
        </w:rPr>
        <w:t>Surveys and Interviews</w:t>
      </w:r>
      <w:r w:rsidRPr="00FC32AB">
        <w:t xml:space="preserve">- </w:t>
      </w:r>
      <w:r w:rsidR="004008AE" w:rsidRPr="004008AE">
        <w:t xml:space="preserve">Structured surveys and semi-structured interviews were conducted with key institutional stakeholders to evaluate readiness for </w:t>
      </w:r>
      <w:proofErr w:type="spellStart"/>
      <w:r w:rsidR="004008AE" w:rsidRPr="004008AE">
        <w:t>blockchain</w:t>
      </w:r>
      <w:proofErr w:type="spellEnd"/>
      <w:r w:rsidR="004008AE" w:rsidRPr="004008AE">
        <w:t xml:space="preserve"> adoption, identify existing challenges, and assess resource constraints. The participants represented institutional units commonly found in Philippine private higher education institutions and were selected based on their involvement in governance, academic recordkeeping, resource allocation, regulatory compliance, and strategic decision-making related to emerging technologies. Their perspectives provided insights into governance practices that informed the development of an adaptable framework for </w:t>
      </w:r>
      <w:proofErr w:type="spellStart"/>
      <w:r w:rsidR="004008AE" w:rsidRPr="004008AE">
        <w:t>blockchain</w:t>
      </w:r>
      <w:proofErr w:type="spellEnd"/>
      <w:r w:rsidR="004008AE" w:rsidRPr="004008AE">
        <w:t>-enabled information integrity within similar PHEI contexts.</w:t>
      </w:r>
    </w:p>
    <w:p w:rsidR="00FC32AB" w:rsidRPr="00FC32AB" w:rsidRDefault="00FC32AB" w:rsidP="004008AE">
      <w:pPr>
        <w:pStyle w:val="NormalWeb"/>
        <w:spacing w:before="0" w:beforeAutospacing="0" w:after="0" w:afterAutospacing="0"/>
        <w:jc w:val="both"/>
      </w:pPr>
    </w:p>
    <w:p w:rsidR="00094A9B" w:rsidRPr="00FC32AB" w:rsidRDefault="00094A9B" w:rsidP="00094A9B">
      <w:pPr>
        <w:pStyle w:val="NormalWeb"/>
        <w:numPr>
          <w:ilvl w:val="0"/>
          <w:numId w:val="23"/>
        </w:numPr>
        <w:spacing w:before="0" w:beforeAutospacing="0" w:after="0" w:afterAutospacing="0"/>
        <w:jc w:val="both"/>
      </w:pPr>
      <w:r w:rsidRPr="00FC32AB">
        <w:rPr>
          <w:rStyle w:val="Strong"/>
          <w:b w:val="0"/>
        </w:rPr>
        <w:t>Registrar</w:t>
      </w:r>
      <w:r w:rsidRPr="00FC32AB">
        <w:t xml:space="preserve"> – Custodian of academic records (n = 10)</w:t>
      </w:r>
    </w:p>
    <w:p w:rsidR="00094A9B" w:rsidRPr="00FC32AB" w:rsidRDefault="00094A9B" w:rsidP="00094A9B">
      <w:pPr>
        <w:pStyle w:val="NormalWeb"/>
        <w:numPr>
          <w:ilvl w:val="0"/>
          <w:numId w:val="23"/>
        </w:numPr>
        <w:spacing w:before="0" w:beforeAutospacing="0" w:after="0" w:afterAutospacing="0"/>
        <w:jc w:val="both"/>
      </w:pPr>
      <w:r w:rsidRPr="00FC32AB">
        <w:rPr>
          <w:rStyle w:val="Strong"/>
          <w:b w:val="0"/>
        </w:rPr>
        <w:t>IT Department</w:t>
      </w:r>
      <w:r w:rsidRPr="00FC32AB">
        <w:t xml:space="preserve"> – Technical lead for </w:t>
      </w:r>
      <w:proofErr w:type="spellStart"/>
      <w:r w:rsidRPr="00FC32AB">
        <w:t>blockchain</w:t>
      </w:r>
      <w:proofErr w:type="spellEnd"/>
      <w:r w:rsidRPr="00FC32AB">
        <w:t xml:space="preserve"> implementation and system maintenance (n = 10)</w:t>
      </w:r>
    </w:p>
    <w:p w:rsidR="00094A9B" w:rsidRPr="00FC32AB" w:rsidRDefault="00094A9B" w:rsidP="00094A9B">
      <w:pPr>
        <w:pStyle w:val="NormalWeb"/>
        <w:numPr>
          <w:ilvl w:val="0"/>
          <w:numId w:val="23"/>
        </w:numPr>
        <w:spacing w:before="0" w:beforeAutospacing="0" w:after="0" w:afterAutospacing="0"/>
        <w:jc w:val="both"/>
      </w:pPr>
      <w:r w:rsidRPr="00FC32AB">
        <w:rPr>
          <w:rStyle w:val="Strong"/>
          <w:b w:val="0"/>
        </w:rPr>
        <w:t>Finance Office</w:t>
      </w:r>
      <w:r w:rsidRPr="00FC32AB">
        <w:t xml:space="preserve"> – Oversees budget allocation and resource sustainability (n = 5)</w:t>
      </w:r>
    </w:p>
    <w:p w:rsidR="00094A9B" w:rsidRPr="00FC32AB" w:rsidRDefault="00094A9B" w:rsidP="00094A9B">
      <w:pPr>
        <w:pStyle w:val="NormalWeb"/>
        <w:numPr>
          <w:ilvl w:val="0"/>
          <w:numId w:val="23"/>
        </w:numPr>
        <w:spacing w:before="0" w:beforeAutospacing="0" w:after="0" w:afterAutospacing="0"/>
        <w:jc w:val="both"/>
      </w:pPr>
      <w:r w:rsidRPr="00FC32AB">
        <w:rPr>
          <w:rStyle w:val="Strong"/>
          <w:b w:val="0"/>
        </w:rPr>
        <w:t>Accreditation Unit</w:t>
      </w:r>
      <w:r w:rsidRPr="00FC32AB">
        <w:t xml:space="preserve"> – Ensures regulatory compliance and accreditation readiness (n = 5)</w:t>
      </w:r>
    </w:p>
    <w:p w:rsidR="00094A9B" w:rsidRPr="00FC32AB" w:rsidRDefault="00094A9B" w:rsidP="00094A9B">
      <w:pPr>
        <w:pStyle w:val="NormalWeb"/>
        <w:numPr>
          <w:ilvl w:val="0"/>
          <w:numId w:val="23"/>
        </w:numPr>
        <w:spacing w:before="0" w:beforeAutospacing="0" w:after="0" w:afterAutospacing="0"/>
        <w:jc w:val="both"/>
      </w:pPr>
      <w:r w:rsidRPr="00FC32AB">
        <w:rPr>
          <w:rStyle w:val="Strong"/>
          <w:b w:val="0"/>
        </w:rPr>
        <w:t>Senior Management</w:t>
      </w:r>
      <w:r w:rsidRPr="00FC32AB">
        <w:t xml:space="preserve"> – Provides oversight, institutional direction, and policy approval (n = 5)</w:t>
      </w:r>
    </w:p>
    <w:p w:rsidR="00094A9B" w:rsidRPr="00FC32AB" w:rsidRDefault="00094A9B" w:rsidP="00094A9B">
      <w:pPr>
        <w:pStyle w:val="NormalWeb"/>
        <w:ind w:firstLine="567"/>
        <w:jc w:val="both"/>
      </w:pPr>
      <w:r w:rsidRPr="00FC32AB">
        <w:t xml:space="preserve">The surveys measured stakeholder perspectives across five governance dimensions: strategic alignment, resource and investment management, risk management and security, roles and accountability, and performance and compliance monitoring. Open-ended interview questions elicited qualitative insights on perceived benefits, challenges, and practical considerations for </w:t>
      </w:r>
      <w:proofErr w:type="spellStart"/>
      <w:r w:rsidRPr="00FC32AB">
        <w:t>blockchain</w:t>
      </w:r>
      <w:proofErr w:type="spellEnd"/>
      <w:r w:rsidRPr="00FC32AB">
        <w:t xml:space="preserve"> adoption. The integration of survey metrics and interview narratives allowed for both quantitative </w:t>
      </w:r>
      <w:r w:rsidR="00A754D3">
        <w:t>assessment</w:t>
      </w:r>
      <w:r w:rsidRPr="00FC32AB">
        <w:t xml:space="preserve"> of the governance model and qualitative exploration of stakeholder experiences.</w:t>
      </w:r>
    </w:p>
    <w:p w:rsidR="00435B8E" w:rsidRPr="00FC32AB" w:rsidRDefault="00094A9B" w:rsidP="00435B8E">
      <w:pPr>
        <w:pStyle w:val="NormalWeb"/>
        <w:numPr>
          <w:ilvl w:val="0"/>
          <w:numId w:val="22"/>
        </w:numPr>
        <w:jc w:val="both"/>
      </w:pPr>
      <w:r w:rsidRPr="00FC32AB">
        <w:rPr>
          <w:rStyle w:val="Strong"/>
          <w:b w:val="0"/>
        </w:rPr>
        <w:t>Comparative Analysis</w:t>
      </w:r>
      <w:r w:rsidRPr="00FC32AB">
        <w:t xml:space="preserve">- </w:t>
      </w:r>
      <w:r w:rsidR="00870882">
        <w:t xml:space="preserve">Academic and industry literature concerning </w:t>
      </w:r>
      <w:proofErr w:type="spellStart"/>
      <w:r w:rsidR="00870882">
        <w:t>blockchain</w:t>
      </w:r>
      <w:proofErr w:type="spellEnd"/>
      <w:r w:rsidR="00870882">
        <w:t xml:space="preserve"> adoption in higher education was reviewed to benchmark best practices and identify governance models that ensure information integrity (Delgado-von </w:t>
      </w:r>
      <w:proofErr w:type="spellStart"/>
      <w:r w:rsidR="00870882">
        <w:t>Eitzen</w:t>
      </w:r>
      <w:proofErr w:type="spellEnd"/>
      <w:r w:rsidR="00870882">
        <w:t xml:space="preserve"> &amp; </w:t>
      </w:r>
      <w:proofErr w:type="spellStart"/>
      <w:r w:rsidR="00870882">
        <w:t>Pisani</w:t>
      </w:r>
      <w:proofErr w:type="spellEnd"/>
      <w:r w:rsidR="00870882">
        <w:t>, 2021; Wang et al., 202</w:t>
      </w:r>
      <w:r w:rsidR="00E72AF5">
        <w:t>4</w:t>
      </w:r>
      <w:r w:rsidR="00870882">
        <w:t>).</w:t>
      </w:r>
      <w:r w:rsidR="004A0158">
        <w:t xml:space="preserve"> </w:t>
      </w:r>
      <w:r w:rsidRPr="00FC32AB">
        <w:t xml:space="preserve">This comparison facilitated the contextualization of </w:t>
      </w:r>
      <w:r w:rsidR="008135C4">
        <w:t>PHEI</w:t>
      </w:r>
      <w:r w:rsidRPr="00FC32AB">
        <w:t xml:space="preserve">s institutional needs within broader international trends, </w:t>
      </w:r>
      <w:r w:rsidRPr="00FC32AB">
        <w:lastRenderedPageBreak/>
        <w:t xml:space="preserve">highlighting governance structures that successfully integrated </w:t>
      </w:r>
      <w:proofErr w:type="spellStart"/>
      <w:r w:rsidRPr="00FC32AB">
        <w:t>blockchain</w:t>
      </w:r>
      <w:proofErr w:type="spellEnd"/>
      <w:r w:rsidRPr="00FC32AB">
        <w:t xml:space="preserve"> technology in academic recordkeeping.</w:t>
      </w:r>
    </w:p>
    <w:p w:rsidR="00094A9B" w:rsidRPr="00FC32AB" w:rsidRDefault="00094A9B" w:rsidP="00094A9B">
      <w:pPr>
        <w:pStyle w:val="NormalWeb"/>
        <w:numPr>
          <w:ilvl w:val="0"/>
          <w:numId w:val="22"/>
        </w:numPr>
        <w:jc w:val="both"/>
      </w:pPr>
      <w:r w:rsidRPr="00FC32AB">
        <w:rPr>
          <w:rStyle w:val="Strong"/>
          <w:b w:val="0"/>
        </w:rPr>
        <w:t>Framework Design</w:t>
      </w:r>
      <w:r w:rsidRPr="00FC32AB">
        <w:rPr>
          <w:b/>
        </w:rPr>
        <w:t>-</w:t>
      </w:r>
      <w:r w:rsidRPr="00FC32AB">
        <w:t xml:space="preserve"> Findings from document review, stakeholder surveys, interviews, and comparative analysis were synthesized to formulate the proposed IT governance framework. The design process emphasized the alignment of </w:t>
      </w:r>
      <w:proofErr w:type="spellStart"/>
      <w:r w:rsidRPr="00FC32AB">
        <w:t>blockchain</w:t>
      </w:r>
      <w:proofErr w:type="spellEnd"/>
      <w:r w:rsidRPr="00FC32AB">
        <w:t xml:space="preserve"> functionalities with institutional priorities, ensuring that technology adoption supports compliance with national education and data privacy policies, as well as internal operational objectives</w:t>
      </w:r>
      <w:r w:rsidR="004A0158">
        <w:t>.</w:t>
      </w:r>
    </w:p>
    <w:p w:rsidR="00040B93" w:rsidRDefault="00094A9B" w:rsidP="00094A9B">
      <w:pPr>
        <w:pStyle w:val="NormalWeb"/>
        <w:spacing w:before="0" w:beforeAutospacing="0" w:after="0" w:afterAutospacing="0"/>
        <w:jc w:val="both"/>
        <w:rPr>
          <w:rStyle w:val="Strong"/>
          <w:b w:val="0"/>
          <w:bCs w:val="0"/>
        </w:rPr>
      </w:pPr>
      <w:r w:rsidRPr="00FC32AB">
        <w:t>I</w:t>
      </w:r>
      <w:r w:rsidRPr="00FC32AB">
        <w:rPr>
          <w:rStyle w:val="Strong"/>
          <w:b w:val="0"/>
          <w:bCs w:val="0"/>
        </w:rPr>
        <w:t>nterpretative Discussion</w:t>
      </w:r>
    </w:p>
    <w:p w:rsidR="00040B93" w:rsidRPr="00FC32AB" w:rsidRDefault="00040B93" w:rsidP="00094A9B">
      <w:pPr>
        <w:pStyle w:val="NormalWeb"/>
        <w:spacing w:before="0" w:beforeAutospacing="0" w:after="0" w:afterAutospacing="0"/>
        <w:jc w:val="both"/>
      </w:pPr>
    </w:p>
    <w:p w:rsidR="00094A9B" w:rsidRDefault="00094A9B" w:rsidP="00094A9B">
      <w:pPr>
        <w:pStyle w:val="NormalWeb"/>
        <w:spacing w:before="0" w:beforeAutospacing="0" w:after="0" w:afterAutospacing="0"/>
        <w:ind w:firstLine="567"/>
        <w:jc w:val="both"/>
      </w:pPr>
      <w:r w:rsidRPr="00FC32AB">
        <w:t xml:space="preserve">The results of the data collection and comparative analysis were consolidated into a governance-oriented design, reflecting the interdependence of strategic, operational, and technological functions within </w:t>
      </w:r>
      <w:r w:rsidR="008135C4">
        <w:t>PHEIs</w:t>
      </w:r>
      <w:r w:rsidRPr="00FC32AB">
        <w:t>. The proposed framework (see Figure 2) integrates the five IT governance domains: Strategic Alignment, Resource and Investment Management, Risk Management and Security, Roles and Accountability, and Performance and Compliance Monitoring, under the coordination of the IT Department.</w:t>
      </w:r>
    </w:p>
    <w:p w:rsidR="00FC32AB" w:rsidRPr="00FC32AB" w:rsidRDefault="00FC32AB" w:rsidP="00094A9B">
      <w:pPr>
        <w:pStyle w:val="NormalWeb"/>
        <w:spacing w:before="0" w:beforeAutospacing="0" w:after="0" w:afterAutospacing="0"/>
        <w:ind w:firstLine="567"/>
        <w:jc w:val="both"/>
      </w:pPr>
    </w:p>
    <w:p w:rsidR="00094A9B" w:rsidRDefault="00094A9B" w:rsidP="00094A9B">
      <w:pPr>
        <w:pStyle w:val="NormalWeb"/>
        <w:spacing w:before="0" w:beforeAutospacing="0" w:after="0" w:afterAutospacing="0"/>
        <w:ind w:firstLine="567"/>
        <w:jc w:val="both"/>
      </w:pPr>
      <w:r w:rsidRPr="00FC32AB">
        <w:t xml:space="preserve">Each institutional unit contributes to the governance process through specific responsibilities and feedback mechanisms. The Registrar ensures data integrity in academic recordkeeping, the Finance Office manages resource sustainability and investment monitoring, the Accreditation Unit ensures regulatory compliance, and Senior Management provides strategic oversight and institutional direction. </w:t>
      </w:r>
      <w:r w:rsidR="00735A69">
        <w:t>The IT Department serves as the core facilitator of communication, system integration, and policy alignment, ensuring that governance activities remain coordinated across institutional units commonly found in Philippine PHEIs.</w:t>
      </w:r>
      <w:r w:rsidRPr="00FC32AB">
        <w:t xml:space="preserve"> </w:t>
      </w:r>
    </w:p>
    <w:p w:rsidR="00FC32AB" w:rsidRPr="00FC32AB" w:rsidRDefault="00FC32AB" w:rsidP="00094A9B">
      <w:pPr>
        <w:pStyle w:val="NormalWeb"/>
        <w:spacing w:before="0" w:beforeAutospacing="0" w:after="0" w:afterAutospacing="0"/>
        <w:ind w:firstLine="567"/>
        <w:jc w:val="both"/>
      </w:pPr>
    </w:p>
    <w:p w:rsidR="00094A9B" w:rsidRPr="00FC32AB" w:rsidRDefault="00094A9B" w:rsidP="00094A9B">
      <w:pPr>
        <w:pStyle w:val="NormalWeb"/>
        <w:spacing w:before="0" w:beforeAutospacing="0" w:after="0" w:afterAutospacing="0"/>
        <w:ind w:firstLine="567"/>
        <w:jc w:val="both"/>
      </w:pPr>
      <w:r w:rsidRPr="00FC32AB">
        <w:t>Th</w:t>
      </w:r>
      <w:r w:rsidR="00C65FA7">
        <w:t>e</w:t>
      </w:r>
      <w:r w:rsidRPr="00FC32AB">
        <w:t xml:space="preserve"> governance configuration creates a clear chain of accountability and minimizes coordination gaps between technical and administrative units. It also strengthens internal communication, enabling more agile responses to compliance and security challenges.</w:t>
      </w:r>
    </w:p>
    <w:p w:rsidR="00094A9B" w:rsidRPr="00FC32AB" w:rsidRDefault="00094A9B" w:rsidP="00094A9B">
      <w:pPr>
        <w:pStyle w:val="NormalWeb"/>
        <w:spacing w:before="0" w:beforeAutospacing="0" w:after="0" w:afterAutospacing="0"/>
        <w:ind w:firstLine="567"/>
        <w:jc w:val="both"/>
      </w:pPr>
    </w:p>
    <w:p w:rsidR="00094A9B" w:rsidRDefault="00F26CFA" w:rsidP="004C6342">
      <w:pPr>
        <w:pStyle w:val="NormalWeb"/>
        <w:spacing w:before="0" w:beforeAutospacing="0" w:after="0" w:afterAutospacing="0"/>
        <w:jc w:val="center"/>
        <w:rPr>
          <w:sz w:val="20"/>
          <w:szCs w:val="20"/>
        </w:rPr>
      </w:pPr>
      <w:r>
        <w:rPr>
          <w:noProof/>
          <w:sz w:val="20"/>
          <w:szCs w:val="20"/>
        </w:rPr>
        <w:drawing>
          <wp:inline distT="0" distB="0" distL="0" distR="0">
            <wp:extent cx="6408420" cy="3898900"/>
            <wp:effectExtent l="19050" t="19050" r="11430" b="254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EIs_Figure 2. Proposed IT Governance Framework for Blockchain Integrati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8420" cy="3898900"/>
                    </a:xfrm>
                    <a:prstGeom prst="rect">
                      <a:avLst/>
                    </a:prstGeom>
                    <a:ln>
                      <a:solidFill>
                        <a:schemeClr val="tx1"/>
                      </a:solidFill>
                    </a:ln>
                  </pic:spPr>
                </pic:pic>
              </a:graphicData>
            </a:graphic>
          </wp:inline>
        </w:drawing>
      </w:r>
    </w:p>
    <w:p w:rsidR="00094A9B" w:rsidRDefault="00094A9B" w:rsidP="00094A9B">
      <w:pPr>
        <w:pStyle w:val="NormalWeb"/>
        <w:spacing w:before="0" w:beforeAutospacing="0" w:after="0" w:afterAutospacing="0"/>
        <w:ind w:firstLine="567"/>
        <w:jc w:val="both"/>
        <w:rPr>
          <w:sz w:val="20"/>
          <w:szCs w:val="20"/>
        </w:rPr>
      </w:pPr>
    </w:p>
    <w:p w:rsidR="00094A9B" w:rsidRPr="00FC32AB" w:rsidRDefault="00094A9B" w:rsidP="00094A9B">
      <w:pPr>
        <w:pStyle w:val="NormalWeb"/>
        <w:spacing w:before="0" w:beforeAutospacing="0" w:after="0" w:afterAutospacing="0"/>
        <w:jc w:val="center"/>
        <w:rPr>
          <w:b/>
          <w:sz w:val="20"/>
          <w:szCs w:val="20"/>
        </w:rPr>
      </w:pPr>
      <w:r w:rsidRPr="00FC32AB">
        <w:rPr>
          <w:b/>
          <w:sz w:val="20"/>
          <w:szCs w:val="20"/>
        </w:rPr>
        <w:t xml:space="preserve">Figure 2. Proposed IT Governance Framework for </w:t>
      </w:r>
      <w:proofErr w:type="spellStart"/>
      <w:r w:rsidRPr="00FC32AB">
        <w:rPr>
          <w:b/>
          <w:sz w:val="20"/>
          <w:szCs w:val="20"/>
        </w:rPr>
        <w:t>Blockchain</w:t>
      </w:r>
      <w:proofErr w:type="spellEnd"/>
      <w:r w:rsidRPr="00FC32AB">
        <w:rPr>
          <w:b/>
          <w:sz w:val="20"/>
          <w:szCs w:val="20"/>
        </w:rPr>
        <w:t xml:space="preserve"> Integration</w:t>
      </w:r>
    </w:p>
    <w:p w:rsidR="00094A9B" w:rsidRPr="00E555A9" w:rsidRDefault="00094A9B" w:rsidP="00094A9B">
      <w:pPr>
        <w:pStyle w:val="NormalWeb"/>
        <w:spacing w:before="0" w:beforeAutospacing="0" w:after="0" w:afterAutospacing="0"/>
        <w:jc w:val="center"/>
        <w:rPr>
          <w:b/>
          <w:sz w:val="16"/>
          <w:szCs w:val="16"/>
        </w:rPr>
      </w:pPr>
    </w:p>
    <w:p w:rsidR="00094A9B" w:rsidRDefault="00094A9B" w:rsidP="00094A9B">
      <w:pPr>
        <w:pStyle w:val="NormalWeb"/>
        <w:spacing w:before="0" w:beforeAutospacing="0" w:after="0" w:afterAutospacing="0"/>
        <w:ind w:firstLine="567"/>
        <w:jc w:val="both"/>
      </w:pPr>
      <w:r w:rsidRPr="00FC32AB">
        <w:t xml:space="preserve">As illustrated in Figure 2, the proposed framework for </w:t>
      </w:r>
      <w:proofErr w:type="spellStart"/>
      <w:r w:rsidRPr="00FC32AB">
        <w:t>blockchain</w:t>
      </w:r>
      <w:proofErr w:type="spellEnd"/>
      <w:r w:rsidRPr="00FC32AB">
        <w:t xml:space="preserve">-enabled information integrity positions the IT Department as the central coordinating authority overseeing the integration of </w:t>
      </w:r>
      <w:proofErr w:type="spellStart"/>
      <w:r w:rsidRPr="00FC32AB">
        <w:t>blockchain</w:t>
      </w:r>
      <w:proofErr w:type="spellEnd"/>
      <w:r w:rsidRPr="00FC32AB">
        <w:t xml:space="preserve"> technology into </w:t>
      </w:r>
      <w:r w:rsidR="008135C4">
        <w:t>PHEI</w:t>
      </w:r>
      <w:r w:rsidRPr="00FC32AB">
        <w:t>s governance processes. Each governance domain contributes to a specific management dimension:</w:t>
      </w:r>
    </w:p>
    <w:p w:rsidR="00FC32AB" w:rsidRPr="00FC32AB" w:rsidRDefault="00FC32AB" w:rsidP="00094A9B">
      <w:pPr>
        <w:pStyle w:val="NormalWeb"/>
        <w:spacing w:before="0" w:beforeAutospacing="0" w:after="0" w:afterAutospacing="0"/>
        <w:ind w:firstLine="567"/>
        <w:jc w:val="both"/>
      </w:pPr>
    </w:p>
    <w:p w:rsidR="00094A9B" w:rsidRPr="00FC32AB" w:rsidRDefault="00094A9B" w:rsidP="00094A9B">
      <w:pPr>
        <w:pStyle w:val="NormalWeb"/>
        <w:numPr>
          <w:ilvl w:val="0"/>
          <w:numId w:val="24"/>
        </w:numPr>
        <w:spacing w:before="0" w:beforeAutospacing="0" w:after="0" w:afterAutospacing="0"/>
        <w:jc w:val="both"/>
      </w:pPr>
      <w:r w:rsidRPr="00FC32AB">
        <w:rPr>
          <w:rStyle w:val="Strong"/>
          <w:b w:val="0"/>
        </w:rPr>
        <w:t>Strategic Alignment</w:t>
      </w:r>
      <w:r w:rsidRPr="00FC32AB">
        <w:t xml:space="preserve"> ensures that </w:t>
      </w:r>
      <w:proofErr w:type="spellStart"/>
      <w:r w:rsidRPr="00FC32AB">
        <w:t>blockchain</w:t>
      </w:r>
      <w:proofErr w:type="spellEnd"/>
      <w:r w:rsidRPr="00FC32AB">
        <w:t xml:space="preserve"> projects directly support institutional goals, accreditation standards, and long-term digital transformation strategies.</w:t>
      </w:r>
    </w:p>
    <w:p w:rsidR="00094A9B" w:rsidRPr="00FC32AB" w:rsidRDefault="00094A9B" w:rsidP="00094A9B">
      <w:pPr>
        <w:pStyle w:val="NormalWeb"/>
        <w:numPr>
          <w:ilvl w:val="0"/>
          <w:numId w:val="24"/>
        </w:numPr>
        <w:spacing w:before="0" w:beforeAutospacing="0" w:after="0" w:afterAutospacing="0"/>
        <w:jc w:val="both"/>
      </w:pPr>
      <w:r w:rsidRPr="00FC32AB">
        <w:rPr>
          <w:rStyle w:val="Strong"/>
          <w:b w:val="0"/>
        </w:rPr>
        <w:t>Resource and Investment Management</w:t>
      </w:r>
      <w:r w:rsidRPr="00FC32AB">
        <w:t xml:space="preserve"> oversees budgeting, funding allocation, and system integration to maintain financial sustainability and technological readiness.</w:t>
      </w:r>
    </w:p>
    <w:p w:rsidR="00094A9B" w:rsidRPr="00FC32AB" w:rsidRDefault="00094A9B" w:rsidP="00094A9B">
      <w:pPr>
        <w:pStyle w:val="NormalWeb"/>
        <w:numPr>
          <w:ilvl w:val="0"/>
          <w:numId w:val="24"/>
        </w:numPr>
        <w:spacing w:before="0" w:beforeAutospacing="0" w:after="0" w:afterAutospacing="0"/>
        <w:jc w:val="both"/>
      </w:pPr>
      <w:r w:rsidRPr="00FC32AB">
        <w:rPr>
          <w:rStyle w:val="Strong"/>
          <w:b w:val="0"/>
        </w:rPr>
        <w:t>Risk Management and Security</w:t>
      </w:r>
      <w:r w:rsidRPr="00FC32AB">
        <w:t xml:space="preserve"> focuses on mitigating cybersecurity threats, ensuring compliance with the Data Privacy Act of 2012 (Republic Act 10173), and safeguarding institutional data assets.</w:t>
      </w:r>
    </w:p>
    <w:p w:rsidR="00094A9B" w:rsidRPr="00FC32AB" w:rsidRDefault="00094A9B" w:rsidP="00094A9B">
      <w:pPr>
        <w:pStyle w:val="NormalWeb"/>
        <w:numPr>
          <w:ilvl w:val="0"/>
          <w:numId w:val="24"/>
        </w:numPr>
        <w:spacing w:before="0" w:beforeAutospacing="0" w:after="0" w:afterAutospacing="0"/>
        <w:jc w:val="both"/>
      </w:pPr>
      <w:r w:rsidRPr="00FC32AB">
        <w:rPr>
          <w:rStyle w:val="Strong"/>
          <w:b w:val="0"/>
        </w:rPr>
        <w:t>Roles and Accountability</w:t>
      </w:r>
      <w:r w:rsidRPr="00FC32AB">
        <w:t xml:space="preserve"> clarifies the decision-making hierarchy, delineating responsibilities across institutional units to prevent overlap and ensure transparency.</w:t>
      </w:r>
    </w:p>
    <w:p w:rsidR="00094A9B" w:rsidRDefault="00094A9B" w:rsidP="00094A9B">
      <w:pPr>
        <w:pStyle w:val="NormalWeb"/>
        <w:numPr>
          <w:ilvl w:val="0"/>
          <w:numId w:val="24"/>
        </w:numPr>
        <w:spacing w:before="0" w:beforeAutospacing="0" w:after="0" w:afterAutospacing="0"/>
        <w:jc w:val="both"/>
      </w:pPr>
      <w:r w:rsidRPr="00FC32AB">
        <w:rPr>
          <w:rStyle w:val="Strong"/>
          <w:b w:val="0"/>
        </w:rPr>
        <w:t>Performance and Compliance Monitoring</w:t>
      </w:r>
      <w:r w:rsidRPr="00FC32AB">
        <w:t xml:space="preserve"> establishes performance indicators and continuous evaluation mechanisms to measure the success of </w:t>
      </w:r>
      <w:proofErr w:type="spellStart"/>
      <w:r w:rsidRPr="00FC32AB">
        <w:t>blockchain</w:t>
      </w:r>
      <w:proofErr w:type="spellEnd"/>
      <w:r w:rsidRPr="00FC32AB">
        <w:t xml:space="preserve"> adoption initiatives and ensure adherence to institutional and regulatory standards.</w:t>
      </w:r>
    </w:p>
    <w:p w:rsidR="004C6342" w:rsidRPr="00FC32AB" w:rsidRDefault="004C6342" w:rsidP="004C6342">
      <w:pPr>
        <w:pStyle w:val="NormalWeb"/>
        <w:spacing w:before="0" w:beforeAutospacing="0" w:after="0" w:afterAutospacing="0"/>
        <w:ind w:left="720"/>
        <w:jc w:val="both"/>
      </w:pPr>
    </w:p>
    <w:p w:rsidR="00094A9B" w:rsidRDefault="00351B09" w:rsidP="00094A9B">
      <w:pPr>
        <w:pStyle w:val="NormalWeb"/>
        <w:spacing w:before="0" w:beforeAutospacing="0" w:after="0" w:afterAutospacing="0"/>
        <w:ind w:firstLine="567"/>
        <w:jc w:val="both"/>
      </w:pPr>
      <w:r>
        <w:t xml:space="preserve">Supporting these domains are the core technological features of </w:t>
      </w:r>
      <w:proofErr w:type="spellStart"/>
      <w:r>
        <w:t>blockchain</w:t>
      </w:r>
      <w:proofErr w:type="spellEnd"/>
      <w:r>
        <w:t>, namely immutability, decentralization, and verifiability, which form the foundational layer of the governance framework and have been widely recognized as mechanisms for strengthening the integrity and traceability of educational credentials (</w:t>
      </w:r>
      <w:proofErr w:type="spellStart"/>
      <w:r>
        <w:t>Bhaskar</w:t>
      </w:r>
      <w:proofErr w:type="spellEnd"/>
      <w:r>
        <w:t xml:space="preserve"> et al., 2021; </w:t>
      </w:r>
      <w:proofErr w:type="spellStart"/>
      <w:r>
        <w:t>Kuleto</w:t>
      </w:r>
      <w:proofErr w:type="spellEnd"/>
      <w:r>
        <w:t xml:space="preserve"> et al., 2022).</w:t>
      </w:r>
      <w:r>
        <w:t xml:space="preserve"> </w:t>
      </w:r>
      <w:r w:rsidR="00094A9B" w:rsidRPr="00FC32AB">
        <w:t>These features ensure that academic records are securely stored, tamper-resistant, and auditable, thereby enhancing trust among stakeholders and accrediting bodies.</w:t>
      </w:r>
    </w:p>
    <w:p w:rsidR="004C6342" w:rsidRPr="00FC32AB" w:rsidRDefault="004C6342" w:rsidP="00094A9B">
      <w:pPr>
        <w:pStyle w:val="NormalWeb"/>
        <w:spacing w:before="0" w:beforeAutospacing="0" w:after="0" w:afterAutospacing="0"/>
        <w:ind w:firstLine="567"/>
        <w:jc w:val="both"/>
      </w:pPr>
    </w:p>
    <w:p w:rsidR="00094A9B" w:rsidRDefault="000A4A46" w:rsidP="00094A9B">
      <w:pPr>
        <w:pStyle w:val="NormalWeb"/>
        <w:spacing w:before="0" w:beforeAutospacing="0" w:after="0" w:afterAutospacing="0"/>
        <w:jc w:val="both"/>
      </w:pPr>
      <w:r>
        <w:t xml:space="preserve">The model aligns with key regulatory frameworks in the Philippines, particularly the Commission on Higher Education (CHED) policies, the Data Privacy Act of 2012 (Republic Act No. 10173), and internal PHEIs IT and academic policies. By embedding </w:t>
      </w:r>
      <w:proofErr w:type="spellStart"/>
      <w:r>
        <w:t>blockchain</w:t>
      </w:r>
      <w:proofErr w:type="spellEnd"/>
      <w:r>
        <w:t xml:space="preserve"> functionalities within established governance systems, the framework ensures that innovation remains compliant with national regulations while advancing institutional transparency and efficiency, consistent with the governance perspective advanced by Tan et al. (2021).</w:t>
      </w:r>
    </w:p>
    <w:p w:rsidR="000A4A46" w:rsidRPr="00FC32AB" w:rsidRDefault="000A4A46" w:rsidP="00094A9B">
      <w:pPr>
        <w:pStyle w:val="NormalWeb"/>
        <w:spacing w:before="0" w:beforeAutospacing="0" w:after="0" w:afterAutospacing="0"/>
        <w:jc w:val="both"/>
      </w:pPr>
    </w:p>
    <w:p w:rsidR="00094A9B" w:rsidRPr="00FC32AB" w:rsidRDefault="00094A9B" w:rsidP="00094A9B">
      <w:pPr>
        <w:pStyle w:val="NormalWeb"/>
        <w:spacing w:before="0" w:beforeAutospacing="0" w:after="0" w:afterAutospacing="0"/>
        <w:jc w:val="both"/>
        <w:rPr>
          <w:rStyle w:val="Strong"/>
          <w:b w:val="0"/>
          <w:bCs w:val="0"/>
        </w:rPr>
      </w:pPr>
      <w:r w:rsidRPr="00FC32AB">
        <w:rPr>
          <w:rStyle w:val="Strong"/>
          <w:b w:val="0"/>
          <w:bCs w:val="0"/>
        </w:rPr>
        <w:t>Summary of Methodological Rationale</w:t>
      </w:r>
    </w:p>
    <w:p w:rsidR="00094A9B" w:rsidRPr="00FC32AB" w:rsidRDefault="00094A9B" w:rsidP="00094A9B">
      <w:pPr>
        <w:pStyle w:val="NormalWeb"/>
        <w:spacing w:before="0" w:beforeAutospacing="0" w:after="0" w:afterAutospacing="0"/>
        <w:jc w:val="both"/>
      </w:pPr>
    </w:p>
    <w:p w:rsidR="004C6342" w:rsidRPr="00FC32AB" w:rsidRDefault="00351B09" w:rsidP="007947C2">
      <w:pPr>
        <w:pStyle w:val="NormalWeb"/>
        <w:spacing w:before="0" w:beforeAutospacing="0" w:after="0" w:afterAutospacing="0"/>
        <w:ind w:firstLine="567"/>
        <w:jc w:val="both"/>
      </w:pPr>
      <w:r>
        <w:t xml:space="preserve">The integration of governance principles with </w:t>
      </w:r>
      <w:proofErr w:type="spellStart"/>
      <w:r>
        <w:t>blockchain</w:t>
      </w:r>
      <w:proofErr w:type="spellEnd"/>
      <w:r>
        <w:t xml:space="preserve"> capabilities demonstrates that effective technology adoption requires not only technical infrastructure but also strategic leadership, stakeholder engagement, and regulatory compliance, consistent with the observations of Bianchi et al. (2021) and Tan et al. (2021).</w:t>
      </w:r>
      <w:r w:rsidR="00094A9B" w:rsidRPr="00FC32AB">
        <w:t xml:space="preserve"> </w:t>
      </w:r>
      <w:r w:rsidR="00870882">
        <w:t>The mixed-method design supports this conceptualization by combining empirical stakeholder input with governance theory and industry practice (Bianchi et al., 2021; Tan et al., 2021).</w:t>
      </w:r>
    </w:p>
    <w:p w:rsidR="00FC32AB" w:rsidRPr="00FC32AB" w:rsidRDefault="00094A9B" w:rsidP="007947C2">
      <w:pPr>
        <w:pStyle w:val="NormalWeb"/>
        <w:ind w:firstLine="567"/>
        <w:jc w:val="both"/>
      </w:pPr>
      <w:r w:rsidRPr="00FC32AB">
        <w:t xml:space="preserve">The comprehensive methodological approach establishes a practical roadmap for educational institutions aiming to strengthen information integrity through </w:t>
      </w:r>
      <w:proofErr w:type="spellStart"/>
      <w:r w:rsidRPr="00FC32AB">
        <w:t>blockchain</w:t>
      </w:r>
      <w:proofErr w:type="spellEnd"/>
      <w:r w:rsidRPr="00FC32AB">
        <w:t xml:space="preserve"> technology while ensuring regulatory compliance, operational sustainability, and institutional accountability. </w:t>
      </w:r>
      <w:r w:rsidR="007947C2" w:rsidRPr="007947C2">
        <w:t xml:space="preserve">The proposed IT governance framework for </w:t>
      </w:r>
      <w:proofErr w:type="spellStart"/>
      <w:r w:rsidR="007947C2" w:rsidRPr="007947C2">
        <w:t>blockchain</w:t>
      </w:r>
      <w:proofErr w:type="spellEnd"/>
      <w:r w:rsidR="007947C2" w:rsidRPr="007947C2">
        <w:t xml:space="preserve"> integration functions both as an analytical model and as an actionable management guide that may inform strategic decision-making among Philippine private higher education institutions operating within similar governance and regulatory contexts. While developed from the perspectives of stakeholders within a specific PHEI setting, the framework is intended to be adaptable to institutions with comparable organizational structures and information integrity requirements.</w:t>
      </w:r>
    </w:p>
    <w:p w:rsidR="00094A9B" w:rsidRPr="00FC32AB" w:rsidRDefault="00A54E61" w:rsidP="00A54E61">
      <w:pPr>
        <w:pStyle w:val="Heading1"/>
        <w:numPr>
          <w:ilvl w:val="0"/>
          <w:numId w:val="29"/>
        </w:numPr>
        <w:spacing w:after="0"/>
        <w:ind w:left="426" w:hanging="426"/>
        <w:jc w:val="left"/>
        <w:rPr>
          <w:rStyle w:val="Strong"/>
          <w:b w:val="0"/>
          <w:bCs w:val="0"/>
          <w:color w:val="000000"/>
          <w:sz w:val="24"/>
          <w:szCs w:val="24"/>
        </w:rPr>
      </w:pPr>
      <w:r>
        <w:rPr>
          <w:color w:val="000000"/>
          <w:sz w:val="24"/>
          <w:szCs w:val="24"/>
        </w:rPr>
        <w:lastRenderedPageBreak/>
        <w:t>R</w:t>
      </w:r>
      <w:r w:rsidR="00094A9B" w:rsidRPr="00FC32AB">
        <w:rPr>
          <w:color w:val="000000"/>
          <w:sz w:val="24"/>
          <w:szCs w:val="24"/>
        </w:rPr>
        <w:t>ESULT</w:t>
      </w:r>
    </w:p>
    <w:p w:rsidR="00094A9B" w:rsidRPr="00FC32AB" w:rsidRDefault="00094A9B" w:rsidP="00094A9B">
      <w:pPr>
        <w:rPr>
          <w:sz w:val="24"/>
          <w:szCs w:val="24"/>
        </w:rPr>
      </w:pPr>
    </w:p>
    <w:p w:rsidR="00094A9B" w:rsidRDefault="00094A9B" w:rsidP="00094A9B">
      <w:pPr>
        <w:pStyle w:val="Heading2"/>
        <w:numPr>
          <w:ilvl w:val="0"/>
          <w:numId w:val="0"/>
        </w:numPr>
        <w:ind w:left="288" w:hanging="288"/>
        <w:rPr>
          <w:i w:val="0"/>
          <w:sz w:val="24"/>
          <w:szCs w:val="24"/>
        </w:rPr>
      </w:pPr>
      <w:r w:rsidRPr="00FC32AB">
        <w:rPr>
          <w:i w:val="0"/>
          <w:sz w:val="24"/>
          <w:szCs w:val="24"/>
        </w:rPr>
        <w:t>A. Respondent Profile</w:t>
      </w:r>
    </w:p>
    <w:p w:rsidR="00FC32AB" w:rsidRPr="00FC32AB" w:rsidRDefault="00FC32AB" w:rsidP="00FC32AB"/>
    <w:p w:rsidR="00094A9B" w:rsidRPr="00FC32AB" w:rsidRDefault="00247CD1" w:rsidP="00247CD1">
      <w:pPr>
        <w:pStyle w:val="NormalWeb"/>
        <w:spacing w:before="0" w:beforeAutospacing="0" w:after="0" w:afterAutospacing="0"/>
        <w:ind w:firstLine="567"/>
        <w:jc w:val="both"/>
      </w:pPr>
      <w:r>
        <w:t>A total of 35 key institutional personnel representing functional units commonly found in Philippine private higher education institutions participated in the survey within the selected PHEI context.</w:t>
      </w:r>
      <w:r w:rsidR="00094A9B" w:rsidRPr="00FC32AB">
        <w:t xml:space="preserve"> The respondents were composed of the following groups: IT Management (n = 10), Registrar Staff (n = 10), Finance Office (n = 5), Accreditation or Quality Assurance Unit (n = 5), and Senior Management (n = 5). These participants were selected based on their direct involvement in governance, resource allocation, and academic recordkeeping processes that influence </w:t>
      </w:r>
      <w:proofErr w:type="spellStart"/>
      <w:r w:rsidR="00094A9B" w:rsidRPr="00FC32AB">
        <w:t>blockchain</w:t>
      </w:r>
      <w:proofErr w:type="spellEnd"/>
      <w:r w:rsidR="00094A9B" w:rsidRPr="00FC32AB">
        <w:t xml:space="preserve"> adoption.</w:t>
      </w:r>
    </w:p>
    <w:p w:rsidR="00FC32AB" w:rsidRDefault="00FC32AB" w:rsidP="00094A9B">
      <w:pPr>
        <w:pStyle w:val="NormalWeb"/>
        <w:spacing w:before="0" w:beforeAutospacing="0" w:after="0" w:afterAutospacing="0"/>
        <w:ind w:firstLine="567"/>
        <w:jc w:val="both"/>
      </w:pPr>
    </w:p>
    <w:p w:rsidR="00094A9B" w:rsidRPr="00FC32AB" w:rsidRDefault="00094A9B" w:rsidP="00094A9B">
      <w:pPr>
        <w:pStyle w:val="NormalWeb"/>
        <w:spacing w:before="0" w:beforeAutospacing="0" w:after="0" w:afterAutospacing="0"/>
        <w:ind w:firstLine="567"/>
        <w:jc w:val="both"/>
      </w:pPr>
      <w:r w:rsidRPr="00FC32AB">
        <w:t xml:space="preserve">All items were evaluated using a </w:t>
      </w:r>
      <w:r w:rsidRPr="00FC32AB">
        <w:rPr>
          <w:rStyle w:val="Strong"/>
          <w:b w:val="0"/>
        </w:rPr>
        <w:t>five-point Likert scale</w:t>
      </w:r>
      <w:r w:rsidRPr="00FC32AB">
        <w:t xml:space="preserve">, where </w:t>
      </w:r>
      <w:r w:rsidRPr="00FC32AB">
        <w:rPr>
          <w:rStyle w:val="Strong"/>
          <w:b w:val="0"/>
        </w:rPr>
        <w:t>5 = Strongly Agree</w:t>
      </w:r>
      <w:r w:rsidRPr="00FC32AB">
        <w:t xml:space="preserve">, </w:t>
      </w:r>
      <w:r w:rsidRPr="00FC32AB">
        <w:rPr>
          <w:rStyle w:val="Strong"/>
          <w:b w:val="0"/>
        </w:rPr>
        <w:t>4 = Agree</w:t>
      </w:r>
      <w:r w:rsidRPr="00FC32AB">
        <w:t xml:space="preserve">, </w:t>
      </w:r>
      <w:r w:rsidRPr="00FC32AB">
        <w:rPr>
          <w:rStyle w:val="Strong"/>
          <w:b w:val="0"/>
        </w:rPr>
        <w:t>3 = Neutral</w:t>
      </w:r>
      <w:r w:rsidRPr="00FC32AB">
        <w:t xml:space="preserve">, </w:t>
      </w:r>
      <w:r w:rsidRPr="00FC32AB">
        <w:rPr>
          <w:rStyle w:val="Strong"/>
          <w:b w:val="0"/>
        </w:rPr>
        <w:t>2 = Disagree</w:t>
      </w:r>
      <w:r w:rsidRPr="00FC32AB">
        <w:t xml:space="preserve">, and </w:t>
      </w:r>
      <w:r w:rsidRPr="00FC32AB">
        <w:rPr>
          <w:rStyle w:val="Strong"/>
          <w:b w:val="0"/>
        </w:rPr>
        <w:t>1 = Strongly Disagree</w:t>
      </w:r>
      <w:r w:rsidRPr="00FC32AB">
        <w:t>.</w:t>
      </w:r>
    </w:p>
    <w:p w:rsidR="00094A9B" w:rsidRPr="00FC32AB" w:rsidRDefault="00094A9B" w:rsidP="00094A9B">
      <w:pPr>
        <w:pStyle w:val="Heading3"/>
        <w:numPr>
          <w:ilvl w:val="0"/>
          <w:numId w:val="0"/>
        </w:numPr>
        <w:rPr>
          <w:rFonts w:eastAsia="Times New Roman"/>
          <w:i w:val="0"/>
          <w:iCs w:val="0"/>
          <w:noProof w:val="0"/>
          <w:sz w:val="24"/>
          <w:szCs w:val="24"/>
          <w:lang w:val="en-PH" w:eastAsia="en-PH"/>
        </w:rPr>
      </w:pPr>
    </w:p>
    <w:p w:rsidR="00094A9B" w:rsidRDefault="00094A9B" w:rsidP="00094A9B">
      <w:pPr>
        <w:pStyle w:val="Heading3"/>
        <w:numPr>
          <w:ilvl w:val="0"/>
          <w:numId w:val="0"/>
        </w:numPr>
        <w:rPr>
          <w:rStyle w:val="Strong"/>
          <w:b w:val="0"/>
          <w:bCs w:val="0"/>
          <w:i w:val="0"/>
          <w:sz w:val="24"/>
          <w:szCs w:val="24"/>
        </w:rPr>
      </w:pPr>
      <w:r w:rsidRPr="00FC32AB">
        <w:rPr>
          <w:rFonts w:eastAsia="Times New Roman"/>
          <w:i w:val="0"/>
          <w:iCs w:val="0"/>
          <w:noProof w:val="0"/>
          <w:sz w:val="24"/>
          <w:szCs w:val="24"/>
          <w:lang w:val="en-PH" w:eastAsia="en-PH"/>
        </w:rPr>
        <w:t xml:space="preserve">B. </w:t>
      </w:r>
      <w:r w:rsidRPr="00FC32AB">
        <w:rPr>
          <w:rStyle w:val="Strong"/>
          <w:b w:val="0"/>
          <w:bCs w:val="0"/>
          <w:i w:val="0"/>
          <w:sz w:val="24"/>
          <w:szCs w:val="24"/>
        </w:rPr>
        <w:t>Weighted Mean Scores per Governance Domain</w:t>
      </w:r>
    </w:p>
    <w:p w:rsidR="00FC32AB" w:rsidRPr="00FC32AB" w:rsidRDefault="00FC32AB" w:rsidP="00FC32AB"/>
    <w:p w:rsidR="00094A9B" w:rsidRPr="00FC32AB" w:rsidRDefault="00094A9B" w:rsidP="00FC32AB">
      <w:pPr>
        <w:pStyle w:val="NormalWeb"/>
        <w:spacing w:before="0" w:beforeAutospacing="0" w:after="0" w:afterAutospacing="0"/>
        <w:ind w:firstLine="567"/>
        <w:jc w:val="both"/>
      </w:pPr>
      <w:r w:rsidRPr="00FC32AB">
        <w:t xml:space="preserve">The survey measured five governance domains corresponding to the proposed IT Governance Framework for </w:t>
      </w:r>
      <w:proofErr w:type="spellStart"/>
      <w:r w:rsidRPr="00FC32AB">
        <w:t>Blockchain</w:t>
      </w:r>
      <w:proofErr w:type="spellEnd"/>
      <w:r w:rsidRPr="00FC32AB">
        <w:t>-Enabled Information Integrity: Strategic Alignment, Resource and Investment Management, Risk Management and Security, Roles and Accountability, and Performance and Compliance Monitoring.</w:t>
      </w:r>
    </w:p>
    <w:p w:rsidR="00FC32AB" w:rsidRDefault="00FC32AB" w:rsidP="00094A9B">
      <w:pPr>
        <w:pStyle w:val="NormalWeb"/>
        <w:spacing w:before="0" w:beforeAutospacing="0" w:after="0" w:afterAutospacing="0"/>
        <w:ind w:firstLine="567"/>
        <w:jc w:val="both"/>
      </w:pPr>
    </w:p>
    <w:p w:rsidR="00094A9B" w:rsidRPr="00FC32AB" w:rsidRDefault="00094A9B" w:rsidP="00C65FA7">
      <w:pPr>
        <w:pStyle w:val="NormalWeb"/>
        <w:spacing w:before="0" w:beforeAutospacing="0" w:after="0" w:afterAutospacing="0"/>
        <w:jc w:val="both"/>
      </w:pPr>
      <w:r w:rsidRPr="00FC32AB">
        <w:t xml:space="preserve">Table </w:t>
      </w:r>
      <w:r w:rsidR="00C65FA7">
        <w:t xml:space="preserve">1 </w:t>
      </w:r>
      <w:r w:rsidRPr="00FC32AB">
        <w:t xml:space="preserve">presents the computed </w:t>
      </w:r>
      <w:r w:rsidRPr="00FC32AB">
        <w:rPr>
          <w:rStyle w:val="Strong"/>
          <w:b w:val="0"/>
        </w:rPr>
        <w:t>weighted mean (WM)</w:t>
      </w:r>
      <w:r w:rsidRPr="00FC32AB">
        <w:t xml:space="preserve"> values across respondent groups.</w:t>
      </w:r>
    </w:p>
    <w:p w:rsidR="00094A9B" w:rsidRPr="004C6342" w:rsidRDefault="00094A9B" w:rsidP="00094A9B">
      <w:pPr>
        <w:spacing w:before="100" w:beforeAutospacing="1" w:after="100" w:afterAutospacing="1"/>
        <w:rPr>
          <w:rFonts w:eastAsia="Times New Roman"/>
          <w:b/>
          <w:lang w:val="en-PH" w:eastAsia="en-PH"/>
        </w:rPr>
      </w:pPr>
      <w:r w:rsidRPr="004C6342">
        <w:rPr>
          <w:rFonts w:eastAsia="Times New Roman"/>
          <w:b/>
          <w:bCs/>
          <w:lang w:val="en-PH" w:eastAsia="en-PH"/>
        </w:rPr>
        <w:t>Table 1</w:t>
      </w:r>
      <w:r w:rsidRPr="004C6342">
        <w:rPr>
          <w:rFonts w:eastAsia="Times New Roman"/>
          <w:b/>
          <w:lang w:val="en-PH" w:eastAsia="en-PH"/>
        </w:rPr>
        <w:t xml:space="preserve">. </w:t>
      </w:r>
      <w:r w:rsidRPr="004C6342">
        <w:rPr>
          <w:rFonts w:eastAsia="Times New Roman"/>
          <w:b/>
          <w:iCs/>
          <w:lang w:val="en-PH" w:eastAsia="en-PH"/>
        </w:rPr>
        <w:t>Weighted Mean Scores by Governance Domain and Respondent Group</w:t>
      </w:r>
    </w:p>
    <w:tbl>
      <w:tblPr>
        <w:tblW w:w="5952" w:type="dxa"/>
        <w:jc w:val="center"/>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194"/>
        <w:gridCol w:w="990"/>
        <w:gridCol w:w="1212"/>
        <w:gridCol w:w="1212"/>
        <w:gridCol w:w="1346"/>
        <w:gridCol w:w="1216"/>
      </w:tblGrid>
      <w:tr w:rsidR="00094A9B" w:rsidRPr="004C6342" w:rsidTr="00FC32AB">
        <w:trPr>
          <w:trHeight w:val="301"/>
          <w:tblHeader/>
          <w:tblCellSpacing w:w="15" w:type="dxa"/>
          <w:jc w:val="center"/>
        </w:trPr>
        <w:tc>
          <w:tcPr>
            <w:tcW w:w="0" w:type="auto"/>
            <w:vAlign w:val="center"/>
            <w:hideMark/>
          </w:tcPr>
          <w:p w:rsidR="00094A9B" w:rsidRPr="004C6342" w:rsidRDefault="00094A9B" w:rsidP="00A94805">
            <w:pPr>
              <w:rPr>
                <w:rFonts w:eastAsia="Times New Roman"/>
                <w:b/>
                <w:bCs/>
                <w:lang w:val="en-PH" w:eastAsia="en-PH"/>
              </w:rPr>
            </w:pPr>
            <w:r w:rsidRPr="004C6342">
              <w:rPr>
                <w:rFonts w:eastAsia="Times New Roman"/>
                <w:b/>
                <w:bCs/>
                <w:lang w:val="en-PH" w:eastAsia="en-PH"/>
              </w:rPr>
              <w:t>Respondent Group</w:t>
            </w:r>
          </w:p>
        </w:tc>
        <w:tc>
          <w:tcPr>
            <w:tcW w:w="0" w:type="auto"/>
            <w:vAlign w:val="center"/>
            <w:hideMark/>
          </w:tcPr>
          <w:p w:rsidR="00094A9B" w:rsidRPr="004C6342" w:rsidRDefault="00094A9B" w:rsidP="00A94805">
            <w:pPr>
              <w:rPr>
                <w:rFonts w:eastAsia="Times New Roman"/>
                <w:b/>
                <w:bCs/>
                <w:lang w:val="en-PH" w:eastAsia="en-PH"/>
              </w:rPr>
            </w:pPr>
            <w:r w:rsidRPr="004C6342">
              <w:rPr>
                <w:rFonts w:eastAsia="Times New Roman"/>
                <w:b/>
                <w:bCs/>
                <w:lang w:val="en-PH" w:eastAsia="en-PH"/>
              </w:rPr>
              <w:t>Strategic Alignment</w:t>
            </w:r>
          </w:p>
        </w:tc>
        <w:tc>
          <w:tcPr>
            <w:tcW w:w="0" w:type="auto"/>
            <w:vAlign w:val="center"/>
            <w:hideMark/>
          </w:tcPr>
          <w:p w:rsidR="00094A9B" w:rsidRPr="004C6342" w:rsidRDefault="00094A9B" w:rsidP="00A94805">
            <w:pPr>
              <w:rPr>
                <w:rFonts w:eastAsia="Times New Roman"/>
                <w:b/>
                <w:bCs/>
                <w:lang w:val="en-PH" w:eastAsia="en-PH"/>
              </w:rPr>
            </w:pPr>
            <w:r w:rsidRPr="004C6342">
              <w:rPr>
                <w:rFonts w:eastAsia="Times New Roman"/>
                <w:b/>
                <w:bCs/>
                <w:lang w:val="en-PH" w:eastAsia="en-PH"/>
              </w:rPr>
              <w:t>Resource &amp; Investment Management</w:t>
            </w:r>
          </w:p>
        </w:tc>
        <w:tc>
          <w:tcPr>
            <w:tcW w:w="0" w:type="auto"/>
            <w:vAlign w:val="center"/>
            <w:hideMark/>
          </w:tcPr>
          <w:p w:rsidR="00094A9B" w:rsidRPr="004C6342" w:rsidRDefault="00094A9B" w:rsidP="00A94805">
            <w:pPr>
              <w:rPr>
                <w:rFonts w:eastAsia="Times New Roman"/>
                <w:b/>
                <w:bCs/>
                <w:lang w:val="en-PH" w:eastAsia="en-PH"/>
              </w:rPr>
            </w:pPr>
            <w:r w:rsidRPr="004C6342">
              <w:rPr>
                <w:rFonts w:eastAsia="Times New Roman"/>
                <w:b/>
                <w:bCs/>
                <w:lang w:val="en-PH" w:eastAsia="en-PH"/>
              </w:rPr>
              <w:t>Risk Management &amp; Security</w:t>
            </w:r>
          </w:p>
        </w:tc>
        <w:tc>
          <w:tcPr>
            <w:tcW w:w="0" w:type="auto"/>
            <w:vAlign w:val="center"/>
            <w:hideMark/>
          </w:tcPr>
          <w:p w:rsidR="00094A9B" w:rsidRPr="004C6342" w:rsidRDefault="00094A9B" w:rsidP="00A94805">
            <w:pPr>
              <w:rPr>
                <w:rFonts w:eastAsia="Times New Roman"/>
                <w:b/>
                <w:bCs/>
                <w:lang w:val="en-PH" w:eastAsia="en-PH"/>
              </w:rPr>
            </w:pPr>
            <w:r w:rsidRPr="004C6342">
              <w:rPr>
                <w:rFonts w:eastAsia="Times New Roman"/>
                <w:b/>
                <w:bCs/>
                <w:lang w:val="en-PH" w:eastAsia="en-PH"/>
              </w:rPr>
              <w:t>Roles &amp; Accountability</w:t>
            </w:r>
          </w:p>
        </w:tc>
        <w:tc>
          <w:tcPr>
            <w:tcW w:w="0" w:type="auto"/>
            <w:vAlign w:val="center"/>
            <w:hideMark/>
          </w:tcPr>
          <w:p w:rsidR="00094A9B" w:rsidRPr="004C6342" w:rsidRDefault="00094A9B" w:rsidP="00A94805">
            <w:pPr>
              <w:rPr>
                <w:rFonts w:eastAsia="Times New Roman"/>
                <w:b/>
                <w:bCs/>
                <w:lang w:val="en-PH" w:eastAsia="en-PH"/>
              </w:rPr>
            </w:pPr>
            <w:r w:rsidRPr="004C6342">
              <w:rPr>
                <w:rFonts w:eastAsia="Times New Roman"/>
                <w:b/>
                <w:bCs/>
                <w:lang w:val="en-PH" w:eastAsia="en-PH"/>
              </w:rPr>
              <w:t>Performance &amp; Compliance Monitoring</w:t>
            </w:r>
          </w:p>
        </w:tc>
      </w:tr>
      <w:tr w:rsidR="00094A9B" w:rsidRPr="004C6342" w:rsidTr="00FC32AB">
        <w:trPr>
          <w:trHeight w:val="150"/>
          <w:tblCellSpacing w:w="15" w:type="dxa"/>
          <w:jc w:val="center"/>
        </w:trPr>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Accreditation Unit</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4.93</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4.93</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4.80</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4.93</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5.00</w:t>
            </w:r>
          </w:p>
        </w:tc>
      </w:tr>
      <w:tr w:rsidR="00094A9B" w:rsidRPr="004C6342" w:rsidTr="00FC32AB">
        <w:trPr>
          <w:trHeight w:val="150"/>
          <w:tblCellSpacing w:w="15" w:type="dxa"/>
          <w:jc w:val="center"/>
        </w:trPr>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Finance Office</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4.73</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4.60</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4.73</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4.67</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4.60</w:t>
            </w:r>
          </w:p>
        </w:tc>
      </w:tr>
      <w:tr w:rsidR="00094A9B" w:rsidRPr="004C6342" w:rsidTr="00FC32AB">
        <w:trPr>
          <w:trHeight w:val="150"/>
          <w:tblCellSpacing w:w="15" w:type="dxa"/>
          <w:jc w:val="center"/>
        </w:trPr>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IT Management</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4.77</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4.77</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4.73</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4.73</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4.73</w:t>
            </w:r>
          </w:p>
        </w:tc>
      </w:tr>
      <w:tr w:rsidR="00094A9B" w:rsidRPr="004C6342" w:rsidTr="00FC32AB">
        <w:trPr>
          <w:trHeight w:val="159"/>
          <w:tblCellSpacing w:w="15" w:type="dxa"/>
          <w:jc w:val="center"/>
        </w:trPr>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Registrar Staff</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4.97</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4.87</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4.83</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4.87</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4.93</w:t>
            </w:r>
          </w:p>
        </w:tc>
      </w:tr>
      <w:tr w:rsidR="00094A9B" w:rsidRPr="004C6342" w:rsidTr="00FC32AB">
        <w:trPr>
          <w:trHeight w:val="290"/>
          <w:tblCellSpacing w:w="15" w:type="dxa"/>
          <w:jc w:val="center"/>
        </w:trPr>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Senior Management</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5.00</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5.00</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5.00</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5.00</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lang w:val="en-PH" w:eastAsia="en-PH"/>
              </w:rPr>
              <w:t>5.00</w:t>
            </w:r>
          </w:p>
        </w:tc>
      </w:tr>
      <w:tr w:rsidR="00094A9B" w:rsidRPr="004C6342" w:rsidTr="00FC32AB">
        <w:trPr>
          <w:trHeight w:val="150"/>
          <w:tblCellSpacing w:w="15" w:type="dxa"/>
          <w:jc w:val="center"/>
        </w:trPr>
        <w:tc>
          <w:tcPr>
            <w:tcW w:w="0" w:type="auto"/>
            <w:vAlign w:val="center"/>
            <w:hideMark/>
          </w:tcPr>
          <w:p w:rsidR="00094A9B" w:rsidRPr="004C6342" w:rsidRDefault="00094A9B" w:rsidP="00FC32AB">
            <w:pPr>
              <w:rPr>
                <w:rFonts w:eastAsia="Times New Roman"/>
                <w:lang w:val="en-PH" w:eastAsia="en-PH"/>
              </w:rPr>
            </w:pPr>
            <w:r w:rsidRPr="004C6342">
              <w:rPr>
                <w:rFonts w:eastAsia="Times New Roman"/>
                <w:b/>
                <w:bCs/>
                <w:lang w:val="en-PH" w:eastAsia="en-PH"/>
              </w:rPr>
              <w:t>Overall Mean</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b/>
                <w:bCs/>
                <w:lang w:val="en-PH" w:eastAsia="en-PH"/>
              </w:rPr>
              <w:t>4.88</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b/>
                <w:bCs/>
                <w:lang w:val="en-PH" w:eastAsia="en-PH"/>
              </w:rPr>
              <w:t>4.83</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b/>
                <w:bCs/>
                <w:lang w:val="en-PH" w:eastAsia="en-PH"/>
              </w:rPr>
              <w:t>4.81</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b/>
                <w:bCs/>
                <w:lang w:val="en-PH" w:eastAsia="en-PH"/>
              </w:rPr>
              <w:t>4.83</w:t>
            </w:r>
          </w:p>
        </w:tc>
        <w:tc>
          <w:tcPr>
            <w:tcW w:w="0" w:type="auto"/>
            <w:vAlign w:val="center"/>
            <w:hideMark/>
          </w:tcPr>
          <w:p w:rsidR="00094A9B" w:rsidRPr="004C6342" w:rsidRDefault="00094A9B" w:rsidP="00FC32AB">
            <w:pPr>
              <w:rPr>
                <w:rFonts w:eastAsia="Times New Roman"/>
                <w:lang w:val="en-PH" w:eastAsia="en-PH"/>
              </w:rPr>
            </w:pPr>
            <w:r w:rsidRPr="004C6342">
              <w:rPr>
                <w:rFonts w:eastAsia="Times New Roman"/>
                <w:b/>
                <w:bCs/>
                <w:lang w:val="en-PH" w:eastAsia="en-PH"/>
              </w:rPr>
              <w:t>4.85</w:t>
            </w:r>
          </w:p>
        </w:tc>
      </w:tr>
    </w:tbl>
    <w:p w:rsidR="00094A9B" w:rsidRPr="00C65FA7" w:rsidRDefault="00094A9B" w:rsidP="00094A9B">
      <w:pPr>
        <w:spacing w:before="100" w:beforeAutospacing="1" w:after="100" w:afterAutospacing="1"/>
        <w:ind w:firstLine="567"/>
        <w:jc w:val="both"/>
        <w:rPr>
          <w:rFonts w:eastAsia="Times New Roman"/>
          <w:sz w:val="24"/>
          <w:szCs w:val="24"/>
          <w:lang w:val="en-PH" w:eastAsia="en-PH"/>
        </w:rPr>
      </w:pPr>
      <w:r w:rsidRPr="00C65FA7">
        <w:rPr>
          <w:rFonts w:eastAsia="Times New Roman"/>
          <w:sz w:val="24"/>
          <w:szCs w:val="24"/>
          <w:lang w:val="en-PH" w:eastAsia="en-PH"/>
        </w:rPr>
        <w:t xml:space="preserve">All domains received ratings between </w:t>
      </w:r>
      <w:r w:rsidRPr="00C65FA7">
        <w:rPr>
          <w:rFonts w:eastAsia="Times New Roman"/>
          <w:b/>
          <w:bCs/>
          <w:sz w:val="24"/>
          <w:szCs w:val="24"/>
          <w:lang w:val="en-PH" w:eastAsia="en-PH"/>
        </w:rPr>
        <w:t>4.81 and 4.88</w:t>
      </w:r>
      <w:r w:rsidRPr="00C65FA7">
        <w:rPr>
          <w:rFonts w:eastAsia="Times New Roman"/>
          <w:sz w:val="24"/>
          <w:szCs w:val="24"/>
          <w:lang w:val="en-PH" w:eastAsia="en-PH"/>
        </w:rPr>
        <w:t xml:space="preserve">, which correspond to </w:t>
      </w:r>
      <w:r w:rsidRPr="00C65FA7">
        <w:rPr>
          <w:rFonts w:eastAsia="Times New Roman"/>
          <w:i/>
          <w:iCs/>
          <w:sz w:val="24"/>
          <w:szCs w:val="24"/>
          <w:lang w:val="en-PH" w:eastAsia="en-PH"/>
        </w:rPr>
        <w:t>Strongly Agree (Very High Agreement)</w:t>
      </w:r>
      <w:r w:rsidRPr="00C65FA7">
        <w:rPr>
          <w:rFonts w:eastAsia="Times New Roman"/>
          <w:sz w:val="24"/>
          <w:szCs w:val="24"/>
          <w:lang w:val="en-PH" w:eastAsia="en-PH"/>
        </w:rPr>
        <w:t xml:space="preserve">. This indicates a strong institutional consensus on the importance of governance-driven </w:t>
      </w:r>
      <w:proofErr w:type="spellStart"/>
      <w:r w:rsidRPr="00C65FA7">
        <w:rPr>
          <w:rFonts w:eastAsia="Times New Roman"/>
          <w:sz w:val="24"/>
          <w:szCs w:val="24"/>
          <w:lang w:val="en-PH" w:eastAsia="en-PH"/>
        </w:rPr>
        <w:t>blockchain</w:t>
      </w:r>
      <w:proofErr w:type="spellEnd"/>
      <w:r w:rsidRPr="00C65FA7">
        <w:rPr>
          <w:rFonts w:eastAsia="Times New Roman"/>
          <w:sz w:val="24"/>
          <w:szCs w:val="24"/>
          <w:lang w:val="en-PH" w:eastAsia="en-PH"/>
        </w:rPr>
        <w:t xml:space="preserve"> adoption.</w:t>
      </w:r>
    </w:p>
    <w:p w:rsidR="00094A9B" w:rsidRPr="00C65FA7" w:rsidRDefault="00094A9B" w:rsidP="00094A9B">
      <w:pPr>
        <w:jc w:val="left"/>
        <w:rPr>
          <w:rStyle w:val="Strong"/>
          <w:b w:val="0"/>
          <w:bCs w:val="0"/>
          <w:sz w:val="24"/>
          <w:szCs w:val="24"/>
        </w:rPr>
      </w:pPr>
      <w:r w:rsidRPr="00C65FA7">
        <w:rPr>
          <w:rFonts w:eastAsia="Times New Roman"/>
          <w:sz w:val="24"/>
          <w:szCs w:val="24"/>
          <w:lang w:val="en-PH" w:eastAsia="en-PH"/>
        </w:rPr>
        <w:t xml:space="preserve">C. </w:t>
      </w:r>
      <w:r w:rsidRPr="00C65FA7">
        <w:rPr>
          <w:rStyle w:val="Strong"/>
          <w:b w:val="0"/>
          <w:bCs w:val="0"/>
          <w:sz w:val="24"/>
          <w:szCs w:val="24"/>
        </w:rPr>
        <w:t>Computation of Weighted Mean</w:t>
      </w:r>
    </w:p>
    <w:p w:rsidR="00094A9B" w:rsidRPr="00C65FA7" w:rsidRDefault="00094A9B" w:rsidP="00094A9B">
      <w:pPr>
        <w:jc w:val="left"/>
        <w:rPr>
          <w:rFonts w:eastAsia="Times New Roman"/>
          <w:sz w:val="24"/>
          <w:szCs w:val="24"/>
          <w:lang w:val="en-PH" w:eastAsia="en-PH"/>
        </w:rPr>
      </w:pPr>
    </w:p>
    <w:p w:rsidR="00094A9B" w:rsidRPr="00C65FA7" w:rsidRDefault="00094A9B" w:rsidP="00094A9B">
      <w:pPr>
        <w:jc w:val="left"/>
        <w:rPr>
          <w:rStyle w:val="katex-mathml"/>
          <w:b/>
          <w:sz w:val="24"/>
          <w:szCs w:val="24"/>
        </w:rPr>
      </w:pPr>
      <w:r w:rsidRPr="00C65FA7">
        <w:rPr>
          <w:rStyle w:val="katex-mathml"/>
          <w:b/>
          <w:sz w:val="24"/>
          <w:szCs w:val="24"/>
        </w:rPr>
        <w:t>Formula:</w:t>
      </w:r>
    </w:p>
    <w:p w:rsidR="00094A9B" w:rsidRPr="00C65FA7" w:rsidRDefault="00094A9B" w:rsidP="00094A9B">
      <w:pPr>
        <w:jc w:val="left"/>
        <w:rPr>
          <w:rFonts w:eastAsia="Times New Roman"/>
          <w:sz w:val="24"/>
          <w:szCs w:val="24"/>
          <w:lang w:val="en-PH" w:eastAsia="en-PH"/>
        </w:rPr>
      </w:pPr>
      <w:r w:rsidRPr="00C65FA7">
        <w:rPr>
          <w:rFonts w:eastAsia="Times New Roman"/>
          <w:sz w:val="24"/>
          <w:szCs w:val="24"/>
          <w:lang w:val="en-PH" w:eastAsia="en-PH"/>
        </w:rPr>
        <w:t xml:space="preserve">                                              </w:t>
      </w:r>
      <w:proofErr w:type="gramStart"/>
      <w:r w:rsidRPr="00C65FA7">
        <w:rPr>
          <w:rFonts w:eastAsia="Times New Roman"/>
          <w:sz w:val="24"/>
          <w:szCs w:val="24"/>
          <w:lang w:val="en-PH" w:eastAsia="en-PH"/>
        </w:rPr>
        <w:t>∑(</w:t>
      </w:r>
      <w:proofErr w:type="gramEnd"/>
      <w:r w:rsidRPr="00C65FA7">
        <w:rPr>
          <w:rFonts w:eastAsia="Times New Roman"/>
          <w:sz w:val="24"/>
          <w:szCs w:val="24"/>
          <w:lang w:val="en-PH" w:eastAsia="en-PH"/>
        </w:rPr>
        <w:t>fi​</w:t>
      </w:r>
      <w:r w:rsidRPr="00C65FA7">
        <w:rPr>
          <w:rFonts w:ascii="Cambria Math" w:eastAsia="Times New Roman" w:hAnsi="Cambria Math" w:cs="Cambria Math"/>
          <w:sz w:val="24"/>
          <w:szCs w:val="24"/>
          <w:lang w:val="en-PH" w:eastAsia="en-PH"/>
        </w:rPr>
        <w:t>⋅</w:t>
      </w:r>
      <w:r w:rsidRPr="00C65FA7">
        <w:rPr>
          <w:rFonts w:eastAsia="Times New Roman"/>
          <w:sz w:val="24"/>
          <w:szCs w:val="24"/>
          <w:lang w:val="en-PH" w:eastAsia="en-PH"/>
        </w:rPr>
        <w:t xml:space="preserve">xi​)​ </w:t>
      </w:r>
    </w:p>
    <w:p w:rsidR="00094A9B" w:rsidRPr="00C65FA7" w:rsidRDefault="00094A9B" w:rsidP="00094A9B">
      <w:pPr>
        <w:jc w:val="left"/>
        <w:rPr>
          <w:rFonts w:eastAsia="Times New Roman"/>
          <w:sz w:val="24"/>
          <w:szCs w:val="24"/>
          <w:lang w:val="en-PH" w:eastAsia="en-PH"/>
        </w:rPr>
      </w:pPr>
      <w:r w:rsidRPr="00C65FA7">
        <w:rPr>
          <w:rFonts w:eastAsia="Times New Roman"/>
          <w:noProof/>
          <w:sz w:val="24"/>
          <w:szCs w:val="24"/>
          <w:lang w:val="en-PH" w:eastAsia="en-PH"/>
        </w:rPr>
        <mc:AlternateContent>
          <mc:Choice Requires="wps">
            <w:drawing>
              <wp:anchor distT="0" distB="0" distL="114300" distR="114300" simplePos="0" relativeHeight="251659264" behindDoc="0" locked="0" layoutInCell="1" allowOverlap="1" wp14:anchorId="488230A7" wp14:editId="45915454">
                <wp:simplePos x="0" y="0"/>
                <wp:positionH relativeFrom="column">
                  <wp:posOffset>1651192</wp:posOffset>
                </wp:positionH>
                <wp:positionV relativeFrom="paragraph">
                  <wp:posOffset>88900</wp:posOffset>
                </wp:positionV>
                <wp:extent cx="606425" cy="0"/>
                <wp:effectExtent l="13970" t="8255" r="8255" b="1079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9DF9B7" id="_x0000_t32" coordsize="21600,21600" o:spt="32" o:oned="t" path="m,l21600,21600e" filled="f">
                <v:path arrowok="t" fillok="f" o:connecttype="none"/>
                <o:lock v:ext="edit" shapetype="t"/>
              </v:shapetype>
              <v:shape id="Straight Arrow Connector 14" o:spid="_x0000_s1026" type="#_x0000_t32" style="position:absolute;margin-left:130pt;margin-top:7pt;width:4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"/>
            </w:pict>
          </mc:Fallback>
        </mc:AlternateContent>
      </w:r>
      <w:r w:rsidRPr="00C65FA7">
        <w:rPr>
          <w:rFonts w:eastAsia="Times New Roman"/>
          <w:sz w:val="24"/>
          <w:szCs w:val="24"/>
          <w:lang w:val="en-PH" w:eastAsia="en-PH"/>
        </w:rPr>
        <w:t xml:space="preserve">Weighted Mean (WM) =    </w:t>
      </w:r>
    </w:p>
    <w:p w:rsidR="00094A9B" w:rsidRPr="00C65FA7" w:rsidRDefault="00094A9B" w:rsidP="00094A9B">
      <w:pPr>
        <w:jc w:val="left"/>
        <w:rPr>
          <w:rFonts w:eastAsia="Times New Roman"/>
          <w:sz w:val="24"/>
          <w:szCs w:val="24"/>
          <w:lang w:val="en-PH" w:eastAsia="en-PH"/>
        </w:rPr>
      </w:pPr>
      <w:r w:rsidRPr="00C65FA7">
        <w:rPr>
          <w:rFonts w:eastAsia="Times New Roman"/>
          <w:sz w:val="24"/>
          <w:szCs w:val="24"/>
          <w:lang w:val="en-PH" w:eastAsia="en-PH"/>
        </w:rPr>
        <w:t xml:space="preserve">                                                  N</w:t>
      </w:r>
    </w:p>
    <w:p w:rsidR="00094A9B" w:rsidRPr="00C65FA7" w:rsidRDefault="00094A9B" w:rsidP="00094A9B">
      <w:pPr>
        <w:pStyle w:val="NormalWeb"/>
      </w:pPr>
      <w:r w:rsidRPr="00C65FA7">
        <w:rPr>
          <w:rStyle w:val="Strong"/>
        </w:rPr>
        <w:lastRenderedPageBreak/>
        <w:t>Where:</w:t>
      </w:r>
    </w:p>
    <w:p w:rsidR="00094A9B" w:rsidRPr="00C65FA7" w:rsidRDefault="00094A9B" w:rsidP="00094A9B">
      <w:pPr>
        <w:pStyle w:val="NormalWeb"/>
        <w:spacing w:before="0" w:beforeAutospacing="0" w:after="0" w:afterAutospacing="0"/>
        <w:ind w:left="360"/>
      </w:pPr>
      <w:r w:rsidRPr="00C65FA7">
        <w:rPr>
          <w:rStyle w:val="katex-mathml"/>
        </w:rPr>
        <w:t>fi</w:t>
      </w:r>
      <w:r w:rsidRPr="00C65FA7">
        <w:t xml:space="preserve"> = frequency of each response</w:t>
      </w:r>
    </w:p>
    <w:p w:rsidR="00094A9B" w:rsidRPr="00C65FA7" w:rsidRDefault="00094A9B" w:rsidP="00094A9B">
      <w:pPr>
        <w:pStyle w:val="NormalWeb"/>
        <w:spacing w:before="0" w:beforeAutospacing="0" w:after="0" w:afterAutospacing="0"/>
        <w:ind w:left="360"/>
      </w:pPr>
      <w:r w:rsidRPr="00C65FA7">
        <w:rPr>
          <w:rStyle w:val="katex-mathml"/>
        </w:rPr>
        <w:t xml:space="preserve">xi </w:t>
      </w:r>
      <w:r w:rsidRPr="00C65FA7">
        <w:t>= weight assigned to each response</w:t>
      </w:r>
    </w:p>
    <w:p w:rsidR="00094A9B" w:rsidRPr="00C65FA7" w:rsidRDefault="00094A9B" w:rsidP="00094A9B">
      <w:pPr>
        <w:pStyle w:val="NormalWeb"/>
        <w:spacing w:before="0" w:beforeAutospacing="0" w:after="0" w:afterAutospacing="0"/>
        <w:ind w:left="360"/>
      </w:pPr>
      <w:r w:rsidRPr="00C65FA7">
        <w:rPr>
          <w:rStyle w:val="katex-mathml"/>
        </w:rPr>
        <w:t>N</w:t>
      </w:r>
      <w:r w:rsidRPr="00C65FA7">
        <w:t xml:space="preserve"> = total number of responses</w:t>
      </w:r>
    </w:p>
    <w:p w:rsidR="00094A9B" w:rsidRPr="00C65FA7" w:rsidRDefault="00094A9B" w:rsidP="00094A9B">
      <w:pPr>
        <w:pStyle w:val="NormalWeb"/>
        <w:spacing w:before="0" w:beforeAutospacing="0" w:after="0" w:afterAutospacing="0"/>
      </w:pPr>
    </w:p>
    <w:p w:rsidR="00094A9B" w:rsidRPr="00C65FA7" w:rsidRDefault="00094A9B" w:rsidP="00094A9B">
      <w:pPr>
        <w:pStyle w:val="NormalWeb"/>
        <w:spacing w:before="0" w:beforeAutospacing="0" w:after="0" w:afterAutospacing="0"/>
        <w:jc w:val="both"/>
        <w:rPr>
          <w:rStyle w:val="Strong"/>
          <w:b w:val="0"/>
          <w:bCs w:val="0"/>
        </w:rPr>
      </w:pPr>
      <w:r w:rsidRPr="00C65FA7">
        <w:t xml:space="preserve">D. </w:t>
      </w:r>
      <w:r w:rsidRPr="00C65FA7">
        <w:rPr>
          <w:rStyle w:val="Strong"/>
          <w:b w:val="0"/>
          <w:bCs w:val="0"/>
        </w:rPr>
        <w:t>Domain-Specific Results</w:t>
      </w:r>
    </w:p>
    <w:p w:rsidR="00094A9B" w:rsidRPr="00C65FA7" w:rsidRDefault="00094A9B" w:rsidP="00094A9B">
      <w:pPr>
        <w:pStyle w:val="NormalWeb"/>
        <w:spacing w:before="0" w:beforeAutospacing="0" w:after="0" w:afterAutospacing="0"/>
        <w:jc w:val="both"/>
        <w:rPr>
          <w:rStyle w:val="Strong"/>
          <w:b w:val="0"/>
          <w:bCs w:val="0"/>
        </w:rPr>
      </w:pPr>
    </w:p>
    <w:p w:rsidR="00094A9B" w:rsidRPr="00C65FA7" w:rsidRDefault="00094A9B" w:rsidP="00094A9B">
      <w:pPr>
        <w:pStyle w:val="NormalWeb"/>
        <w:spacing w:before="0" w:beforeAutospacing="0" w:after="0" w:afterAutospacing="0"/>
        <w:jc w:val="both"/>
        <w:rPr>
          <w:rStyle w:val="Strong"/>
          <w:b w:val="0"/>
          <w:bCs w:val="0"/>
        </w:rPr>
      </w:pPr>
      <w:r w:rsidRPr="00C65FA7">
        <w:rPr>
          <w:rStyle w:val="Strong"/>
          <w:b w:val="0"/>
          <w:bCs w:val="0"/>
        </w:rPr>
        <w:t>1) Strategic Alignment</w:t>
      </w:r>
    </w:p>
    <w:p w:rsidR="00094A9B" w:rsidRDefault="00094A9B" w:rsidP="00094A9B">
      <w:pPr>
        <w:pStyle w:val="NormalWeb"/>
        <w:spacing w:before="0" w:beforeAutospacing="0" w:after="0" w:afterAutospacing="0"/>
        <w:jc w:val="both"/>
        <w:rPr>
          <w:sz w:val="20"/>
          <w:szCs w:val="20"/>
        </w:rPr>
      </w:pPr>
    </w:p>
    <w:p w:rsidR="00094A9B" w:rsidRPr="004C6342" w:rsidRDefault="00094A9B" w:rsidP="00094A9B">
      <w:pPr>
        <w:spacing w:before="100" w:beforeAutospacing="1" w:after="100" w:afterAutospacing="1"/>
        <w:rPr>
          <w:rFonts w:eastAsia="Times New Roman"/>
          <w:b/>
          <w:lang w:val="en-PH" w:eastAsia="en-PH"/>
        </w:rPr>
      </w:pPr>
      <w:r w:rsidRPr="004C6342">
        <w:rPr>
          <w:rFonts w:eastAsia="Times New Roman"/>
          <w:b/>
          <w:bCs/>
          <w:lang w:val="en-PH" w:eastAsia="en-PH"/>
        </w:rPr>
        <w:t>Table 2</w:t>
      </w:r>
      <w:r w:rsidRPr="004C6342">
        <w:rPr>
          <w:rFonts w:eastAsia="Times New Roman"/>
          <w:b/>
          <w:lang w:val="en-PH" w:eastAsia="en-PH"/>
        </w:rPr>
        <w:t xml:space="preserve">. </w:t>
      </w:r>
      <w:r w:rsidRPr="004C6342">
        <w:rPr>
          <w:rFonts w:eastAsia="Times New Roman"/>
          <w:b/>
          <w:iCs/>
          <w:lang w:val="en-PH" w:eastAsia="en-PH"/>
        </w:rPr>
        <w:t>Weighted Mean Scores of Strategic Alignment Governance Domain</w:t>
      </w:r>
    </w:p>
    <w:tbl>
      <w:tblPr>
        <w:tblW w:w="0" w:type="auto"/>
        <w:jc w:val="center"/>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555"/>
        <w:gridCol w:w="1040"/>
        <w:gridCol w:w="1251"/>
        <w:gridCol w:w="723"/>
      </w:tblGrid>
      <w:tr w:rsidR="00094A9B" w:rsidRPr="00326D94" w:rsidTr="00A94805">
        <w:trPr>
          <w:tblHeader/>
          <w:tblCellSpacing w:w="15" w:type="dxa"/>
          <w:jc w:val="center"/>
        </w:trPr>
        <w:tc>
          <w:tcPr>
            <w:tcW w:w="0" w:type="auto"/>
            <w:vAlign w:val="center"/>
            <w:hideMark/>
          </w:tcPr>
          <w:p w:rsidR="00094A9B" w:rsidRPr="00326D94" w:rsidRDefault="00094A9B" w:rsidP="00C65FA7">
            <w:pPr>
              <w:rPr>
                <w:b/>
                <w:bCs/>
              </w:rPr>
            </w:pPr>
            <w:r w:rsidRPr="00326D94">
              <w:rPr>
                <w:b/>
                <w:bCs/>
              </w:rPr>
              <w:t>Scale</w:t>
            </w:r>
          </w:p>
        </w:tc>
        <w:tc>
          <w:tcPr>
            <w:tcW w:w="0" w:type="auto"/>
            <w:vAlign w:val="center"/>
            <w:hideMark/>
          </w:tcPr>
          <w:p w:rsidR="00094A9B" w:rsidRPr="00326D94" w:rsidRDefault="00094A9B" w:rsidP="00C65FA7">
            <w:pPr>
              <w:rPr>
                <w:b/>
                <w:bCs/>
              </w:rPr>
            </w:pPr>
            <w:r w:rsidRPr="00326D94">
              <w:rPr>
                <w:b/>
                <w:bCs/>
              </w:rPr>
              <w:t>Weight (w)</w:t>
            </w:r>
          </w:p>
        </w:tc>
        <w:tc>
          <w:tcPr>
            <w:tcW w:w="0" w:type="auto"/>
            <w:vAlign w:val="center"/>
            <w:hideMark/>
          </w:tcPr>
          <w:p w:rsidR="00094A9B" w:rsidRPr="00326D94" w:rsidRDefault="00094A9B" w:rsidP="00C65FA7">
            <w:pPr>
              <w:rPr>
                <w:b/>
                <w:bCs/>
              </w:rPr>
            </w:pPr>
            <w:r w:rsidRPr="00326D94">
              <w:rPr>
                <w:b/>
                <w:bCs/>
              </w:rPr>
              <w:t>Frequency (f)</w:t>
            </w:r>
          </w:p>
        </w:tc>
        <w:tc>
          <w:tcPr>
            <w:tcW w:w="678" w:type="dxa"/>
            <w:vAlign w:val="center"/>
            <w:hideMark/>
          </w:tcPr>
          <w:p w:rsidR="00094A9B" w:rsidRPr="00326D94" w:rsidRDefault="00094A9B" w:rsidP="00C65FA7">
            <w:pPr>
              <w:rPr>
                <w:b/>
                <w:bCs/>
              </w:rPr>
            </w:pPr>
            <w:r w:rsidRPr="00326D94">
              <w:rPr>
                <w:b/>
                <w:bCs/>
              </w:rPr>
              <w:t>f × w</w:t>
            </w:r>
          </w:p>
        </w:tc>
      </w:tr>
      <w:tr w:rsidR="00094A9B" w:rsidRPr="00326D94" w:rsidTr="00A94805">
        <w:trPr>
          <w:tblCellSpacing w:w="15" w:type="dxa"/>
          <w:jc w:val="center"/>
        </w:trPr>
        <w:tc>
          <w:tcPr>
            <w:tcW w:w="0" w:type="auto"/>
            <w:vAlign w:val="center"/>
            <w:hideMark/>
          </w:tcPr>
          <w:p w:rsidR="00094A9B" w:rsidRPr="00326D94" w:rsidRDefault="00094A9B" w:rsidP="00C65FA7">
            <w:r w:rsidRPr="00326D94">
              <w:t>Strongly Agree</w:t>
            </w:r>
          </w:p>
        </w:tc>
        <w:tc>
          <w:tcPr>
            <w:tcW w:w="0" w:type="auto"/>
            <w:vAlign w:val="center"/>
            <w:hideMark/>
          </w:tcPr>
          <w:p w:rsidR="00094A9B" w:rsidRPr="00326D94" w:rsidRDefault="00094A9B" w:rsidP="00C65FA7">
            <w:r w:rsidRPr="00326D94">
              <w:t>5</w:t>
            </w:r>
          </w:p>
        </w:tc>
        <w:tc>
          <w:tcPr>
            <w:tcW w:w="0" w:type="auto"/>
            <w:vAlign w:val="center"/>
            <w:hideMark/>
          </w:tcPr>
          <w:p w:rsidR="00094A9B" w:rsidRPr="00326D94" w:rsidRDefault="00094A9B" w:rsidP="00C65FA7">
            <w:r w:rsidRPr="00326D94">
              <w:t>93</w:t>
            </w:r>
          </w:p>
        </w:tc>
        <w:tc>
          <w:tcPr>
            <w:tcW w:w="678" w:type="dxa"/>
            <w:vAlign w:val="center"/>
            <w:hideMark/>
          </w:tcPr>
          <w:p w:rsidR="00094A9B" w:rsidRPr="00326D94" w:rsidRDefault="00094A9B" w:rsidP="00C65FA7">
            <w:r w:rsidRPr="00326D94">
              <w:t>465</w:t>
            </w:r>
          </w:p>
        </w:tc>
      </w:tr>
      <w:tr w:rsidR="00094A9B" w:rsidRPr="00326D94" w:rsidTr="00A94805">
        <w:trPr>
          <w:tblCellSpacing w:w="15" w:type="dxa"/>
          <w:jc w:val="center"/>
        </w:trPr>
        <w:tc>
          <w:tcPr>
            <w:tcW w:w="0" w:type="auto"/>
            <w:vAlign w:val="center"/>
            <w:hideMark/>
          </w:tcPr>
          <w:p w:rsidR="00094A9B" w:rsidRPr="00326D94" w:rsidRDefault="00094A9B" w:rsidP="00C65FA7">
            <w:r w:rsidRPr="00326D94">
              <w:t>Agree</w:t>
            </w:r>
          </w:p>
        </w:tc>
        <w:tc>
          <w:tcPr>
            <w:tcW w:w="0" w:type="auto"/>
            <w:vAlign w:val="center"/>
            <w:hideMark/>
          </w:tcPr>
          <w:p w:rsidR="00094A9B" w:rsidRPr="00326D94" w:rsidRDefault="00094A9B" w:rsidP="00C65FA7">
            <w:r w:rsidRPr="00326D94">
              <w:t>4</w:t>
            </w:r>
          </w:p>
        </w:tc>
        <w:tc>
          <w:tcPr>
            <w:tcW w:w="0" w:type="auto"/>
            <w:vAlign w:val="center"/>
            <w:hideMark/>
          </w:tcPr>
          <w:p w:rsidR="00094A9B" w:rsidRPr="00326D94" w:rsidRDefault="00094A9B" w:rsidP="00C65FA7">
            <w:r w:rsidRPr="00326D94">
              <w:t>11</w:t>
            </w:r>
          </w:p>
        </w:tc>
        <w:tc>
          <w:tcPr>
            <w:tcW w:w="678" w:type="dxa"/>
            <w:vAlign w:val="center"/>
            <w:hideMark/>
          </w:tcPr>
          <w:p w:rsidR="00094A9B" w:rsidRPr="00326D94" w:rsidRDefault="00094A9B" w:rsidP="00C65FA7">
            <w:r w:rsidRPr="00326D94">
              <w:t>44</w:t>
            </w:r>
          </w:p>
        </w:tc>
      </w:tr>
      <w:tr w:rsidR="00094A9B" w:rsidRPr="00326D94" w:rsidTr="00A94805">
        <w:trPr>
          <w:tblCellSpacing w:w="15" w:type="dxa"/>
          <w:jc w:val="center"/>
        </w:trPr>
        <w:tc>
          <w:tcPr>
            <w:tcW w:w="0" w:type="auto"/>
            <w:vAlign w:val="center"/>
            <w:hideMark/>
          </w:tcPr>
          <w:p w:rsidR="00094A9B" w:rsidRPr="00326D94" w:rsidRDefault="00094A9B" w:rsidP="00C65FA7">
            <w:r w:rsidRPr="00326D94">
              <w:t>Neutral</w:t>
            </w:r>
          </w:p>
        </w:tc>
        <w:tc>
          <w:tcPr>
            <w:tcW w:w="0" w:type="auto"/>
            <w:vAlign w:val="center"/>
            <w:hideMark/>
          </w:tcPr>
          <w:p w:rsidR="00094A9B" w:rsidRPr="00326D94" w:rsidRDefault="00094A9B" w:rsidP="00C65FA7">
            <w:r w:rsidRPr="00326D94">
              <w:t>3</w:t>
            </w:r>
          </w:p>
        </w:tc>
        <w:tc>
          <w:tcPr>
            <w:tcW w:w="0" w:type="auto"/>
            <w:vAlign w:val="center"/>
            <w:hideMark/>
          </w:tcPr>
          <w:p w:rsidR="00094A9B" w:rsidRPr="00326D94" w:rsidRDefault="00094A9B" w:rsidP="00C65FA7">
            <w:r w:rsidRPr="00326D94">
              <w:t>1</w:t>
            </w:r>
          </w:p>
        </w:tc>
        <w:tc>
          <w:tcPr>
            <w:tcW w:w="678" w:type="dxa"/>
            <w:vAlign w:val="center"/>
            <w:hideMark/>
          </w:tcPr>
          <w:p w:rsidR="00094A9B" w:rsidRPr="00326D94" w:rsidRDefault="00094A9B" w:rsidP="00C65FA7">
            <w:r w:rsidRPr="00326D94">
              <w:t>3</w:t>
            </w:r>
          </w:p>
        </w:tc>
      </w:tr>
      <w:tr w:rsidR="00094A9B" w:rsidRPr="00326D94" w:rsidTr="00A94805">
        <w:trPr>
          <w:tblCellSpacing w:w="15" w:type="dxa"/>
          <w:jc w:val="center"/>
        </w:trPr>
        <w:tc>
          <w:tcPr>
            <w:tcW w:w="0" w:type="auto"/>
            <w:vAlign w:val="center"/>
            <w:hideMark/>
          </w:tcPr>
          <w:p w:rsidR="00094A9B" w:rsidRPr="00326D94" w:rsidRDefault="00094A9B" w:rsidP="00C65FA7">
            <w:r w:rsidRPr="00326D94">
              <w:t>Disagree</w:t>
            </w:r>
          </w:p>
        </w:tc>
        <w:tc>
          <w:tcPr>
            <w:tcW w:w="0" w:type="auto"/>
            <w:vAlign w:val="center"/>
            <w:hideMark/>
          </w:tcPr>
          <w:p w:rsidR="00094A9B" w:rsidRPr="00326D94" w:rsidRDefault="00094A9B" w:rsidP="00C65FA7">
            <w:r w:rsidRPr="00326D94">
              <w:t>2</w:t>
            </w:r>
          </w:p>
        </w:tc>
        <w:tc>
          <w:tcPr>
            <w:tcW w:w="0" w:type="auto"/>
            <w:vAlign w:val="center"/>
            <w:hideMark/>
          </w:tcPr>
          <w:p w:rsidR="00094A9B" w:rsidRPr="00326D94" w:rsidRDefault="00094A9B" w:rsidP="00C65FA7">
            <w:r w:rsidRPr="00326D94">
              <w:t>0</w:t>
            </w:r>
          </w:p>
        </w:tc>
        <w:tc>
          <w:tcPr>
            <w:tcW w:w="678" w:type="dxa"/>
            <w:vAlign w:val="center"/>
            <w:hideMark/>
          </w:tcPr>
          <w:p w:rsidR="00094A9B" w:rsidRPr="00326D94" w:rsidRDefault="00094A9B" w:rsidP="00C65FA7">
            <w:r w:rsidRPr="00326D94">
              <w:t>0</w:t>
            </w:r>
          </w:p>
        </w:tc>
      </w:tr>
      <w:tr w:rsidR="00094A9B" w:rsidRPr="00326D94" w:rsidTr="00A94805">
        <w:trPr>
          <w:tblCellSpacing w:w="15" w:type="dxa"/>
          <w:jc w:val="center"/>
        </w:trPr>
        <w:tc>
          <w:tcPr>
            <w:tcW w:w="0" w:type="auto"/>
            <w:vAlign w:val="center"/>
            <w:hideMark/>
          </w:tcPr>
          <w:p w:rsidR="00094A9B" w:rsidRPr="00326D94" w:rsidRDefault="00094A9B" w:rsidP="00C65FA7">
            <w:r w:rsidRPr="00326D94">
              <w:t>Strongly Disagree</w:t>
            </w:r>
          </w:p>
        </w:tc>
        <w:tc>
          <w:tcPr>
            <w:tcW w:w="0" w:type="auto"/>
            <w:vAlign w:val="center"/>
            <w:hideMark/>
          </w:tcPr>
          <w:p w:rsidR="00094A9B" w:rsidRPr="00326D94" w:rsidRDefault="00094A9B" w:rsidP="00C65FA7">
            <w:r w:rsidRPr="00326D94">
              <w:t>1</w:t>
            </w:r>
          </w:p>
        </w:tc>
        <w:tc>
          <w:tcPr>
            <w:tcW w:w="0" w:type="auto"/>
            <w:vAlign w:val="center"/>
            <w:hideMark/>
          </w:tcPr>
          <w:p w:rsidR="00094A9B" w:rsidRPr="00326D94" w:rsidRDefault="00094A9B" w:rsidP="00C65FA7">
            <w:r w:rsidRPr="00326D94">
              <w:t>0</w:t>
            </w:r>
          </w:p>
        </w:tc>
        <w:tc>
          <w:tcPr>
            <w:tcW w:w="678" w:type="dxa"/>
            <w:vAlign w:val="center"/>
            <w:hideMark/>
          </w:tcPr>
          <w:p w:rsidR="00094A9B" w:rsidRPr="00326D94" w:rsidRDefault="00094A9B" w:rsidP="00C65FA7">
            <w:r w:rsidRPr="00326D94">
              <w:t>0</w:t>
            </w:r>
          </w:p>
        </w:tc>
      </w:tr>
      <w:tr w:rsidR="00094A9B" w:rsidRPr="00326D94" w:rsidTr="00A94805">
        <w:trPr>
          <w:tblCellSpacing w:w="15" w:type="dxa"/>
          <w:jc w:val="center"/>
        </w:trPr>
        <w:tc>
          <w:tcPr>
            <w:tcW w:w="0" w:type="auto"/>
            <w:vAlign w:val="center"/>
            <w:hideMark/>
          </w:tcPr>
          <w:p w:rsidR="00094A9B" w:rsidRPr="00326D94" w:rsidRDefault="00094A9B" w:rsidP="00C65FA7">
            <w:r w:rsidRPr="00326D94">
              <w:rPr>
                <w:rStyle w:val="Strong"/>
              </w:rPr>
              <w:t>Total</w:t>
            </w:r>
          </w:p>
        </w:tc>
        <w:tc>
          <w:tcPr>
            <w:tcW w:w="0" w:type="auto"/>
            <w:vAlign w:val="center"/>
            <w:hideMark/>
          </w:tcPr>
          <w:p w:rsidR="00094A9B" w:rsidRPr="00326D94" w:rsidRDefault="000F5BC1" w:rsidP="00C65FA7">
            <w:r>
              <w:t xml:space="preserve"> </w:t>
            </w:r>
          </w:p>
        </w:tc>
        <w:tc>
          <w:tcPr>
            <w:tcW w:w="0" w:type="auto"/>
            <w:vAlign w:val="center"/>
            <w:hideMark/>
          </w:tcPr>
          <w:p w:rsidR="00094A9B" w:rsidRPr="00326D94" w:rsidRDefault="00094A9B" w:rsidP="00C65FA7">
            <w:r w:rsidRPr="00326D94">
              <w:rPr>
                <w:rStyle w:val="Strong"/>
              </w:rPr>
              <w:t>105</w:t>
            </w:r>
          </w:p>
        </w:tc>
        <w:tc>
          <w:tcPr>
            <w:tcW w:w="678" w:type="dxa"/>
            <w:vAlign w:val="center"/>
            <w:hideMark/>
          </w:tcPr>
          <w:p w:rsidR="00094A9B" w:rsidRPr="00326D94" w:rsidRDefault="00094A9B" w:rsidP="00C65FA7">
            <w:r w:rsidRPr="00326D94">
              <w:rPr>
                <w:rStyle w:val="Strong"/>
              </w:rPr>
              <w:t>512</w:t>
            </w:r>
          </w:p>
        </w:tc>
      </w:tr>
    </w:tbl>
    <w:p w:rsidR="00094A9B" w:rsidRDefault="00094A9B" w:rsidP="00094A9B">
      <w:pPr>
        <w:jc w:val="both"/>
        <w:rPr>
          <w:rStyle w:val="katex-mathml"/>
        </w:rPr>
      </w:pPr>
    </w:p>
    <w:p w:rsidR="00094A9B" w:rsidRPr="00611E55" w:rsidRDefault="00094A9B" w:rsidP="00094A9B">
      <w:pPr>
        <w:jc w:val="left"/>
        <w:rPr>
          <w:rFonts w:eastAsia="Times New Roman"/>
          <w:lang w:val="en-PH" w:eastAsia="en-PH"/>
        </w:rPr>
      </w:pPr>
      <w:r w:rsidRPr="00611E55">
        <w:rPr>
          <w:rFonts w:eastAsia="Times New Roman"/>
          <w:lang w:val="en-PH" w:eastAsia="en-PH"/>
        </w:rPr>
        <w:t xml:space="preserve">                                         </w:t>
      </w:r>
      <w:r>
        <w:rPr>
          <w:rFonts w:eastAsia="Times New Roman"/>
          <w:lang w:val="en-PH" w:eastAsia="en-PH"/>
        </w:rPr>
        <w:t xml:space="preserve">        512</w:t>
      </w:r>
      <w:r w:rsidRPr="00611E55">
        <w:rPr>
          <w:rFonts w:eastAsia="Times New Roman"/>
          <w:lang w:val="en-PH" w:eastAsia="en-PH"/>
        </w:rPr>
        <w:t xml:space="preserve"> </w:t>
      </w:r>
    </w:p>
    <w:p w:rsidR="00094A9B" w:rsidRPr="00611E55" w:rsidRDefault="00094A9B" w:rsidP="00094A9B">
      <w:pPr>
        <w:jc w:val="left"/>
        <w:rPr>
          <w:rFonts w:eastAsia="Times New Roman"/>
          <w:lang w:val="en-PH" w:eastAsia="en-PH"/>
        </w:rPr>
      </w:pPr>
      <w:r w:rsidRPr="00611E55">
        <w:rPr>
          <w:rFonts w:eastAsia="Times New Roman"/>
          <w:noProof/>
          <w:lang w:val="en-PH" w:eastAsia="en-PH"/>
        </w:rPr>
        <mc:AlternateContent>
          <mc:Choice Requires="wps">
            <w:drawing>
              <wp:anchor distT="0" distB="0" distL="114300" distR="114300" simplePos="0" relativeHeight="251664384" behindDoc="0" locked="0" layoutInCell="1" allowOverlap="1">
                <wp:simplePos x="0" y="0"/>
                <wp:positionH relativeFrom="column">
                  <wp:posOffset>1366520</wp:posOffset>
                </wp:positionH>
                <wp:positionV relativeFrom="paragraph">
                  <wp:posOffset>88900</wp:posOffset>
                </wp:positionV>
                <wp:extent cx="606425" cy="0"/>
                <wp:effectExtent l="8890" t="8255" r="1333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631E6" id="Straight Arrow Connector 13" o:spid="_x0000_s1026" type="#_x0000_t32" style="position:absolute;margin-left:107.6pt;margin-top:7pt;width:47.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"/>
            </w:pict>
          </mc:Fallback>
        </mc:AlternateContent>
      </w:r>
      <w:r>
        <w:rPr>
          <w:rFonts w:eastAsia="Times New Roman"/>
          <w:lang w:val="en-PH" w:eastAsia="en-PH"/>
        </w:rPr>
        <w:t xml:space="preserve">                             WM =</w:t>
      </w:r>
      <w:r w:rsidRPr="00611E55">
        <w:rPr>
          <w:rFonts w:eastAsia="Times New Roman"/>
          <w:lang w:val="en-PH" w:eastAsia="en-PH"/>
        </w:rPr>
        <w:t xml:space="preserve"> </w:t>
      </w:r>
      <w:r>
        <w:rPr>
          <w:rFonts w:eastAsia="Times New Roman"/>
          <w:lang w:val="en-PH" w:eastAsia="en-PH"/>
        </w:rPr>
        <w:t xml:space="preserve">            </w:t>
      </w:r>
      <w:r w:rsidRPr="00611E55">
        <w:rPr>
          <w:rFonts w:eastAsia="Times New Roman"/>
          <w:lang w:val="en-PH" w:eastAsia="en-PH"/>
        </w:rPr>
        <w:t xml:space="preserve"> </w:t>
      </w:r>
      <w:r>
        <w:rPr>
          <w:rFonts w:eastAsia="Times New Roman"/>
          <w:lang w:val="en-PH" w:eastAsia="en-PH"/>
        </w:rPr>
        <w:t xml:space="preserve">             = 4.88</w:t>
      </w:r>
    </w:p>
    <w:p w:rsidR="00094A9B" w:rsidRPr="007702D3" w:rsidRDefault="00094A9B" w:rsidP="00094A9B">
      <w:pPr>
        <w:jc w:val="left"/>
        <w:rPr>
          <w:rStyle w:val="katex-mathml"/>
          <w:rFonts w:eastAsia="Times New Roman"/>
          <w:lang w:val="en-PH" w:eastAsia="en-PH"/>
        </w:rPr>
      </w:pPr>
      <w:r w:rsidRPr="00611E55">
        <w:rPr>
          <w:rFonts w:eastAsia="Times New Roman"/>
          <w:lang w:val="en-PH" w:eastAsia="en-PH"/>
        </w:rPr>
        <w:t xml:space="preserve">                                             </w:t>
      </w:r>
      <w:r>
        <w:rPr>
          <w:rFonts w:eastAsia="Times New Roman"/>
          <w:lang w:val="en-PH" w:eastAsia="en-PH"/>
        </w:rPr>
        <w:t xml:space="preserve">    105</w:t>
      </w:r>
    </w:p>
    <w:p w:rsidR="00094A9B" w:rsidRPr="00C65FA7" w:rsidRDefault="00094A9B" w:rsidP="00094A9B">
      <w:pPr>
        <w:pStyle w:val="NormalWeb"/>
        <w:jc w:val="both"/>
      </w:pPr>
      <w:r w:rsidRPr="004C6342">
        <w:rPr>
          <w:rStyle w:val="Strong"/>
          <w:b w:val="0"/>
        </w:rPr>
        <w:t>Interpretation</w:t>
      </w:r>
      <w:r w:rsidRPr="004C6342">
        <w:rPr>
          <w:rStyle w:val="Strong"/>
        </w:rPr>
        <w:t>:</w:t>
      </w:r>
      <w:r w:rsidRPr="004C6342">
        <w:t xml:space="preserve"> </w:t>
      </w:r>
      <w:r w:rsidRPr="004C6342">
        <w:rPr>
          <w:rStyle w:val="Emphasis"/>
        </w:rPr>
        <w:t>Strongly Agree (Very High Agreement)</w:t>
      </w:r>
      <w:r w:rsidR="004C6342">
        <w:t>. The r</w:t>
      </w:r>
      <w:r w:rsidRPr="004C6342">
        <w:t xml:space="preserve">espondents emphasized that </w:t>
      </w:r>
      <w:proofErr w:type="spellStart"/>
      <w:r w:rsidRPr="004C6342">
        <w:t>blockchain</w:t>
      </w:r>
      <w:proofErr w:type="spellEnd"/>
      <w:r w:rsidRPr="004C6342">
        <w:t xml:space="preserve"> initiatives should align with </w:t>
      </w:r>
      <w:r w:rsidR="008135C4">
        <w:t>PHEI</w:t>
      </w:r>
      <w:r w:rsidRPr="004C6342">
        <w:t>s strategic goals and accreditation mandates.</w:t>
      </w:r>
    </w:p>
    <w:p w:rsidR="00094A9B" w:rsidRPr="00C65FA7" w:rsidRDefault="00094A9B" w:rsidP="00094A9B">
      <w:pPr>
        <w:pStyle w:val="NormalWeb"/>
        <w:jc w:val="both"/>
        <w:rPr>
          <w:rStyle w:val="Strong"/>
          <w:b w:val="0"/>
          <w:bCs w:val="0"/>
        </w:rPr>
      </w:pPr>
      <w:r w:rsidRPr="00C65FA7">
        <w:rPr>
          <w:rStyle w:val="Strong"/>
          <w:b w:val="0"/>
          <w:bCs w:val="0"/>
        </w:rPr>
        <w:t>2) Resource and Investment Management</w:t>
      </w:r>
    </w:p>
    <w:p w:rsidR="00094A9B" w:rsidRPr="004C6342" w:rsidRDefault="00094A9B" w:rsidP="00094A9B">
      <w:pPr>
        <w:spacing w:before="100" w:beforeAutospacing="1" w:after="100" w:afterAutospacing="1"/>
        <w:rPr>
          <w:rFonts w:eastAsia="Times New Roman"/>
          <w:b/>
          <w:lang w:val="en-PH" w:eastAsia="en-PH"/>
        </w:rPr>
      </w:pPr>
      <w:r w:rsidRPr="004C6342">
        <w:rPr>
          <w:rFonts w:eastAsia="Times New Roman"/>
          <w:b/>
          <w:bCs/>
          <w:lang w:val="en-PH" w:eastAsia="en-PH"/>
        </w:rPr>
        <w:t>Table 3</w:t>
      </w:r>
      <w:r w:rsidRPr="004C6342">
        <w:rPr>
          <w:rFonts w:eastAsia="Times New Roman"/>
          <w:b/>
          <w:lang w:val="en-PH" w:eastAsia="en-PH"/>
        </w:rPr>
        <w:t xml:space="preserve">. </w:t>
      </w:r>
      <w:r w:rsidRPr="004C6342">
        <w:rPr>
          <w:rFonts w:eastAsia="Times New Roman"/>
          <w:b/>
          <w:iCs/>
          <w:lang w:val="en-PH" w:eastAsia="en-PH"/>
        </w:rPr>
        <w:t>Weighted Mean Scores of Resource and Investment Management Governance Domain</w:t>
      </w:r>
    </w:p>
    <w:tbl>
      <w:tblPr>
        <w:tblW w:w="0" w:type="auto"/>
        <w:jc w:val="center"/>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555"/>
        <w:gridCol w:w="1040"/>
        <w:gridCol w:w="1251"/>
        <w:gridCol w:w="606"/>
      </w:tblGrid>
      <w:tr w:rsidR="00094A9B" w:rsidTr="00A94805">
        <w:trPr>
          <w:tblHeader/>
          <w:tblCellSpacing w:w="15" w:type="dxa"/>
          <w:jc w:val="center"/>
        </w:trPr>
        <w:tc>
          <w:tcPr>
            <w:tcW w:w="0" w:type="auto"/>
            <w:vAlign w:val="center"/>
            <w:hideMark/>
          </w:tcPr>
          <w:p w:rsidR="00094A9B" w:rsidRPr="00C65FA7" w:rsidRDefault="00094A9B" w:rsidP="00A94805">
            <w:pPr>
              <w:rPr>
                <w:b/>
                <w:bCs/>
              </w:rPr>
            </w:pPr>
            <w:r w:rsidRPr="00C65FA7">
              <w:rPr>
                <w:b/>
                <w:bCs/>
              </w:rPr>
              <w:t>Scale</w:t>
            </w:r>
          </w:p>
        </w:tc>
        <w:tc>
          <w:tcPr>
            <w:tcW w:w="0" w:type="auto"/>
            <w:vAlign w:val="center"/>
            <w:hideMark/>
          </w:tcPr>
          <w:p w:rsidR="00094A9B" w:rsidRPr="00C65FA7" w:rsidRDefault="00094A9B" w:rsidP="00A94805">
            <w:pPr>
              <w:rPr>
                <w:b/>
                <w:bCs/>
              </w:rPr>
            </w:pPr>
            <w:r w:rsidRPr="00C65FA7">
              <w:rPr>
                <w:b/>
                <w:bCs/>
              </w:rPr>
              <w:t>Weight (w)</w:t>
            </w:r>
          </w:p>
        </w:tc>
        <w:tc>
          <w:tcPr>
            <w:tcW w:w="0" w:type="auto"/>
            <w:vAlign w:val="center"/>
            <w:hideMark/>
          </w:tcPr>
          <w:p w:rsidR="00094A9B" w:rsidRPr="00C65FA7" w:rsidRDefault="00094A9B" w:rsidP="00A94805">
            <w:pPr>
              <w:rPr>
                <w:b/>
                <w:bCs/>
              </w:rPr>
            </w:pPr>
            <w:r w:rsidRPr="00C65FA7">
              <w:rPr>
                <w:b/>
                <w:bCs/>
              </w:rPr>
              <w:t>Frequency (f)</w:t>
            </w:r>
          </w:p>
        </w:tc>
        <w:tc>
          <w:tcPr>
            <w:tcW w:w="561" w:type="dxa"/>
            <w:vAlign w:val="center"/>
            <w:hideMark/>
          </w:tcPr>
          <w:p w:rsidR="00094A9B" w:rsidRPr="00C65FA7" w:rsidRDefault="00094A9B" w:rsidP="00A94805">
            <w:pPr>
              <w:rPr>
                <w:b/>
                <w:bCs/>
              </w:rPr>
            </w:pPr>
            <w:r w:rsidRPr="00C65FA7">
              <w:rPr>
                <w:b/>
                <w:bCs/>
              </w:rPr>
              <w:t>f × w</w:t>
            </w:r>
          </w:p>
        </w:tc>
      </w:tr>
      <w:tr w:rsidR="00094A9B" w:rsidTr="00A94805">
        <w:trPr>
          <w:tblCellSpacing w:w="15" w:type="dxa"/>
          <w:jc w:val="center"/>
        </w:trPr>
        <w:tc>
          <w:tcPr>
            <w:tcW w:w="0" w:type="auto"/>
            <w:vAlign w:val="center"/>
            <w:hideMark/>
          </w:tcPr>
          <w:p w:rsidR="00094A9B" w:rsidRPr="00C65FA7" w:rsidRDefault="00094A9B" w:rsidP="00A94805">
            <w:pPr>
              <w:jc w:val="left"/>
            </w:pPr>
            <w:r w:rsidRPr="00C65FA7">
              <w:t>Strongly Agree</w:t>
            </w:r>
          </w:p>
        </w:tc>
        <w:tc>
          <w:tcPr>
            <w:tcW w:w="0" w:type="auto"/>
            <w:vAlign w:val="center"/>
            <w:hideMark/>
          </w:tcPr>
          <w:p w:rsidR="00094A9B" w:rsidRPr="00C65FA7" w:rsidRDefault="00094A9B" w:rsidP="00A94805">
            <w:r w:rsidRPr="00C65FA7">
              <w:t>5</w:t>
            </w:r>
          </w:p>
        </w:tc>
        <w:tc>
          <w:tcPr>
            <w:tcW w:w="0" w:type="auto"/>
            <w:vAlign w:val="center"/>
            <w:hideMark/>
          </w:tcPr>
          <w:p w:rsidR="00094A9B" w:rsidRPr="00C65FA7" w:rsidRDefault="00094A9B" w:rsidP="00A94805">
            <w:r w:rsidRPr="00C65FA7">
              <w:t>89</w:t>
            </w:r>
          </w:p>
        </w:tc>
        <w:tc>
          <w:tcPr>
            <w:tcW w:w="561" w:type="dxa"/>
            <w:vAlign w:val="center"/>
            <w:hideMark/>
          </w:tcPr>
          <w:p w:rsidR="00094A9B" w:rsidRPr="00C65FA7" w:rsidRDefault="00094A9B" w:rsidP="00A94805">
            <w:r w:rsidRPr="00C65FA7">
              <w:t>445</w:t>
            </w:r>
          </w:p>
        </w:tc>
      </w:tr>
      <w:tr w:rsidR="00094A9B" w:rsidTr="00A94805">
        <w:trPr>
          <w:tblCellSpacing w:w="15" w:type="dxa"/>
          <w:jc w:val="center"/>
        </w:trPr>
        <w:tc>
          <w:tcPr>
            <w:tcW w:w="0" w:type="auto"/>
            <w:vAlign w:val="center"/>
            <w:hideMark/>
          </w:tcPr>
          <w:p w:rsidR="00094A9B" w:rsidRPr="00C65FA7" w:rsidRDefault="00094A9B" w:rsidP="00A94805">
            <w:r w:rsidRPr="00C65FA7">
              <w:t>Agree</w:t>
            </w:r>
          </w:p>
        </w:tc>
        <w:tc>
          <w:tcPr>
            <w:tcW w:w="0" w:type="auto"/>
            <w:vAlign w:val="center"/>
            <w:hideMark/>
          </w:tcPr>
          <w:p w:rsidR="00094A9B" w:rsidRPr="00C65FA7" w:rsidRDefault="00094A9B" w:rsidP="00A94805">
            <w:r w:rsidRPr="00C65FA7">
              <w:t>4</w:t>
            </w:r>
          </w:p>
        </w:tc>
        <w:tc>
          <w:tcPr>
            <w:tcW w:w="0" w:type="auto"/>
            <w:vAlign w:val="center"/>
            <w:hideMark/>
          </w:tcPr>
          <w:p w:rsidR="00094A9B" w:rsidRPr="00C65FA7" w:rsidRDefault="00094A9B" w:rsidP="00A94805">
            <w:r w:rsidRPr="00C65FA7">
              <w:t>14</w:t>
            </w:r>
          </w:p>
        </w:tc>
        <w:tc>
          <w:tcPr>
            <w:tcW w:w="561" w:type="dxa"/>
            <w:vAlign w:val="center"/>
            <w:hideMark/>
          </w:tcPr>
          <w:p w:rsidR="00094A9B" w:rsidRPr="00C65FA7" w:rsidRDefault="00094A9B" w:rsidP="00A94805">
            <w:r w:rsidRPr="00C65FA7">
              <w:t>56</w:t>
            </w:r>
          </w:p>
        </w:tc>
      </w:tr>
      <w:tr w:rsidR="00094A9B" w:rsidTr="00A94805">
        <w:trPr>
          <w:tblCellSpacing w:w="15" w:type="dxa"/>
          <w:jc w:val="center"/>
        </w:trPr>
        <w:tc>
          <w:tcPr>
            <w:tcW w:w="0" w:type="auto"/>
            <w:vAlign w:val="center"/>
            <w:hideMark/>
          </w:tcPr>
          <w:p w:rsidR="00094A9B" w:rsidRPr="00C65FA7" w:rsidRDefault="00094A9B" w:rsidP="00A94805">
            <w:r w:rsidRPr="00C65FA7">
              <w:t>Neutral</w:t>
            </w:r>
          </w:p>
        </w:tc>
        <w:tc>
          <w:tcPr>
            <w:tcW w:w="0" w:type="auto"/>
            <w:vAlign w:val="center"/>
            <w:hideMark/>
          </w:tcPr>
          <w:p w:rsidR="00094A9B" w:rsidRPr="00C65FA7" w:rsidRDefault="00094A9B" w:rsidP="00A94805">
            <w:r w:rsidRPr="00C65FA7">
              <w:t>3</w:t>
            </w:r>
          </w:p>
        </w:tc>
        <w:tc>
          <w:tcPr>
            <w:tcW w:w="0" w:type="auto"/>
            <w:vAlign w:val="center"/>
            <w:hideMark/>
          </w:tcPr>
          <w:p w:rsidR="00094A9B" w:rsidRPr="00C65FA7" w:rsidRDefault="00094A9B" w:rsidP="00A94805">
            <w:r w:rsidRPr="00C65FA7">
              <w:t>2</w:t>
            </w:r>
          </w:p>
        </w:tc>
        <w:tc>
          <w:tcPr>
            <w:tcW w:w="561" w:type="dxa"/>
            <w:vAlign w:val="center"/>
            <w:hideMark/>
          </w:tcPr>
          <w:p w:rsidR="00094A9B" w:rsidRPr="00C65FA7" w:rsidRDefault="00094A9B" w:rsidP="00A94805">
            <w:r w:rsidRPr="00C65FA7">
              <w:t>6</w:t>
            </w:r>
          </w:p>
        </w:tc>
      </w:tr>
      <w:tr w:rsidR="00094A9B" w:rsidTr="00A94805">
        <w:trPr>
          <w:tblCellSpacing w:w="15" w:type="dxa"/>
          <w:jc w:val="center"/>
        </w:trPr>
        <w:tc>
          <w:tcPr>
            <w:tcW w:w="0" w:type="auto"/>
            <w:vAlign w:val="center"/>
            <w:hideMark/>
          </w:tcPr>
          <w:p w:rsidR="00094A9B" w:rsidRPr="00C65FA7" w:rsidRDefault="00094A9B" w:rsidP="00A94805">
            <w:r w:rsidRPr="00C65FA7">
              <w:t>Disagree</w:t>
            </w:r>
          </w:p>
        </w:tc>
        <w:tc>
          <w:tcPr>
            <w:tcW w:w="0" w:type="auto"/>
            <w:vAlign w:val="center"/>
            <w:hideMark/>
          </w:tcPr>
          <w:p w:rsidR="00094A9B" w:rsidRPr="00C65FA7" w:rsidRDefault="00094A9B" w:rsidP="00A94805">
            <w:r w:rsidRPr="00C65FA7">
              <w:t>2</w:t>
            </w:r>
          </w:p>
        </w:tc>
        <w:tc>
          <w:tcPr>
            <w:tcW w:w="0" w:type="auto"/>
            <w:vAlign w:val="center"/>
            <w:hideMark/>
          </w:tcPr>
          <w:p w:rsidR="00094A9B" w:rsidRPr="00C65FA7" w:rsidRDefault="00094A9B" w:rsidP="00A94805">
            <w:r w:rsidRPr="00C65FA7">
              <w:t>0</w:t>
            </w:r>
          </w:p>
        </w:tc>
        <w:tc>
          <w:tcPr>
            <w:tcW w:w="561" w:type="dxa"/>
            <w:vAlign w:val="center"/>
            <w:hideMark/>
          </w:tcPr>
          <w:p w:rsidR="00094A9B" w:rsidRPr="00C65FA7" w:rsidRDefault="00094A9B" w:rsidP="00A94805">
            <w:r w:rsidRPr="00C65FA7">
              <w:t>0</w:t>
            </w:r>
          </w:p>
        </w:tc>
      </w:tr>
      <w:tr w:rsidR="00094A9B" w:rsidTr="00A94805">
        <w:trPr>
          <w:tblCellSpacing w:w="15" w:type="dxa"/>
          <w:jc w:val="center"/>
        </w:trPr>
        <w:tc>
          <w:tcPr>
            <w:tcW w:w="0" w:type="auto"/>
            <w:vAlign w:val="center"/>
            <w:hideMark/>
          </w:tcPr>
          <w:p w:rsidR="00094A9B" w:rsidRPr="00C65FA7" w:rsidRDefault="00094A9B" w:rsidP="00A94805">
            <w:r w:rsidRPr="00C65FA7">
              <w:t>Strongly Disagree</w:t>
            </w:r>
          </w:p>
        </w:tc>
        <w:tc>
          <w:tcPr>
            <w:tcW w:w="0" w:type="auto"/>
            <w:vAlign w:val="center"/>
            <w:hideMark/>
          </w:tcPr>
          <w:p w:rsidR="00094A9B" w:rsidRPr="00C65FA7" w:rsidRDefault="00094A9B" w:rsidP="00A94805">
            <w:r w:rsidRPr="00C65FA7">
              <w:t>1</w:t>
            </w:r>
          </w:p>
        </w:tc>
        <w:tc>
          <w:tcPr>
            <w:tcW w:w="0" w:type="auto"/>
            <w:vAlign w:val="center"/>
            <w:hideMark/>
          </w:tcPr>
          <w:p w:rsidR="00094A9B" w:rsidRPr="00C65FA7" w:rsidRDefault="00094A9B" w:rsidP="00A94805">
            <w:r w:rsidRPr="00C65FA7">
              <w:t>0</w:t>
            </w:r>
          </w:p>
        </w:tc>
        <w:tc>
          <w:tcPr>
            <w:tcW w:w="561" w:type="dxa"/>
            <w:vAlign w:val="center"/>
            <w:hideMark/>
          </w:tcPr>
          <w:p w:rsidR="00094A9B" w:rsidRPr="00C65FA7" w:rsidRDefault="00094A9B" w:rsidP="00A94805">
            <w:r w:rsidRPr="00C65FA7">
              <w:t>0</w:t>
            </w:r>
          </w:p>
        </w:tc>
      </w:tr>
      <w:tr w:rsidR="00094A9B" w:rsidTr="00A94805">
        <w:trPr>
          <w:tblCellSpacing w:w="15" w:type="dxa"/>
          <w:jc w:val="center"/>
        </w:trPr>
        <w:tc>
          <w:tcPr>
            <w:tcW w:w="0" w:type="auto"/>
            <w:vAlign w:val="center"/>
            <w:hideMark/>
          </w:tcPr>
          <w:p w:rsidR="00094A9B" w:rsidRPr="00C65FA7" w:rsidRDefault="00094A9B" w:rsidP="00A94805">
            <w:r w:rsidRPr="00C65FA7">
              <w:rPr>
                <w:rStyle w:val="Strong"/>
              </w:rPr>
              <w:t>Total</w:t>
            </w:r>
          </w:p>
        </w:tc>
        <w:tc>
          <w:tcPr>
            <w:tcW w:w="0" w:type="auto"/>
            <w:vAlign w:val="center"/>
            <w:hideMark/>
          </w:tcPr>
          <w:p w:rsidR="00094A9B" w:rsidRPr="00C65FA7" w:rsidRDefault="000F5BC1" w:rsidP="00A94805">
            <w:r>
              <w:t xml:space="preserve"> </w:t>
            </w:r>
          </w:p>
        </w:tc>
        <w:tc>
          <w:tcPr>
            <w:tcW w:w="0" w:type="auto"/>
            <w:vAlign w:val="center"/>
            <w:hideMark/>
          </w:tcPr>
          <w:p w:rsidR="00094A9B" w:rsidRPr="00C65FA7" w:rsidRDefault="00094A9B" w:rsidP="00A94805">
            <w:r w:rsidRPr="00C65FA7">
              <w:rPr>
                <w:rStyle w:val="Strong"/>
              </w:rPr>
              <w:t>105</w:t>
            </w:r>
          </w:p>
        </w:tc>
        <w:tc>
          <w:tcPr>
            <w:tcW w:w="561" w:type="dxa"/>
            <w:vAlign w:val="center"/>
            <w:hideMark/>
          </w:tcPr>
          <w:p w:rsidR="00094A9B" w:rsidRPr="00C65FA7" w:rsidRDefault="00094A9B" w:rsidP="00A94805">
            <w:r w:rsidRPr="00C65FA7">
              <w:rPr>
                <w:rStyle w:val="Strong"/>
              </w:rPr>
              <w:t>507</w:t>
            </w:r>
          </w:p>
        </w:tc>
      </w:tr>
    </w:tbl>
    <w:p w:rsidR="004C6342" w:rsidRDefault="00094A9B" w:rsidP="004C6342">
      <w:pPr>
        <w:jc w:val="left"/>
        <w:rPr>
          <w:rFonts w:eastAsia="Times New Roman"/>
          <w:lang w:val="en-PH" w:eastAsia="en-PH"/>
        </w:rPr>
      </w:pPr>
      <w:r w:rsidRPr="00611E55">
        <w:rPr>
          <w:rFonts w:eastAsia="Times New Roman"/>
          <w:lang w:val="en-PH" w:eastAsia="en-PH"/>
        </w:rPr>
        <w:t xml:space="preserve">         </w:t>
      </w:r>
      <w:r w:rsidR="004C6342">
        <w:rPr>
          <w:rFonts w:eastAsia="Times New Roman"/>
          <w:lang w:val="en-PH" w:eastAsia="en-PH"/>
        </w:rPr>
        <w:t xml:space="preserve">                                       </w:t>
      </w:r>
    </w:p>
    <w:p w:rsidR="00094A9B" w:rsidRPr="004C6342" w:rsidRDefault="004C6342" w:rsidP="004C6342">
      <w:pPr>
        <w:jc w:val="left"/>
        <w:rPr>
          <w:rFonts w:eastAsia="Times New Roman"/>
          <w:sz w:val="24"/>
          <w:szCs w:val="24"/>
          <w:lang w:val="en-PH" w:eastAsia="en-PH"/>
        </w:rPr>
      </w:pPr>
      <w:r>
        <w:rPr>
          <w:rFonts w:eastAsia="Times New Roman"/>
          <w:lang w:val="en-PH" w:eastAsia="en-PH"/>
        </w:rPr>
        <w:t xml:space="preserve">                              </w:t>
      </w:r>
      <w:r w:rsidRPr="004C6342">
        <w:rPr>
          <w:rFonts w:eastAsia="Times New Roman"/>
          <w:sz w:val="24"/>
          <w:szCs w:val="24"/>
          <w:lang w:val="en-PH" w:eastAsia="en-PH"/>
        </w:rPr>
        <w:t xml:space="preserve">                    </w:t>
      </w:r>
      <w:r w:rsidR="00094A9B" w:rsidRPr="004C6342">
        <w:rPr>
          <w:rFonts w:eastAsia="Times New Roman"/>
          <w:sz w:val="24"/>
          <w:szCs w:val="24"/>
          <w:lang w:val="en-PH" w:eastAsia="en-PH"/>
        </w:rPr>
        <w:t>507</w:t>
      </w:r>
    </w:p>
    <w:p w:rsidR="00094A9B" w:rsidRPr="004C6342" w:rsidRDefault="00094A9B" w:rsidP="00094A9B">
      <w:pPr>
        <w:jc w:val="left"/>
        <w:rPr>
          <w:rFonts w:eastAsia="Times New Roman"/>
          <w:sz w:val="24"/>
          <w:szCs w:val="24"/>
          <w:lang w:val="en-PH" w:eastAsia="en-PH"/>
        </w:rPr>
      </w:pPr>
      <w:r w:rsidRPr="004C6342">
        <w:rPr>
          <w:rFonts w:eastAsia="Times New Roman"/>
          <w:noProof/>
          <w:sz w:val="24"/>
          <w:szCs w:val="24"/>
          <w:lang w:val="en-PH" w:eastAsia="en-PH"/>
        </w:rPr>
        <mc:AlternateContent>
          <mc:Choice Requires="wps">
            <w:drawing>
              <wp:anchor distT="0" distB="0" distL="114300" distR="114300" simplePos="0" relativeHeight="251661312" behindDoc="0" locked="0" layoutInCell="1" allowOverlap="1">
                <wp:simplePos x="0" y="0"/>
                <wp:positionH relativeFrom="column">
                  <wp:posOffset>1603343</wp:posOffset>
                </wp:positionH>
                <wp:positionV relativeFrom="paragraph">
                  <wp:posOffset>88900</wp:posOffset>
                </wp:positionV>
                <wp:extent cx="606425" cy="0"/>
                <wp:effectExtent l="8890" t="9525" r="13335"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7E33B" id="Straight Arrow Connector 12" o:spid="_x0000_s1026" type="#_x0000_t32" style="position:absolute;margin-left:126.25pt;margin-top:7pt;width:4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"/>
            </w:pict>
          </mc:Fallback>
        </mc:AlternateContent>
      </w:r>
      <w:r w:rsidRPr="004C6342">
        <w:rPr>
          <w:rFonts w:eastAsia="Times New Roman"/>
          <w:sz w:val="24"/>
          <w:szCs w:val="24"/>
          <w:lang w:val="en-PH" w:eastAsia="en-PH"/>
        </w:rPr>
        <w:t xml:space="preserve">                             WM =              </w:t>
      </w:r>
      <w:r w:rsidR="004C6342">
        <w:rPr>
          <w:rFonts w:eastAsia="Times New Roman"/>
          <w:sz w:val="24"/>
          <w:szCs w:val="24"/>
          <w:lang w:val="en-PH" w:eastAsia="en-PH"/>
        </w:rPr>
        <w:t xml:space="preserve">       </w:t>
      </w:r>
      <w:r w:rsidR="00F808C3">
        <w:rPr>
          <w:rFonts w:eastAsia="Times New Roman"/>
          <w:sz w:val="24"/>
          <w:szCs w:val="24"/>
          <w:lang w:val="en-PH" w:eastAsia="en-PH"/>
        </w:rPr>
        <w:t>= 4.83</w:t>
      </w:r>
    </w:p>
    <w:p w:rsidR="00094A9B" w:rsidRDefault="00094A9B" w:rsidP="00094A9B">
      <w:pPr>
        <w:jc w:val="left"/>
        <w:rPr>
          <w:rFonts w:eastAsia="Times New Roman"/>
          <w:sz w:val="24"/>
          <w:szCs w:val="24"/>
          <w:lang w:val="en-PH" w:eastAsia="en-PH"/>
        </w:rPr>
      </w:pPr>
      <w:r w:rsidRPr="004C6342">
        <w:rPr>
          <w:rFonts w:eastAsia="Times New Roman"/>
          <w:sz w:val="24"/>
          <w:szCs w:val="24"/>
          <w:lang w:val="en-PH" w:eastAsia="en-PH"/>
        </w:rPr>
        <w:t xml:space="preserve">             </w:t>
      </w:r>
      <w:r w:rsidR="004C6342">
        <w:rPr>
          <w:rFonts w:eastAsia="Times New Roman"/>
          <w:sz w:val="24"/>
          <w:szCs w:val="24"/>
          <w:lang w:val="en-PH" w:eastAsia="en-PH"/>
        </w:rPr>
        <w:t xml:space="preserve">                               </w:t>
      </w:r>
      <w:r w:rsidRPr="004C6342">
        <w:rPr>
          <w:rFonts w:eastAsia="Times New Roman"/>
          <w:sz w:val="24"/>
          <w:szCs w:val="24"/>
          <w:lang w:val="en-PH" w:eastAsia="en-PH"/>
        </w:rPr>
        <w:t>105</w:t>
      </w:r>
    </w:p>
    <w:p w:rsidR="004C6342" w:rsidRPr="004C6342" w:rsidRDefault="004C6342" w:rsidP="00094A9B">
      <w:pPr>
        <w:jc w:val="left"/>
        <w:rPr>
          <w:rStyle w:val="Strong"/>
          <w:rFonts w:eastAsia="Times New Roman"/>
          <w:b w:val="0"/>
          <w:bCs w:val="0"/>
          <w:sz w:val="24"/>
          <w:szCs w:val="24"/>
          <w:lang w:val="en-PH" w:eastAsia="en-PH"/>
        </w:rPr>
      </w:pPr>
    </w:p>
    <w:p w:rsidR="00094A9B" w:rsidRPr="004C6342" w:rsidRDefault="00094A9B" w:rsidP="00094A9B">
      <w:pPr>
        <w:pStyle w:val="NormalWeb"/>
        <w:spacing w:before="0" w:beforeAutospacing="0" w:after="0" w:afterAutospacing="0"/>
        <w:jc w:val="both"/>
      </w:pPr>
      <w:r w:rsidRPr="004C6342">
        <w:rPr>
          <w:rStyle w:val="Strong"/>
          <w:b w:val="0"/>
        </w:rPr>
        <w:t>Interpretation:</w:t>
      </w:r>
      <w:r w:rsidRPr="004C6342">
        <w:t xml:space="preserve"> </w:t>
      </w:r>
      <w:r w:rsidRPr="004C6342">
        <w:rPr>
          <w:rStyle w:val="Emphasis"/>
        </w:rPr>
        <w:t xml:space="preserve">Strongly Agree (Very High </w:t>
      </w:r>
      <w:r w:rsidR="000F5BC1" w:rsidRPr="004C6342">
        <w:rPr>
          <w:rStyle w:val="Emphasis"/>
        </w:rPr>
        <w:t>Agreement)</w:t>
      </w:r>
      <w:r w:rsidR="000F5BC1" w:rsidRPr="004C6342">
        <w:t xml:space="preserve"> </w:t>
      </w:r>
      <w:r w:rsidR="000F5BC1">
        <w:t>Adequate</w:t>
      </w:r>
      <w:r w:rsidRPr="004C6342">
        <w:t xml:space="preserve"> budget allocation, infrastructure, and training are essential for </w:t>
      </w:r>
      <w:proofErr w:type="spellStart"/>
      <w:r w:rsidRPr="004C6342">
        <w:t>blockchain</w:t>
      </w:r>
      <w:proofErr w:type="spellEnd"/>
      <w:r w:rsidRPr="004C6342">
        <w:t xml:space="preserve"> implementation success.</w:t>
      </w:r>
    </w:p>
    <w:p w:rsidR="00094A9B" w:rsidRPr="004C6342" w:rsidRDefault="00094A9B" w:rsidP="00094A9B">
      <w:pPr>
        <w:pStyle w:val="NormalWeb"/>
        <w:spacing w:before="0" w:beforeAutospacing="0" w:after="0" w:afterAutospacing="0"/>
        <w:jc w:val="both"/>
      </w:pPr>
    </w:p>
    <w:p w:rsidR="00094A9B" w:rsidRPr="004C6342" w:rsidRDefault="00094A9B" w:rsidP="00094A9B">
      <w:pPr>
        <w:pStyle w:val="NormalWeb"/>
        <w:spacing w:before="0" w:beforeAutospacing="0" w:after="0" w:afterAutospacing="0"/>
        <w:jc w:val="both"/>
        <w:rPr>
          <w:rStyle w:val="Strong"/>
          <w:b w:val="0"/>
          <w:bCs w:val="0"/>
        </w:rPr>
      </w:pPr>
      <w:r w:rsidRPr="004C6342">
        <w:rPr>
          <w:rStyle w:val="Strong"/>
          <w:b w:val="0"/>
          <w:bCs w:val="0"/>
        </w:rPr>
        <w:t>3) Risk Management and Security</w:t>
      </w:r>
    </w:p>
    <w:p w:rsidR="00094A9B" w:rsidRDefault="00094A9B" w:rsidP="00094A9B">
      <w:pPr>
        <w:pStyle w:val="NormalWeb"/>
        <w:spacing w:before="0" w:beforeAutospacing="0" w:after="0" w:afterAutospacing="0"/>
        <w:jc w:val="both"/>
        <w:rPr>
          <w:sz w:val="20"/>
          <w:szCs w:val="20"/>
        </w:rPr>
      </w:pPr>
    </w:p>
    <w:p w:rsidR="00094A9B" w:rsidRPr="004C6342" w:rsidRDefault="00094A9B" w:rsidP="00094A9B">
      <w:pPr>
        <w:pStyle w:val="NormalWeb"/>
        <w:spacing w:before="0" w:beforeAutospacing="0" w:after="0" w:afterAutospacing="0"/>
        <w:jc w:val="center"/>
        <w:rPr>
          <w:b/>
          <w:iCs/>
          <w:sz w:val="20"/>
          <w:szCs w:val="20"/>
        </w:rPr>
      </w:pPr>
      <w:r w:rsidRPr="004C6342">
        <w:rPr>
          <w:b/>
          <w:bCs/>
          <w:sz w:val="20"/>
          <w:szCs w:val="20"/>
        </w:rPr>
        <w:t>Table 4</w:t>
      </w:r>
      <w:r w:rsidRPr="004C6342">
        <w:rPr>
          <w:b/>
          <w:sz w:val="20"/>
          <w:szCs w:val="20"/>
        </w:rPr>
        <w:t xml:space="preserve">. </w:t>
      </w:r>
      <w:r w:rsidRPr="004C6342">
        <w:rPr>
          <w:b/>
          <w:iCs/>
          <w:sz w:val="20"/>
          <w:szCs w:val="20"/>
        </w:rPr>
        <w:t xml:space="preserve">Weighted Mean Scores of </w:t>
      </w:r>
      <w:r w:rsidRPr="004C6342">
        <w:rPr>
          <w:rStyle w:val="Strong"/>
          <w:bCs w:val="0"/>
          <w:sz w:val="20"/>
          <w:szCs w:val="20"/>
        </w:rPr>
        <w:t>Risk Management and Security</w:t>
      </w:r>
      <w:r w:rsidRPr="004C6342">
        <w:rPr>
          <w:rStyle w:val="Strong"/>
          <w:b w:val="0"/>
          <w:bCs w:val="0"/>
          <w:sz w:val="20"/>
          <w:szCs w:val="20"/>
        </w:rPr>
        <w:t xml:space="preserve"> </w:t>
      </w:r>
      <w:r w:rsidRPr="004C6342">
        <w:rPr>
          <w:b/>
          <w:iCs/>
          <w:sz w:val="20"/>
          <w:szCs w:val="20"/>
        </w:rPr>
        <w:t>Governance Domain</w:t>
      </w:r>
    </w:p>
    <w:p w:rsidR="00094A9B" w:rsidRPr="00062BF6" w:rsidRDefault="00094A9B" w:rsidP="00094A9B">
      <w:pPr>
        <w:pStyle w:val="NormalWeb"/>
        <w:spacing w:before="0" w:beforeAutospacing="0" w:after="0" w:afterAutospacing="0"/>
        <w:jc w:val="center"/>
        <w:rPr>
          <w:b/>
          <w:sz w:val="16"/>
          <w:szCs w:val="16"/>
        </w:rPr>
      </w:pPr>
    </w:p>
    <w:tbl>
      <w:tblPr>
        <w:tblW w:w="0" w:type="auto"/>
        <w:jc w:val="center"/>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555"/>
        <w:gridCol w:w="1040"/>
        <w:gridCol w:w="1251"/>
        <w:gridCol w:w="530"/>
      </w:tblGrid>
      <w:tr w:rsidR="00094A9B" w:rsidTr="00A94805">
        <w:trPr>
          <w:tblHeader/>
          <w:tblCellSpacing w:w="15" w:type="dxa"/>
          <w:jc w:val="center"/>
        </w:trPr>
        <w:tc>
          <w:tcPr>
            <w:tcW w:w="0" w:type="auto"/>
            <w:vAlign w:val="center"/>
            <w:hideMark/>
          </w:tcPr>
          <w:p w:rsidR="00094A9B" w:rsidRPr="004C6342" w:rsidRDefault="00094A9B" w:rsidP="00A94805">
            <w:pPr>
              <w:rPr>
                <w:b/>
                <w:bCs/>
              </w:rPr>
            </w:pPr>
            <w:r w:rsidRPr="004C6342">
              <w:rPr>
                <w:b/>
                <w:bCs/>
              </w:rPr>
              <w:lastRenderedPageBreak/>
              <w:t>Scale</w:t>
            </w:r>
          </w:p>
        </w:tc>
        <w:tc>
          <w:tcPr>
            <w:tcW w:w="0" w:type="auto"/>
            <w:vAlign w:val="center"/>
            <w:hideMark/>
          </w:tcPr>
          <w:p w:rsidR="00094A9B" w:rsidRPr="004C6342" w:rsidRDefault="00094A9B" w:rsidP="00A94805">
            <w:pPr>
              <w:rPr>
                <w:b/>
                <w:bCs/>
              </w:rPr>
            </w:pPr>
            <w:r w:rsidRPr="004C6342">
              <w:rPr>
                <w:b/>
                <w:bCs/>
              </w:rPr>
              <w:t>Weight (w)</w:t>
            </w:r>
          </w:p>
        </w:tc>
        <w:tc>
          <w:tcPr>
            <w:tcW w:w="0" w:type="auto"/>
            <w:vAlign w:val="center"/>
            <w:hideMark/>
          </w:tcPr>
          <w:p w:rsidR="00094A9B" w:rsidRPr="004C6342" w:rsidRDefault="00094A9B" w:rsidP="00A94805">
            <w:pPr>
              <w:rPr>
                <w:b/>
                <w:bCs/>
              </w:rPr>
            </w:pPr>
            <w:r w:rsidRPr="004C6342">
              <w:rPr>
                <w:b/>
                <w:bCs/>
              </w:rPr>
              <w:t>Frequency (f)</w:t>
            </w:r>
          </w:p>
        </w:tc>
        <w:tc>
          <w:tcPr>
            <w:tcW w:w="0" w:type="auto"/>
            <w:vAlign w:val="center"/>
            <w:hideMark/>
          </w:tcPr>
          <w:p w:rsidR="00094A9B" w:rsidRPr="004C6342" w:rsidRDefault="00094A9B" w:rsidP="00A94805">
            <w:pPr>
              <w:rPr>
                <w:b/>
                <w:bCs/>
              </w:rPr>
            </w:pPr>
            <w:r w:rsidRPr="004C6342">
              <w:rPr>
                <w:b/>
                <w:bCs/>
              </w:rPr>
              <w:t>f × w</w:t>
            </w:r>
          </w:p>
        </w:tc>
      </w:tr>
      <w:tr w:rsidR="00094A9B" w:rsidTr="00A94805">
        <w:trPr>
          <w:tblCellSpacing w:w="15" w:type="dxa"/>
          <w:jc w:val="center"/>
        </w:trPr>
        <w:tc>
          <w:tcPr>
            <w:tcW w:w="0" w:type="auto"/>
            <w:vAlign w:val="center"/>
            <w:hideMark/>
          </w:tcPr>
          <w:p w:rsidR="00094A9B" w:rsidRPr="004C6342" w:rsidRDefault="00094A9B" w:rsidP="00A94805">
            <w:pPr>
              <w:jc w:val="left"/>
            </w:pPr>
            <w:r w:rsidRPr="004C6342">
              <w:t>Strongly Agree</w:t>
            </w:r>
          </w:p>
        </w:tc>
        <w:tc>
          <w:tcPr>
            <w:tcW w:w="0" w:type="auto"/>
            <w:vAlign w:val="center"/>
            <w:hideMark/>
          </w:tcPr>
          <w:p w:rsidR="00094A9B" w:rsidRPr="004C6342" w:rsidRDefault="00094A9B" w:rsidP="00A94805">
            <w:r w:rsidRPr="004C6342">
              <w:t>5</w:t>
            </w:r>
          </w:p>
        </w:tc>
        <w:tc>
          <w:tcPr>
            <w:tcW w:w="0" w:type="auto"/>
            <w:vAlign w:val="center"/>
            <w:hideMark/>
          </w:tcPr>
          <w:p w:rsidR="00094A9B" w:rsidRPr="004C6342" w:rsidRDefault="00094A9B" w:rsidP="00A94805">
            <w:r w:rsidRPr="004C6342">
              <w:t>87</w:t>
            </w:r>
          </w:p>
        </w:tc>
        <w:tc>
          <w:tcPr>
            <w:tcW w:w="0" w:type="auto"/>
            <w:vAlign w:val="center"/>
            <w:hideMark/>
          </w:tcPr>
          <w:p w:rsidR="00094A9B" w:rsidRPr="004C6342" w:rsidRDefault="00094A9B" w:rsidP="00A94805">
            <w:r w:rsidRPr="004C6342">
              <w:t>435</w:t>
            </w:r>
          </w:p>
        </w:tc>
      </w:tr>
      <w:tr w:rsidR="00094A9B" w:rsidTr="00A94805">
        <w:trPr>
          <w:tblCellSpacing w:w="15" w:type="dxa"/>
          <w:jc w:val="center"/>
        </w:trPr>
        <w:tc>
          <w:tcPr>
            <w:tcW w:w="0" w:type="auto"/>
            <w:vAlign w:val="center"/>
            <w:hideMark/>
          </w:tcPr>
          <w:p w:rsidR="00094A9B" w:rsidRPr="004C6342" w:rsidRDefault="00094A9B" w:rsidP="00A94805">
            <w:r w:rsidRPr="004C6342">
              <w:t>Agree</w:t>
            </w:r>
          </w:p>
        </w:tc>
        <w:tc>
          <w:tcPr>
            <w:tcW w:w="0" w:type="auto"/>
            <w:vAlign w:val="center"/>
            <w:hideMark/>
          </w:tcPr>
          <w:p w:rsidR="00094A9B" w:rsidRPr="004C6342" w:rsidRDefault="00094A9B" w:rsidP="00A94805">
            <w:r w:rsidRPr="004C6342">
              <w:t>4</w:t>
            </w:r>
          </w:p>
        </w:tc>
        <w:tc>
          <w:tcPr>
            <w:tcW w:w="0" w:type="auto"/>
            <w:vAlign w:val="center"/>
            <w:hideMark/>
          </w:tcPr>
          <w:p w:rsidR="00094A9B" w:rsidRPr="004C6342" w:rsidRDefault="00094A9B" w:rsidP="00A94805">
            <w:r w:rsidRPr="004C6342">
              <w:t>16</w:t>
            </w:r>
          </w:p>
        </w:tc>
        <w:tc>
          <w:tcPr>
            <w:tcW w:w="0" w:type="auto"/>
            <w:vAlign w:val="center"/>
            <w:hideMark/>
          </w:tcPr>
          <w:p w:rsidR="00094A9B" w:rsidRPr="004C6342" w:rsidRDefault="00094A9B" w:rsidP="00A94805">
            <w:r w:rsidRPr="004C6342">
              <w:t>64</w:t>
            </w:r>
          </w:p>
        </w:tc>
      </w:tr>
      <w:tr w:rsidR="00094A9B" w:rsidTr="00A94805">
        <w:trPr>
          <w:tblCellSpacing w:w="15" w:type="dxa"/>
          <w:jc w:val="center"/>
        </w:trPr>
        <w:tc>
          <w:tcPr>
            <w:tcW w:w="0" w:type="auto"/>
            <w:vAlign w:val="center"/>
            <w:hideMark/>
          </w:tcPr>
          <w:p w:rsidR="00094A9B" w:rsidRPr="004C6342" w:rsidRDefault="00094A9B" w:rsidP="00A94805">
            <w:r w:rsidRPr="004C6342">
              <w:t>Neutral</w:t>
            </w:r>
          </w:p>
        </w:tc>
        <w:tc>
          <w:tcPr>
            <w:tcW w:w="0" w:type="auto"/>
            <w:vAlign w:val="center"/>
            <w:hideMark/>
          </w:tcPr>
          <w:p w:rsidR="00094A9B" w:rsidRPr="004C6342" w:rsidRDefault="00094A9B" w:rsidP="00A94805">
            <w:r w:rsidRPr="004C6342">
              <w:t>3</w:t>
            </w:r>
          </w:p>
        </w:tc>
        <w:tc>
          <w:tcPr>
            <w:tcW w:w="0" w:type="auto"/>
            <w:vAlign w:val="center"/>
            <w:hideMark/>
          </w:tcPr>
          <w:p w:rsidR="00094A9B" w:rsidRPr="004C6342" w:rsidRDefault="00094A9B" w:rsidP="00A94805">
            <w:r w:rsidRPr="004C6342">
              <w:t>2</w:t>
            </w:r>
          </w:p>
        </w:tc>
        <w:tc>
          <w:tcPr>
            <w:tcW w:w="0" w:type="auto"/>
            <w:vAlign w:val="center"/>
            <w:hideMark/>
          </w:tcPr>
          <w:p w:rsidR="00094A9B" w:rsidRPr="004C6342" w:rsidRDefault="00094A9B" w:rsidP="00A94805">
            <w:r w:rsidRPr="004C6342">
              <w:t>6</w:t>
            </w:r>
          </w:p>
        </w:tc>
      </w:tr>
      <w:tr w:rsidR="00094A9B" w:rsidTr="00A94805">
        <w:trPr>
          <w:tblCellSpacing w:w="15" w:type="dxa"/>
          <w:jc w:val="center"/>
        </w:trPr>
        <w:tc>
          <w:tcPr>
            <w:tcW w:w="0" w:type="auto"/>
            <w:vAlign w:val="center"/>
            <w:hideMark/>
          </w:tcPr>
          <w:p w:rsidR="00094A9B" w:rsidRPr="004C6342" w:rsidRDefault="00094A9B" w:rsidP="00A94805">
            <w:r w:rsidRPr="004C6342">
              <w:t>Disagree</w:t>
            </w:r>
          </w:p>
        </w:tc>
        <w:tc>
          <w:tcPr>
            <w:tcW w:w="0" w:type="auto"/>
            <w:vAlign w:val="center"/>
            <w:hideMark/>
          </w:tcPr>
          <w:p w:rsidR="00094A9B" w:rsidRPr="004C6342" w:rsidRDefault="00094A9B" w:rsidP="00A94805">
            <w:r w:rsidRPr="004C6342">
              <w:t>2</w:t>
            </w:r>
          </w:p>
        </w:tc>
        <w:tc>
          <w:tcPr>
            <w:tcW w:w="0" w:type="auto"/>
            <w:vAlign w:val="center"/>
            <w:hideMark/>
          </w:tcPr>
          <w:p w:rsidR="00094A9B" w:rsidRPr="004C6342" w:rsidRDefault="00094A9B" w:rsidP="00A94805">
            <w:r w:rsidRPr="004C6342">
              <w:t>0</w:t>
            </w:r>
          </w:p>
        </w:tc>
        <w:tc>
          <w:tcPr>
            <w:tcW w:w="0" w:type="auto"/>
            <w:vAlign w:val="center"/>
            <w:hideMark/>
          </w:tcPr>
          <w:p w:rsidR="00094A9B" w:rsidRPr="004C6342" w:rsidRDefault="00094A9B" w:rsidP="00A94805">
            <w:r w:rsidRPr="004C6342">
              <w:t>0</w:t>
            </w:r>
          </w:p>
        </w:tc>
      </w:tr>
      <w:tr w:rsidR="00094A9B" w:rsidTr="00A94805">
        <w:trPr>
          <w:tblCellSpacing w:w="15" w:type="dxa"/>
          <w:jc w:val="center"/>
        </w:trPr>
        <w:tc>
          <w:tcPr>
            <w:tcW w:w="0" w:type="auto"/>
            <w:vAlign w:val="center"/>
            <w:hideMark/>
          </w:tcPr>
          <w:p w:rsidR="00094A9B" w:rsidRPr="004C6342" w:rsidRDefault="00094A9B" w:rsidP="00A94805">
            <w:r w:rsidRPr="004C6342">
              <w:t>Strongly Disagree</w:t>
            </w:r>
          </w:p>
        </w:tc>
        <w:tc>
          <w:tcPr>
            <w:tcW w:w="0" w:type="auto"/>
            <w:vAlign w:val="center"/>
            <w:hideMark/>
          </w:tcPr>
          <w:p w:rsidR="00094A9B" w:rsidRPr="004C6342" w:rsidRDefault="00094A9B" w:rsidP="00A94805">
            <w:r w:rsidRPr="004C6342">
              <w:t>1</w:t>
            </w:r>
          </w:p>
        </w:tc>
        <w:tc>
          <w:tcPr>
            <w:tcW w:w="0" w:type="auto"/>
            <w:vAlign w:val="center"/>
            <w:hideMark/>
          </w:tcPr>
          <w:p w:rsidR="00094A9B" w:rsidRPr="004C6342" w:rsidRDefault="00094A9B" w:rsidP="00A94805">
            <w:r w:rsidRPr="004C6342">
              <w:t>0</w:t>
            </w:r>
          </w:p>
        </w:tc>
        <w:tc>
          <w:tcPr>
            <w:tcW w:w="0" w:type="auto"/>
            <w:vAlign w:val="center"/>
            <w:hideMark/>
          </w:tcPr>
          <w:p w:rsidR="00094A9B" w:rsidRPr="004C6342" w:rsidRDefault="00094A9B" w:rsidP="00A94805">
            <w:r w:rsidRPr="004C6342">
              <w:t>0</w:t>
            </w:r>
          </w:p>
        </w:tc>
      </w:tr>
      <w:tr w:rsidR="00094A9B" w:rsidTr="00A94805">
        <w:trPr>
          <w:tblCellSpacing w:w="15" w:type="dxa"/>
          <w:jc w:val="center"/>
        </w:trPr>
        <w:tc>
          <w:tcPr>
            <w:tcW w:w="0" w:type="auto"/>
            <w:vAlign w:val="center"/>
            <w:hideMark/>
          </w:tcPr>
          <w:p w:rsidR="00094A9B" w:rsidRPr="004C6342" w:rsidRDefault="00094A9B" w:rsidP="00A94805">
            <w:r w:rsidRPr="004C6342">
              <w:rPr>
                <w:rStyle w:val="Strong"/>
              </w:rPr>
              <w:t>Total</w:t>
            </w:r>
          </w:p>
        </w:tc>
        <w:tc>
          <w:tcPr>
            <w:tcW w:w="0" w:type="auto"/>
            <w:vAlign w:val="center"/>
            <w:hideMark/>
          </w:tcPr>
          <w:p w:rsidR="00094A9B" w:rsidRPr="004C6342" w:rsidRDefault="000F5BC1" w:rsidP="00A94805">
            <w:r>
              <w:t xml:space="preserve"> </w:t>
            </w:r>
          </w:p>
        </w:tc>
        <w:tc>
          <w:tcPr>
            <w:tcW w:w="0" w:type="auto"/>
            <w:vAlign w:val="center"/>
            <w:hideMark/>
          </w:tcPr>
          <w:p w:rsidR="00094A9B" w:rsidRPr="004C6342" w:rsidRDefault="00094A9B" w:rsidP="00A94805">
            <w:r w:rsidRPr="004C6342">
              <w:rPr>
                <w:rStyle w:val="Strong"/>
              </w:rPr>
              <w:t>105</w:t>
            </w:r>
          </w:p>
        </w:tc>
        <w:tc>
          <w:tcPr>
            <w:tcW w:w="0" w:type="auto"/>
            <w:vAlign w:val="center"/>
            <w:hideMark/>
          </w:tcPr>
          <w:p w:rsidR="00094A9B" w:rsidRPr="004C6342" w:rsidRDefault="00094A9B" w:rsidP="00A94805">
            <w:r w:rsidRPr="004C6342">
              <w:rPr>
                <w:rStyle w:val="Strong"/>
              </w:rPr>
              <w:t>505</w:t>
            </w:r>
          </w:p>
        </w:tc>
      </w:tr>
    </w:tbl>
    <w:p w:rsidR="00C65FA7" w:rsidRDefault="00C65FA7" w:rsidP="00C65FA7">
      <w:pPr>
        <w:jc w:val="both"/>
      </w:pPr>
      <w:r>
        <w:t xml:space="preserve">                                                 </w:t>
      </w:r>
    </w:p>
    <w:p w:rsidR="00C65FA7" w:rsidRDefault="00C65FA7" w:rsidP="00C65FA7">
      <w:pPr>
        <w:jc w:val="both"/>
        <w:rPr>
          <w:sz w:val="24"/>
          <w:szCs w:val="24"/>
        </w:rPr>
      </w:pPr>
      <w:r w:rsidRPr="00C65FA7">
        <w:rPr>
          <w:sz w:val="24"/>
          <w:szCs w:val="24"/>
        </w:rPr>
        <w:t xml:space="preserve">                                                 </w:t>
      </w:r>
    </w:p>
    <w:p w:rsidR="00094A9B" w:rsidRPr="00C65FA7" w:rsidRDefault="00C65FA7" w:rsidP="00C65FA7">
      <w:pPr>
        <w:jc w:val="both"/>
        <w:rPr>
          <w:rFonts w:eastAsia="Times New Roman"/>
          <w:sz w:val="24"/>
          <w:szCs w:val="24"/>
          <w:lang w:val="en-PH" w:eastAsia="en-PH"/>
        </w:rPr>
      </w:pPr>
      <w:r>
        <w:rPr>
          <w:sz w:val="24"/>
          <w:szCs w:val="24"/>
        </w:rPr>
        <w:t xml:space="preserve">                                                 </w:t>
      </w:r>
      <w:r w:rsidR="00094A9B" w:rsidRPr="00C65FA7">
        <w:rPr>
          <w:rFonts w:eastAsia="Times New Roman"/>
          <w:sz w:val="24"/>
          <w:szCs w:val="24"/>
          <w:lang w:val="en-PH" w:eastAsia="en-PH"/>
        </w:rPr>
        <w:t>505</w:t>
      </w:r>
    </w:p>
    <w:p w:rsidR="00094A9B" w:rsidRPr="00C65FA7" w:rsidRDefault="00094A9B" w:rsidP="00094A9B">
      <w:pPr>
        <w:jc w:val="left"/>
        <w:rPr>
          <w:rFonts w:eastAsia="Times New Roman"/>
          <w:sz w:val="24"/>
          <w:szCs w:val="24"/>
          <w:lang w:val="en-PH" w:eastAsia="en-PH"/>
        </w:rPr>
      </w:pPr>
      <w:r w:rsidRPr="00C65FA7">
        <w:rPr>
          <w:rFonts w:eastAsia="Times New Roman"/>
          <w:noProof/>
          <w:sz w:val="24"/>
          <w:szCs w:val="24"/>
          <w:lang w:val="en-PH" w:eastAsia="en-PH"/>
        </w:rPr>
        <mc:AlternateContent>
          <mc:Choice Requires="wps">
            <w:drawing>
              <wp:anchor distT="0" distB="0" distL="114300" distR="114300" simplePos="0" relativeHeight="251662336" behindDoc="0" locked="0" layoutInCell="1" allowOverlap="1">
                <wp:simplePos x="0" y="0"/>
                <wp:positionH relativeFrom="column">
                  <wp:posOffset>1675706</wp:posOffset>
                </wp:positionH>
                <wp:positionV relativeFrom="paragraph">
                  <wp:posOffset>88900</wp:posOffset>
                </wp:positionV>
                <wp:extent cx="606425" cy="0"/>
                <wp:effectExtent l="13970" t="9525" r="825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89FEF" id="Straight Arrow Connector 11" o:spid="_x0000_s1026" type="#_x0000_t32" style="position:absolute;margin-left:131.95pt;margin-top:7pt;width:4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"/>
            </w:pict>
          </mc:Fallback>
        </mc:AlternateContent>
      </w:r>
      <w:r w:rsidRPr="00C65FA7">
        <w:rPr>
          <w:rFonts w:eastAsia="Times New Roman"/>
          <w:sz w:val="24"/>
          <w:szCs w:val="24"/>
          <w:lang w:val="en-PH" w:eastAsia="en-PH"/>
        </w:rPr>
        <w:t xml:space="preserve">                             WM =                           = 4.81</w:t>
      </w:r>
    </w:p>
    <w:p w:rsidR="00094A9B" w:rsidRPr="00C65FA7" w:rsidRDefault="00094A9B" w:rsidP="00094A9B">
      <w:pPr>
        <w:jc w:val="left"/>
        <w:rPr>
          <w:rFonts w:eastAsia="Times New Roman"/>
          <w:sz w:val="24"/>
          <w:szCs w:val="24"/>
          <w:lang w:val="en-PH" w:eastAsia="en-PH"/>
        </w:rPr>
      </w:pPr>
      <w:r w:rsidRPr="00C65FA7">
        <w:rPr>
          <w:rFonts w:eastAsia="Times New Roman"/>
          <w:sz w:val="24"/>
          <w:szCs w:val="24"/>
          <w:lang w:val="en-PH" w:eastAsia="en-PH"/>
        </w:rPr>
        <w:t xml:space="preserve">                                                 105</w:t>
      </w:r>
    </w:p>
    <w:p w:rsidR="00094A9B" w:rsidRPr="00C65FA7" w:rsidRDefault="00094A9B" w:rsidP="00094A9B">
      <w:pPr>
        <w:pStyle w:val="NormalWeb"/>
        <w:spacing w:before="0" w:beforeAutospacing="0" w:after="0" w:afterAutospacing="0"/>
        <w:jc w:val="both"/>
      </w:pPr>
      <w:r w:rsidRPr="00C65FA7">
        <w:rPr>
          <w:rStyle w:val="Strong"/>
          <w:b w:val="0"/>
        </w:rPr>
        <w:t>Interpretation:</w:t>
      </w:r>
      <w:r w:rsidRPr="00C65FA7">
        <w:t xml:space="preserve"> </w:t>
      </w:r>
      <w:r w:rsidRPr="00C65FA7">
        <w:rPr>
          <w:rStyle w:val="Emphasis"/>
        </w:rPr>
        <w:t xml:space="preserve">Strongly Agree (Very High </w:t>
      </w:r>
      <w:r w:rsidR="000F5BC1" w:rsidRPr="00C65FA7">
        <w:rPr>
          <w:rStyle w:val="Emphasis"/>
        </w:rPr>
        <w:t>Agreement)</w:t>
      </w:r>
      <w:r w:rsidR="000F5BC1" w:rsidRPr="00C65FA7">
        <w:t xml:space="preserve"> </w:t>
      </w:r>
      <w:r w:rsidR="000F5BC1">
        <w:t>there</w:t>
      </w:r>
      <w:r w:rsidRPr="00C65FA7">
        <w:t xml:space="preserve"> is a clear recognition of the importance of cybersecurity, privacy protection, and operational safeguards.</w:t>
      </w:r>
    </w:p>
    <w:p w:rsidR="00094A9B" w:rsidRPr="00C65FA7" w:rsidRDefault="00094A9B" w:rsidP="00094A9B">
      <w:pPr>
        <w:pStyle w:val="NormalWeb"/>
        <w:spacing w:before="0" w:beforeAutospacing="0" w:after="0" w:afterAutospacing="0"/>
      </w:pPr>
    </w:p>
    <w:p w:rsidR="00094A9B" w:rsidRPr="00C65FA7" w:rsidRDefault="00094A9B" w:rsidP="00094A9B">
      <w:pPr>
        <w:pStyle w:val="NormalWeb"/>
        <w:spacing w:before="0" w:beforeAutospacing="0" w:after="0" w:afterAutospacing="0"/>
        <w:rPr>
          <w:rStyle w:val="Strong"/>
          <w:b w:val="0"/>
          <w:bCs w:val="0"/>
        </w:rPr>
      </w:pPr>
      <w:r w:rsidRPr="00C65FA7">
        <w:rPr>
          <w:rStyle w:val="Strong"/>
          <w:b w:val="0"/>
          <w:bCs w:val="0"/>
        </w:rPr>
        <w:t>4) Roles and Accountability</w:t>
      </w:r>
    </w:p>
    <w:p w:rsidR="00094A9B" w:rsidRDefault="00094A9B" w:rsidP="00094A9B">
      <w:pPr>
        <w:pStyle w:val="NormalWeb"/>
        <w:spacing w:before="0" w:beforeAutospacing="0" w:after="0" w:afterAutospacing="0"/>
        <w:rPr>
          <w:rStyle w:val="Strong"/>
          <w:b w:val="0"/>
          <w:bCs w:val="0"/>
          <w:sz w:val="20"/>
          <w:szCs w:val="20"/>
        </w:rPr>
      </w:pPr>
    </w:p>
    <w:p w:rsidR="00094A9B" w:rsidRPr="00C65FA7" w:rsidRDefault="00094A9B" w:rsidP="00094A9B">
      <w:pPr>
        <w:pStyle w:val="NormalWeb"/>
        <w:spacing w:before="0" w:beforeAutospacing="0" w:after="0" w:afterAutospacing="0"/>
        <w:jc w:val="center"/>
        <w:rPr>
          <w:b/>
          <w:iCs/>
          <w:sz w:val="20"/>
          <w:szCs w:val="20"/>
        </w:rPr>
      </w:pPr>
      <w:r w:rsidRPr="00C65FA7">
        <w:rPr>
          <w:b/>
          <w:bCs/>
          <w:sz w:val="20"/>
          <w:szCs w:val="20"/>
        </w:rPr>
        <w:t>Table 5</w:t>
      </w:r>
      <w:r w:rsidRPr="00C65FA7">
        <w:rPr>
          <w:b/>
          <w:sz w:val="20"/>
          <w:szCs w:val="20"/>
        </w:rPr>
        <w:t xml:space="preserve">. </w:t>
      </w:r>
      <w:r w:rsidRPr="00C65FA7">
        <w:rPr>
          <w:b/>
          <w:iCs/>
          <w:sz w:val="20"/>
          <w:szCs w:val="20"/>
        </w:rPr>
        <w:t xml:space="preserve">Weighted Mean Scores of </w:t>
      </w:r>
      <w:r w:rsidRPr="00C65FA7">
        <w:rPr>
          <w:rStyle w:val="Strong"/>
          <w:bCs w:val="0"/>
          <w:sz w:val="20"/>
          <w:szCs w:val="20"/>
        </w:rPr>
        <w:t>Roles and Accountability</w:t>
      </w:r>
      <w:r w:rsidRPr="00C65FA7">
        <w:rPr>
          <w:rStyle w:val="Strong"/>
          <w:b w:val="0"/>
          <w:bCs w:val="0"/>
          <w:sz w:val="20"/>
          <w:szCs w:val="20"/>
        </w:rPr>
        <w:t xml:space="preserve"> </w:t>
      </w:r>
      <w:r w:rsidRPr="00C65FA7">
        <w:rPr>
          <w:b/>
          <w:iCs/>
          <w:sz w:val="20"/>
          <w:szCs w:val="20"/>
        </w:rPr>
        <w:t>Governance Domain</w:t>
      </w:r>
    </w:p>
    <w:p w:rsidR="00094A9B" w:rsidRPr="00C65FA7" w:rsidRDefault="00094A9B" w:rsidP="00094A9B">
      <w:pPr>
        <w:pStyle w:val="NormalWeb"/>
        <w:spacing w:before="0" w:beforeAutospacing="0" w:after="0" w:afterAutospacing="0"/>
        <w:rPr>
          <w:sz w:val="20"/>
          <w:szCs w:val="20"/>
        </w:rPr>
      </w:pPr>
    </w:p>
    <w:tbl>
      <w:tblPr>
        <w:tblW w:w="0" w:type="auto"/>
        <w:jc w:val="center"/>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555"/>
        <w:gridCol w:w="1040"/>
        <w:gridCol w:w="1251"/>
        <w:gridCol w:w="530"/>
      </w:tblGrid>
      <w:tr w:rsidR="00094A9B" w:rsidTr="00A94805">
        <w:trPr>
          <w:tblHeader/>
          <w:tblCellSpacing w:w="15" w:type="dxa"/>
          <w:jc w:val="center"/>
        </w:trPr>
        <w:tc>
          <w:tcPr>
            <w:tcW w:w="0" w:type="auto"/>
            <w:vAlign w:val="center"/>
            <w:hideMark/>
          </w:tcPr>
          <w:p w:rsidR="00094A9B" w:rsidRDefault="00094A9B" w:rsidP="00A94805">
            <w:pPr>
              <w:rPr>
                <w:b/>
                <w:bCs/>
              </w:rPr>
            </w:pPr>
            <w:r>
              <w:rPr>
                <w:b/>
                <w:bCs/>
              </w:rPr>
              <w:t>Scale</w:t>
            </w:r>
          </w:p>
        </w:tc>
        <w:tc>
          <w:tcPr>
            <w:tcW w:w="0" w:type="auto"/>
            <w:vAlign w:val="center"/>
            <w:hideMark/>
          </w:tcPr>
          <w:p w:rsidR="00094A9B" w:rsidRDefault="00094A9B" w:rsidP="00A94805">
            <w:pPr>
              <w:rPr>
                <w:b/>
                <w:bCs/>
              </w:rPr>
            </w:pPr>
            <w:r>
              <w:rPr>
                <w:b/>
                <w:bCs/>
              </w:rPr>
              <w:t>Weight (w)</w:t>
            </w:r>
          </w:p>
        </w:tc>
        <w:tc>
          <w:tcPr>
            <w:tcW w:w="0" w:type="auto"/>
            <w:vAlign w:val="center"/>
            <w:hideMark/>
          </w:tcPr>
          <w:p w:rsidR="00094A9B" w:rsidRDefault="00094A9B" w:rsidP="00A94805">
            <w:pPr>
              <w:rPr>
                <w:b/>
                <w:bCs/>
              </w:rPr>
            </w:pPr>
            <w:r>
              <w:rPr>
                <w:b/>
                <w:bCs/>
              </w:rPr>
              <w:t>Frequency (f)</w:t>
            </w:r>
          </w:p>
        </w:tc>
        <w:tc>
          <w:tcPr>
            <w:tcW w:w="0" w:type="auto"/>
            <w:vAlign w:val="center"/>
            <w:hideMark/>
          </w:tcPr>
          <w:p w:rsidR="00094A9B" w:rsidRDefault="00094A9B" w:rsidP="00A94805">
            <w:pPr>
              <w:rPr>
                <w:b/>
                <w:bCs/>
              </w:rPr>
            </w:pPr>
            <w:r>
              <w:rPr>
                <w:b/>
                <w:bCs/>
              </w:rPr>
              <w:t>f × w</w:t>
            </w:r>
          </w:p>
        </w:tc>
      </w:tr>
      <w:tr w:rsidR="00094A9B" w:rsidTr="00A94805">
        <w:trPr>
          <w:tblCellSpacing w:w="15" w:type="dxa"/>
          <w:jc w:val="center"/>
        </w:trPr>
        <w:tc>
          <w:tcPr>
            <w:tcW w:w="0" w:type="auto"/>
            <w:vAlign w:val="center"/>
            <w:hideMark/>
          </w:tcPr>
          <w:p w:rsidR="00094A9B" w:rsidRDefault="00094A9B" w:rsidP="00A94805">
            <w:pPr>
              <w:jc w:val="left"/>
            </w:pPr>
            <w:r>
              <w:t>Strongly Agree</w:t>
            </w:r>
          </w:p>
        </w:tc>
        <w:tc>
          <w:tcPr>
            <w:tcW w:w="0" w:type="auto"/>
            <w:vAlign w:val="center"/>
            <w:hideMark/>
          </w:tcPr>
          <w:p w:rsidR="00094A9B" w:rsidRDefault="00094A9B" w:rsidP="00A94805">
            <w:r>
              <w:t>5</w:t>
            </w:r>
          </w:p>
        </w:tc>
        <w:tc>
          <w:tcPr>
            <w:tcW w:w="0" w:type="auto"/>
            <w:vAlign w:val="center"/>
            <w:hideMark/>
          </w:tcPr>
          <w:p w:rsidR="00094A9B" w:rsidRDefault="00094A9B" w:rsidP="00A94805">
            <w:r>
              <w:t>89</w:t>
            </w:r>
          </w:p>
        </w:tc>
        <w:tc>
          <w:tcPr>
            <w:tcW w:w="0" w:type="auto"/>
            <w:vAlign w:val="center"/>
            <w:hideMark/>
          </w:tcPr>
          <w:p w:rsidR="00094A9B" w:rsidRDefault="00094A9B" w:rsidP="00A94805">
            <w:r>
              <w:t>445</w:t>
            </w:r>
          </w:p>
        </w:tc>
      </w:tr>
      <w:tr w:rsidR="00094A9B" w:rsidTr="00A94805">
        <w:trPr>
          <w:tblCellSpacing w:w="15" w:type="dxa"/>
          <w:jc w:val="center"/>
        </w:trPr>
        <w:tc>
          <w:tcPr>
            <w:tcW w:w="0" w:type="auto"/>
            <w:vAlign w:val="center"/>
            <w:hideMark/>
          </w:tcPr>
          <w:p w:rsidR="00094A9B" w:rsidRDefault="00094A9B" w:rsidP="00A94805">
            <w:r>
              <w:t>Agree</w:t>
            </w:r>
          </w:p>
        </w:tc>
        <w:tc>
          <w:tcPr>
            <w:tcW w:w="0" w:type="auto"/>
            <w:vAlign w:val="center"/>
            <w:hideMark/>
          </w:tcPr>
          <w:p w:rsidR="00094A9B" w:rsidRDefault="00094A9B" w:rsidP="00A94805">
            <w:r>
              <w:t>4</w:t>
            </w:r>
          </w:p>
        </w:tc>
        <w:tc>
          <w:tcPr>
            <w:tcW w:w="0" w:type="auto"/>
            <w:vAlign w:val="center"/>
            <w:hideMark/>
          </w:tcPr>
          <w:p w:rsidR="00094A9B" w:rsidRDefault="00094A9B" w:rsidP="00A94805">
            <w:r>
              <w:t>14</w:t>
            </w:r>
          </w:p>
        </w:tc>
        <w:tc>
          <w:tcPr>
            <w:tcW w:w="0" w:type="auto"/>
            <w:vAlign w:val="center"/>
            <w:hideMark/>
          </w:tcPr>
          <w:p w:rsidR="00094A9B" w:rsidRDefault="00094A9B" w:rsidP="00A94805">
            <w:r>
              <w:t>56</w:t>
            </w:r>
          </w:p>
        </w:tc>
      </w:tr>
      <w:tr w:rsidR="00094A9B" w:rsidTr="00A94805">
        <w:trPr>
          <w:tblCellSpacing w:w="15" w:type="dxa"/>
          <w:jc w:val="center"/>
        </w:trPr>
        <w:tc>
          <w:tcPr>
            <w:tcW w:w="0" w:type="auto"/>
            <w:vAlign w:val="center"/>
            <w:hideMark/>
          </w:tcPr>
          <w:p w:rsidR="00094A9B" w:rsidRDefault="00094A9B" w:rsidP="00A94805">
            <w:r>
              <w:t>Neutral</w:t>
            </w:r>
          </w:p>
        </w:tc>
        <w:tc>
          <w:tcPr>
            <w:tcW w:w="0" w:type="auto"/>
            <w:vAlign w:val="center"/>
            <w:hideMark/>
          </w:tcPr>
          <w:p w:rsidR="00094A9B" w:rsidRDefault="00094A9B" w:rsidP="00A94805">
            <w:r>
              <w:t>3</w:t>
            </w:r>
          </w:p>
        </w:tc>
        <w:tc>
          <w:tcPr>
            <w:tcW w:w="0" w:type="auto"/>
            <w:vAlign w:val="center"/>
            <w:hideMark/>
          </w:tcPr>
          <w:p w:rsidR="00094A9B" w:rsidRDefault="00094A9B" w:rsidP="00A94805">
            <w:r>
              <w:t>2</w:t>
            </w:r>
          </w:p>
        </w:tc>
        <w:tc>
          <w:tcPr>
            <w:tcW w:w="0" w:type="auto"/>
            <w:vAlign w:val="center"/>
            <w:hideMark/>
          </w:tcPr>
          <w:p w:rsidR="00094A9B" w:rsidRDefault="00094A9B" w:rsidP="00A94805">
            <w:r>
              <w:t>6</w:t>
            </w:r>
          </w:p>
        </w:tc>
      </w:tr>
      <w:tr w:rsidR="00094A9B" w:rsidTr="00A94805">
        <w:trPr>
          <w:tblCellSpacing w:w="15" w:type="dxa"/>
          <w:jc w:val="center"/>
        </w:trPr>
        <w:tc>
          <w:tcPr>
            <w:tcW w:w="0" w:type="auto"/>
            <w:vAlign w:val="center"/>
            <w:hideMark/>
          </w:tcPr>
          <w:p w:rsidR="00094A9B" w:rsidRDefault="00094A9B" w:rsidP="00A94805">
            <w:r>
              <w:t>Disagree</w:t>
            </w:r>
          </w:p>
        </w:tc>
        <w:tc>
          <w:tcPr>
            <w:tcW w:w="0" w:type="auto"/>
            <w:vAlign w:val="center"/>
            <w:hideMark/>
          </w:tcPr>
          <w:p w:rsidR="00094A9B" w:rsidRDefault="00094A9B" w:rsidP="00A94805">
            <w:r>
              <w:t>2</w:t>
            </w:r>
          </w:p>
        </w:tc>
        <w:tc>
          <w:tcPr>
            <w:tcW w:w="0" w:type="auto"/>
            <w:vAlign w:val="center"/>
            <w:hideMark/>
          </w:tcPr>
          <w:p w:rsidR="00094A9B" w:rsidRDefault="00094A9B" w:rsidP="00A94805">
            <w:r>
              <w:t>0</w:t>
            </w:r>
          </w:p>
        </w:tc>
        <w:tc>
          <w:tcPr>
            <w:tcW w:w="0" w:type="auto"/>
            <w:vAlign w:val="center"/>
            <w:hideMark/>
          </w:tcPr>
          <w:p w:rsidR="00094A9B" w:rsidRDefault="00094A9B" w:rsidP="00A94805">
            <w:r>
              <w:t>0</w:t>
            </w:r>
          </w:p>
        </w:tc>
      </w:tr>
      <w:tr w:rsidR="00094A9B" w:rsidTr="00A94805">
        <w:trPr>
          <w:tblCellSpacing w:w="15" w:type="dxa"/>
          <w:jc w:val="center"/>
        </w:trPr>
        <w:tc>
          <w:tcPr>
            <w:tcW w:w="0" w:type="auto"/>
            <w:vAlign w:val="center"/>
            <w:hideMark/>
          </w:tcPr>
          <w:p w:rsidR="00094A9B" w:rsidRDefault="00094A9B" w:rsidP="00A94805">
            <w:r>
              <w:t>Strongly Disagree</w:t>
            </w:r>
          </w:p>
        </w:tc>
        <w:tc>
          <w:tcPr>
            <w:tcW w:w="0" w:type="auto"/>
            <w:vAlign w:val="center"/>
            <w:hideMark/>
          </w:tcPr>
          <w:p w:rsidR="00094A9B" w:rsidRDefault="00094A9B" w:rsidP="00A94805">
            <w:r>
              <w:t>1</w:t>
            </w:r>
          </w:p>
        </w:tc>
        <w:tc>
          <w:tcPr>
            <w:tcW w:w="0" w:type="auto"/>
            <w:vAlign w:val="center"/>
            <w:hideMark/>
          </w:tcPr>
          <w:p w:rsidR="00094A9B" w:rsidRDefault="00094A9B" w:rsidP="00A94805">
            <w:r>
              <w:t>0</w:t>
            </w:r>
          </w:p>
        </w:tc>
        <w:tc>
          <w:tcPr>
            <w:tcW w:w="0" w:type="auto"/>
            <w:vAlign w:val="center"/>
            <w:hideMark/>
          </w:tcPr>
          <w:p w:rsidR="00094A9B" w:rsidRDefault="00094A9B" w:rsidP="00A94805">
            <w:r>
              <w:t>0</w:t>
            </w:r>
          </w:p>
        </w:tc>
      </w:tr>
      <w:tr w:rsidR="00094A9B" w:rsidTr="00A94805">
        <w:trPr>
          <w:tblCellSpacing w:w="15" w:type="dxa"/>
          <w:jc w:val="center"/>
        </w:trPr>
        <w:tc>
          <w:tcPr>
            <w:tcW w:w="0" w:type="auto"/>
            <w:vAlign w:val="center"/>
            <w:hideMark/>
          </w:tcPr>
          <w:p w:rsidR="00094A9B" w:rsidRDefault="00094A9B" w:rsidP="00A94805">
            <w:r>
              <w:rPr>
                <w:rStyle w:val="Strong"/>
              </w:rPr>
              <w:t>Total</w:t>
            </w:r>
          </w:p>
        </w:tc>
        <w:tc>
          <w:tcPr>
            <w:tcW w:w="0" w:type="auto"/>
            <w:vAlign w:val="center"/>
            <w:hideMark/>
          </w:tcPr>
          <w:p w:rsidR="00094A9B" w:rsidRDefault="000F5BC1" w:rsidP="00A94805">
            <w:r>
              <w:t xml:space="preserve"> </w:t>
            </w:r>
          </w:p>
        </w:tc>
        <w:tc>
          <w:tcPr>
            <w:tcW w:w="0" w:type="auto"/>
            <w:vAlign w:val="center"/>
            <w:hideMark/>
          </w:tcPr>
          <w:p w:rsidR="00094A9B" w:rsidRDefault="00094A9B" w:rsidP="00A94805">
            <w:r>
              <w:rPr>
                <w:rStyle w:val="Strong"/>
              </w:rPr>
              <w:t>105</w:t>
            </w:r>
          </w:p>
        </w:tc>
        <w:tc>
          <w:tcPr>
            <w:tcW w:w="0" w:type="auto"/>
            <w:vAlign w:val="center"/>
            <w:hideMark/>
          </w:tcPr>
          <w:p w:rsidR="00094A9B" w:rsidRDefault="00094A9B" w:rsidP="00A94805">
            <w:r>
              <w:rPr>
                <w:rStyle w:val="Strong"/>
              </w:rPr>
              <w:t>507</w:t>
            </w:r>
          </w:p>
        </w:tc>
      </w:tr>
    </w:tbl>
    <w:p w:rsidR="00C65FA7" w:rsidRDefault="00C65FA7" w:rsidP="00C65FA7">
      <w:pPr>
        <w:jc w:val="both"/>
        <w:rPr>
          <w:rFonts w:eastAsia="Times New Roman"/>
          <w:lang w:val="en-PH" w:eastAsia="en-PH"/>
        </w:rPr>
      </w:pPr>
      <w:r>
        <w:rPr>
          <w:rFonts w:eastAsia="Times New Roman"/>
          <w:lang w:val="en-PH" w:eastAsia="en-PH"/>
        </w:rPr>
        <w:t xml:space="preserve">                                                 </w:t>
      </w:r>
    </w:p>
    <w:p w:rsidR="00094A9B" w:rsidRPr="00C65FA7" w:rsidRDefault="00C65FA7" w:rsidP="00C65FA7">
      <w:pPr>
        <w:jc w:val="both"/>
        <w:rPr>
          <w:rFonts w:eastAsia="Times New Roman"/>
          <w:sz w:val="24"/>
          <w:szCs w:val="24"/>
          <w:lang w:val="en-PH" w:eastAsia="en-PH"/>
        </w:rPr>
      </w:pPr>
      <w:r w:rsidRPr="00C65FA7">
        <w:rPr>
          <w:rFonts w:eastAsia="Times New Roman"/>
          <w:sz w:val="24"/>
          <w:szCs w:val="24"/>
          <w:lang w:val="en-PH" w:eastAsia="en-PH"/>
        </w:rPr>
        <w:t xml:space="preserve">                                                 </w:t>
      </w:r>
      <w:r w:rsidR="00094A9B" w:rsidRPr="00C65FA7">
        <w:rPr>
          <w:rFonts w:eastAsia="Times New Roman"/>
          <w:sz w:val="24"/>
          <w:szCs w:val="24"/>
          <w:lang w:val="en-PH" w:eastAsia="en-PH"/>
        </w:rPr>
        <w:t>507</w:t>
      </w:r>
    </w:p>
    <w:p w:rsidR="00094A9B" w:rsidRPr="00C65FA7" w:rsidRDefault="00094A9B" w:rsidP="00094A9B">
      <w:pPr>
        <w:jc w:val="left"/>
        <w:rPr>
          <w:rFonts w:eastAsia="Times New Roman"/>
          <w:sz w:val="24"/>
          <w:szCs w:val="24"/>
          <w:lang w:val="en-PH" w:eastAsia="en-PH"/>
        </w:rPr>
      </w:pPr>
      <w:r w:rsidRPr="00C65FA7">
        <w:rPr>
          <w:rFonts w:eastAsia="Times New Roman"/>
          <w:noProof/>
          <w:sz w:val="24"/>
          <w:szCs w:val="24"/>
          <w:lang w:val="en-PH" w:eastAsia="en-PH"/>
        </w:rPr>
        <mc:AlternateContent>
          <mc:Choice Requires="wps">
            <w:drawing>
              <wp:anchor distT="0" distB="0" distL="114300" distR="114300" simplePos="0" relativeHeight="251660288" behindDoc="0" locked="0" layoutInCell="1" allowOverlap="1">
                <wp:simplePos x="0" y="0"/>
                <wp:positionH relativeFrom="column">
                  <wp:posOffset>1668444</wp:posOffset>
                </wp:positionH>
                <wp:positionV relativeFrom="paragraph">
                  <wp:posOffset>88900</wp:posOffset>
                </wp:positionV>
                <wp:extent cx="606425" cy="0"/>
                <wp:effectExtent l="13970" t="8255" r="8255" b="1079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1F987" id="Straight Arrow Connector 10" o:spid="_x0000_s1026" type="#_x0000_t32" style="position:absolute;margin-left:131.35pt;margin-top:7pt;width:4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"/>
            </w:pict>
          </mc:Fallback>
        </mc:AlternateContent>
      </w:r>
      <w:r w:rsidRPr="00C65FA7">
        <w:rPr>
          <w:rFonts w:eastAsia="Times New Roman"/>
          <w:sz w:val="24"/>
          <w:szCs w:val="24"/>
          <w:lang w:val="en-PH" w:eastAsia="en-PH"/>
        </w:rPr>
        <w:t xml:space="preserve">                             WM =                           = 4.83</w:t>
      </w:r>
    </w:p>
    <w:p w:rsidR="00094A9B" w:rsidRPr="00C65FA7" w:rsidRDefault="00094A9B" w:rsidP="00094A9B">
      <w:pPr>
        <w:jc w:val="left"/>
        <w:rPr>
          <w:rFonts w:eastAsia="Times New Roman"/>
          <w:sz w:val="24"/>
          <w:szCs w:val="24"/>
          <w:lang w:val="en-PH" w:eastAsia="en-PH"/>
        </w:rPr>
      </w:pPr>
      <w:r w:rsidRPr="00C65FA7">
        <w:rPr>
          <w:rFonts w:eastAsia="Times New Roman"/>
          <w:sz w:val="24"/>
          <w:szCs w:val="24"/>
          <w:lang w:val="en-PH" w:eastAsia="en-PH"/>
        </w:rPr>
        <w:t xml:space="preserve">                                                 105</w:t>
      </w:r>
    </w:p>
    <w:p w:rsidR="00C65FA7" w:rsidRDefault="00C65FA7" w:rsidP="00094A9B">
      <w:pPr>
        <w:jc w:val="left"/>
        <w:rPr>
          <w:rFonts w:eastAsia="Times New Roman"/>
          <w:lang w:val="en-PH" w:eastAsia="en-PH"/>
        </w:rPr>
      </w:pPr>
    </w:p>
    <w:p w:rsidR="00094A9B" w:rsidRPr="00C65FA7" w:rsidRDefault="00094A9B" w:rsidP="00094A9B">
      <w:pPr>
        <w:jc w:val="both"/>
        <w:rPr>
          <w:rFonts w:eastAsia="Times New Roman"/>
          <w:sz w:val="24"/>
          <w:szCs w:val="24"/>
          <w:lang w:val="en-PH" w:eastAsia="en-PH"/>
        </w:rPr>
      </w:pPr>
      <w:r w:rsidRPr="00C65FA7">
        <w:rPr>
          <w:rStyle w:val="Strong"/>
          <w:b w:val="0"/>
          <w:sz w:val="24"/>
          <w:szCs w:val="24"/>
        </w:rPr>
        <w:t>Interpretation:</w:t>
      </w:r>
      <w:r w:rsidRPr="00C65FA7">
        <w:rPr>
          <w:sz w:val="24"/>
          <w:szCs w:val="24"/>
        </w:rPr>
        <w:t xml:space="preserve"> </w:t>
      </w:r>
      <w:r w:rsidRPr="00C65FA7">
        <w:rPr>
          <w:rStyle w:val="Emphasis"/>
          <w:sz w:val="24"/>
          <w:szCs w:val="24"/>
        </w:rPr>
        <w:t xml:space="preserve">Strongly Agree (Very High </w:t>
      </w:r>
      <w:r w:rsidR="000F5BC1" w:rsidRPr="00C65FA7">
        <w:rPr>
          <w:rStyle w:val="Emphasis"/>
          <w:sz w:val="24"/>
          <w:szCs w:val="24"/>
        </w:rPr>
        <w:t>Agreement)</w:t>
      </w:r>
      <w:r w:rsidR="000F5BC1" w:rsidRPr="00C65FA7">
        <w:rPr>
          <w:sz w:val="24"/>
          <w:szCs w:val="24"/>
        </w:rPr>
        <w:t xml:space="preserve"> </w:t>
      </w:r>
      <w:r w:rsidR="000F5BC1">
        <w:rPr>
          <w:sz w:val="24"/>
          <w:szCs w:val="24"/>
        </w:rPr>
        <w:t>Clear</w:t>
      </w:r>
      <w:r w:rsidRPr="00C65FA7">
        <w:rPr>
          <w:sz w:val="24"/>
          <w:szCs w:val="24"/>
        </w:rPr>
        <w:t xml:space="preserve"> delineation of roles and accountability mechanisms are critical to ensure integrity in academic recordkeeping.</w:t>
      </w:r>
    </w:p>
    <w:p w:rsidR="00094A9B" w:rsidRPr="00C65FA7" w:rsidRDefault="00094A9B" w:rsidP="00094A9B">
      <w:pPr>
        <w:pStyle w:val="NormalWeb"/>
        <w:jc w:val="both"/>
        <w:rPr>
          <w:rStyle w:val="Strong"/>
          <w:b w:val="0"/>
          <w:bCs w:val="0"/>
        </w:rPr>
      </w:pPr>
      <w:r w:rsidRPr="00C65FA7">
        <w:rPr>
          <w:rStyle w:val="Strong"/>
          <w:b w:val="0"/>
          <w:bCs w:val="0"/>
        </w:rPr>
        <w:t>5) Performance and Compliance Monitoring</w:t>
      </w:r>
    </w:p>
    <w:p w:rsidR="00094A9B" w:rsidRDefault="00094A9B" w:rsidP="00094A9B">
      <w:pPr>
        <w:pStyle w:val="NormalWeb"/>
        <w:spacing w:before="0" w:beforeAutospacing="0" w:after="0" w:afterAutospacing="0"/>
        <w:jc w:val="center"/>
        <w:rPr>
          <w:b/>
          <w:bCs/>
          <w:sz w:val="16"/>
          <w:szCs w:val="16"/>
        </w:rPr>
      </w:pPr>
    </w:p>
    <w:p w:rsidR="00094A9B" w:rsidRPr="00C65FA7" w:rsidRDefault="00094A9B" w:rsidP="00094A9B">
      <w:pPr>
        <w:pStyle w:val="NormalWeb"/>
        <w:spacing w:before="0" w:beforeAutospacing="0" w:after="0" w:afterAutospacing="0"/>
        <w:jc w:val="center"/>
        <w:rPr>
          <w:b/>
          <w:iCs/>
          <w:sz w:val="20"/>
          <w:szCs w:val="20"/>
        </w:rPr>
      </w:pPr>
      <w:r w:rsidRPr="00C65FA7">
        <w:rPr>
          <w:b/>
          <w:bCs/>
          <w:sz w:val="20"/>
          <w:szCs w:val="20"/>
        </w:rPr>
        <w:t>Table 6.</w:t>
      </w:r>
      <w:r w:rsidRPr="00C65FA7">
        <w:rPr>
          <w:b/>
          <w:sz w:val="20"/>
          <w:szCs w:val="20"/>
        </w:rPr>
        <w:t xml:space="preserve"> </w:t>
      </w:r>
      <w:r w:rsidRPr="00C65FA7">
        <w:rPr>
          <w:b/>
          <w:iCs/>
          <w:sz w:val="20"/>
          <w:szCs w:val="20"/>
        </w:rPr>
        <w:t xml:space="preserve">Weighted Mean Scores of </w:t>
      </w:r>
      <w:r w:rsidRPr="00C65FA7">
        <w:rPr>
          <w:rStyle w:val="Strong"/>
          <w:bCs w:val="0"/>
          <w:sz w:val="20"/>
          <w:szCs w:val="20"/>
        </w:rPr>
        <w:t>Performance and Compliance Monitoring</w:t>
      </w:r>
      <w:r w:rsidRPr="00C65FA7">
        <w:rPr>
          <w:rStyle w:val="Strong"/>
          <w:b w:val="0"/>
          <w:bCs w:val="0"/>
          <w:sz w:val="20"/>
          <w:szCs w:val="20"/>
        </w:rPr>
        <w:t xml:space="preserve"> </w:t>
      </w:r>
      <w:r w:rsidRPr="00C65FA7">
        <w:rPr>
          <w:b/>
          <w:iCs/>
          <w:sz w:val="20"/>
          <w:szCs w:val="20"/>
        </w:rPr>
        <w:t>Governance Domain</w:t>
      </w:r>
    </w:p>
    <w:p w:rsidR="00094A9B" w:rsidRPr="00062BF6" w:rsidRDefault="00094A9B" w:rsidP="00094A9B">
      <w:pPr>
        <w:pStyle w:val="NormalWeb"/>
        <w:spacing w:before="0" w:beforeAutospacing="0" w:after="0" w:afterAutospacing="0"/>
        <w:jc w:val="center"/>
        <w:rPr>
          <w:b/>
          <w:iCs/>
          <w:sz w:val="16"/>
          <w:szCs w:val="16"/>
        </w:rPr>
      </w:pPr>
    </w:p>
    <w:tbl>
      <w:tblPr>
        <w:tblW w:w="0" w:type="auto"/>
        <w:jc w:val="center"/>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555"/>
        <w:gridCol w:w="1040"/>
        <w:gridCol w:w="1251"/>
        <w:gridCol w:w="892"/>
      </w:tblGrid>
      <w:tr w:rsidR="00094A9B" w:rsidTr="00C65FA7">
        <w:trPr>
          <w:tblHeader/>
          <w:tblCellSpacing w:w="15" w:type="dxa"/>
          <w:jc w:val="center"/>
        </w:trPr>
        <w:tc>
          <w:tcPr>
            <w:tcW w:w="0" w:type="auto"/>
            <w:vAlign w:val="center"/>
            <w:hideMark/>
          </w:tcPr>
          <w:p w:rsidR="00094A9B" w:rsidRDefault="00094A9B" w:rsidP="00A94805">
            <w:pPr>
              <w:rPr>
                <w:b/>
                <w:bCs/>
              </w:rPr>
            </w:pPr>
            <w:r>
              <w:rPr>
                <w:b/>
                <w:bCs/>
              </w:rPr>
              <w:t>Scale</w:t>
            </w:r>
          </w:p>
        </w:tc>
        <w:tc>
          <w:tcPr>
            <w:tcW w:w="0" w:type="auto"/>
            <w:vAlign w:val="center"/>
            <w:hideMark/>
          </w:tcPr>
          <w:p w:rsidR="00094A9B" w:rsidRDefault="00094A9B" w:rsidP="00A94805">
            <w:pPr>
              <w:rPr>
                <w:b/>
                <w:bCs/>
              </w:rPr>
            </w:pPr>
            <w:r>
              <w:rPr>
                <w:b/>
                <w:bCs/>
              </w:rPr>
              <w:t>Weight (w)</w:t>
            </w:r>
          </w:p>
        </w:tc>
        <w:tc>
          <w:tcPr>
            <w:tcW w:w="0" w:type="auto"/>
            <w:vAlign w:val="center"/>
            <w:hideMark/>
          </w:tcPr>
          <w:p w:rsidR="00094A9B" w:rsidRDefault="00094A9B" w:rsidP="00A94805">
            <w:pPr>
              <w:rPr>
                <w:b/>
                <w:bCs/>
              </w:rPr>
            </w:pPr>
            <w:r>
              <w:rPr>
                <w:b/>
                <w:bCs/>
              </w:rPr>
              <w:t>Frequency (f)</w:t>
            </w:r>
          </w:p>
        </w:tc>
        <w:tc>
          <w:tcPr>
            <w:tcW w:w="847" w:type="dxa"/>
            <w:vAlign w:val="center"/>
            <w:hideMark/>
          </w:tcPr>
          <w:p w:rsidR="00094A9B" w:rsidRDefault="00094A9B" w:rsidP="00A94805">
            <w:pPr>
              <w:rPr>
                <w:b/>
                <w:bCs/>
              </w:rPr>
            </w:pPr>
            <w:r>
              <w:rPr>
                <w:b/>
                <w:bCs/>
              </w:rPr>
              <w:t>f × w</w:t>
            </w:r>
          </w:p>
        </w:tc>
      </w:tr>
      <w:tr w:rsidR="00094A9B" w:rsidTr="00C65FA7">
        <w:trPr>
          <w:tblCellSpacing w:w="15" w:type="dxa"/>
          <w:jc w:val="center"/>
        </w:trPr>
        <w:tc>
          <w:tcPr>
            <w:tcW w:w="0" w:type="auto"/>
            <w:vAlign w:val="center"/>
            <w:hideMark/>
          </w:tcPr>
          <w:p w:rsidR="00094A9B" w:rsidRDefault="00094A9B" w:rsidP="00A94805">
            <w:pPr>
              <w:jc w:val="left"/>
            </w:pPr>
            <w:r>
              <w:t>Strongly Agree</w:t>
            </w:r>
          </w:p>
        </w:tc>
        <w:tc>
          <w:tcPr>
            <w:tcW w:w="0" w:type="auto"/>
            <w:vAlign w:val="center"/>
            <w:hideMark/>
          </w:tcPr>
          <w:p w:rsidR="00094A9B" w:rsidRDefault="00094A9B" w:rsidP="00A94805">
            <w:r>
              <w:t>5</w:t>
            </w:r>
          </w:p>
        </w:tc>
        <w:tc>
          <w:tcPr>
            <w:tcW w:w="0" w:type="auto"/>
            <w:vAlign w:val="center"/>
            <w:hideMark/>
          </w:tcPr>
          <w:p w:rsidR="00094A9B" w:rsidRDefault="00094A9B" w:rsidP="00A94805">
            <w:r>
              <w:t>90</w:t>
            </w:r>
          </w:p>
        </w:tc>
        <w:tc>
          <w:tcPr>
            <w:tcW w:w="847" w:type="dxa"/>
            <w:vAlign w:val="center"/>
            <w:hideMark/>
          </w:tcPr>
          <w:p w:rsidR="00094A9B" w:rsidRDefault="00094A9B" w:rsidP="00A94805">
            <w:r>
              <w:t>450</w:t>
            </w:r>
          </w:p>
        </w:tc>
      </w:tr>
      <w:tr w:rsidR="00094A9B" w:rsidTr="00C65FA7">
        <w:trPr>
          <w:tblCellSpacing w:w="15" w:type="dxa"/>
          <w:jc w:val="center"/>
        </w:trPr>
        <w:tc>
          <w:tcPr>
            <w:tcW w:w="0" w:type="auto"/>
            <w:vAlign w:val="center"/>
            <w:hideMark/>
          </w:tcPr>
          <w:p w:rsidR="00094A9B" w:rsidRDefault="00094A9B" w:rsidP="00A94805">
            <w:r>
              <w:t>Agree</w:t>
            </w:r>
          </w:p>
        </w:tc>
        <w:tc>
          <w:tcPr>
            <w:tcW w:w="0" w:type="auto"/>
            <w:vAlign w:val="center"/>
            <w:hideMark/>
          </w:tcPr>
          <w:p w:rsidR="00094A9B" w:rsidRDefault="00094A9B" w:rsidP="00A94805">
            <w:r>
              <w:t>4</w:t>
            </w:r>
          </w:p>
        </w:tc>
        <w:tc>
          <w:tcPr>
            <w:tcW w:w="0" w:type="auto"/>
            <w:vAlign w:val="center"/>
            <w:hideMark/>
          </w:tcPr>
          <w:p w:rsidR="00094A9B" w:rsidRDefault="00094A9B" w:rsidP="00A94805">
            <w:r>
              <w:t>14</w:t>
            </w:r>
          </w:p>
        </w:tc>
        <w:tc>
          <w:tcPr>
            <w:tcW w:w="847" w:type="dxa"/>
            <w:vAlign w:val="center"/>
            <w:hideMark/>
          </w:tcPr>
          <w:p w:rsidR="00094A9B" w:rsidRDefault="00094A9B" w:rsidP="00A94805">
            <w:r>
              <w:t>56</w:t>
            </w:r>
          </w:p>
        </w:tc>
      </w:tr>
      <w:tr w:rsidR="00094A9B" w:rsidTr="00C65FA7">
        <w:trPr>
          <w:tblCellSpacing w:w="15" w:type="dxa"/>
          <w:jc w:val="center"/>
        </w:trPr>
        <w:tc>
          <w:tcPr>
            <w:tcW w:w="0" w:type="auto"/>
            <w:vAlign w:val="center"/>
            <w:hideMark/>
          </w:tcPr>
          <w:p w:rsidR="00094A9B" w:rsidRDefault="00094A9B" w:rsidP="00A94805">
            <w:r>
              <w:t>Neutral</w:t>
            </w:r>
          </w:p>
        </w:tc>
        <w:tc>
          <w:tcPr>
            <w:tcW w:w="0" w:type="auto"/>
            <w:vAlign w:val="center"/>
            <w:hideMark/>
          </w:tcPr>
          <w:p w:rsidR="00094A9B" w:rsidRDefault="00094A9B" w:rsidP="00A94805">
            <w:r>
              <w:t>3</w:t>
            </w:r>
          </w:p>
        </w:tc>
        <w:tc>
          <w:tcPr>
            <w:tcW w:w="0" w:type="auto"/>
            <w:vAlign w:val="center"/>
            <w:hideMark/>
          </w:tcPr>
          <w:p w:rsidR="00094A9B" w:rsidRDefault="00094A9B" w:rsidP="00A94805">
            <w:r>
              <w:t>1</w:t>
            </w:r>
          </w:p>
        </w:tc>
        <w:tc>
          <w:tcPr>
            <w:tcW w:w="847" w:type="dxa"/>
            <w:vAlign w:val="center"/>
            <w:hideMark/>
          </w:tcPr>
          <w:p w:rsidR="00094A9B" w:rsidRDefault="00094A9B" w:rsidP="00A94805">
            <w:r>
              <w:t>3</w:t>
            </w:r>
          </w:p>
        </w:tc>
      </w:tr>
      <w:tr w:rsidR="00094A9B" w:rsidTr="00C65FA7">
        <w:trPr>
          <w:tblCellSpacing w:w="15" w:type="dxa"/>
          <w:jc w:val="center"/>
        </w:trPr>
        <w:tc>
          <w:tcPr>
            <w:tcW w:w="0" w:type="auto"/>
            <w:vAlign w:val="center"/>
            <w:hideMark/>
          </w:tcPr>
          <w:p w:rsidR="00094A9B" w:rsidRDefault="00094A9B" w:rsidP="00A94805">
            <w:r>
              <w:t>Disagree</w:t>
            </w:r>
          </w:p>
        </w:tc>
        <w:tc>
          <w:tcPr>
            <w:tcW w:w="0" w:type="auto"/>
            <w:vAlign w:val="center"/>
            <w:hideMark/>
          </w:tcPr>
          <w:p w:rsidR="00094A9B" w:rsidRDefault="00094A9B" w:rsidP="00A94805">
            <w:r>
              <w:t>2</w:t>
            </w:r>
          </w:p>
        </w:tc>
        <w:tc>
          <w:tcPr>
            <w:tcW w:w="0" w:type="auto"/>
            <w:vAlign w:val="center"/>
            <w:hideMark/>
          </w:tcPr>
          <w:p w:rsidR="00094A9B" w:rsidRDefault="00094A9B" w:rsidP="00A94805">
            <w:r>
              <w:t>0</w:t>
            </w:r>
          </w:p>
        </w:tc>
        <w:tc>
          <w:tcPr>
            <w:tcW w:w="847" w:type="dxa"/>
            <w:vAlign w:val="center"/>
            <w:hideMark/>
          </w:tcPr>
          <w:p w:rsidR="00094A9B" w:rsidRDefault="00094A9B" w:rsidP="00A94805">
            <w:r>
              <w:t>0</w:t>
            </w:r>
          </w:p>
        </w:tc>
      </w:tr>
      <w:tr w:rsidR="00094A9B" w:rsidTr="00C65FA7">
        <w:trPr>
          <w:tblCellSpacing w:w="15" w:type="dxa"/>
          <w:jc w:val="center"/>
        </w:trPr>
        <w:tc>
          <w:tcPr>
            <w:tcW w:w="0" w:type="auto"/>
            <w:vAlign w:val="center"/>
            <w:hideMark/>
          </w:tcPr>
          <w:p w:rsidR="00094A9B" w:rsidRDefault="00094A9B" w:rsidP="00A94805">
            <w:r>
              <w:t>Strongly Disagree</w:t>
            </w:r>
          </w:p>
        </w:tc>
        <w:tc>
          <w:tcPr>
            <w:tcW w:w="0" w:type="auto"/>
            <w:vAlign w:val="center"/>
            <w:hideMark/>
          </w:tcPr>
          <w:p w:rsidR="00094A9B" w:rsidRDefault="00094A9B" w:rsidP="00A94805">
            <w:r>
              <w:t>1</w:t>
            </w:r>
          </w:p>
        </w:tc>
        <w:tc>
          <w:tcPr>
            <w:tcW w:w="0" w:type="auto"/>
            <w:vAlign w:val="center"/>
            <w:hideMark/>
          </w:tcPr>
          <w:p w:rsidR="00094A9B" w:rsidRDefault="00094A9B" w:rsidP="00A94805">
            <w:r>
              <w:t>0</w:t>
            </w:r>
          </w:p>
        </w:tc>
        <w:tc>
          <w:tcPr>
            <w:tcW w:w="847" w:type="dxa"/>
            <w:vAlign w:val="center"/>
            <w:hideMark/>
          </w:tcPr>
          <w:p w:rsidR="00094A9B" w:rsidRDefault="00094A9B" w:rsidP="00A94805">
            <w:r>
              <w:t>0</w:t>
            </w:r>
          </w:p>
        </w:tc>
      </w:tr>
      <w:tr w:rsidR="00094A9B" w:rsidTr="00C65FA7">
        <w:trPr>
          <w:tblCellSpacing w:w="15" w:type="dxa"/>
          <w:jc w:val="center"/>
        </w:trPr>
        <w:tc>
          <w:tcPr>
            <w:tcW w:w="0" w:type="auto"/>
            <w:vAlign w:val="center"/>
            <w:hideMark/>
          </w:tcPr>
          <w:p w:rsidR="00094A9B" w:rsidRDefault="00094A9B" w:rsidP="00A94805">
            <w:r>
              <w:rPr>
                <w:rStyle w:val="Strong"/>
              </w:rPr>
              <w:t>Total</w:t>
            </w:r>
          </w:p>
        </w:tc>
        <w:tc>
          <w:tcPr>
            <w:tcW w:w="0" w:type="auto"/>
            <w:vAlign w:val="center"/>
            <w:hideMark/>
          </w:tcPr>
          <w:p w:rsidR="00094A9B" w:rsidRDefault="000F5BC1" w:rsidP="00A94805">
            <w:r>
              <w:t xml:space="preserve"> </w:t>
            </w:r>
          </w:p>
        </w:tc>
        <w:tc>
          <w:tcPr>
            <w:tcW w:w="0" w:type="auto"/>
            <w:vAlign w:val="center"/>
            <w:hideMark/>
          </w:tcPr>
          <w:p w:rsidR="00094A9B" w:rsidRDefault="00094A9B" w:rsidP="00A94805">
            <w:r>
              <w:rPr>
                <w:rStyle w:val="Strong"/>
              </w:rPr>
              <w:t>105</w:t>
            </w:r>
          </w:p>
        </w:tc>
        <w:tc>
          <w:tcPr>
            <w:tcW w:w="847" w:type="dxa"/>
            <w:vAlign w:val="center"/>
            <w:hideMark/>
          </w:tcPr>
          <w:p w:rsidR="00094A9B" w:rsidRDefault="00094A9B" w:rsidP="00A94805">
            <w:r>
              <w:rPr>
                <w:rStyle w:val="Strong"/>
              </w:rPr>
              <w:t>509</w:t>
            </w:r>
          </w:p>
        </w:tc>
      </w:tr>
    </w:tbl>
    <w:p w:rsidR="00C65FA7" w:rsidRDefault="00C65FA7" w:rsidP="00C65FA7">
      <w:pPr>
        <w:jc w:val="both"/>
        <w:rPr>
          <w:rFonts w:eastAsia="Times New Roman"/>
          <w:sz w:val="24"/>
          <w:szCs w:val="24"/>
          <w:lang w:val="en-PH" w:eastAsia="en-PH"/>
        </w:rPr>
      </w:pPr>
      <w:r>
        <w:rPr>
          <w:rFonts w:eastAsia="Times New Roman"/>
          <w:sz w:val="24"/>
          <w:szCs w:val="24"/>
          <w:lang w:val="en-PH" w:eastAsia="en-PH"/>
        </w:rPr>
        <w:t xml:space="preserve">                                                </w:t>
      </w:r>
      <w:r w:rsidR="00094A9B" w:rsidRPr="00C65FA7">
        <w:rPr>
          <w:rFonts w:eastAsia="Times New Roman"/>
          <w:sz w:val="24"/>
          <w:szCs w:val="24"/>
          <w:lang w:val="en-PH" w:eastAsia="en-PH"/>
        </w:rPr>
        <w:t xml:space="preserve"> </w:t>
      </w:r>
    </w:p>
    <w:p w:rsidR="00094A9B" w:rsidRPr="00C65FA7" w:rsidRDefault="00C65FA7" w:rsidP="00C65FA7">
      <w:pPr>
        <w:jc w:val="both"/>
        <w:rPr>
          <w:rFonts w:eastAsia="Times New Roman"/>
          <w:sz w:val="24"/>
          <w:szCs w:val="24"/>
          <w:lang w:val="en-PH" w:eastAsia="en-PH"/>
        </w:rPr>
      </w:pPr>
      <w:r>
        <w:rPr>
          <w:rFonts w:eastAsia="Times New Roman"/>
          <w:sz w:val="24"/>
          <w:szCs w:val="24"/>
          <w:lang w:val="en-PH" w:eastAsia="en-PH"/>
        </w:rPr>
        <w:t xml:space="preserve">                                                  </w:t>
      </w:r>
      <w:r w:rsidR="00094A9B" w:rsidRPr="00C65FA7">
        <w:rPr>
          <w:rFonts w:eastAsia="Times New Roman"/>
          <w:sz w:val="24"/>
          <w:szCs w:val="24"/>
          <w:lang w:val="en-PH" w:eastAsia="en-PH"/>
        </w:rPr>
        <w:t>509</w:t>
      </w:r>
    </w:p>
    <w:p w:rsidR="00094A9B" w:rsidRPr="00C65FA7" w:rsidRDefault="00094A9B" w:rsidP="00094A9B">
      <w:pPr>
        <w:jc w:val="left"/>
        <w:rPr>
          <w:rFonts w:eastAsia="Times New Roman"/>
          <w:sz w:val="24"/>
          <w:szCs w:val="24"/>
          <w:lang w:val="en-PH" w:eastAsia="en-PH"/>
        </w:rPr>
      </w:pPr>
      <w:r w:rsidRPr="00C65FA7">
        <w:rPr>
          <w:rFonts w:eastAsia="Times New Roman"/>
          <w:noProof/>
          <w:sz w:val="24"/>
          <w:szCs w:val="24"/>
          <w:lang w:val="en-PH" w:eastAsia="en-PH"/>
        </w:rPr>
        <mc:AlternateContent>
          <mc:Choice Requires="wps">
            <w:drawing>
              <wp:anchor distT="0" distB="0" distL="114300" distR="114300" simplePos="0" relativeHeight="251663360" behindDoc="0" locked="0" layoutInCell="1" allowOverlap="1">
                <wp:simplePos x="0" y="0"/>
                <wp:positionH relativeFrom="column">
                  <wp:posOffset>1668444</wp:posOffset>
                </wp:positionH>
                <wp:positionV relativeFrom="paragraph">
                  <wp:posOffset>88900</wp:posOffset>
                </wp:positionV>
                <wp:extent cx="606425" cy="0"/>
                <wp:effectExtent l="13970" t="12065" r="8255"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D39F0" id="Straight Arrow Connector 9" o:spid="_x0000_s1026" type="#_x0000_t32" style="position:absolute;margin-left:131.35pt;margin-top:7pt;width:47.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"/>
            </w:pict>
          </mc:Fallback>
        </mc:AlternateContent>
      </w:r>
      <w:r w:rsidRPr="00C65FA7">
        <w:rPr>
          <w:rFonts w:eastAsia="Times New Roman"/>
          <w:sz w:val="24"/>
          <w:szCs w:val="24"/>
          <w:lang w:val="en-PH" w:eastAsia="en-PH"/>
        </w:rPr>
        <w:t xml:space="preserve">                             WM =                           = 4.85</w:t>
      </w:r>
    </w:p>
    <w:p w:rsidR="00094A9B" w:rsidRDefault="00094A9B" w:rsidP="00094A9B">
      <w:pPr>
        <w:jc w:val="left"/>
        <w:rPr>
          <w:rFonts w:eastAsia="Times New Roman"/>
          <w:sz w:val="24"/>
          <w:szCs w:val="24"/>
          <w:lang w:val="en-PH" w:eastAsia="en-PH"/>
        </w:rPr>
      </w:pPr>
      <w:r w:rsidRPr="00C65FA7">
        <w:rPr>
          <w:rFonts w:eastAsia="Times New Roman"/>
          <w:sz w:val="24"/>
          <w:szCs w:val="24"/>
          <w:lang w:val="en-PH" w:eastAsia="en-PH"/>
        </w:rPr>
        <w:lastRenderedPageBreak/>
        <w:t xml:space="preserve">                                                 105</w:t>
      </w:r>
    </w:p>
    <w:p w:rsidR="000F5BC1" w:rsidRPr="00C65FA7" w:rsidRDefault="000F5BC1" w:rsidP="00094A9B">
      <w:pPr>
        <w:jc w:val="left"/>
        <w:rPr>
          <w:rStyle w:val="Strong"/>
          <w:rFonts w:eastAsia="Times New Roman"/>
          <w:b w:val="0"/>
          <w:bCs w:val="0"/>
          <w:sz w:val="24"/>
          <w:szCs w:val="24"/>
          <w:lang w:val="en-PH" w:eastAsia="en-PH"/>
        </w:rPr>
      </w:pPr>
    </w:p>
    <w:p w:rsidR="00094A9B" w:rsidRPr="00C65FA7" w:rsidRDefault="00094A9B" w:rsidP="00094A9B">
      <w:pPr>
        <w:pStyle w:val="NormalWeb"/>
        <w:spacing w:before="0" w:beforeAutospacing="0" w:after="0" w:afterAutospacing="0"/>
        <w:jc w:val="both"/>
      </w:pPr>
      <w:r w:rsidRPr="00C65FA7">
        <w:rPr>
          <w:rStyle w:val="Strong"/>
          <w:b w:val="0"/>
        </w:rPr>
        <w:t>Interpretation:</w:t>
      </w:r>
      <w:r w:rsidRPr="00C65FA7">
        <w:t xml:space="preserve"> </w:t>
      </w:r>
      <w:r w:rsidRPr="00C65FA7">
        <w:rPr>
          <w:rStyle w:val="Emphasis"/>
        </w:rPr>
        <w:t xml:space="preserve">Strongly Agree (Very High </w:t>
      </w:r>
      <w:r w:rsidR="000F5BC1" w:rsidRPr="00C65FA7">
        <w:rPr>
          <w:rStyle w:val="Emphasis"/>
        </w:rPr>
        <w:t>Agreement)</w:t>
      </w:r>
      <w:r w:rsidR="000F5BC1" w:rsidRPr="00C65FA7">
        <w:t xml:space="preserve"> </w:t>
      </w:r>
      <w:r w:rsidR="000F5BC1">
        <w:t>Continuous</w:t>
      </w:r>
      <w:r w:rsidRPr="00C65FA7">
        <w:t xml:space="preserve"> performance evaluation and compliance monitoring are viewed as vital for maintaining information integrity.</w:t>
      </w:r>
    </w:p>
    <w:p w:rsidR="00094A9B" w:rsidRPr="00C65FA7" w:rsidRDefault="00094A9B" w:rsidP="00094A9B">
      <w:pPr>
        <w:pStyle w:val="NormalWeb"/>
        <w:spacing w:before="0" w:beforeAutospacing="0" w:after="0" w:afterAutospacing="0"/>
        <w:jc w:val="both"/>
      </w:pPr>
    </w:p>
    <w:p w:rsidR="00094A9B" w:rsidRPr="00C65FA7" w:rsidRDefault="00094A9B" w:rsidP="00094A9B">
      <w:pPr>
        <w:pStyle w:val="NormalWeb"/>
        <w:spacing w:before="0" w:beforeAutospacing="0" w:after="0" w:afterAutospacing="0"/>
        <w:jc w:val="both"/>
        <w:rPr>
          <w:b/>
        </w:rPr>
      </w:pPr>
      <w:r w:rsidRPr="00C65FA7">
        <w:t xml:space="preserve">E. </w:t>
      </w:r>
      <w:r w:rsidRPr="00C65FA7">
        <w:rPr>
          <w:rStyle w:val="Strong"/>
          <w:b w:val="0"/>
          <w:bCs w:val="0"/>
        </w:rPr>
        <w:t>Qualitative Findings</w:t>
      </w:r>
    </w:p>
    <w:p w:rsidR="00094A9B" w:rsidRDefault="00094A9B" w:rsidP="00094A9B">
      <w:pPr>
        <w:pStyle w:val="NormalWeb"/>
        <w:spacing w:before="0" w:beforeAutospacing="0" w:after="0" w:afterAutospacing="0"/>
        <w:ind w:firstLine="567"/>
        <w:jc w:val="both"/>
      </w:pPr>
      <w:r w:rsidRPr="00C65FA7">
        <w:t xml:space="preserve">Open-ended responses identified </w:t>
      </w:r>
      <w:r w:rsidRPr="00C65FA7">
        <w:rPr>
          <w:rStyle w:val="Strong"/>
          <w:b w:val="0"/>
        </w:rPr>
        <w:t>data security, transparency, immutability, and efficiency</w:t>
      </w:r>
      <w:r w:rsidRPr="00C65FA7">
        <w:t xml:space="preserve"> as the primary perceived benefits of </w:t>
      </w:r>
      <w:proofErr w:type="spellStart"/>
      <w:r w:rsidRPr="00C65FA7">
        <w:t>blockchain</w:t>
      </w:r>
      <w:proofErr w:type="spellEnd"/>
      <w:r w:rsidRPr="00C65FA7">
        <w:t xml:space="preserve"> adoption. Respondents highlighted faster verification processes, enhanced trust with accrediting bodies, and improved operational efficiency as significant advantages.</w:t>
      </w:r>
    </w:p>
    <w:p w:rsidR="000F5BC1" w:rsidRPr="00C65FA7" w:rsidRDefault="000F5BC1" w:rsidP="00094A9B">
      <w:pPr>
        <w:pStyle w:val="NormalWeb"/>
        <w:spacing w:before="0" w:beforeAutospacing="0" w:after="0" w:afterAutospacing="0"/>
        <w:ind w:firstLine="567"/>
        <w:jc w:val="both"/>
      </w:pPr>
    </w:p>
    <w:p w:rsidR="00094A9B" w:rsidRPr="00C65FA7" w:rsidRDefault="00094A9B" w:rsidP="00094A9B">
      <w:pPr>
        <w:pStyle w:val="NormalWeb"/>
        <w:spacing w:before="0" w:beforeAutospacing="0" w:after="0" w:afterAutospacing="0"/>
        <w:ind w:firstLine="567"/>
        <w:jc w:val="both"/>
      </w:pPr>
      <w:r w:rsidRPr="00C65FA7">
        <w:t>Key challenges include</w:t>
      </w:r>
      <w:r w:rsidRPr="00C65FA7">
        <w:rPr>
          <w:b/>
        </w:rPr>
        <w:t xml:space="preserve"> </w:t>
      </w:r>
      <w:r w:rsidRPr="00C65FA7">
        <w:rPr>
          <w:rStyle w:val="Strong"/>
          <w:b w:val="0"/>
        </w:rPr>
        <w:t>financial constraints, technical complexity, and training needs</w:t>
      </w:r>
      <w:r w:rsidRPr="00C65FA7">
        <w:rPr>
          <w:b/>
        </w:rPr>
        <w:t>.</w:t>
      </w:r>
      <w:r w:rsidRPr="00C65FA7">
        <w:t xml:space="preserve"> Respondents also recommended </w:t>
      </w:r>
      <w:r w:rsidRPr="00C65FA7">
        <w:rPr>
          <w:rStyle w:val="Strong"/>
          <w:b w:val="0"/>
        </w:rPr>
        <w:t>management support, phased implementation, and clear policies</w:t>
      </w:r>
      <w:r w:rsidRPr="00C65FA7">
        <w:t xml:space="preserve"> to address these concerns.</w:t>
      </w:r>
    </w:p>
    <w:p w:rsidR="00094A9B" w:rsidRDefault="00094A9B" w:rsidP="00094A9B">
      <w:pPr>
        <w:jc w:val="both"/>
      </w:pPr>
    </w:p>
    <w:p w:rsidR="000F5BC1" w:rsidRDefault="000F5BC1" w:rsidP="00094A9B">
      <w:pPr>
        <w:jc w:val="both"/>
      </w:pPr>
    </w:p>
    <w:p w:rsidR="000F5BC1" w:rsidRDefault="000F5BC1" w:rsidP="00094A9B">
      <w:pPr>
        <w:jc w:val="both"/>
      </w:pPr>
      <w:r>
        <w:rPr>
          <w:noProof/>
          <w:lang w:val="en-PH" w:eastAsia="en-PH"/>
        </w:rPr>
        <w:drawing>
          <wp:inline distT="0" distB="0" distL="0" distR="0">
            <wp:extent cx="6408420" cy="3915410"/>
            <wp:effectExtent l="19050" t="19050" r="11430" b="279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 Process Flow for Blockchain-Enabled Academic Recordkeepi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8420" cy="3915410"/>
                    </a:xfrm>
                    <a:prstGeom prst="rect">
                      <a:avLst/>
                    </a:prstGeom>
                    <a:ln w="3175">
                      <a:solidFill>
                        <a:srgbClr val="000000"/>
                      </a:solidFill>
                    </a:ln>
                  </pic:spPr>
                </pic:pic>
              </a:graphicData>
            </a:graphic>
          </wp:inline>
        </w:drawing>
      </w:r>
    </w:p>
    <w:p w:rsidR="00094A9B" w:rsidRPr="00230CC4" w:rsidRDefault="00094A9B" w:rsidP="00094A9B"/>
    <w:p w:rsidR="00094A9B" w:rsidRPr="000F5BC1" w:rsidRDefault="00094A9B" w:rsidP="00094A9B">
      <w:pPr>
        <w:rPr>
          <w:b/>
        </w:rPr>
      </w:pPr>
      <w:r w:rsidRPr="000F5BC1">
        <w:rPr>
          <w:b/>
        </w:rPr>
        <w:t xml:space="preserve">Figure 3. Process Flow for </w:t>
      </w:r>
      <w:proofErr w:type="spellStart"/>
      <w:r w:rsidRPr="000F5BC1">
        <w:rPr>
          <w:b/>
        </w:rPr>
        <w:t>Blockchain</w:t>
      </w:r>
      <w:proofErr w:type="spellEnd"/>
      <w:r w:rsidRPr="000F5BC1">
        <w:rPr>
          <w:b/>
        </w:rPr>
        <w:t>-Enabled Academic Recordkeeping</w:t>
      </w:r>
    </w:p>
    <w:p w:rsidR="00094A9B" w:rsidRPr="00AF2B3A" w:rsidRDefault="00094A9B" w:rsidP="00094A9B">
      <w:pPr>
        <w:rPr>
          <w:b/>
          <w:sz w:val="24"/>
          <w:szCs w:val="24"/>
        </w:rPr>
      </w:pPr>
    </w:p>
    <w:p w:rsidR="000F5BC1" w:rsidRDefault="00AF2B3A" w:rsidP="00094A9B">
      <w:pPr>
        <w:ind w:firstLine="567"/>
        <w:jc w:val="both"/>
        <w:rPr>
          <w:sz w:val="24"/>
          <w:szCs w:val="24"/>
        </w:rPr>
      </w:pPr>
      <w:r w:rsidRPr="00AF2B3A">
        <w:rPr>
          <w:sz w:val="24"/>
          <w:szCs w:val="24"/>
        </w:rPr>
        <w:t xml:space="preserve">The process flow clarifies how governance decisions are operationalized within the </w:t>
      </w:r>
      <w:proofErr w:type="spellStart"/>
      <w:r w:rsidRPr="00AF2B3A">
        <w:rPr>
          <w:sz w:val="24"/>
          <w:szCs w:val="24"/>
        </w:rPr>
        <w:t>blockchain</w:t>
      </w:r>
      <w:proofErr w:type="spellEnd"/>
      <w:r w:rsidRPr="00AF2B3A">
        <w:rPr>
          <w:sz w:val="24"/>
          <w:szCs w:val="24"/>
        </w:rPr>
        <w:t xml:space="preserve"> ecosystem. It highlights accountability checkpoints, ensures transparency of academic record transactions, and provides a mechanism for continuous improvement through structured monitoring and evaluation, reflecting the principles of performance monitoring and accountability emphasized by Bianchi et al. (2021).</w:t>
      </w:r>
    </w:p>
    <w:p w:rsidR="00AF2B3A" w:rsidRPr="00AF2B3A" w:rsidRDefault="00AF2B3A" w:rsidP="00094A9B">
      <w:pPr>
        <w:ind w:firstLine="567"/>
        <w:jc w:val="both"/>
        <w:rPr>
          <w:sz w:val="24"/>
          <w:szCs w:val="24"/>
        </w:rPr>
      </w:pPr>
    </w:p>
    <w:p w:rsidR="00094A9B" w:rsidRPr="000F5BC1" w:rsidRDefault="00A754D3" w:rsidP="00094A9B">
      <w:pPr>
        <w:pStyle w:val="NormalWeb"/>
        <w:spacing w:before="0" w:beforeAutospacing="0" w:after="0" w:afterAutospacing="0"/>
        <w:ind w:firstLine="567"/>
        <w:jc w:val="both"/>
      </w:pPr>
      <w:r>
        <w:t xml:space="preserve">The process flow illustrates how each governance domain contributes to </w:t>
      </w:r>
      <w:proofErr w:type="spellStart"/>
      <w:r>
        <w:t>blockchain</w:t>
      </w:r>
      <w:proofErr w:type="spellEnd"/>
      <w:r>
        <w:t>-enabled recordkeeping, from strategic alignment and resource allocation to risk control, accountability, and performance monitoring.</w:t>
      </w:r>
    </w:p>
    <w:p w:rsidR="00094A9B" w:rsidRDefault="00396219" w:rsidP="00396219">
      <w:pPr>
        <w:pStyle w:val="Heading1"/>
        <w:numPr>
          <w:ilvl w:val="0"/>
          <w:numId w:val="0"/>
        </w:numPr>
        <w:spacing w:after="0"/>
        <w:jc w:val="left"/>
        <w:rPr>
          <w:color w:val="000000"/>
          <w:sz w:val="24"/>
          <w:szCs w:val="24"/>
        </w:rPr>
      </w:pPr>
      <w:r>
        <w:rPr>
          <w:color w:val="000000"/>
          <w:sz w:val="24"/>
          <w:szCs w:val="24"/>
        </w:rPr>
        <w:t xml:space="preserve">IV. </w:t>
      </w:r>
      <w:r w:rsidR="00674C11">
        <w:rPr>
          <w:color w:val="000000"/>
          <w:sz w:val="24"/>
          <w:szCs w:val="24"/>
        </w:rPr>
        <w:t>D</w:t>
      </w:r>
      <w:r w:rsidR="00094A9B" w:rsidRPr="000F5BC1">
        <w:rPr>
          <w:color w:val="000000"/>
          <w:sz w:val="24"/>
          <w:szCs w:val="24"/>
        </w:rPr>
        <w:t>ISCUSSION AND CONCLUSION</w:t>
      </w:r>
    </w:p>
    <w:p w:rsidR="00E60C72" w:rsidRPr="00E60C72" w:rsidRDefault="00E60C72" w:rsidP="00E60C72"/>
    <w:p w:rsidR="00094A9B" w:rsidRPr="00674C11" w:rsidRDefault="00094A9B" w:rsidP="00674C11">
      <w:pPr>
        <w:pStyle w:val="Heading2"/>
        <w:numPr>
          <w:ilvl w:val="0"/>
          <w:numId w:val="28"/>
        </w:numPr>
        <w:ind w:left="426"/>
        <w:rPr>
          <w:rStyle w:val="Strong"/>
          <w:b w:val="0"/>
          <w:bCs w:val="0"/>
          <w:i w:val="0"/>
          <w:sz w:val="24"/>
          <w:szCs w:val="24"/>
        </w:rPr>
      </w:pPr>
      <w:r w:rsidRPr="00674C11">
        <w:rPr>
          <w:rStyle w:val="Strong"/>
          <w:b w:val="0"/>
          <w:bCs w:val="0"/>
          <w:i w:val="0"/>
          <w:sz w:val="24"/>
          <w:szCs w:val="24"/>
        </w:rPr>
        <w:lastRenderedPageBreak/>
        <w:t>Discussion</w:t>
      </w:r>
    </w:p>
    <w:p w:rsidR="005C5DB1" w:rsidRPr="005C5DB1" w:rsidRDefault="005C5DB1" w:rsidP="005C5DB1"/>
    <w:p w:rsidR="005C5DB1" w:rsidRPr="005C5DB1" w:rsidRDefault="005C5DB1" w:rsidP="005C5DB1">
      <w:pPr>
        <w:ind w:firstLine="720"/>
        <w:jc w:val="both"/>
        <w:rPr>
          <w:sz w:val="24"/>
          <w:szCs w:val="24"/>
        </w:rPr>
      </w:pPr>
      <w:r w:rsidRPr="005C5DB1">
        <w:rPr>
          <w:sz w:val="24"/>
          <w:szCs w:val="24"/>
        </w:rPr>
        <w:t xml:space="preserve">The findings reveal a strong institutional consensus that </w:t>
      </w:r>
      <w:proofErr w:type="spellStart"/>
      <w:r w:rsidRPr="005C5DB1">
        <w:rPr>
          <w:sz w:val="24"/>
          <w:szCs w:val="24"/>
        </w:rPr>
        <w:t>blockchain</w:t>
      </w:r>
      <w:proofErr w:type="spellEnd"/>
      <w:r w:rsidRPr="005C5DB1">
        <w:rPr>
          <w:sz w:val="24"/>
          <w:szCs w:val="24"/>
        </w:rPr>
        <w:t xml:space="preserve"> adoption in </w:t>
      </w:r>
      <w:r w:rsidR="00E60C72">
        <w:rPr>
          <w:sz w:val="24"/>
          <w:szCs w:val="24"/>
        </w:rPr>
        <w:t>PHEIs</w:t>
      </w:r>
      <w:r w:rsidRPr="005C5DB1">
        <w:rPr>
          <w:sz w:val="24"/>
          <w:szCs w:val="24"/>
        </w:rPr>
        <w:t xml:space="preserve"> should be governed through a structured IT governance framework rather than implemented solely as a technological initiative. The consistently high weighted mean scores (WM = 4.81–4.88) suggest that respondents recognize governance mechanisms as essential prerequisites for ensuring information integrity and successful digital transformation.</w:t>
      </w:r>
    </w:p>
    <w:p w:rsidR="005C5DB1" w:rsidRPr="005C5DB1" w:rsidRDefault="005C5DB1" w:rsidP="005C5DB1">
      <w:pPr>
        <w:jc w:val="both"/>
        <w:rPr>
          <w:sz w:val="24"/>
          <w:szCs w:val="24"/>
        </w:rPr>
      </w:pPr>
    </w:p>
    <w:p w:rsidR="005C5DB1" w:rsidRPr="005C5DB1" w:rsidRDefault="005C5DB1" w:rsidP="005C5DB1">
      <w:pPr>
        <w:ind w:firstLine="720"/>
        <w:jc w:val="both"/>
        <w:rPr>
          <w:sz w:val="24"/>
          <w:szCs w:val="24"/>
        </w:rPr>
      </w:pPr>
      <w:r w:rsidRPr="005C5DB1">
        <w:rPr>
          <w:sz w:val="24"/>
          <w:szCs w:val="24"/>
        </w:rPr>
        <w:t xml:space="preserve">The highest-rated domain, Strategic Alignment (WM = 4.88), indicates that respondents perceive </w:t>
      </w:r>
      <w:proofErr w:type="spellStart"/>
      <w:r w:rsidRPr="005C5DB1">
        <w:rPr>
          <w:sz w:val="24"/>
          <w:szCs w:val="24"/>
        </w:rPr>
        <w:t>blockchain</w:t>
      </w:r>
      <w:proofErr w:type="spellEnd"/>
      <w:r w:rsidRPr="005C5DB1">
        <w:rPr>
          <w:sz w:val="24"/>
          <w:szCs w:val="24"/>
        </w:rPr>
        <w:t xml:space="preserve"> initiatives as most effective when aligned with institutional objectives, accreditation requirements, and long-term digital transformation goals. This finding supports the argument of Bianchi et al. (2021), who emphasized that IT governance in higher education must ensure that technology investments contribute directly to organizational objectives and institutional value creation. Similarly, Wang et al. (202</w:t>
      </w:r>
      <w:r w:rsidR="00E72AF5">
        <w:rPr>
          <w:sz w:val="24"/>
          <w:szCs w:val="24"/>
        </w:rPr>
        <w:t>4</w:t>
      </w:r>
      <w:r w:rsidRPr="005C5DB1">
        <w:rPr>
          <w:sz w:val="24"/>
          <w:szCs w:val="24"/>
        </w:rPr>
        <w:t xml:space="preserve">) noted that </w:t>
      </w:r>
      <w:proofErr w:type="spellStart"/>
      <w:r w:rsidRPr="005C5DB1">
        <w:rPr>
          <w:sz w:val="24"/>
          <w:szCs w:val="24"/>
        </w:rPr>
        <w:t>blockchain</w:t>
      </w:r>
      <w:proofErr w:type="spellEnd"/>
      <w:r w:rsidRPr="005C5DB1">
        <w:rPr>
          <w:sz w:val="24"/>
          <w:szCs w:val="24"/>
        </w:rPr>
        <w:t xml:space="preserve"> initiatives in education often fail when implemented as isolated technological projects without integration into broader institutional strategies. The high level of agreement among respondents suggests that PHEIs recognize that </w:t>
      </w:r>
      <w:proofErr w:type="spellStart"/>
      <w:r w:rsidRPr="005C5DB1">
        <w:rPr>
          <w:sz w:val="24"/>
          <w:szCs w:val="24"/>
        </w:rPr>
        <w:t>blockchain</w:t>
      </w:r>
      <w:proofErr w:type="spellEnd"/>
      <w:r w:rsidRPr="005C5DB1">
        <w:rPr>
          <w:sz w:val="24"/>
          <w:szCs w:val="24"/>
        </w:rPr>
        <w:t xml:space="preserve"> adoption should reinforce, rather than disrupt, existing educational missions and governance structures.</w:t>
      </w:r>
    </w:p>
    <w:p w:rsidR="005C5DB1" w:rsidRPr="005C5DB1" w:rsidRDefault="005C5DB1" w:rsidP="005C5DB1">
      <w:pPr>
        <w:jc w:val="both"/>
        <w:rPr>
          <w:sz w:val="24"/>
          <w:szCs w:val="24"/>
        </w:rPr>
      </w:pPr>
    </w:p>
    <w:p w:rsidR="005C5DB1" w:rsidRPr="005C5DB1" w:rsidRDefault="005C5DB1" w:rsidP="005C5DB1">
      <w:pPr>
        <w:ind w:firstLine="720"/>
        <w:jc w:val="both"/>
        <w:rPr>
          <w:sz w:val="24"/>
          <w:szCs w:val="24"/>
        </w:rPr>
      </w:pPr>
      <w:r w:rsidRPr="005C5DB1">
        <w:rPr>
          <w:sz w:val="24"/>
          <w:szCs w:val="24"/>
        </w:rPr>
        <w:t xml:space="preserve">The results for Resource and Investment Management (WM = 4.83) highlight stakeholders' awareness that </w:t>
      </w:r>
      <w:proofErr w:type="spellStart"/>
      <w:r w:rsidRPr="005C5DB1">
        <w:rPr>
          <w:sz w:val="24"/>
          <w:szCs w:val="24"/>
        </w:rPr>
        <w:t>blockchain</w:t>
      </w:r>
      <w:proofErr w:type="spellEnd"/>
      <w:r w:rsidRPr="005C5DB1">
        <w:rPr>
          <w:sz w:val="24"/>
          <w:szCs w:val="24"/>
        </w:rPr>
        <w:t xml:space="preserve"> implementation requires substantial organizational commitment beyond software acquisition. Respondents emphasized the importance of financial sustainability, infrastructure readiness, and workforce capability. These findings align with Mohammad and Vargas (2022), who identified financial constraints and limited technical expertise as major barriers to </w:t>
      </w:r>
      <w:proofErr w:type="spellStart"/>
      <w:r w:rsidRPr="005C5DB1">
        <w:rPr>
          <w:sz w:val="24"/>
          <w:szCs w:val="24"/>
        </w:rPr>
        <w:t>blockchain</w:t>
      </w:r>
      <w:proofErr w:type="spellEnd"/>
      <w:r w:rsidRPr="005C5DB1">
        <w:rPr>
          <w:sz w:val="24"/>
          <w:szCs w:val="24"/>
        </w:rPr>
        <w:t xml:space="preserve"> adoption in higher education institutions. Likewise, </w:t>
      </w:r>
      <w:proofErr w:type="spellStart"/>
      <w:r w:rsidRPr="005C5DB1">
        <w:rPr>
          <w:sz w:val="24"/>
          <w:szCs w:val="24"/>
        </w:rPr>
        <w:t>Alshareef</w:t>
      </w:r>
      <w:proofErr w:type="spellEnd"/>
      <w:r w:rsidRPr="005C5DB1">
        <w:rPr>
          <w:sz w:val="24"/>
          <w:szCs w:val="24"/>
        </w:rPr>
        <w:t xml:space="preserve"> et al. (2022) argued that leadership support and strategic investment decisions significantly influence organizational readiness for emerging technologies. Therefore, successful </w:t>
      </w:r>
      <w:proofErr w:type="spellStart"/>
      <w:r w:rsidRPr="005C5DB1">
        <w:rPr>
          <w:sz w:val="24"/>
          <w:szCs w:val="24"/>
        </w:rPr>
        <w:t>blockchain</w:t>
      </w:r>
      <w:proofErr w:type="spellEnd"/>
      <w:r w:rsidRPr="005C5DB1">
        <w:rPr>
          <w:sz w:val="24"/>
          <w:szCs w:val="24"/>
        </w:rPr>
        <w:t xml:space="preserve"> adoption in PHEIs depends not only on technological feasibility but also on sustained institutional investment and capacity-building initiatives.</w:t>
      </w:r>
    </w:p>
    <w:p w:rsidR="005C5DB1" w:rsidRPr="005C5DB1" w:rsidRDefault="005C5DB1" w:rsidP="005C5DB1">
      <w:pPr>
        <w:jc w:val="both"/>
        <w:rPr>
          <w:sz w:val="24"/>
          <w:szCs w:val="24"/>
        </w:rPr>
      </w:pPr>
    </w:p>
    <w:p w:rsidR="005C5DB1" w:rsidRPr="005C5DB1" w:rsidRDefault="00AF2B3A" w:rsidP="005C5DB1">
      <w:pPr>
        <w:ind w:firstLine="720"/>
        <w:jc w:val="both"/>
        <w:rPr>
          <w:sz w:val="24"/>
          <w:szCs w:val="24"/>
        </w:rPr>
      </w:pPr>
      <w:r w:rsidRPr="00AF2B3A">
        <w:rPr>
          <w:sz w:val="24"/>
          <w:szCs w:val="24"/>
        </w:rPr>
        <w:t>Although Risk Management and Security obtained the lowest weighted mean among the five domains (WM = 4.81), it still reflected very high agreement among respondents.</w:t>
      </w:r>
      <w:r w:rsidRPr="005C5DB1">
        <w:rPr>
          <w:sz w:val="24"/>
          <w:szCs w:val="24"/>
        </w:rPr>
        <w:t xml:space="preserve"> </w:t>
      </w:r>
      <w:r w:rsidR="005C5DB1" w:rsidRPr="005C5DB1">
        <w:rPr>
          <w:sz w:val="24"/>
          <w:szCs w:val="24"/>
        </w:rPr>
        <w:t xml:space="preserve">This result suggests that respondents acknowledge cybersecurity, privacy protection, and operational resilience as critical governance concerns. Given the sensitive nature of academic records, </w:t>
      </w:r>
      <w:proofErr w:type="spellStart"/>
      <w:r w:rsidR="005C5DB1" w:rsidRPr="005C5DB1">
        <w:rPr>
          <w:sz w:val="24"/>
          <w:szCs w:val="24"/>
        </w:rPr>
        <w:t>blockchain</w:t>
      </w:r>
      <w:proofErr w:type="spellEnd"/>
      <w:r w:rsidR="005C5DB1" w:rsidRPr="005C5DB1">
        <w:rPr>
          <w:sz w:val="24"/>
          <w:szCs w:val="24"/>
        </w:rPr>
        <w:t xml:space="preserve"> implementations must comply with data protection requirements, including the Philippine Data Privacy Act of 2012 (Republic Act No. 10173). Previous studies similarly emphasize that while </w:t>
      </w:r>
      <w:proofErr w:type="spellStart"/>
      <w:r w:rsidR="005C5DB1" w:rsidRPr="005C5DB1">
        <w:rPr>
          <w:sz w:val="24"/>
          <w:szCs w:val="24"/>
        </w:rPr>
        <w:t>blockchain</w:t>
      </w:r>
      <w:proofErr w:type="spellEnd"/>
      <w:r w:rsidR="005C5DB1" w:rsidRPr="005C5DB1">
        <w:rPr>
          <w:sz w:val="24"/>
          <w:szCs w:val="24"/>
        </w:rPr>
        <w:t xml:space="preserve"> offers immutability and transparency, institutions must address risks related to privacy, access control, and governance mechanisms (Delgado-von </w:t>
      </w:r>
      <w:proofErr w:type="spellStart"/>
      <w:r w:rsidR="005C5DB1" w:rsidRPr="005C5DB1">
        <w:rPr>
          <w:sz w:val="24"/>
          <w:szCs w:val="24"/>
        </w:rPr>
        <w:t>Eitzen</w:t>
      </w:r>
      <w:proofErr w:type="spellEnd"/>
      <w:r w:rsidR="005C5DB1" w:rsidRPr="005C5DB1">
        <w:rPr>
          <w:sz w:val="24"/>
          <w:szCs w:val="24"/>
        </w:rPr>
        <w:t xml:space="preserve"> &amp; </w:t>
      </w:r>
      <w:proofErr w:type="spellStart"/>
      <w:r w:rsidR="005C5DB1" w:rsidRPr="005C5DB1">
        <w:rPr>
          <w:sz w:val="24"/>
          <w:szCs w:val="24"/>
        </w:rPr>
        <w:t>Pisani</w:t>
      </w:r>
      <w:proofErr w:type="spellEnd"/>
      <w:r w:rsidR="005C5DB1" w:rsidRPr="005C5DB1">
        <w:rPr>
          <w:sz w:val="24"/>
          <w:szCs w:val="24"/>
        </w:rPr>
        <w:t xml:space="preserve">, 2021; Tan et al., 2021). The findings imply that PHEIs are aware that </w:t>
      </w:r>
      <w:proofErr w:type="spellStart"/>
      <w:r w:rsidR="005C5DB1" w:rsidRPr="005C5DB1">
        <w:rPr>
          <w:sz w:val="24"/>
          <w:szCs w:val="24"/>
        </w:rPr>
        <w:t>blockchain</w:t>
      </w:r>
      <w:proofErr w:type="spellEnd"/>
      <w:r w:rsidR="005C5DB1" w:rsidRPr="005C5DB1">
        <w:rPr>
          <w:sz w:val="24"/>
          <w:szCs w:val="24"/>
        </w:rPr>
        <w:t xml:space="preserve"> alone does not eliminate security risks and must be complemented by robust governance controls.</w:t>
      </w:r>
    </w:p>
    <w:p w:rsidR="005C5DB1" w:rsidRPr="005C5DB1" w:rsidRDefault="005C5DB1" w:rsidP="005C5DB1">
      <w:pPr>
        <w:jc w:val="both"/>
        <w:rPr>
          <w:sz w:val="24"/>
          <w:szCs w:val="24"/>
        </w:rPr>
      </w:pPr>
    </w:p>
    <w:p w:rsidR="005C5DB1" w:rsidRPr="005C5DB1" w:rsidRDefault="005C5DB1" w:rsidP="005C5DB1">
      <w:pPr>
        <w:ind w:firstLine="720"/>
        <w:jc w:val="both"/>
        <w:rPr>
          <w:sz w:val="24"/>
          <w:szCs w:val="24"/>
        </w:rPr>
      </w:pPr>
      <w:r w:rsidRPr="005C5DB1">
        <w:rPr>
          <w:sz w:val="24"/>
          <w:szCs w:val="24"/>
        </w:rPr>
        <w:t xml:space="preserve">The high agreement in Roles and Accountability (WM = 4.83) demonstrates respondents' recognition of the need for clearly defined responsibilities across institutional units. </w:t>
      </w:r>
      <w:proofErr w:type="spellStart"/>
      <w:r w:rsidRPr="005C5DB1">
        <w:rPr>
          <w:sz w:val="24"/>
          <w:szCs w:val="24"/>
        </w:rPr>
        <w:t>Blockchain</w:t>
      </w:r>
      <w:proofErr w:type="spellEnd"/>
      <w:r w:rsidRPr="005C5DB1">
        <w:rPr>
          <w:sz w:val="24"/>
          <w:szCs w:val="24"/>
        </w:rPr>
        <w:t xml:space="preserve"> initiatives involve multiple stakeholders, including the IT Department, Registrar, Finance Office, Accreditation Unit, and Senior Management. The findings support van Pelt et al. (202</w:t>
      </w:r>
      <w:r w:rsidR="00AA726C">
        <w:rPr>
          <w:sz w:val="24"/>
          <w:szCs w:val="24"/>
        </w:rPr>
        <w:t>0</w:t>
      </w:r>
      <w:r w:rsidRPr="005C5DB1">
        <w:rPr>
          <w:sz w:val="24"/>
          <w:szCs w:val="24"/>
        </w:rPr>
        <w:t xml:space="preserve">), who argued that clearly articulated governance structures are fundamental to </w:t>
      </w:r>
      <w:proofErr w:type="spellStart"/>
      <w:r w:rsidRPr="005C5DB1">
        <w:rPr>
          <w:sz w:val="24"/>
          <w:szCs w:val="24"/>
        </w:rPr>
        <w:t>blockchain</w:t>
      </w:r>
      <w:proofErr w:type="spellEnd"/>
      <w:r w:rsidRPr="005C5DB1">
        <w:rPr>
          <w:sz w:val="24"/>
          <w:szCs w:val="24"/>
        </w:rPr>
        <w:t xml:space="preserve"> success because they establish decision rights, accountability mechanisms, and stakeholder coordination. The respondents' perspectives indicate that effective implementation requires cross-functional collaboration rather than isolated decision-making within technical departments.</w:t>
      </w:r>
    </w:p>
    <w:p w:rsidR="005C5DB1" w:rsidRPr="005C5DB1" w:rsidRDefault="005C5DB1" w:rsidP="005C5DB1">
      <w:pPr>
        <w:jc w:val="both"/>
        <w:rPr>
          <w:sz w:val="24"/>
          <w:szCs w:val="24"/>
        </w:rPr>
      </w:pPr>
    </w:p>
    <w:p w:rsidR="005C5DB1" w:rsidRPr="005C5DB1" w:rsidRDefault="005C5DB1" w:rsidP="005C5DB1">
      <w:pPr>
        <w:ind w:firstLine="720"/>
        <w:jc w:val="both"/>
        <w:rPr>
          <w:sz w:val="24"/>
          <w:szCs w:val="24"/>
        </w:rPr>
      </w:pPr>
      <w:r w:rsidRPr="005C5DB1">
        <w:rPr>
          <w:sz w:val="24"/>
          <w:szCs w:val="24"/>
        </w:rPr>
        <w:t xml:space="preserve">Similarly, Performance and Compliance Monitoring (WM = 4.85) underscores the importance of continuous evaluation and regulatory oversight. Respondents recognized that governance effectiveness should be measured through performance indicators, audits, and compliance reviews. </w:t>
      </w:r>
      <w:r w:rsidR="00870882" w:rsidRPr="00870882">
        <w:rPr>
          <w:sz w:val="24"/>
          <w:szCs w:val="24"/>
        </w:rPr>
        <w:t xml:space="preserve">This finding is </w:t>
      </w:r>
      <w:r w:rsidR="00870882" w:rsidRPr="00870882">
        <w:rPr>
          <w:sz w:val="24"/>
          <w:szCs w:val="24"/>
        </w:rPr>
        <w:lastRenderedPageBreak/>
        <w:t>consistent with Bianchi et al. (2021), who emphasized that effective IT governance in higher education requires continuous monitoring and evaluation mechanisms to ensure alignment with institutional objectives, accountability, and ongoing improvement.</w:t>
      </w:r>
      <w:r w:rsidR="00870882">
        <w:t xml:space="preserve"> </w:t>
      </w:r>
      <w:r w:rsidRPr="005C5DB1">
        <w:rPr>
          <w:sz w:val="24"/>
          <w:szCs w:val="24"/>
        </w:rPr>
        <w:t xml:space="preserve">Moreover, </w:t>
      </w:r>
      <w:proofErr w:type="spellStart"/>
      <w:r w:rsidRPr="005C5DB1">
        <w:rPr>
          <w:sz w:val="24"/>
          <w:szCs w:val="24"/>
        </w:rPr>
        <w:t>blockchain</w:t>
      </w:r>
      <w:proofErr w:type="spellEnd"/>
      <w:r w:rsidRPr="005C5DB1">
        <w:rPr>
          <w:sz w:val="24"/>
          <w:szCs w:val="24"/>
        </w:rPr>
        <w:t xml:space="preserve"> adoption within higher education must remain responsive to evolving accreditation standards and institutional policies to sustain stakeholder trust.</w:t>
      </w:r>
    </w:p>
    <w:p w:rsidR="005C5DB1" w:rsidRPr="005C5DB1" w:rsidRDefault="005C5DB1" w:rsidP="005C5DB1">
      <w:pPr>
        <w:jc w:val="both"/>
        <w:rPr>
          <w:sz w:val="24"/>
          <w:szCs w:val="24"/>
        </w:rPr>
      </w:pPr>
    </w:p>
    <w:p w:rsidR="00094A9B" w:rsidRPr="0000457F" w:rsidRDefault="005C5DB1" w:rsidP="0000457F">
      <w:pPr>
        <w:ind w:firstLine="720"/>
        <w:jc w:val="both"/>
        <w:rPr>
          <w:sz w:val="24"/>
          <w:szCs w:val="24"/>
        </w:rPr>
      </w:pPr>
      <w:r w:rsidRPr="005C5DB1">
        <w:rPr>
          <w:sz w:val="24"/>
          <w:szCs w:val="24"/>
        </w:rPr>
        <w:t xml:space="preserve">Overall, the findings extend existing literature by demonstrating that, within the context of Philippine PHEIs, stakeholders perceive </w:t>
      </w:r>
      <w:proofErr w:type="spellStart"/>
      <w:r w:rsidRPr="005C5DB1">
        <w:rPr>
          <w:sz w:val="24"/>
          <w:szCs w:val="24"/>
        </w:rPr>
        <w:t>blockchain</w:t>
      </w:r>
      <w:proofErr w:type="spellEnd"/>
      <w:r w:rsidRPr="005C5DB1">
        <w:rPr>
          <w:sz w:val="24"/>
          <w:szCs w:val="24"/>
        </w:rPr>
        <w:t xml:space="preserve"> adoption primarily as a governance challenge rather than merely a technological innovation. While previous studies predominantly focused on </w:t>
      </w:r>
      <w:proofErr w:type="spellStart"/>
      <w:r w:rsidRPr="005C5DB1">
        <w:rPr>
          <w:sz w:val="24"/>
          <w:szCs w:val="24"/>
        </w:rPr>
        <w:t>blockchain's</w:t>
      </w:r>
      <w:proofErr w:type="spellEnd"/>
      <w:r w:rsidRPr="005C5DB1">
        <w:rPr>
          <w:sz w:val="24"/>
          <w:szCs w:val="24"/>
        </w:rPr>
        <w:t xml:space="preserve"> technical capabilities, such as immutability and verifiability (</w:t>
      </w:r>
      <w:proofErr w:type="spellStart"/>
      <w:r w:rsidRPr="005C5DB1">
        <w:rPr>
          <w:sz w:val="24"/>
          <w:szCs w:val="24"/>
        </w:rPr>
        <w:t>Bhaskar</w:t>
      </w:r>
      <w:proofErr w:type="spellEnd"/>
      <w:r w:rsidRPr="005C5DB1">
        <w:rPr>
          <w:sz w:val="24"/>
          <w:szCs w:val="24"/>
        </w:rPr>
        <w:t xml:space="preserve"> et al., 2021; </w:t>
      </w:r>
      <w:proofErr w:type="spellStart"/>
      <w:r w:rsidRPr="005C5DB1">
        <w:rPr>
          <w:sz w:val="24"/>
          <w:szCs w:val="24"/>
        </w:rPr>
        <w:t>Kuleto</w:t>
      </w:r>
      <w:proofErr w:type="spellEnd"/>
      <w:r w:rsidRPr="005C5DB1">
        <w:rPr>
          <w:sz w:val="24"/>
          <w:szCs w:val="24"/>
        </w:rPr>
        <w:t xml:space="preserve"> et al., 2022), the present study highlights the equally critical role of governance structures in ensuring successful implementation. </w:t>
      </w:r>
      <w:r w:rsidR="00735A69" w:rsidRPr="0000457F">
        <w:rPr>
          <w:sz w:val="24"/>
          <w:szCs w:val="24"/>
        </w:rPr>
        <w:t xml:space="preserve">The results therefore provide empirical support for the proposed IT Governance Framework as a practical and context-sensitive model that </w:t>
      </w:r>
      <w:r w:rsidR="0000457F" w:rsidRPr="0000457F">
        <w:rPr>
          <w:sz w:val="24"/>
          <w:szCs w:val="24"/>
        </w:rPr>
        <w:t>may serve as an adaptable guide for Philippine private higher education institutions operating within similar governance and regulatory environments.</w:t>
      </w:r>
    </w:p>
    <w:p w:rsidR="005C5DB1" w:rsidRPr="0000457F" w:rsidRDefault="005C5DB1" w:rsidP="0000457F">
      <w:pPr>
        <w:jc w:val="both"/>
        <w:rPr>
          <w:sz w:val="24"/>
          <w:szCs w:val="24"/>
        </w:rPr>
      </w:pPr>
    </w:p>
    <w:p w:rsidR="00094A9B" w:rsidRDefault="00094A9B" w:rsidP="00094A9B">
      <w:pPr>
        <w:pStyle w:val="Heading3"/>
        <w:numPr>
          <w:ilvl w:val="0"/>
          <w:numId w:val="0"/>
        </w:numPr>
        <w:rPr>
          <w:rStyle w:val="Strong"/>
          <w:b w:val="0"/>
          <w:bCs w:val="0"/>
          <w:i w:val="0"/>
          <w:sz w:val="24"/>
          <w:szCs w:val="24"/>
        </w:rPr>
      </w:pPr>
      <w:r w:rsidRPr="000F5BC1">
        <w:rPr>
          <w:rStyle w:val="Strong"/>
          <w:b w:val="0"/>
          <w:bCs w:val="0"/>
          <w:i w:val="0"/>
          <w:sz w:val="24"/>
          <w:szCs w:val="24"/>
          <w:lang w:val="en-PH" w:eastAsia="en-PH"/>
        </w:rPr>
        <w:t xml:space="preserve">B. </w:t>
      </w:r>
      <w:r w:rsidRPr="000F5BC1">
        <w:rPr>
          <w:rStyle w:val="Strong"/>
          <w:b w:val="0"/>
          <w:bCs w:val="0"/>
          <w:i w:val="0"/>
          <w:sz w:val="24"/>
          <w:szCs w:val="24"/>
        </w:rPr>
        <w:t>Conclusion</w:t>
      </w:r>
    </w:p>
    <w:p w:rsidR="000F5BC1" w:rsidRPr="000F5BC1" w:rsidRDefault="000F5BC1" w:rsidP="000F5BC1"/>
    <w:p w:rsidR="005C5DB1" w:rsidRDefault="005C5DB1" w:rsidP="005C5DB1">
      <w:pPr>
        <w:pStyle w:val="NormalWeb"/>
        <w:ind w:firstLine="567"/>
        <w:jc w:val="both"/>
      </w:pPr>
      <w:r>
        <w:t xml:space="preserve">The study concludes that key institutional personnel in PHEIs exhibit very high levels of agreement regarding the integration of </w:t>
      </w:r>
      <w:proofErr w:type="spellStart"/>
      <w:r>
        <w:t>blockchain</w:t>
      </w:r>
      <w:proofErr w:type="spellEnd"/>
      <w:r>
        <w:t xml:space="preserve"> technology within a structured IT governance framework. The findings affirm that </w:t>
      </w:r>
      <w:proofErr w:type="spellStart"/>
      <w:r>
        <w:t>blockchain</w:t>
      </w:r>
      <w:proofErr w:type="spellEnd"/>
      <w:r>
        <w:t xml:space="preserve"> adoption should not be viewed solely as a technological upgrade but as an organizational transformation requiring strategic leadership, policy support, resource commitment, and accountability mechanisms.</w:t>
      </w:r>
    </w:p>
    <w:p w:rsidR="005C5DB1" w:rsidRDefault="005C5DB1" w:rsidP="005C5DB1">
      <w:pPr>
        <w:pStyle w:val="NormalWeb"/>
        <w:ind w:firstLine="567"/>
        <w:jc w:val="both"/>
      </w:pPr>
      <w:r>
        <w:t xml:space="preserve">The consistently high weighted mean scores across all governance domains demonstrate that strategic alignment, sustainable investment, risk management, role clarification, and continuous performance monitoring are essential conditions for successful </w:t>
      </w:r>
      <w:proofErr w:type="spellStart"/>
      <w:r>
        <w:t>blockchain</w:t>
      </w:r>
      <w:proofErr w:type="spellEnd"/>
      <w:r>
        <w:t xml:space="preserve">-enabled academic recordkeeping. The study contributes to the growing body of literature on </w:t>
      </w:r>
      <w:proofErr w:type="spellStart"/>
      <w:r>
        <w:t>blockchain</w:t>
      </w:r>
      <w:proofErr w:type="spellEnd"/>
      <w:r>
        <w:t xml:space="preserve"> in higher education by emphasizing that governance readiness is equally important as technological readiness.</w:t>
      </w:r>
    </w:p>
    <w:p w:rsidR="00094A9B" w:rsidRDefault="00735A69" w:rsidP="00735A69">
      <w:pPr>
        <w:pStyle w:val="NormalWeb"/>
        <w:spacing w:before="0" w:beforeAutospacing="0" w:after="0" w:afterAutospacing="0"/>
        <w:ind w:firstLine="567"/>
        <w:jc w:val="both"/>
      </w:pPr>
      <w:r>
        <w:t>Consequently, the proposed IT Governance Framework provides an adaptable roadmap for Philippine private higher education institutions seeking to strengthen information integrity while ensuring compliance, operational sustainability, and stakeholder trust. Although developed from the perspectives of stakeholders within a specific PHEI context, the framework may be tailored to institutions with comparable governance structures and regulatory requirements while preserving its core governance principles.</w:t>
      </w:r>
    </w:p>
    <w:p w:rsidR="007F7972" w:rsidRDefault="007F7972" w:rsidP="007F7972">
      <w:pPr>
        <w:pStyle w:val="NormalWeb"/>
        <w:spacing w:before="0" w:beforeAutospacing="0" w:after="0" w:afterAutospacing="0"/>
        <w:jc w:val="both"/>
      </w:pPr>
    </w:p>
    <w:p w:rsidR="007F7972" w:rsidRDefault="007F7972" w:rsidP="007F7972">
      <w:pPr>
        <w:pStyle w:val="NormalWeb"/>
        <w:spacing w:before="0" w:beforeAutospacing="0" w:after="0" w:afterAutospacing="0"/>
        <w:jc w:val="both"/>
        <w:rPr>
          <w:rStyle w:val="Strong"/>
          <w:b w:val="0"/>
          <w:bCs w:val="0"/>
        </w:rPr>
      </w:pPr>
      <w:r w:rsidRPr="000F5BC1">
        <w:t xml:space="preserve">C. </w:t>
      </w:r>
      <w:r>
        <w:rPr>
          <w:rStyle w:val="Strong"/>
          <w:b w:val="0"/>
          <w:bCs w:val="0"/>
        </w:rPr>
        <w:t>Limitations of the Study</w:t>
      </w:r>
    </w:p>
    <w:p w:rsidR="007F7972" w:rsidRDefault="007F7972" w:rsidP="007F7972">
      <w:pPr>
        <w:pStyle w:val="NormalWeb"/>
        <w:ind w:firstLine="720"/>
        <w:jc w:val="both"/>
      </w:pPr>
      <w:r>
        <w:t xml:space="preserve">This study was developed from the perspectives of stakeholders within a specific Philippine private higher education institution (PHEI) context and did not involve actual </w:t>
      </w:r>
      <w:proofErr w:type="spellStart"/>
      <w:r>
        <w:t>blockchain</w:t>
      </w:r>
      <w:proofErr w:type="spellEnd"/>
      <w:r>
        <w:t xml:space="preserve"> pilot implementation or multi-institutional testing. While the findings provide empirical support for the proposed framework and its adaptability to similar Philippine private higher education institutions, further studies involving broader institutional participation and real-world implementation are recommended to strengthen its generalizability and practical applicability across diverse higher education settings.</w:t>
      </w:r>
    </w:p>
    <w:p w:rsidR="00735A69" w:rsidRPr="000F5BC1" w:rsidRDefault="00735A69" w:rsidP="00094A9B">
      <w:pPr>
        <w:pStyle w:val="NormalWeb"/>
        <w:spacing w:before="0" w:beforeAutospacing="0" w:after="0" w:afterAutospacing="0"/>
        <w:jc w:val="both"/>
      </w:pPr>
    </w:p>
    <w:p w:rsidR="00094A9B" w:rsidRDefault="007F7972" w:rsidP="00094A9B">
      <w:pPr>
        <w:pStyle w:val="NormalWeb"/>
        <w:spacing w:before="0" w:beforeAutospacing="0" w:after="0" w:afterAutospacing="0"/>
        <w:jc w:val="both"/>
        <w:rPr>
          <w:rStyle w:val="Strong"/>
          <w:b w:val="0"/>
          <w:bCs w:val="0"/>
        </w:rPr>
      </w:pPr>
      <w:r>
        <w:t>D</w:t>
      </w:r>
      <w:r w:rsidR="00094A9B" w:rsidRPr="000F5BC1">
        <w:t xml:space="preserve">. </w:t>
      </w:r>
      <w:r w:rsidR="00094A9B" w:rsidRPr="000F5BC1">
        <w:rPr>
          <w:rStyle w:val="Strong"/>
          <w:b w:val="0"/>
          <w:bCs w:val="0"/>
        </w:rPr>
        <w:t>Recommendations</w:t>
      </w:r>
    </w:p>
    <w:p w:rsidR="005C5DB1" w:rsidRDefault="005C5DB1" w:rsidP="00094A9B">
      <w:pPr>
        <w:pStyle w:val="NormalWeb"/>
        <w:spacing w:before="0" w:beforeAutospacing="0" w:after="0" w:afterAutospacing="0"/>
        <w:jc w:val="both"/>
        <w:rPr>
          <w:rStyle w:val="Strong"/>
          <w:b w:val="0"/>
          <w:bCs w:val="0"/>
        </w:rPr>
      </w:pPr>
    </w:p>
    <w:p w:rsidR="005C5DB1" w:rsidRPr="005C5DB1" w:rsidRDefault="005C5DB1" w:rsidP="007139DB">
      <w:pPr>
        <w:jc w:val="both"/>
        <w:rPr>
          <w:sz w:val="24"/>
          <w:szCs w:val="24"/>
        </w:rPr>
      </w:pPr>
      <w:r>
        <w:tab/>
      </w:r>
      <w:r w:rsidRPr="005C5DB1">
        <w:rPr>
          <w:sz w:val="24"/>
          <w:szCs w:val="24"/>
        </w:rPr>
        <w:t xml:space="preserve">Based on the findings of the study and the proposed IT Governance Framework, the following recommendations are offered to support the successful adoption of </w:t>
      </w:r>
      <w:proofErr w:type="spellStart"/>
      <w:r w:rsidRPr="005C5DB1">
        <w:rPr>
          <w:sz w:val="24"/>
          <w:szCs w:val="24"/>
        </w:rPr>
        <w:t>blockchain</w:t>
      </w:r>
      <w:proofErr w:type="spellEnd"/>
      <w:r w:rsidRPr="005C5DB1">
        <w:rPr>
          <w:sz w:val="24"/>
          <w:szCs w:val="24"/>
        </w:rPr>
        <w:t>-enabled academic recordkeeping in PHEIs:</w:t>
      </w:r>
    </w:p>
    <w:p w:rsidR="005C5DB1" w:rsidRPr="005C5DB1" w:rsidRDefault="005C5DB1" w:rsidP="007139DB">
      <w:pPr>
        <w:jc w:val="both"/>
        <w:rPr>
          <w:sz w:val="24"/>
          <w:szCs w:val="24"/>
        </w:rPr>
      </w:pPr>
    </w:p>
    <w:p w:rsidR="005C5DB1" w:rsidRPr="005C5DB1" w:rsidRDefault="005C5DB1" w:rsidP="007139DB">
      <w:pPr>
        <w:pStyle w:val="ListParagraph"/>
        <w:numPr>
          <w:ilvl w:val="0"/>
          <w:numId w:val="27"/>
        </w:numPr>
        <w:spacing w:after="160" w:line="259" w:lineRule="auto"/>
        <w:jc w:val="both"/>
        <w:rPr>
          <w:sz w:val="24"/>
          <w:szCs w:val="24"/>
        </w:rPr>
      </w:pPr>
      <w:r w:rsidRPr="005C5DB1">
        <w:rPr>
          <w:sz w:val="24"/>
          <w:szCs w:val="24"/>
        </w:rPr>
        <w:t xml:space="preserve">Adopt a Phased Implementation Approach. PHEIs should initiate pilot </w:t>
      </w:r>
      <w:proofErr w:type="spellStart"/>
      <w:r w:rsidRPr="005C5DB1">
        <w:rPr>
          <w:sz w:val="24"/>
          <w:szCs w:val="24"/>
        </w:rPr>
        <w:t>blockchain</w:t>
      </w:r>
      <w:proofErr w:type="spellEnd"/>
      <w:r w:rsidRPr="005C5DB1">
        <w:rPr>
          <w:sz w:val="24"/>
          <w:szCs w:val="24"/>
        </w:rPr>
        <w:t xml:space="preserve"> projects within the IT Department and Registrar's Office before institution-wide deployment. A phased approach enables institutions to identify technical and operational challenges, assess stakeholder readiness, and minimize implementation risks. This recommendation is consistent with Wang et al. (202</w:t>
      </w:r>
      <w:r w:rsidR="00E72AF5">
        <w:rPr>
          <w:sz w:val="24"/>
          <w:szCs w:val="24"/>
        </w:rPr>
        <w:t>4</w:t>
      </w:r>
      <w:r w:rsidRPr="005C5DB1">
        <w:rPr>
          <w:sz w:val="24"/>
          <w:szCs w:val="24"/>
        </w:rPr>
        <w:t xml:space="preserve">), who emphasized incremental adoption strategies to improve the sustainability of </w:t>
      </w:r>
      <w:proofErr w:type="spellStart"/>
      <w:r w:rsidRPr="005C5DB1">
        <w:rPr>
          <w:sz w:val="24"/>
          <w:szCs w:val="24"/>
        </w:rPr>
        <w:t>blockchain</w:t>
      </w:r>
      <w:proofErr w:type="spellEnd"/>
      <w:r w:rsidRPr="005C5DB1">
        <w:rPr>
          <w:sz w:val="24"/>
          <w:szCs w:val="24"/>
        </w:rPr>
        <w:t xml:space="preserve"> initiatives in educational settings.</w:t>
      </w:r>
    </w:p>
    <w:p w:rsidR="005C5DB1" w:rsidRPr="005C5DB1" w:rsidRDefault="005C5DB1" w:rsidP="007139DB">
      <w:pPr>
        <w:pStyle w:val="ListParagraph"/>
        <w:numPr>
          <w:ilvl w:val="0"/>
          <w:numId w:val="27"/>
        </w:numPr>
        <w:spacing w:after="160" w:line="259" w:lineRule="auto"/>
        <w:jc w:val="both"/>
        <w:rPr>
          <w:sz w:val="24"/>
          <w:szCs w:val="24"/>
        </w:rPr>
      </w:pPr>
      <w:r w:rsidRPr="005C5DB1">
        <w:rPr>
          <w:sz w:val="24"/>
          <w:szCs w:val="24"/>
        </w:rPr>
        <w:t>Establish a Governance Committee. Institutions should create a multi-unit IT Governance Council composed of representatives from the IT Department, Registrar, Finance Office, Accreditation Unit, and Senior Management. Such a committee can oversee policy formulation, decision-making, and accountability mechanisms. This aligns with van Pelt et al. (202</w:t>
      </w:r>
      <w:r w:rsidR="00AA726C">
        <w:rPr>
          <w:sz w:val="24"/>
          <w:szCs w:val="24"/>
        </w:rPr>
        <w:t>0</w:t>
      </w:r>
      <w:r w:rsidRPr="005C5DB1">
        <w:rPr>
          <w:sz w:val="24"/>
          <w:szCs w:val="24"/>
        </w:rPr>
        <w:t xml:space="preserve">), who highlighted the importance of clearly defined governance structures in ensuring successful </w:t>
      </w:r>
      <w:proofErr w:type="spellStart"/>
      <w:r w:rsidRPr="005C5DB1">
        <w:rPr>
          <w:sz w:val="24"/>
          <w:szCs w:val="24"/>
        </w:rPr>
        <w:t>blockchain</w:t>
      </w:r>
      <w:proofErr w:type="spellEnd"/>
      <w:r w:rsidRPr="005C5DB1">
        <w:rPr>
          <w:sz w:val="24"/>
          <w:szCs w:val="24"/>
        </w:rPr>
        <w:t xml:space="preserve"> implementation.</w:t>
      </w:r>
    </w:p>
    <w:p w:rsidR="005C5DB1" w:rsidRPr="005C5DB1" w:rsidRDefault="005C5DB1" w:rsidP="007139DB">
      <w:pPr>
        <w:pStyle w:val="ListParagraph"/>
        <w:numPr>
          <w:ilvl w:val="0"/>
          <w:numId w:val="27"/>
        </w:numPr>
        <w:spacing w:after="160" w:line="259" w:lineRule="auto"/>
        <w:jc w:val="both"/>
        <w:rPr>
          <w:sz w:val="24"/>
          <w:szCs w:val="24"/>
        </w:rPr>
      </w:pPr>
      <w:r w:rsidRPr="005C5DB1">
        <w:rPr>
          <w:sz w:val="24"/>
          <w:szCs w:val="24"/>
        </w:rPr>
        <w:t xml:space="preserve">Ensure Sustainable Budgeting and Resource Allocation. Dedicated funding should be allocated for technological infrastructure, cybersecurity measures, system maintenance, and staff development. Since financial constraints remain a major barrier to </w:t>
      </w:r>
      <w:proofErr w:type="spellStart"/>
      <w:r w:rsidRPr="005C5DB1">
        <w:rPr>
          <w:sz w:val="24"/>
          <w:szCs w:val="24"/>
        </w:rPr>
        <w:t>blockchain</w:t>
      </w:r>
      <w:proofErr w:type="spellEnd"/>
      <w:r w:rsidRPr="005C5DB1">
        <w:rPr>
          <w:sz w:val="24"/>
          <w:szCs w:val="24"/>
        </w:rPr>
        <w:t xml:space="preserve"> adoption, long-term investment planning is necessary to support institutional readiness and sustainability (Mohammad &amp; Vargas, 2022).</w:t>
      </w:r>
    </w:p>
    <w:p w:rsidR="005C5DB1" w:rsidRPr="005C5DB1" w:rsidRDefault="005C5DB1" w:rsidP="007139DB">
      <w:pPr>
        <w:pStyle w:val="ListParagraph"/>
        <w:numPr>
          <w:ilvl w:val="0"/>
          <w:numId w:val="27"/>
        </w:numPr>
        <w:spacing w:after="160" w:line="259" w:lineRule="auto"/>
        <w:jc w:val="both"/>
        <w:rPr>
          <w:sz w:val="24"/>
          <w:szCs w:val="24"/>
        </w:rPr>
      </w:pPr>
      <w:r w:rsidRPr="005C5DB1">
        <w:rPr>
          <w:sz w:val="24"/>
          <w:szCs w:val="24"/>
        </w:rPr>
        <w:t xml:space="preserve">Define Performance Metrics and Compliance Mechanisms. PHEIs should establish key performance indicators (KPIs), conduct periodic audits, and implement compliance reviews to evaluate the effectiveness of </w:t>
      </w:r>
      <w:proofErr w:type="spellStart"/>
      <w:r w:rsidRPr="005C5DB1">
        <w:rPr>
          <w:sz w:val="24"/>
          <w:szCs w:val="24"/>
        </w:rPr>
        <w:t>blockchain</w:t>
      </w:r>
      <w:proofErr w:type="spellEnd"/>
      <w:r w:rsidRPr="005C5DB1">
        <w:rPr>
          <w:sz w:val="24"/>
          <w:szCs w:val="24"/>
        </w:rPr>
        <w:t xml:space="preserve"> initiatives. Continuous monitoring ensures that </w:t>
      </w:r>
      <w:proofErr w:type="spellStart"/>
      <w:r w:rsidRPr="005C5DB1">
        <w:rPr>
          <w:sz w:val="24"/>
          <w:szCs w:val="24"/>
        </w:rPr>
        <w:t>blockchain</w:t>
      </w:r>
      <w:proofErr w:type="spellEnd"/>
      <w:r w:rsidRPr="005C5DB1">
        <w:rPr>
          <w:sz w:val="24"/>
          <w:szCs w:val="24"/>
        </w:rPr>
        <w:t xml:space="preserve"> systems remain aligned with institutional objectives and regulatory requirements, </w:t>
      </w:r>
      <w:r w:rsidR="00870882" w:rsidRPr="00870882">
        <w:rPr>
          <w:sz w:val="24"/>
          <w:szCs w:val="24"/>
        </w:rPr>
        <w:t>consistent with the governance principles emphasized by Bianchi et al. (2021), particularly the importance of continuous monitoring and evaluation in ensuring that IT initiatives remain aligned with institutional objectives.</w:t>
      </w:r>
    </w:p>
    <w:p w:rsidR="005C5DB1" w:rsidRPr="005C5DB1" w:rsidRDefault="005C5DB1" w:rsidP="007139DB">
      <w:pPr>
        <w:pStyle w:val="ListParagraph"/>
        <w:numPr>
          <w:ilvl w:val="0"/>
          <w:numId w:val="27"/>
        </w:numPr>
        <w:spacing w:after="160" w:line="259" w:lineRule="auto"/>
        <w:jc w:val="both"/>
        <w:rPr>
          <w:sz w:val="24"/>
          <w:szCs w:val="24"/>
        </w:rPr>
      </w:pPr>
      <w:r w:rsidRPr="005C5DB1">
        <w:rPr>
          <w:sz w:val="24"/>
          <w:szCs w:val="24"/>
        </w:rPr>
        <w:t xml:space="preserve">Promote Capacity Development and Change Management. Institutions should provide continuous technical and governance training programs for personnel involved in </w:t>
      </w:r>
      <w:proofErr w:type="spellStart"/>
      <w:r w:rsidRPr="005C5DB1">
        <w:rPr>
          <w:sz w:val="24"/>
          <w:szCs w:val="24"/>
        </w:rPr>
        <w:t>blockchain</w:t>
      </w:r>
      <w:proofErr w:type="spellEnd"/>
      <w:r w:rsidRPr="005C5DB1">
        <w:rPr>
          <w:sz w:val="24"/>
          <w:szCs w:val="24"/>
        </w:rPr>
        <w:t xml:space="preserve"> operations. Leadership support, stakeholder engagement, and capability-building initiatives are essential to reducing resistance to change and enhancing organizational readiness for digital transformation (</w:t>
      </w:r>
      <w:proofErr w:type="spellStart"/>
      <w:r w:rsidRPr="005C5DB1">
        <w:rPr>
          <w:sz w:val="24"/>
          <w:szCs w:val="24"/>
        </w:rPr>
        <w:t>Alshareef</w:t>
      </w:r>
      <w:proofErr w:type="spellEnd"/>
      <w:r w:rsidRPr="005C5DB1">
        <w:rPr>
          <w:sz w:val="24"/>
          <w:szCs w:val="24"/>
        </w:rPr>
        <w:t xml:space="preserve"> et al., 2022).</w:t>
      </w:r>
    </w:p>
    <w:p w:rsidR="005C5DB1" w:rsidRPr="00DF0DD0" w:rsidRDefault="005C5DB1" w:rsidP="007139DB">
      <w:pPr>
        <w:pStyle w:val="ListParagraph"/>
        <w:numPr>
          <w:ilvl w:val="0"/>
          <w:numId w:val="27"/>
        </w:numPr>
        <w:spacing w:after="160" w:line="259" w:lineRule="auto"/>
        <w:jc w:val="both"/>
        <w:rPr>
          <w:sz w:val="24"/>
          <w:szCs w:val="24"/>
        </w:rPr>
      </w:pPr>
      <w:r w:rsidRPr="005C5DB1">
        <w:rPr>
          <w:sz w:val="24"/>
          <w:szCs w:val="24"/>
        </w:rPr>
        <w:t xml:space="preserve">Encourage Future Empirical Validation of the Framework. Future studies may apply and evaluate the proposed IT Governance Framework in actual </w:t>
      </w:r>
      <w:proofErr w:type="spellStart"/>
      <w:r w:rsidRPr="005C5DB1">
        <w:rPr>
          <w:sz w:val="24"/>
          <w:szCs w:val="24"/>
        </w:rPr>
        <w:t>blockchain</w:t>
      </w:r>
      <w:proofErr w:type="spellEnd"/>
      <w:r w:rsidRPr="005C5DB1">
        <w:rPr>
          <w:sz w:val="24"/>
          <w:szCs w:val="24"/>
        </w:rPr>
        <w:t xml:space="preserve"> pilot implementations across a broader range of higher education institutions. Expanding the sample size and examining implementation outcomes will enhance the generalizability and practical applicability of the framework.</w:t>
      </w:r>
    </w:p>
    <w:p w:rsidR="00094A9B" w:rsidRPr="000F5BC1" w:rsidRDefault="00094A9B" w:rsidP="00094A9B">
      <w:pPr>
        <w:jc w:val="both"/>
        <w:rPr>
          <w:sz w:val="24"/>
          <w:szCs w:val="24"/>
        </w:rPr>
      </w:pPr>
    </w:p>
    <w:p w:rsidR="00E33993" w:rsidRPr="00E33993" w:rsidRDefault="00E33993" w:rsidP="00E33993">
      <w:pPr>
        <w:jc w:val="both"/>
        <w:rPr>
          <w:sz w:val="24"/>
          <w:szCs w:val="24"/>
        </w:rPr>
      </w:pPr>
      <w:r w:rsidRPr="00E33993">
        <w:rPr>
          <w:sz w:val="24"/>
          <w:szCs w:val="24"/>
        </w:rPr>
        <w:t>References</w:t>
      </w:r>
    </w:p>
    <w:p w:rsidR="00E33993" w:rsidRPr="00E33993" w:rsidRDefault="00E33993" w:rsidP="00E33993">
      <w:pPr>
        <w:jc w:val="both"/>
        <w:rPr>
          <w:sz w:val="24"/>
          <w:szCs w:val="24"/>
        </w:rPr>
      </w:pPr>
    </w:p>
    <w:p w:rsidR="00E33993" w:rsidRPr="00E33993" w:rsidRDefault="00E33993" w:rsidP="00E33993">
      <w:pPr>
        <w:jc w:val="both"/>
        <w:rPr>
          <w:sz w:val="24"/>
          <w:szCs w:val="24"/>
        </w:rPr>
      </w:pPr>
      <w:r w:rsidRPr="00E33993">
        <w:rPr>
          <w:sz w:val="24"/>
          <w:szCs w:val="24"/>
        </w:rPr>
        <w:t xml:space="preserve">Wang, X., </w:t>
      </w:r>
      <w:proofErr w:type="spellStart"/>
      <w:r w:rsidRPr="00E33993">
        <w:rPr>
          <w:sz w:val="24"/>
          <w:szCs w:val="24"/>
        </w:rPr>
        <w:t>Younas</w:t>
      </w:r>
      <w:proofErr w:type="spellEnd"/>
      <w:r w:rsidRPr="00E33993">
        <w:rPr>
          <w:sz w:val="24"/>
          <w:szCs w:val="24"/>
        </w:rPr>
        <w:t>, M., Jiang, Y., &amp; Imran, M. (202</w:t>
      </w:r>
      <w:r w:rsidR="00E72AF5">
        <w:rPr>
          <w:sz w:val="24"/>
          <w:szCs w:val="24"/>
        </w:rPr>
        <w:t>4</w:t>
      </w:r>
      <w:r w:rsidRPr="00E33993">
        <w:rPr>
          <w:sz w:val="24"/>
          <w:szCs w:val="24"/>
        </w:rPr>
        <w:t xml:space="preserve">). Transforming education through </w:t>
      </w:r>
      <w:proofErr w:type="spellStart"/>
      <w:r w:rsidRPr="00E33993">
        <w:rPr>
          <w:sz w:val="24"/>
          <w:szCs w:val="24"/>
        </w:rPr>
        <w:t>blockchain</w:t>
      </w:r>
      <w:proofErr w:type="spellEnd"/>
      <w:r w:rsidRPr="00E33993">
        <w:rPr>
          <w:sz w:val="24"/>
          <w:szCs w:val="24"/>
        </w:rPr>
        <w:t>: A systematic review of applications, projects, and challenges. IEEE Access, 13, 13264–13284. https://doi.org/10.1109/ACCESS.2024.3519350</w:t>
      </w:r>
    </w:p>
    <w:p w:rsidR="00E33993" w:rsidRPr="00E33993" w:rsidRDefault="00E33993" w:rsidP="00E33993">
      <w:pPr>
        <w:jc w:val="both"/>
        <w:rPr>
          <w:sz w:val="24"/>
          <w:szCs w:val="24"/>
        </w:rPr>
      </w:pPr>
    </w:p>
    <w:p w:rsidR="00E33993" w:rsidRPr="003E65E5" w:rsidRDefault="003E65E5" w:rsidP="00E33993">
      <w:pPr>
        <w:jc w:val="both"/>
        <w:rPr>
          <w:sz w:val="24"/>
          <w:szCs w:val="24"/>
        </w:rPr>
      </w:pPr>
      <w:proofErr w:type="spellStart"/>
      <w:r w:rsidRPr="003E65E5">
        <w:rPr>
          <w:sz w:val="24"/>
          <w:szCs w:val="24"/>
        </w:rPr>
        <w:t>Mikroyannidis</w:t>
      </w:r>
      <w:proofErr w:type="spellEnd"/>
      <w:r w:rsidRPr="003E65E5">
        <w:rPr>
          <w:sz w:val="24"/>
          <w:szCs w:val="24"/>
        </w:rPr>
        <w:t xml:space="preserve">, A., Third, A., &amp; </w:t>
      </w:r>
      <w:proofErr w:type="spellStart"/>
      <w:r w:rsidRPr="003E65E5">
        <w:rPr>
          <w:sz w:val="24"/>
          <w:szCs w:val="24"/>
        </w:rPr>
        <w:t>Domingue</w:t>
      </w:r>
      <w:proofErr w:type="spellEnd"/>
      <w:r w:rsidRPr="003E65E5">
        <w:rPr>
          <w:sz w:val="24"/>
          <w:szCs w:val="24"/>
        </w:rPr>
        <w:t xml:space="preserve">, J. (2024). </w:t>
      </w:r>
      <w:proofErr w:type="spellStart"/>
      <w:r w:rsidRPr="003E65E5">
        <w:rPr>
          <w:sz w:val="24"/>
          <w:szCs w:val="24"/>
        </w:rPr>
        <w:t>Blockchain</w:t>
      </w:r>
      <w:proofErr w:type="spellEnd"/>
      <w:r w:rsidRPr="003E65E5">
        <w:rPr>
          <w:sz w:val="24"/>
          <w:szCs w:val="24"/>
        </w:rPr>
        <w:t xml:space="preserve">-based </w:t>
      </w:r>
      <w:proofErr w:type="spellStart"/>
      <w:r w:rsidRPr="003E65E5">
        <w:rPr>
          <w:sz w:val="24"/>
          <w:szCs w:val="24"/>
        </w:rPr>
        <w:t>decentralised</w:t>
      </w:r>
      <w:proofErr w:type="spellEnd"/>
      <w:r w:rsidRPr="003E65E5">
        <w:rPr>
          <w:sz w:val="24"/>
          <w:szCs w:val="24"/>
        </w:rPr>
        <w:t xml:space="preserve"> micro-accreditation for lifelong learning. </w:t>
      </w:r>
      <w:r w:rsidRPr="003E65E5">
        <w:rPr>
          <w:rStyle w:val="Emphasis"/>
          <w:i w:val="0"/>
          <w:sz w:val="24"/>
          <w:szCs w:val="24"/>
        </w:rPr>
        <w:t>Interactive Learning Environments</w:t>
      </w:r>
      <w:r w:rsidRPr="003E65E5">
        <w:rPr>
          <w:sz w:val="24"/>
          <w:szCs w:val="24"/>
        </w:rPr>
        <w:t xml:space="preserve">. Advance online publication. </w:t>
      </w:r>
      <w:r w:rsidRPr="003E65E5">
        <w:rPr>
          <w:sz w:val="24"/>
          <w:szCs w:val="24"/>
        </w:rPr>
        <w:t>https://doi.org/10.1080/10494820.2024.2401485</w:t>
      </w:r>
    </w:p>
    <w:p w:rsidR="003E65E5" w:rsidRPr="003E65E5" w:rsidRDefault="003E65E5" w:rsidP="00E33993">
      <w:pPr>
        <w:jc w:val="both"/>
        <w:rPr>
          <w:sz w:val="24"/>
          <w:szCs w:val="24"/>
        </w:rPr>
      </w:pPr>
    </w:p>
    <w:p w:rsidR="00E33993" w:rsidRPr="00E33993" w:rsidRDefault="00E33993" w:rsidP="00E33993">
      <w:pPr>
        <w:jc w:val="both"/>
        <w:rPr>
          <w:sz w:val="24"/>
          <w:szCs w:val="24"/>
        </w:rPr>
      </w:pPr>
      <w:proofErr w:type="spellStart"/>
      <w:r w:rsidRPr="00E33993">
        <w:rPr>
          <w:sz w:val="24"/>
          <w:szCs w:val="24"/>
        </w:rPr>
        <w:lastRenderedPageBreak/>
        <w:t>Alshareef</w:t>
      </w:r>
      <w:proofErr w:type="spellEnd"/>
      <w:r w:rsidRPr="00E33993">
        <w:rPr>
          <w:sz w:val="24"/>
          <w:szCs w:val="24"/>
        </w:rPr>
        <w:t xml:space="preserve">, N., Sandhu, K., </w:t>
      </w:r>
      <w:proofErr w:type="spellStart"/>
      <w:r w:rsidRPr="00E33993">
        <w:rPr>
          <w:sz w:val="24"/>
          <w:szCs w:val="24"/>
        </w:rPr>
        <w:t>Shahzad</w:t>
      </w:r>
      <w:proofErr w:type="spellEnd"/>
      <w:r w:rsidRPr="00E33993">
        <w:rPr>
          <w:sz w:val="24"/>
          <w:szCs w:val="24"/>
        </w:rPr>
        <w:t xml:space="preserve">, K., &amp; Hussain, W. (2022). Role of leadership in adoption of </w:t>
      </w:r>
      <w:proofErr w:type="spellStart"/>
      <w:r w:rsidRPr="00E33993">
        <w:rPr>
          <w:sz w:val="24"/>
          <w:szCs w:val="24"/>
        </w:rPr>
        <w:t>blockchain</w:t>
      </w:r>
      <w:proofErr w:type="spellEnd"/>
      <w:r w:rsidRPr="00E33993">
        <w:rPr>
          <w:sz w:val="24"/>
          <w:szCs w:val="24"/>
        </w:rPr>
        <w:t xml:space="preserve"> technology in small and medium enterprises in Saudi Arabia. Frontiers in Psychology, 13, Article 911432. https://doi.org/10.3389/fpsyg.2022.911432</w:t>
      </w:r>
    </w:p>
    <w:p w:rsidR="00E33993" w:rsidRPr="00E33993" w:rsidRDefault="00E33993" w:rsidP="00E33993">
      <w:pPr>
        <w:jc w:val="both"/>
        <w:rPr>
          <w:sz w:val="24"/>
          <w:szCs w:val="24"/>
        </w:rPr>
      </w:pPr>
    </w:p>
    <w:p w:rsidR="00E33993" w:rsidRPr="00E33993" w:rsidRDefault="00E33993" w:rsidP="00E33993">
      <w:pPr>
        <w:jc w:val="both"/>
        <w:rPr>
          <w:sz w:val="24"/>
          <w:szCs w:val="24"/>
        </w:rPr>
      </w:pPr>
      <w:proofErr w:type="spellStart"/>
      <w:r w:rsidRPr="00E33993">
        <w:rPr>
          <w:sz w:val="24"/>
          <w:szCs w:val="24"/>
        </w:rPr>
        <w:t>Kuleto</w:t>
      </w:r>
      <w:proofErr w:type="spellEnd"/>
      <w:r w:rsidRPr="00E33993">
        <w:rPr>
          <w:sz w:val="24"/>
          <w:szCs w:val="24"/>
        </w:rPr>
        <w:t xml:space="preserve">, V., </w:t>
      </w:r>
      <w:proofErr w:type="spellStart"/>
      <w:r w:rsidRPr="00E33993">
        <w:rPr>
          <w:sz w:val="24"/>
          <w:szCs w:val="24"/>
        </w:rPr>
        <w:t>Ilić</w:t>
      </w:r>
      <w:proofErr w:type="spellEnd"/>
      <w:r w:rsidRPr="00E33993">
        <w:rPr>
          <w:sz w:val="24"/>
          <w:szCs w:val="24"/>
        </w:rPr>
        <w:t xml:space="preserve">, M., </w:t>
      </w:r>
      <w:proofErr w:type="spellStart"/>
      <w:r w:rsidRPr="00E33993">
        <w:rPr>
          <w:sz w:val="24"/>
          <w:szCs w:val="24"/>
        </w:rPr>
        <w:t>Dumangiu</w:t>
      </w:r>
      <w:proofErr w:type="spellEnd"/>
      <w:r w:rsidRPr="00E33993">
        <w:rPr>
          <w:sz w:val="24"/>
          <w:szCs w:val="24"/>
        </w:rPr>
        <w:t xml:space="preserve">, M., </w:t>
      </w:r>
      <w:proofErr w:type="spellStart"/>
      <w:r w:rsidRPr="00E33993">
        <w:rPr>
          <w:sz w:val="24"/>
          <w:szCs w:val="24"/>
        </w:rPr>
        <w:t>Ranković</w:t>
      </w:r>
      <w:proofErr w:type="spellEnd"/>
      <w:r w:rsidRPr="00E33993">
        <w:rPr>
          <w:sz w:val="24"/>
          <w:szCs w:val="24"/>
        </w:rPr>
        <w:t xml:space="preserve">, M., Martins, O. M. D., </w:t>
      </w:r>
      <w:proofErr w:type="spellStart"/>
      <w:r w:rsidRPr="00E33993">
        <w:rPr>
          <w:sz w:val="24"/>
          <w:szCs w:val="24"/>
        </w:rPr>
        <w:t>Păun</w:t>
      </w:r>
      <w:proofErr w:type="spellEnd"/>
      <w:r w:rsidRPr="00E33993">
        <w:rPr>
          <w:sz w:val="24"/>
          <w:szCs w:val="24"/>
        </w:rPr>
        <w:t xml:space="preserve">, D., &amp; </w:t>
      </w:r>
      <w:proofErr w:type="spellStart"/>
      <w:r w:rsidRPr="00E33993">
        <w:rPr>
          <w:sz w:val="24"/>
          <w:szCs w:val="24"/>
        </w:rPr>
        <w:t>Mihoreanu</w:t>
      </w:r>
      <w:proofErr w:type="spellEnd"/>
      <w:r w:rsidRPr="00E33993">
        <w:rPr>
          <w:sz w:val="24"/>
          <w:szCs w:val="24"/>
        </w:rPr>
        <w:t xml:space="preserve">, L. (2022). The potential of </w:t>
      </w:r>
      <w:proofErr w:type="spellStart"/>
      <w:r w:rsidRPr="00E33993">
        <w:rPr>
          <w:sz w:val="24"/>
          <w:szCs w:val="24"/>
        </w:rPr>
        <w:t>blockchain</w:t>
      </w:r>
      <w:proofErr w:type="spellEnd"/>
      <w:r w:rsidRPr="00E33993">
        <w:rPr>
          <w:sz w:val="24"/>
          <w:szCs w:val="24"/>
        </w:rPr>
        <w:t xml:space="preserve"> technology in higher education</w:t>
      </w:r>
      <w:r w:rsidR="006B6EA4">
        <w:rPr>
          <w:sz w:val="24"/>
          <w:szCs w:val="24"/>
        </w:rPr>
        <w:t xml:space="preserve"> as perceived by students in </w:t>
      </w:r>
      <w:proofErr w:type="spellStart"/>
      <w:r w:rsidR="006B6EA4">
        <w:rPr>
          <w:sz w:val="24"/>
          <w:szCs w:val="24"/>
        </w:rPr>
        <w:t>serbia</w:t>
      </w:r>
      <w:proofErr w:type="spellEnd"/>
      <w:r w:rsidR="006B6EA4">
        <w:rPr>
          <w:sz w:val="24"/>
          <w:szCs w:val="24"/>
        </w:rPr>
        <w:t xml:space="preserve">, </w:t>
      </w:r>
      <w:proofErr w:type="spellStart"/>
      <w:r w:rsidR="006B6EA4">
        <w:rPr>
          <w:sz w:val="24"/>
          <w:szCs w:val="24"/>
        </w:rPr>
        <w:t>romania</w:t>
      </w:r>
      <w:proofErr w:type="spellEnd"/>
      <w:r w:rsidR="006B6EA4">
        <w:rPr>
          <w:sz w:val="24"/>
          <w:szCs w:val="24"/>
        </w:rPr>
        <w:t xml:space="preserve"> and Portugal,</w:t>
      </w:r>
      <w:r w:rsidRPr="00E33993">
        <w:rPr>
          <w:sz w:val="24"/>
          <w:szCs w:val="24"/>
        </w:rPr>
        <w:t xml:space="preserve"> 14(2), Article 749. https://doi.org/10.3390/su14020749</w:t>
      </w:r>
    </w:p>
    <w:p w:rsidR="00E33993" w:rsidRPr="00E33993" w:rsidRDefault="00E33993" w:rsidP="00E33993">
      <w:pPr>
        <w:jc w:val="both"/>
        <w:rPr>
          <w:sz w:val="24"/>
          <w:szCs w:val="24"/>
        </w:rPr>
      </w:pPr>
    </w:p>
    <w:p w:rsidR="00E33993" w:rsidRPr="00E33993" w:rsidRDefault="00E33993" w:rsidP="00E33993">
      <w:pPr>
        <w:jc w:val="both"/>
        <w:rPr>
          <w:sz w:val="24"/>
          <w:szCs w:val="24"/>
        </w:rPr>
      </w:pPr>
      <w:r w:rsidRPr="00E33993">
        <w:rPr>
          <w:sz w:val="24"/>
          <w:szCs w:val="24"/>
        </w:rPr>
        <w:t xml:space="preserve">Mohammad, A., &amp; Vargas, S. (2022). Barriers affecting higher education institutions' adoption of </w:t>
      </w:r>
      <w:proofErr w:type="spellStart"/>
      <w:r w:rsidRPr="00E33993">
        <w:rPr>
          <w:sz w:val="24"/>
          <w:szCs w:val="24"/>
        </w:rPr>
        <w:t>blockchain</w:t>
      </w:r>
      <w:proofErr w:type="spellEnd"/>
      <w:r w:rsidRPr="00E33993">
        <w:rPr>
          <w:sz w:val="24"/>
          <w:szCs w:val="24"/>
        </w:rPr>
        <w:t xml:space="preserve"> technology: A qualitative study. Informatics, 9(3), Article 64. https://doi.org/10.3390/informatics9030064</w:t>
      </w:r>
    </w:p>
    <w:p w:rsidR="00E33993" w:rsidRPr="00E33993" w:rsidRDefault="00E33993" w:rsidP="00E33993">
      <w:pPr>
        <w:jc w:val="both"/>
        <w:rPr>
          <w:sz w:val="24"/>
          <w:szCs w:val="24"/>
        </w:rPr>
      </w:pPr>
    </w:p>
    <w:p w:rsidR="00E33993" w:rsidRPr="00E33993" w:rsidRDefault="00E33993" w:rsidP="00E33993">
      <w:pPr>
        <w:jc w:val="both"/>
        <w:rPr>
          <w:sz w:val="24"/>
          <w:szCs w:val="24"/>
        </w:rPr>
      </w:pPr>
    </w:p>
    <w:p w:rsidR="00E33993" w:rsidRPr="00461E2B" w:rsidRDefault="00461E2B" w:rsidP="00E33993">
      <w:pPr>
        <w:jc w:val="both"/>
        <w:rPr>
          <w:sz w:val="24"/>
          <w:szCs w:val="24"/>
        </w:rPr>
      </w:pPr>
      <w:r w:rsidRPr="00461E2B">
        <w:rPr>
          <w:sz w:val="24"/>
          <w:szCs w:val="24"/>
        </w:rPr>
        <w:t xml:space="preserve">Siddiqui, S. T., Ahmad, M. O., </w:t>
      </w:r>
      <w:proofErr w:type="spellStart"/>
      <w:r w:rsidRPr="00461E2B">
        <w:rPr>
          <w:sz w:val="24"/>
          <w:szCs w:val="24"/>
        </w:rPr>
        <w:t>Khamruddin</w:t>
      </w:r>
      <w:proofErr w:type="spellEnd"/>
      <w:r w:rsidRPr="00461E2B">
        <w:rPr>
          <w:sz w:val="24"/>
          <w:szCs w:val="24"/>
        </w:rPr>
        <w:t xml:space="preserve">, M., &amp; Gupta, A. K. (2022). </w:t>
      </w:r>
      <w:proofErr w:type="spellStart"/>
      <w:r w:rsidRPr="00461E2B">
        <w:rPr>
          <w:sz w:val="24"/>
          <w:szCs w:val="24"/>
        </w:rPr>
        <w:t>Blockchain</w:t>
      </w:r>
      <w:proofErr w:type="spellEnd"/>
      <w:r w:rsidRPr="00461E2B">
        <w:rPr>
          <w:sz w:val="24"/>
          <w:szCs w:val="24"/>
        </w:rPr>
        <w:t xml:space="preserve"> and </w:t>
      </w:r>
      <w:proofErr w:type="spellStart"/>
      <w:r w:rsidRPr="00461E2B">
        <w:rPr>
          <w:sz w:val="24"/>
          <w:szCs w:val="24"/>
        </w:rPr>
        <w:t>IoT</w:t>
      </w:r>
      <w:proofErr w:type="spellEnd"/>
      <w:r w:rsidRPr="00461E2B">
        <w:rPr>
          <w:sz w:val="24"/>
          <w:szCs w:val="24"/>
        </w:rPr>
        <w:t xml:space="preserve"> for educational certificates generation and verification. In </w:t>
      </w:r>
      <w:r w:rsidRPr="00461E2B">
        <w:rPr>
          <w:rStyle w:val="Emphasis"/>
          <w:i w:val="0"/>
          <w:sz w:val="24"/>
          <w:szCs w:val="24"/>
        </w:rPr>
        <w:t>2022 2nd International Conference on Computing and Information Technology (ICCIT)</w:t>
      </w:r>
      <w:r w:rsidRPr="00461E2B">
        <w:rPr>
          <w:sz w:val="24"/>
          <w:szCs w:val="24"/>
        </w:rPr>
        <w:t xml:space="preserve">. IEEE. </w:t>
      </w:r>
      <w:r w:rsidRPr="00461E2B">
        <w:rPr>
          <w:sz w:val="24"/>
          <w:szCs w:val="24"/>
        </w:rPr>
        <w:t>https://doi.org/10.1109/ICCIT52419.2022.9711656</w:t>
      </w:r>
    </w:p>
    <w:p w:rsidR="00E33993" w:rsidRPr="00E33993" w:rsidRDefault="00E33993" w:rsidP="00E33993">
      <w:pPr>
        <w:jc w:val="both"/>
        <w:rPr>
          <w:sz w:val="24"/>
          <w:szCs w:val="24"/>
        </w:rPr>
      </w:pPr>
    </w:p>
    <w:p w:rsidR="00E33993" w:rsidRPr="00E33993" w:rsidRDefault="00E33993" w:rsidP="00E33993">
      <w:pPr>
        <w:jc w:val="both"/>
        <w:rPr>
          <w:sz w:val="24"/>
          <w:szCs w:val="24"/>
        </w:rPr>
      </w:pPr>
      <w:proofErr w:type="spellStart"/>
      <w:r w:rsidRPr="00E33993">
        <w:rPr>
          <w:sz w:val="24"/>
          <w:szCs w:val="24"/>
        </w:rPr>
        <w:t>Alam</w:t>
      </w:r>
      <w:proofErr w:type="spellEnd"/>
      <w:r w:rsidRPr="00E33993">
        <w:rPr>
          <w:sz w:val="24"/>
          <w:szCs w:val="24"/>
        </w:rPr>
        <w:t xml:space="preserve">, S., Abdullah, H., </w:t>
      </w:r>
      <w:proofErr w:type="spellStart"/>
      <w:r w:rsidRPr="00E33993">
        <w:rPr>
          <w:sz w:val="24"/>
          <w:szCs w:val="24"/>
        </w:rPr>
        <w:t>Abdulhaq</w:t>
      </w:r>
      <w:proofErr w:type="spellEnd"/>
      <w:r w:rsidRPr="00E33993">
        <w:rPr>
          <w:sz w:val="24"/>
          <w:szCs w:val="24"/>
        </w:rPr>
        <w:t xml:space="preserve">, R., &amp; </w:t>
      </w:r>
      <w:proofErr w:type="spellStart"/>
      <w:r w:rsidRPr="00E33993">
        <w:rPr>
          <w:sz w:val="24"/>
          <w:szCs w:val="24"/>
        </w:rPr>
        <w:t>Hayawi</w:t>
      </w:r>
      <w:proofErr w:type="spellEnd"/>
      <w:r w:rsidRPr="00E33993">
        <w:rPr>
          <w:sz w:val="24"/>
          <w:szCs w:val="24"/>
        </w:rPr>
        <w:t xml:space="preserve">, A. (2021). A </w:t>
      </w:r>
      <w:proofErr w:type="spellStart"/>
      <w:r w:rsidRPr="00E33993">
        <w:rPr>
          <w:sz w:val="24"/>
          <w:szCs w:val="24"/>
        </w:rPr>
        <w:t>blockchain</w:t>
      </w:r>
      <w:proofErr w:type="spellEnd"/>
      <w:r w:rsidRPr="00E33993">
        <w:rPr>
          <w:sz w:val="24"/>
          <w:szCs w:val="24"/>
        </w:rPr>
        <w:t>-based framework for secure educational credentials. Turkish Journal of Computer and Mathematics Education, 12(10), 5157–5167. https://doi.org/10.17762/turcomat.v12i10.5298</w:t>
      </w:r>
    </w:p>
    <w:p w:rsidR="00E33993" w:rsidRPr="00E33993" w:rsidRDefault="00E33993" w:rsidP="00E33993">
      <w:pPr>
        <w:jc w:val="both"/>
        <w:rPr>
          <w:sz w:val="24"/>
          <w:szCs w:val="24"/>
        </w:rPr>
      </w:pPr>
    </w:p>
    <w:p w:rsidR="00E33993" w:rsidRPr="00E33993" w:rsidRDefault="00E33993" w:rsidP="00E33993">
      <w:pPr>
        <w:jc w:val="both"/>
        <w:rPr>
          <w:sz w:val="24"/>
          <w:szCs w:val="24"/>
        </w:rPr>
      </w:pPr>
      <w:proofErr w:type="spellStart"/>
      <w:r w:rsidRPr="00E33993">
        <w:rPr>
          <w:sz w:val="24"/>
          <w:szCs w:val="24"/>
        </w:rPr>
        <w:t>Bhaskar</w:t>
      </w:r>
      <w:proofErr w:type="spellEnd"/>
      <w:r w:rsidRPr="00E33993">
        <w:rPr>
          <w:sz w:val="24"/>
          <w:szCs w:val="24"/>
        </w:rPr>
        <w:t xml:space="preserve">, P., Tiwari, C. K., &amp; Joshi, A. (2021). </w:t>
      </w:r>
      <w:proofErr w:type="spellStart"/>
      <w:r w:rsidRPr="00E33993">
        <w:rPr>
          <w:sz w:val="24"/>
          <w:szCs w:val="24"/>
        </w:rPr>
        <w:t>Blockchain</w:t>
      </w:r>
      <w:proofErr w:type="spellEnd"/>
      <w:r w:rsidRPr="00E33993">
        <w:rPr>
          <w:sz w:val="24"/>
          <w:szCs w:val="24"/>
        </w:rPr>
        <w:t xml:space="preserve"> in education management: Present and future applications. Interactive Technology and Smart Education, 18(1), 1–17. https://doi.org/10.1108/ITSE-07-2020-0102</w:t>
      </w:r>
    </w:p>
    <w:p w:rsidR="00E33993" w:rsidRPr="00E33993" w:rsidRDefault="00E33993" w:rsidP="00E33993">
      <w:pPr>
        <w:jc w:val="both"/>
        <w:rPr>
          <w:sz w:val="24"/>
          <w:szCs w:val="24"/>
        </w:rPr>
      </w:pPr>
    </w:p>
    <w:p w:rsidR="00E33993" w:rsidRPr="00E33993" w:rsidRDefault="00E33993" w:rsidP="00E33993">
      <w:pPr>
        <w:jc w:val="both"/>
        <w:rPr>
          <w:sz w:val="24"/>
          <w:szCs w:val="24"/>
        </w:rPr>
      </w:pPr>
      <w:r w:rsidRPr="00E33993">
        <w:rPr>
          <w:sz w:val="24"/>
          <w:szCs w:val="24"/>
        </w:rPr>
        <w:t xml:space="preserve">Bianchi, I. S., Sousa, R. D., Pereira, R., van </w:t>
      </w:r>
      <w:proofErr w:type="spellStart"/>
      <w:r w:rsidRPr="00E33993">
        <w:rPr>
          <w:sz w:val="24"/>
          <w:szCs w:val="24"/>
        </w:rPr>
        <w:t>Hillegersberg</w:t>
      </w:r>
      <w:proofErr w:type="spellEnd"/>
      <w:r w:rsidRPr="00E33993">
        <w:rPr>
          <w:sz w:val="24"/>
          <w:szCs w:val="24"/>
        </w:rPr>
        <w:t xml:space="preserve">, J., &amp; </w:t>
      </w:r>
      <w:proofErr w:type="spellStart"/>
      <w:r w:rsidRPr="00E33993">
        <w:rPr>
          <w:sz w:val="24"/>
          <w:szCs w:val="24"/>
        </w:rPr>
        <w:t>Mezzomo</w:t>
      </w:r>
      <w:proofErr w:type="spellEnd"/>
      <w:r w:rsidRPr="00E33993">
        <w:rPr>
          <w:sz w:val="24"/>
          <w:szCs w:val="24"/>
        </w:rPr>
        <w:t>, A. (2021). Information technology governance for hi</w:t>
      </w:r>
      <w:r w:rsidR="00A667FD">
        <w:rPr>
          <w:sz w:val="24"/>
          <w:szCs w:val="24"/>
        </w:rPr>
        <w:t>gher education institutions: A multi-country study</w:t>
      </w:r>
      <w:r w:rsidRPr="00E33993">
        <w:rPr>
          <w:sz w:val="24"/>
          <w:szCs w:val="24"/>
        </w:rPr>
        <w:t>. Informatics, 8(2), Article 26. https://doi.org/10.3390/informatics8020026</w:t>
      </w:r>
    </w:p>
    <w:p w:rsidR="00E33993" w:rsidRPr="00E33993" w:rsidRDefault="00E33993" w:rsidP="00E33993">
      <w:pPr>
        <w:jc w:val="both"/>
        <w:rPr>
          <w:sz w:val="24"/>
          <w:szCs w:val="24"/>
        </w:rPr>
      </w:pPr>
    </w:p>
    <w:p w:rsidR="00E33993" w:rsidRPr="00E33993" w:rsidRDefault="00E33993" w:rsidP="00E33993">
      <w:pPr>
        <w:jc w:val="both"/>
        <w:rPr>
          <w:sz w:val="24"/>
          <w:szCs w:val="24"/>
        </w:rPr>
      </w:pPr>
      <w:proofErr w:type="spellStart"/>
      <w:r w:rsidRPr="00E33993">
        <w:rPr>
          <w:sz w:val="24"/>
          <w:szCs w:val="24"/>
        </w:rPr>
        <w:t>Bucea-Manea-Țoniș</w:t>
      </w:r>
      <w:proofErr w:type="spellEnd"/>
      <w:r w:rsidRPr="00E33993">
        <w:rPr>
          <w:sz w:val="24"/>
          <w:szCs w:val="24"/>
        </w:rPr>
        <w:t xml:space="preserve">, R., Martins, O. M. D., </w:t>
      </w:r>
      <w:proofErr w:type="spellStart"/>
      <w:r w:rsidRPr="00E33993">
        <w:rPr>
          <w:sz w:val="24"/>
          <w:szCs w:val="24"/>
        </w:rPr>
        <w:t>Bucea-Manea-Țoniș</w:t>
      </w:r>
      <w:proofErr w:type="spellEnd"/>
      <w:r w:rsidRPr="00E33993">
        <w:rPr>
          <w:sz w:val="24"/>
          <w:szCs w:val="24"/>
        </w:rPr>
        <w:t xml:space="preserve">, R., &amp; </w:t>
      </w:r>
      <w:proofErr w:type="spellStart"/>
      <w:r w:rsidRPr="00E33993">
        <w:rPr>
          <w:sz w:val="24"/>
          <w:szCs w:val="24"/>
        </w:rPr>
        <w:t>Gheorghiță</w:t>
      </w:r>
      <w:proofErr w:type="spellEnd"/>
      <w:r w:rsidRPr="00E33993">
        <w:rPr>
          <w:sz w:val="24"/>
          <w:szCs w:val="24"/>
        </w:rPr>
        <w:t xml:space="preserve">, C. (2021). </w:t>
      </w:r>
      <w:proofErr w:type="spellStart"/>
      <w:r w:rsidRPr="00E33993">
        <w:rPr>
          <w:sz w:val="24"/>
          <w:szCs w:val="24"/>
        </w:rPr>
        <w:t>Blockchain</w:t>
      </w:r>
      <w:proofErr w:type="spellEnd"/>
      <w:r w:rsidRPr="00E33993">
        <w:rPr>
          <w:sz w:val="24"/>
          <w:szCs w:val="24"/>
        </w:rPr>
        <w:t xml:space="preserve"> technology enhances sustainable higher education. Sustainability, 13(22), Article 12347. https://doi.org/10.3390/su132212347</w:t>
      </w:r>
    </w:p>
    <w:p w:rsidR="00E33993" w:rsidRPr="00E33993" w:rsidRDefault="00E33993" w:rsidP="00E33993">
      <w:pPr>
        <w:jc w:val="both"/>
        <w:rPr>
          <w:sz w:val="24"/>
          <w:szCs w:val="24"/>
        </w:rPr>
      </w:pPr>
    </w:p>
    <w:p w:rsidR="00E33993" w:rsidRPr="00E33993" w:rsidRDefault="00E33993" w:rsidP="00E33993">
      <w:pPr>
        <w:jc w:val="both"/>
        <w:rPr>
          <w:sz w:val="24"/>
          <w:szCs w:val="24"/>
        </w:rPr>
      </w:pPr>
      <w:r w:rsidRPr="00E33993">
        <w:rPr>
          <w:sz w:val="24"/>
          <w:szCs w:val="24"/>
        </w:rPr>
        <w:t xml:space="preserve">Castro, R. Q., &amp; Oliveira, M. A.-Y. (2021). </w:t>
      </w:r>
      <w:proofErr w:type="spellStart"/>
      <w:r w:rsidRPr="00E33993">
        <w:rPr>
          <w:sz w:val="24"/>
          <w:szCs w:val="24"/>
        </w:rPr>
        <w:t>Blockchain</w:t>
      </w:r>
      <w:proofErr w:type="spellEnd"/>
      <w:r w:rsidRPr="00E33993">
        <w:rPr>
          <w:sz w:val="24"/>
          <w:szCs w:val="24"/>
        </w:rPr>
        <w:t xml:space="preserve"> and higher education diplomas. European Journal of Investigation in Health, Psychology and Education, 11(1), 154–167. https://doi.org/10.3390/ejihpe11010013</w:t>
      </w:r>
    </w:p>
    <w:p w:rsidR="00E33993" w:rsidRPr="00E33993" w:rsidRDefault="00E33993" w:rsidP="00E33993">
      <w:pPr>
        <w:jc w:val="both"/>
        <w:rPr>
          <w:sz w:val="24"/>
          <w:szCs w:val="24"/>
        </w:rPr>
      </w:pPr>
    </w:p>
    <w:p w:rsidR="00E33993" w:rsidRPr="00E33993" w:rsidRDefault="00E33993" w:rsidP="00E33993">
      <w:pPr>
        <w:jc w:val="both"/>
        <w:rPr>
          <w:sz w:val="24"/>
          <w:szCs w:val="24"/>
        </w:rPr>
      </w:pPr>
      <w:r w:rsidRPr="00E33993">
        <w:rPr>
          <w:sz w:val="24"/>
          <w:szCs w:val="24"/>
        </w:rPr>
        <w:t xml:space="preserve">Delgado-von </w:t>
      </w:r>
      <w:proofErr w:type="spellStart"/>
      <w:r w:rsidRPr="00E33993">
        <w:rPr>
          <w:sz w:val="24"/>
          <w:szCs w:val="24"/>
        </w:rPr>
        <w:t>Eitzen</w:t>
      </w:r>
      <w:proofErr w:type="spellEnd"/>
      <w:r w:rsidRPr="00E33993">
        <w:rPr>
          <w:sz w:val="24"/>
          <w:szCs w:val="24"/>
        </w:rPr>
        <w:t xml:space="preserve">, C., &amp; </w:t>
      </w:r>
      <w:proofErr w:type="spellStart"/>
      <w:r w:rsidRPr="00E33993">
        <w:rPr>
          <w:sz w:val="24"/>
          <w:szCs w:val="24"/>
        </w:rPr>
        <w:t>Pisani</w:t>
      </w:r>
      <w:proofErr w:type="spellEnd"/>
      <w:r w:rsidRPr="00E33993">
        <w:rPr>
          <w:sz w:val="24"/>
          <w:szCs w:val="24"/>
        </w:rPr>
        <w:t xml:space="preserve">, F. (2021). </w:t>
      </w:r>
      <w:proofErr w:type="spellStart"/>
      <w:r w:rsidRPr="00E33993">
        <w:rPr>
          <w:sz w:val="24"/>
          <w:szCs w:val="24"/>
        </w:rPr>
        <w:t>Blockchain</w:t>
      </w:r>
      <w:proofErr w:type="spellEnd"/>
      <w:r w:rsidRPr="00E33993">
        <w:rPr>
          <w:sz w:val="24"/>
          <w:szCs w:val="24"/>
        </w:rPr>
        <w:t xml:space="preserve"> applications in education: A systematic </w:t>
      </w:r>
      <w:r w:rsidR="003E7134">
        <w:rPr>
          <w:sz w:val="24"/>
          <w:szCs w:val="24"/>
        </w:rPr>
        <w:t xml:space="preserve">literature </w:t>
      </w:r>
      <w:r w:rsidRPr="00E33993">
        <w:rPr>
          <w:sz w:val="24"/>
          <w:szCs w:val="24"/>
        </w:rPr>
        <w:t>review. Applied Sciences, 11(24), Article 11811. https://doi.org/10.3390/app112411811</w:t>
      </w:r>
    </w:p>
    <w:p w:rsidR="00E33993" w:rsidRPr="00E33993" w:rsidRDefault="00E33993" w:rsidP="00E33993">
      <w:pPr>
        <w:jc w:val="both"/>
        <w:rPr>
          <w:sz w:val="24"/>
          <w:szCs w:val="24"/>
        </w:rPr>
      </w:pPr>
    </w:p>
    <w:p w:rsidR="00E33993" w:rsidRPr="00E33993" w:rsidRDefault="00E33993" w:rsidP="00E33993">
      <w:pPr>
        <w:jc w:val="both"/>
        <w:rPr>
          <w:sz w:val="24"/>
          <w:szCs w:val="24"/>
        </w:rPr>
      </w:pPr>
      <w:proofErr w:type="spellStart"/>
      <w:r w:rsidRPr="00E33993">
        <w:rPr>
          <w:sz w:val="24"/>
          <w:szCs w:val="24"/>
        </w:rPr>
        <w:t>Raimundo</w:t>
      </w:r>
      <w:proofErr w:type="spellEnd"/>
      <w:r w:rsidRPr="00E33993">
        <w:rPr>
          <w:sz w:val="24"/>
          <w:szCs w:val="24"/>
        </w:rPr>
        <w:t xml:space="preserve">, R., &amp; </w:t>
      </w:r>
      <w:proofErr w:type="spellStart"/>
      <w:r w:rsidRPr="00E33993">
        <w:rPr>
          <w:sz w:val="24"/>
          <w:szCs w:val="24"/>
        </w:rPr>
        <w:t>Rosário</w:t>
      </w:r>
      <w:proofErr w:type="spellEnd"/>
      <w:r w:rsidRPr="00E33993">
        <w:rPr>
          <w:sz w:val="24"/>
          <w:szCs w:val="24"/>
        </w:rPr>
        <w:t xml:space="preserve">, A. (2021). </w:t>
      </w:r>
      <w:proofErr w:type="spellStart"/>
      <w:r w:rsidRPr="00E33993">
        <w:rPr>
          <w:sz w:val="24"/>
          <w:szCs w:val="24"/>
        </w:rPr>
        <w:t>Blockchain</w:t>
      </w:r>
      <w:proofErr w:type="spellEnd"/>
      <w:r w:rsidRPr="00E33993">
        <w:rPr>
          <w:sz w:val="24"/>
          <w:szCs w:val="24"/>
        </w:rPr>
        <w:t xml:space="preserve"> system in higher education. European Journal of Investigation in Health, Psychology and Education, 11(1), 276–293. https://doi.org/10.3390/ejihpe11010021</w:t>
      </w:r>
    </w:p>
    <w:p w:rsidR="00E33993" w:rsidRPr="00E33993" w:rsidRDefault="00E33993" w:rsidP="00E33993">
      <w:pPr>
        <w:jc w:val="both"/>
        <w:rPr>
          <w:sz w:val="24"/>
          <w:szCs w:val="24"/>
        </w:rPr>
      </w:pPr>
    </w:p>
    <w:p w:rsidR="00E33993" w:rsidRPr="00E33993" w:rsidRDefault="00E33993" w:rsidP="00E33993">
      <w:pPr>
        <w:jc w:val="both"/>
        <w:rPr>
          <w:sz w:val="24"/>
          <w:szCs w:val="24"/>
        </w:rPr>
      </w:pPr>
      <w:r w:rsidRPr="00E33993">
        <w:rPr>
          <w:sz w:val="24"/>
          <w:szCs w:val="24"/>
        </w:rPr>
        <w:t xml:space="preserve">Tan, E., </w:t>
      </w:r>
      <w:proofErr w:type="spellStart"/>
      <w:r w:rsidRPr="00E33993">
        <w:rPr>
          <w:sz w:val="24"/>
          <w:szCs w:val="24"/>
        </w:rPr>
        <w:t>Mahula</w:t>
      </w:r>
      <w:proofErr w:type="spellEnd"/>
      <w:r w:rsidRPr="00E33993">
        <w:rPr>
          <w:sz w:val="24"/>
          <w:szCs w:val="24"/>
        </w:rPr>
        <w:t xml:space="preserve">, S., &amp; </w:t>
      </w:r>
      <w:proofErr w:type="spellStart"/>
      <w:r w:rsidRPr="00E33993">
        <w:rPr>
          <w:sz w:val="24"/>
          <w:szCs w:val="24"/>
        </w:rPr>
        <w:t>Crompvoets</w:t>
      </w:r>
      <w:proofErr w:type="spellEnd"/>
      <w:r w:rsidRPr="00E33993">
        <w:rPr>
          <w:sz w:val="24"/>
          <w:szCs w:val="24"/>
        </w:rPr>
        <w:t xml:space="preserve">, J. (2021). </w:t>
      </w:r>
      <w:proofErr w:type="spellStart"/>
      <w:r w:rsidRPr="00E33993">
        <w:rPr>
          <w:sz w:val="24"/>
          <w:szCs w:val="24"/>
        </w:rPr>
        <w:t>Blockchain</w:t>
      </w:r>
      <w:proofErr w:type="spellEnd"/>
      <w:r w:rsidRPr="00E33993">
        <w:rPr>
          <w:sz w:val="24"/>
          <w:szCs w:val="24"/>
        </w:rPr>
        <w:t xml:space="preserve"> governance in the public sector: A conceptual framework for public management. Government Information Quarterly, 39(6), Article 101625. https://doi.org/10.1016/j.giq.2021.101625</w:t>
      </w:r>
    </w:p>
    <w:p w:rsidR="00E33993" w:rsidRPr="00E33993" w:rsidRDefault="00E33993" w:rsidP="00E33993">
      <w:pPr>
        <w:jc w:val="both"/>
        <w:rPr>
          <w:sz w:val="24"/>
          <w:szCs w:val="24"/>
        </w:rPr>
      </w:pPr>
    </w:p>
    <w:p w:rsidR="00E33993" w:rsidRPr="00E33993" w:rsidRDefault="00274C64" w:rsidP="00E33993">
      <w:pPr>
        <w:jc w:val="both"/>
        <w:rPr>
          <w:sz w:val="24"/>
          <w:szCs w:val="24"/>
        </w:rPr>
      </w:pPr>
      <w:proofErr w:type="gramStart"/>
      <w:r>
        <w:rPr>
          <w:sz w:val="24"/>
          <w:szCs w:val="24"/>
        </w:rPr>
        <w:t>v</w:t>
      </w:r>
      <w:r w:rsidR="00E33993" w:rsidRPr="00E33993">
        <w:rPr>
          <w:sz w:val="24"/>
          <w:szCs w:val="24"/>
        </w:rPr>
        <w:t>an</w:t>
      </w:r>
      <w:proofErr w:type="gramEnd"/>
      <w:r w:rsidR="00E33993" w:rsidRPr="00E33993">
        <w:rPr>
          <w:sz w:val="24"/>
          <w:szCs w:val="24"/>
        </w:rPr>
        <w:t xml:space="preserve"> Pelt, R., Jansen, S., </w:t>
      </w:r>
      <w:proofErr w:type="spellStart"/>
      <w:r w:rsidR="00E33993" w:rsidRPr="00E33993">
        <w:rPr>
          <w:sz w:val="24"/>
          <w:szCs w:val="24"/>
        </w:rPr>
        <w:t>Baars</w:t>
      </w:r>
      <w:proofErr w:type="spellEnd"/>
      <w:r w:rsidR="00E33993" w:rsidRPr="00E33993">
        <w:rPr>
          <w:sz w:val="24"/>
          <w:szCs w:val="24"/>
        </w:rPr>
        <w:t xml:space="preserve">, D., &amp; </w:t>
      </w:r>
      <w:proofErr w:type="spellStart"/>
      <w:r w:rsidR="00E33993" w:rsidRPr="00E33993">
        <w:rPr>
          <w:sz w:val="24"/>
          <w:szCs w:val="24"/>
        </w:rPr>
        <w:t>Overbeek</w:t>
      </w:r>
      <w:proofErr w:type="spellEnd"/>
      <w:r w:rsidR="00E33993" w:rsidRPr="00E33993">
        <w:rPr>
          <w:sz w:val="24"/>
          <w:szCs w:val="24"/>
        </w:rPr>
        <w:t>, S. (202</w:t>
      </w:r>
      <w:r w:rsidR="00AA726C">
        <w:rPr>
          <w:sz w:val="24"/>
          <w:szCs w:val="24"/>
        </w:rPr>
        <w:t>0</w:t>
      </w:r>
      <w:r w:rsidR="00E33993" w:rsidRPr="00E33993">
        <w:rPr>
          <w:sz w:val="24"/>
          <w:szCs w:val="24"/>
        </w:rPr>
        <w:t xml:space="preserve">). Defining </w:t>
      </w:r>
      <w:proofErr w:type="spellStart"/>
      <w:r w:rsidR="00E33993" w:rsidRPr="00E33993">
        <w:rPr>
          <w:sz w:val="24"/>
          <w:szCs w:val="24"/>
        </w:rPr>
        <w:t>blockchain</w:t>
      </w:r>
      <w:proofErr w:type="spellEnd"/>
      <w:r w:rsidR="00E33993" w:rsidRPr="00E33993">
        <w:rPr>
          <w:sz w:val="24"/>
          <w:szCs w:val="24"/>
        </w:rPr>
        <w:t xml:space="preserve"> governance: A framework for analysis and comparison. Information Systems Management, 38(1), 21–41. https://doi.org/10.1080/10580530.2020.1720046</w:t>
      </w:r>
    </w:p>
    <w:p w:rsidR="00E33993" w:rsidRPr="00E33993" w:rsidRDefault="00E33993" w:rsidP="00E33993">
      <w:pPr>
        <w:jc w:val="both"/>
        <w:rPr>
          <w:sz w:val="24"/>
          <w:szCs w:val="24"/>
        </w:rPr>
      </w:pPr>
    </w:p>
    <w:p w:rsidR="00E33993" w:rsidRPr="00E33993" w:rsidRDefault="00E33993" w:rsidP="00E33993">
      <w:pPr>
        <w:jc w:val="both"/>
        <w:rPr>
          <w:sz w:val="24"/>
          <w:szCs w:val="24"/>
        </w:rPr>
      </w:pPr>
      <w:r w:rsidRPr="00E33993">
        <w:rPr>
          <w:sz w:val="24"/>
          <w:szCs w:val="24"/>
        </w:rPr>
        <w:t xml:space="preserve">Awaji, B., </w:t>
      </w:r>
      <w:proofErr w:type="spellStart"/>
      <w:r w:rsidRPr="00E33993">
        <w:rPr>
          <w:sz w:val="24"/>
          <w:szCs w:val="24"/>
        </w:rPr>
        <w:t>Solaiman</w:t>
      </w:r>
      <w:proofErr w:type="spellEnd"/>
      <w:r w:rsidRPr="00E33993">
        <w:rPr>
          <w:sz w:val="24"/>
          <w:szCs w:val="24"/>
        </w:rPr>
        <w:t xml:space="preserve">, E., &amp; </w:t>
      </w:r>
      <w:proofErr w:type="spellStart"/>
      <w:r w:rsidRPr="00E33993">
        <w:rPr>
          <w:sz w:val="24"/>
          <w:szCs w:val="24"/>
        </w:rPr>
        <w:t>Albshri</w:t>
      </w:r>
      <w:proofErr w:type="spellEnd"/>
      <w:r w:rsidRPr="00E33993">
        <w:rPr>
          <w:sz w:val="24"/>
          <w:szCs w:val="24"/>
        </w:rPr>
        <w:t xml:space="preserve">, A. (2020). </w:t>
      </w:r>
      <w:proofErr w:type="spellStart"/>
      <w:r w:rsidRPr="00E33993">
        <w:rPr>
          <w:sz w:val="24"/>
          <w:szCs w:val="24"/>
        </w:rPr>
        <w:t>Blockchain</w:t>
      </w:r>
      <w:proofErr w:type="spellEnd"/>
      <w:r w:rsidRPr="00E33993">
        <w:rPr>
          <w:sz w:val="24"/>
          <w:szCs w:val="24"/>
        </w:rPr>
        <w:t xml:space="preserve">-based applications in higher education: A systematic mapping study. </w:t>
      </w:r>
      <w:proofErr w:type="spellStart"/>
      <w:proofErr w:type="gramStart"/>
      <w:r w:rsidRPr="00E33993">
        <w:rPr>
          <w:sz w:val="24"/>
          <w:szCs w:val="24"/>
        </w:rPr>
        <w:t>arXiv</w:t>
      </w:r>
      <w:proofErr w:type="spellEnd"/>
      <w:proofErr w:type="gramEnd"/>
      <w:r w:rsidRPr="00E33993">
        <w:rPr>
          <w:sz w:val="24"/>
          <w:szCs w:val="24"/>
        </w:rPr>
        <w:t xml:space="preserve"> preprint. https://arxiv.org/abs/2006.14528</w:t>
      </w:r>
    </w:p>
    <w:p w:rsidR="00E33993" w:rsidRPr="00E33993" w:rsidRDefault="00E33993" w:rsidP="00E33993">
      <w:pPr>
        <w:jc w:val="both"/>
        <w:rPr>
          <w:sz w:val="24"/>
          <w:szCs w:val="24"/>
        </w:rPr>
      </w:pPr>
    </w:p>
    <w:p w:rsidR="00E33993" w:rsidRPr="00610721" w:rsidRDefault="00610721" w:rsidP="00E33993">
      <w:pPr>
        <w:jc w:val="both"/>
        <w:rPr>
          <w:sz w:val="24"/>
          <w:szCs w:val="24"/>
        </w:rPr>
      </w:pPr>
      <w:proofErr w:type="spellStart"/>
      <w:r w:rsidRPr="00610721">
        <w:rPr>
          <w:sz w:val="24"/>
          <w:szCs w:val="24"/>
        </w:rPr>
        <w:t>Mahamatov</w:t>
      </w:r>
      <w:proofErr w:type="spellEnd"/>
      <w:r w:rsidRPr="00610721">
        <w:rPr>
          <w:sz w:val="24"/>
          <w:szCs w:val="24"/>
        </w:rPr>
        <w:t xml:space="preserve">, N., </w:t>
      </w:r>
      <w:proofErr w:type="spellStart"/>
      <w:r w:rsidRPr="00610721">
        <w:rPr>
          <w:sz w:val="24"/>
          <w:szCs w:val="24"/>
        </w:rPr>
        <w:t>Kuvnakov</w:t>
      </w:r>
      <w:proofErr w:type="spellEnd"/>
      <w:r w:rsidRPr="00610721">
        <w:rPr>
          <w:sz w:val="24"/>
          <w:szCs w:val="24"/>
        </w:rPr>
        <w:t xml:space="preserve">, A., &amp; </w:t>
      </w:r>
      <w:proofErr w:type="spellStart"/>
      <w:r w:rsidRPr="00610721">
        <w:rPr>
          <w:sz w:val="24"/>
          <w:szCs w:val="24"/>
        </w:rPr>
        <w:t>Yokubov</w:t>
      </w:r>
      <w:proofErr w:type="spellEnd"/>
      <w:r w:rsidRPr="00610721">
        <w:rPr>
          <w:sz w:val="24"/>
          <w:szCs w:val="24"/>
        </w:rPr>
        <w:t xml:space="preserve">, B. (2020). Application of </w:t>
      </w:r>
      <w:proofErr w:type="spellStart"/>
      <w:r w:rsidRPr="00610721">
        <w:rPr>
          <w:sz w:val="24"/>
          <w:szCs w:val="24"/>
        </w:rPr>
        <w:t>blockchain</w:t>
      </w:r>
      <w:proofErr w:type="spellEnd"/>
      <w:r w:rsidRPr="00610721">
        <w:rPr>
          <w:sz w:val="24"/>
          <w:szCs w:val="24"/>
        </w:rPr>
        <w:t xml:space="preserve"> technology in higher education. In </w:t>
      </w:r>
      <w:r w:rsidRPr="00610721">
        <w:rPr>
          <w:rStyle w:val="Emphasis"/>
          <w:i w:val="0"/>
          <w:sz w:val="24"/>
          <w:szCs w:val="24"/>
        </w:rPr>
        <w:t>2020 International Conference on Information Science and Communications Technolog</w:t>
      </w:r>
      <w:r w:rsidRPr="00610721">
        <w:rPr>
          <w:rStyle w:val="Emphasis"/>
          <w:i w:val="0"/>
          <w:sz w:val="24"/>
          <w:szCs w:val="24"/>
        </w:rPr>
        <w:t>ies (ICISCT</w:t>
      </w:r>
      <w:r w:rsidRPr="00610721">
        <w:rPr>
          <w:sz w:val="24"/>
          <w:szCs w:val="24"/>
        </w:rPr>
        <w:t xml:space="preserve">). IEEE. </w:t>
      </w:r>
      <w:r w:rsidRPr="00610721">
        <w:rPr>
          <w:sz w:val="24"/>
          <w:szCs w:val="24"/>
        </w:rPr>
        <w:t>https://doi.org/10.1109/ICISCT50599.2020.9351424</w:t>
      </w:r>
    </w:p>
    <w:p w:rsidR="00610721" w:rsidRPr="00E33993" w:rsidRDefault="00610721" w:rsidP="00E33993">
      <w:pPr>
        <w:jc w:val="both"/>
        <w:rPr>
          <w:sz w:val="24"/>
          <w:szCs w:val="24"/>
        </w:rPr>
      </w:pPr>
    </w:p>
    <w:p w:rsidR="000F414A" w:rsidRPr="00AA726C" w:rsidRDefault="00E33993" w:rsidP="00E33993">
      <w:pPr>
        <w:jc w:val="both"/>
        <w:rPr>
          <w:sz w:val="24"/>
          <w:szCs w:val="24"/>
        </w:rPr>
      </w:pPr>
      <w:bookmarkStart w:id="0" w:name="_GoBack"/>
      <w:proofErr w:type="spellStart"/>
      <w:r w:rsidRPr="00AA726C">
        <w:rPr>
          <w:sz w:val="24"/>
          <w:szCs w:val="24"/>
        </w:rPr>
        <w:t>Salandanan</w:t>
      </w:r>
      <w:proofErr w:type="spellEnd"/>
      <w:r w:rsidRPr="00AA726C">
        <w:rPr>
          <w:sz w:val="24"/>
          <w:szCs w:val="24"/>
        </w:rPr>
        <w:t xml:space="preserve">, M. T. (2020). </w:t>
      </w:r>
      <w:proofErr w:type="spellStart"/>
      <w:r w:rsidRPr="00AA726C">
        <w:rPr>
          <w:sz w:val="24"/>
          <w:szCs w:val="24"/>
        </w:rPr>
        <w:t>Blockchain</w:t>
      </w:r>
      <w:proofErr w:type="spellEnd"/>
      <w:r w:rsidRPr="00AA726C">
        <w:rPr>
          <w:sz w:val="24"/>
          <w:szCs w:val="24"/>
        </w:rPr>
        <w:t xml:space="preserve"> technology as a competitive advantage for higher education institutions in the Philippines. Millennium Journal of Humanities and Social Sciences, 1(3), 1–15. </w:t>
      </w:r>
      <w:r w:rsidR="00AA726C" w:rsidRPr="00AA726C">
        <w:rPr>
          <w:sz w:val="24"/>
          <w:szCs w:val="24"/>
        </w:rPr>
        <w:t>https://doi.org/10.47340/mjhss.v1i3.16</w:t>
      </w:r>
    </w:p>
    <w:bookmarkEnd w:id="0"/>
    <w:p w:rsidR="00D04ADC" w:rsidRPr="000F5BC1" w:rsidRDefault="00D04ADC">
      <w:pPr>
        <w:jc w:val="both"/>
        <w:rPr>
          <w:sz w:val="24"/>
          <w:szCs w:val="24"/>
        </w:rPr>
      </w:pPr>
    </w:p>
    <w:sectPr w:rsidR="00D04ADC" w:rsidRPr="000F5BC1" w:rsidSect="00D845DC">
      <w:footerReference w:type="first" r:id="rId13"/>
      <w:type w:val="continuous"/>
      <w:pgSz w:w="11906" w:h="16838" w:code="9"/>
      <w:pgMar w:top="1080" w:right="907" w:bottom="1440" w:left="907"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4D1" w:rsidRDefault="004644D1" w:rsidP="00D845DC">
      <w:r>
        <w:separator/>
      </w:r>
    </w:p>
  </w:endnote>
  <w:endnote w:type="continuationSeparator" w:id="0">
    <w:p w:rsidR="004644D1" w:rsidRDefault="004644D1" w:rsidP="00D8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A9B" w:rsidRPr="006F6D3D" w:rsidRDefault="00094A9B" w:rsidP="0056610F">
    <w:pPr>
      <w:pStyle w:val="Footer"/>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3D" w:rsidRPr="006F6D3D" w:rsidRDefault="004644D1"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4D1" w:rsidRDefault="004644D1" w:rsidP="00D845DC">
      <w:r>
        <w:separator/>
      </w:r>
    </w:p>
  </w:footnote>
  <w:footnote w:type="continuationSeparator" w:id="0">
    <w:p w:rsidR="004644D1" w:rsidRDefault="004644D1" w:rsidP="00D84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0F4E"/>
    <w:multiLevelType w:val="multilevel"/>
    <w:tmpl w:val="A6440B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C196C"/>
    <w:multiLevelType w:val="hybridMultilevel"/>
    <w:tmpl w:val="087AA3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7C12AFE"/>
    <w:multiLevelType w:val="multilevel"/>
    <w:tmpl w:val="1BD04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3534C"/>
    <w:multiLevelType w:val="hybridMultilevel"/>
    <w:tmpl w:val="B2EED7D8"/>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4" w15:restartNumberingAfterBreak="0">
    <w:nsid w:val="0E197CAF"/>
    <w:multiLevelType w:val="hybridMultilevel"/>
    <w:tmpl w:val="345ADBE2"/>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5" w15:restartNumberingAfterBreak="0">
    <w:nsid w:val="2D083B36"/>
    <w:multiLevelType w:val="hybridMultilevel"/>
    <w:tmpl w:val="8BC6968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3098752B"/>
    <w:multiLevelType w:val="hybridMultilevel"/>
    <w:tmpl w:val="2132FD7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1A12339"/>
    <w:multiLevelType w:val="hybridMultilevel"/>
    <w:tmpl w:val="0924E3D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33B85A3F"/>
    <w:multiLevelType w:val="hybridMultilevel"/>
    <w:tmpl w:val="E0B2D2CC"/>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9" w15:restartNumberingAfterBreak="0">
    <w:nsid w:val="36871268"/>
    <w:multiLevelType w:val="hybridMultilevel"/>
    <w:tmpl w:val="1744CE8E"/>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36AB7C50"/>
    <w:multiLevelType w:val="hybridMultilevel"/>
    <w:tmpl w:val="A078A26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1D7660"/>
    <w:multiLevelType w:val="multilevel"/>
    <w:tmpl w:val="0AEC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672A4A"/>
    <w:multiLevelType w:val="multilevel"/>
    <w:tmpl w:val="1AA6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27133"/>
    <w:multiLevelType w:val="multilevel"/>
    <w:tmpl w:val="19124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89603E"/>
    <w:multiLevelType w:val="multilevel"/>
    <w:tmpl w:val="808016BE"/>
    <w:lvl w:ilvl="0">
      <w:start w:val="1"/>
      <w:numFmt w:val="upperRoman"/>
      <w:pStyle w:val="Heading1"/>
      <w:lvlText w:val="%1."/>
      <w:lvlJc w:val="center"/>
      <w:pPr>
        <w:tabs>
          <w:tab w:val="num" w:pos="5180"/>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decimal"/>
      <w:pStyle w:val="Heading2"/>
      <w:lvlText w:val="%2."/>
      <w:lvlJc w:val="left"/>
      <w:pPr>
        <w:tabs>
          <w:tab w:val="num" w:pos="360"/>
        </w:tabs>
        <w:ind w:left="288" w:hanging="288"/>
      </w:pPr>
      <w:rPr>
        <w:rFonts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18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49881E06"/>
    <w:multiLevelType w:val="multilevel"/>
    <w:tmpl w:val="E2F69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C552B0"/>
    <w:multiLevelType w:val="hybridMultilevel"/>
    <w:tmpl w:val="EFCE5EE6"/>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8" w15:restartNumberingAfterBreak="0">
    <w:nsid w:val="5B66273B"/>
    <w:multiLevelType w:val="hybridMultilevel"/>
    <w:tmpl w:val="96F0ED7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5BCC7ACB"/>
    <w:multiLevelType w:val="hybridMultilevel"/>
    <w:tmpl w:val="032CF208"/>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0" w15:restartNumberingAfterBreak="0">
    <w:nsid w:val="5C723BF3"/>
    <w:multiLevelType w:val="multilevel"/>
    <w:tmpl w:val="4EF0C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5C0B32"/>
    <w:multiLevelType w:val="hybridMultilevel"/>
    <w:tmpl w:val="6A1AF108"/>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2" w15:restartNumberingAfterBreak="0">
    <w:nsid w:val="61833BE1"/>
    <w:multiLevelType w:val="hybridMultilevel"/>
    <w:tmpl w:val="C51C6770"/>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3" w15:restartNumberingAfterBreak="0">
    <w:nsid w:val="65AF3CFA"/>
    <w:multiLevelType w:val="hybridMultilevel"/>
    <w:tmpl w:val="127A3F76"/>
    <w:lvl w:ilvl="0" w:tplc="EC4CBB18">
      <w:start w:val="2"/>
      <w:numFmt w:val="upperRoman"/>
      <w:lvlText w:val="%1."/>
      <w:lvlJc w:val="left"/>
      <w:pPr>
        <w:ind w:left="936" w:hanging="720"/>
      </w:pPr>
      <w:rPr>
        <w:rFonts w:hint="default"/>
      </w:rPr>
    </w:lvl>
    <w:lvl w:ilvl="1" w:tplc="34090019" w:tentative="1">
      <w:start w:val="1"/>
      <w:numFmt w:val="lowerLetter"/>
      <w:lvlText w:val="%2."/>
      <w:lvlJc w:val="left"/>
      <w:pPr>
        <w:ind w:left="1296" w:hanging="360"/>
      </w:pPr>
    </w:lvl>
    <w:lvl w:ilvl="2" w:tplc="3409001B" w:tentative="1">
      <w:start w:val="1"/>
      <w:numFmt w:val="lowerRoman"/>
      <w:lvlText w:val="%3."/>
      <w:lvlJc w:val="right"/>
      <w:pPr>
        <w:ind w:left="2016" w:hanging="180"/>
      </w:pPr>
    </w:lvl>
    <w:lvl w:ilvl="3" w:tplc="3409000F" w:tentative="1">
      <w:start w:val="1"/>
      <w:numFmt w:val="decimal"/>
      <w:lvlText w:val="%4."/>
      <w:lvlJc w:val="left"/>
      <w:pPr>
        <w:ind w:left="2736" w:hanging="360"/>
      </w:pPr>
    </w:lvl>
    <w:lvl w:ilvl="4" w:tplc="34090019" w:tentative="1">
      <w:start w:val="1"/>
      <w:numFmt w:val="lowerLetter"/>
      <w:lvlText w:val="%5."/>
      <w:lvlJc w:val="left"/>
      <w:pPr>
        <w:ind w:left="3456" w:hanging="360"/>
      </w:pPr>
    </w:lvl>
    <w:lvl w:ilvl="5" w:tplc="3409001B" w:tentative="1">
      <w:start w:val="1"/>
      <w:numFmt w:val="lowerRoman"/>
      <w:lvlText w:val="%6."/>
      <w:lvlJc w:val="right"/>
      <w:pPr>
        <w:ind w:left="4176" w:hanging="180"/>
      </w:pPr>
    </w:lvl>
    <w:lvl w:ilvl="6" w:tplc="3409000F" w:tentative="1">
      <w:start w:val="1"/>
      <w:numFmt w:val="decimal"/>
      <w:lvlText w:val="%7."/>
      <w:lvlJc w:val="left"/>
      <w:pPr>
        <w:ind w:left="4896" w:hanging="360"/>
      </w:pPr>
    </w:lvl>
    <w:lvl w:ilvl="7" w:tplc="34090019" w:tentative="1">
      <w:start w:val="1"/>
      <w:numFmt w:val="lowerLetter"/>
      <w:lvlText w:val="%8."/>
      <w:lvlJc w:val="left"/>
      <w:pPr>
        <w:ind w:left="5616" w:hanging="360"/>
      </w:pPr>
    </w:lvl>
    <w:lvl w:ilvl="8" w:tplc="3409001B" w:tentative="1">
      <w:start w:val="1"/>
      <w:numFmt w:val="lowerRoman"/>
      <w:lvlText w:val="%9."/>
      <w:lvlJc w:val="right"/>
      <w:pPr>
        <w:ind w:left="6336" w:hanging="180"/>
      </w:pPr>
    </w:lvl>
  </w:abstractNum>
  <w:abstractNum w:abstractNumId="24" w15:restartNumberingAfterBreak="0">
    <w:nsid w:val="660D3DA4"/>
    <w:multiLevelType w:val="hybridMultilevel"/>
    <w:tmpl w:val="FDAEAC9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689558DD"/>
    <w:multiLevelType w:val="hybridMultilevel"/>
    <w:tmpl w:val="C178D2D8"/>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6" w15:restartNumberingAfterBreak="0">
    <w:nsid w:val="70F12C1A"/>
    <w:multiLevelType w:val="hybridMultilevel"/>
    <w:tmpl w:val="2D1AAD74"/>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7" w15:restartNumberingAfterBreak="0">
    <w:nsid w:val="7869177C"/>
    <w:multiLevelType w:val="hybridMultilevel"/>
    <w:tmpl w:val="6D724CD8"/>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8" w15:restartNumberingAfterBreak="0">
    <w:nsid w:val="794B0E98"/>
    <w:multiLevelType w:val="multilevel"/>
    <w:tmpl w:val="2B944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6"/>
  </w:num>
  <w:num w:numId="3">
    <w:abstractNumId w:val="18"/>
  </w:num>
  <w:num w:numId="4">
    <w:abstractNumId w:val="5"/>
  </w:num>
  <w:num w:numId="5">
    <w:abstractNumId w:val="14"/>
  </w:num>
  <w:num w:numId="6">
    <w:abstractNumId w:val="28"/>
  </w:num>
  <w:num w:numId="7">
    <w:abstractNumId w:val="21"/>
  </w:num>
  <w:num w:numId="8">
    <w:abstractNumId w:val="27"/>
  </w:num>
  <w:num w:numId="9">
    <w:abstractNumId w:val="19"/>
  </w:num>
  <w:num w:numId="10">
    <w:abstractNumId w:val="26"/>
  </w:num>
  <w:num w:numId="11">
    <w:abstractNumId w:val="22"/>
  </w:num>
  <w:num w:numId="12">
    <w:abstractNumId w:val="25"/>
  </w:num>
  <w:num w:numId="13">
    <w:abstractNumId w:val="3"/>
  </w:num>
  <w:num w:numId="14">
    <w:abstractNumId w:val="17"/>
  </w:num>
  <w:num w:numId="15">
    <w:abstractNumId w:val="8"/>
  </w:num>
  <w:num w:numId="16">
    <w:abstractNumId w:val="1"/>
  </w:num>
  <w:num w:numId="17">
    <w:abstractNumId w:val="7"/>
  </w:num>
  <w:num w:numId="18">
    <w:abstractNumId w:val="16"/>
  </w:num>
  <w:num w:numId="19">
    <w:abstractNumId w:val="2"/>
  </w:num>
  <w:num w:numId="20">
    <w:abstractNumId w:val="20"/>
  </w:num>
  <w:num w:numId="21">
    <w:abstractNumId w:val="11"/>
  </w:num>
  <w:num w:numId="22">
    <w:abstractNumId w:val="0"/>
  </w:num>
  <w:num w:numId="23">
    <w:abstractNumId w:val="4"/>
  </w:num>
  <w:num w:numId="24">
    <w:abstractNumId w:val="13"/>
  </w:num>
  <w:num w:numId="25">
    <w:abstractNumId w:val="12"/>
  </w:num>
  <w:num w:numId="26">
    <w:abstractNumId w:val="24"/>
  </w:num>
  <w:num w:numId="27">
    <w:abstractNumId w:val="10"/>
  </w:num>
  <w:num w:numId="28">
    <w:abstractNumId w:val="9"/>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5DC"/>
    <w:rsid w:val="0000457F"/>
    <w:rsid w:val="00024367"/>
    <w:rsid w:val="000268D1"/>
    <w:rsid w:val="00040B93"/>
    <w:rsid w:val="000849F3"/>
    <w:rsid w:val="00094A9B"/>
    <w:rsid w:val="000A4A46"/>
    <w:rsid w:val="000F318A"/>
    <w:rsid w:val="000F3E40"/>
    <w:rsid w:val="000F414A"/>
    <w:rsid w:val="000F5BC1"/>
    <w:rsid w:val="00107AED"/>
    <w:rsid w:val="00247CD1"/>
    <w:rsid w:val="00256039"/>
    <w:rsid w:val="00274C64"/>
    <w:rsid w:val="00275F62"/>
    <w:rsid w:val="002E0FD3"/>
    <w:rsid w:val="00344E20"/>
    <w:rsid w:val="00351B09"/>
    <w:rsid w:val="003920D2"/>
    <w:rsid w:val="003950D3"/>
    <w:rsid w:val="00396219"/>
    <w:rsid w:val="003E286D"/>
    <w:rsid w:val="003E65E5"/>
    <w:rsid w:val="003E7134"/>
    <w:rsid w:val="004008AE"/>
    <w:rsid w:val="004302E4"/>
    <w:rsid w:val="00435B8E"/>
    <w:rsid w:val="00444F28"/>
    <w:rsid w:val="00461E2B"/>
    <w:rsid w:val="004644D1"/>
    <w:rsid w:val="00480E50"/>
    <w:rsid w:val="004A0158"/>
    <w:rsid w:val="004C6342"/>
    <w:rsid w:val="005135F5"/>
    <w:rsid w:val="00572C63"/>
    <w:rsid w:val="005966EF"/>
    <w:rsid w:val="005C5DB1"/>
    <w:rsid w:val="00605A2B"/>
    <w:rsid w:val="00610721"/>
    <w:rsid w:val="00674C11"/>
    <w:rsid w:val="006B6EA4"/>
    <w:rsid w:val="006C1F1A"/>
    <w:rsid w:val="007067FE"/>
    <w:rsid w:val="007139DB"/>
    <w:rsid w:val="00720840"/>
    <w:rsid w:val="00735A69"/>
    <w:rsid w:val="00791BD8"/>
    <w:rsid w:val="007947C2"/>
    <w:rsid w:val="007F7972"/>
    <w:rsid w:val="008135C4"/>
    <w:rsid w:val="00870882"/>
    <w:rsid w:val="00882C0D"/>
    <w:rsid w:val="008E2164"/>
    <w:rsid w:val="00A54E61"/>
    <w:rsid w:val="00A667FD"/>
    <w:rsid w:val="00A754D3"/>
    <w:rsid w:val="00A808E7"/>
    <w:rsid w:val="00AA726C"/>
    <w:rsid w:val="00AC7DCA"/>
    <w:rsid w:val="00AF2B3A"/>
    <w:rsid w:val="00B1645C"/>
    <w:rsid w:val="00BD5B9B"/>
    <w:rsid w:val="00C0770A"/>
    <w:rsid w:val="00C14446"/>
    <w:rsid w:val="00C65FA7"/>
    <w:rsid w:val="00CA5410"/>
    <w:rsid w:val="00D04ADC"/>
    <w:rsid w:val="00D04B0B"/>
    <w:rsid w:val="00D134E4"/>
    <w:rsid w:val="00D71D11"/>
    <w:rsid w:val="00D832C3"/>
    <w:rsid w:val="00D845DC"/>
    <w:rsid w:val="00DF0DD0"/>
    <w:rsid w:val="00E33993"/>
    <w:rsid w:val="00E6073D"/>
    <w:rsid w:val="00E60C72"/>
    <w:rsid w:val="00E72AF5"/>
    <w:rsid w:val="00E76107"/>
    <w:rsid w:val="00EB7E73"/>
    <w:rsid w:val="00F03D3B"/>
    <w:rsid w:val="00F26CFA"/>
    <w:rsid w:val="00F7120A"/>
    <w:rsid w:val="00F808C3"/>
    <w:rsid w:val="00FC32A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ED48"/>
  <w15:chartTrackingRefBased/>
  <w15:docId w15:val="{68CF557A-7942-4E8A-AB55-274B4F2F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5DC"/>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D845DC"/>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D845DC"/>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D845DC"/>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D845DC"/>
    <w:pPr>
      <w:numPr>
        <w:ilvl w:val="3"/>
        <w:numId w:val="1"/>
      </w:numPr>
      <w:tabs>
        <w:tab w:val="left" w:pos="720"/>
      </w:tabs>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45DC"/>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D845DC"/>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D845DC"/>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D845DC"/>
    <w:rPr>
      <w:rFonts w:ascii="Times New Roman" w:eastAsia="SimSun" w:hAnsi="Times New Roman" w:cs="Times New Roman"/>
      <w:i/>
      <w:iCs/>
      <w:noProof/>
      <w:sz w:val="20"/>
      <w:szCs w:val="20"/>
      <w:lang w:val="en-US"/>
    </w:rPr>
  </w:style>
  <w:style w:type="paragraph" w:customStyle="1" w:styleId="Abstract">
    <w:name w:val="Abstract"/>
    <w:rsid w:val="00D845DC"/>
    <w:pPr>
      <w:spacing w:after="200" w:line="240" w:lineRule="auto"/>
      <w:ind w:firstLine="272"/>
      <w:jc w:val="both"/>
    </w:pPr>
    <w:rPr>
      <w:rFonts w:ascii="Times New Roman" w:eastAsia="SimSun" w:hAnsi="Times New Roman" w:cs="Times New Roman"/>
      <w:b/>
      <w:bCs/>
      <w:sz w:val="18"/>
      <w:szCs w:val="18"/>
      <w:lang w:val="en-US"/>
    </w:rPr>
  </w:style>
  <w:style w:type="paragraph" w:customStyle="1" w:styleId="Author">
    <w:name w:val="Author"/>
    <w:rsid w:val="00D845DC"/>
    <w:pPr>
      <w:spacing w:before="360" w:after="40" w:line="240" w:lineRule="auto"/>
      <w:jc w:val="center"/>
    </w:pPr>
    <w:rPr>
      <w:rFonts w:ascii="Times New Roman" w:eastAsia="SimSun" w:hAnsi="Times New Roman" w:cs="Times New Roman"/>
      <w:noProof/>
      <w:lang w:val="en-US"/>
    </w:rPr>
  </w:style>
  <w:style w:type="paragraph" w:styleId="Header">
    <w:name w:val="header"/>
    <w:basedOn w:val="Normal"/>
    <w:link w:val="HeaderChar"/>
    <w:rsid w:val="00D845DC"/>
    <w:pPr>
      <w:tabs>
        <w:tab w:val="center" w:pos="4680"/>
        <w:tab w:val="right" w:pos="9360"/>
      </w:tabs>
    </w:pPr>
  </w:style>
  <w:style w:type="character" w:customStyle="1" w:styleId="HeaderChar">
    <w:name w:val="Header Char"/>
    <w:basedOn w:val="DefaultParagraphFont"/>
    <w:link w:val="Header"/>
    <w:rsid w:val="00D845DC"/>
    <w:rPr>
      <w:rFonts w:ascii="Times New Roman" w:eastAsia="SimSun" w:hAnsi="Times New Roman" w:cs="Times New Roman"/>
      <w:sz w:val="20"/>
      <w:szCs w:val="20"/>
      <w:lang w:val="en-US"/>
    </w:rPr>
  </w:style>
  <w:style w:type="paragraph" w:styleId="Footer">
    <w:name w:val="footer"/>
    <w:basedOn w:val="Normal"/>
    <w:link w:val="FooterChar"/>
    <w:rsid w:val="00D845DC"/>
    <w:pPr>
      <w:tabs>
        <w:tab w:val="center" w:pos="4680"/>
        <w:tab w:val="right" w:pos="9360"/>
      </w:tabs>
    </w:pPr>
  </w:style>
  <w:style w:type="character" w:customStyle="1" w:styleId="FooterChar">
    <w:name w:val="Footer Char"/>
    <w:basedOn w:val="DefaultParagraphFont"/>
    <w:link w:val="Footer"/>
    <w:rsid w:val="00D845DC"/>
    <w:rPr>
      <w:rFonts w:ascii="Times New Roman" w:eastAsia="SimSun" w:hAnsi="Times New Roman" w:cs="Times New Roman"/>
      <w:sz w:val="20"/>
      <w:szCs w:val="20"/>
      <w:lang w:val="en-US"/>
    </w:rPr>
  </w:style>
  <w:style w:type="paragraph" w:styleId="NormalWeb">
    <w:name w:val="Normal (Web)"/>
    <w:basedOn w:val="Normal"/>
    <w:uiPriority w:val="99"/>
    <w:unhideWhenUsed/>
    <w:rsid w:val="00D845DC"/>
    <w:pPr>
      <w:spacing w:before="100" w:beforeAutospacing="1" w:after="100" w:afterAutospacing="1"/>
      <w:jc w:val="left"/>
    </w:pPr>
    <w:rPr>
      <w:rFonts w:eastAsia="Times New Roman"/>
      <w:sz w:val="24"/>
      <w:szCs w:val="24"/>
      <w:lang w:val="en-PH" w:eastAsia="en-PH"/>
    </w:rPr>
  </w:style>
  <w:style w:type="character" w:styleId="Strong">
    <w:name w:val="Strong"/>
    <w:uiPriority w:val="22"/>
    <w:qFormat/>
    <w:rsid w:val="00D845DC"/>
    <w:rPr>
      <w:b/>
      <w:bCs/>
    </w:rPr>
  </w:style>
  <w:style w:type="character" w:styleId="Hyperlink">
    <w:name w:val="Hyperlink"/>
    <w:rsid w:val="00D845DC"/>
    <w:rPr>
      <w:color w:val="0563C1"/>
      <w:u w:val="single"/>
    </w:rPr>
  </w:style>
  <w:style w:type="character" w:styleId="Emphasis">
    <w:name w:val="Emphasis"/>
    <w:uiPriority w:val="20"/>
    <w:qFormat/>
    <w:rsid w:val="00D845DC"/>
    <w:rPr>
      <w:i/>
      <w:iCs/>
    </w:rPr>
  </w:style>
  <w:style w:type="character" w:customStyle="1" w:styleId="katex-mathml">
    <w:name w:val="katex-mathml"/>
    <w:rsid w:val="00D845DC"/>
  </w:style>
  <w:style w:type="paragraph" w:customStyle="1" w:styleId="bulletlist">
    <w:name w:val="bullet list"/>
    <w:basedOn w:val="BodyText"/>
    <w:rsid w:val="00094A9B"/>
    <w:pPr>
      <w:numPr>
        <w:numId w:val="21"/>
      </w:numPr>
      <w:tabs>
        <w:tab w:val="clear" w:pos="648"/>
        <w:tab w:val="left" w:pos="288"/>
        <w:tab w:val="num" w:pos="5180"/>
      </w:tabs>
      <w:spacing w:line="228" w:lineRule="auto"/>
      <w:ind w:left="576" w:hanging="288"/>
      <w:jc w:val="both"/>
    </w:pPr>
    <w:rPr>
      <w:spacing w:val="-1"/>
      <w:lang w:val="x-none" w:eastAsia="x-none"/>
    </w:rPr>
  </w:style>
  <w:style w:type="paragraph" w:styleId="BodyText">
    <w:name w:val="Body Text"/>
    <w:basedOn w:val="Normal"/>
    <w:link w:val="BodyTextChar"/>
    <w:uiPriority w:val="99"/>
    <w:semiHidden/>
    <w:unhideWhenUsed/>
    <w:rsid w:val="00094A9B"/>
    <w:pPr>
      <w:spacing w:after="120"/>
    </w:pPr>
  </w:style>
  <w:style w:type="character" w:customStyle="1" w:styleId="BodyTextChar">
    <w:name w:val="Body Text Char"/>
    <w:basedOn w:val="DefaultParagraphFont"/>
    <w:link w:val="BodyText"/>
    <w:uiPriority w:val="99"/>
    <w:semiHidden/>
    <w:rsid w:val="00094A9B"/>
    <w:rPr>
      <w:rFonts w:ascii="Times New Roman" w:eastAsia="SimSun" w:hAnsi="Times New Roman" w:cs="Times New Roman"/>
      <w:sz w:val="20"/>
      <w:szCs w:val="20"/>
      <w:lang w:val="en-US"/>
    </w:rPr>
  </w:style>
  <w:style w:type="paragraph" w:styleId="ListParagraph">
    <w:name w:val="List Paragraph"/>
    <w:basedOn w:val="Normal"/>
    <w:uiPriority w:val="34"/>
    <w:qFormat/>
    <w:rsid w:val="00FC32AB"/>
    <w:pPr>
      <w:ind w:left="720"/>
      <w:contextualSpacing/>
    </w:pPr>
  </w:style>
  <w:style w:type="paragraph" w:styleId="BalloonText">
    <w:name w:val="Balloon Text"/>
    <w:basedOn w:val="Normal"/>
    <w:link w:val="BalloonTextChar"/>
    <w:uiPriority w:val="99"/>
    <w:semiHidden/>
    <w:unhideWhenUsed/>
    <w:rsid w:val="00CA54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410"/>
    <w:rPr>
      <w:rFonts w:ascii="Segoe UI" w:eastAsia="SimSun" w:hAnsi="Segoe UI" w:cs="Segoe UI"/>
      <w:sz w:val="18"/>
      <w:szCs w:val="18"/>
      <w:lang w:val="en-US"/>
    </w:rPr>
  </w:style>
  <w:style w:type="paragraph" w:customStyle="1" w:styleId="isselectedend">
    <w:name w:val="isselectedend"/>
    <w:basedOn w:val="Normal"/>
    <w:rsid w:val="00572C63"/>
    <w:pPr>
      <w:spacing w:before="100" w:beforeAutospacing="1" w:after="100" w:afterAutospacing="1"/>
      <w:jc w:val="left"/>
    </w:pPr>
    <w:rPr>
      <w:rFonts w:eastAsia="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2735">
      <w:bodyDiv w:val="1"/>
      <w:marLeft w:val="0"/>
      <w:marRight w:val="0"/>
      <w:marTop w:val="0"/>
      <w:marBottom w:val="0"/>
      <w:divBdr>
        <w:top w:val="none" w:sz="0" w:space="0" w:color="auto"/>
        <w:left w:val="none" w:sz="0" w:space="0" w:color="auto"/>
        <w:bottom w:val="none" w:sz="0" w:space="0" w:color="auto"/>
        <w:right w:val="none" w:sz="0" w:space="0" w:color="auto"/>
      </w:divBdr>
      <w:divsChild>
        <w:div w:id="28730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818338">
      <w:bodyDiv w:val="1"/>
      <w:marLeft w:val="0"/>
      <w:marRight w:val="0"/>
      <w:marTop w:val="0"/>
      <w:marBottom w:val="0"/>
      <w:divBdr>
        <w:top w:val="none" w:sz="0" w:space="0" w:color="auto"/>
        <w:left w:val="none" w:sz="0" w:space="0" w:color="auto"/>
        <w:bottom w:val="none" w:sz="0" w:space="0" w:color="auto"/>
        <w:right w:val="none" w:sz="0" w:space="0" w:color="auto"/>
      </w:divBdr>
    </w:div>
    <w:div w:id="559095153">
      <w:bodyDiv w:val="1"/>
      <w:marLeft w:val="0"/>
      <w:marRight w:val="0"/>
      <w:marTop w:val="0"/>
      <w:marBottom w:val="0"/>
      <w:divBdr>
        <w:top w:val="none" w:sz="0" w:space="0" w:color="auto"/>
        <w:left w:val="none" w:sz="0" w:space="0" w:color="auto"/>
        <w:bottom w:val="none" w:sz="0" w:space="0" w:color="auto"/>
        <w:right w:val="none" w:sz="0" w:space="0" w:color="auto"/>
      </w:divBdr>
      <w:divsChild>
        <w:div w:id="1897934759">
          <w:marLeft w:val="0"/>
          <w:marRight w:val="0"/>
          <w:marTop w:val="0"/>
          <w:marBottom w:val="0"/>
          <w:divBdr>
            <w:top w:val="none" w:sz="0" w:space="0" w:color="auto"/>
            <w:left w:val="none" w:sz="0" w:space="0" w:color="auto"/>
            <w:bottom w:val="none" w:sz="0" w:space="0" w:color="auto"/>
            <w:right w:val="none" w:sz="0" w:space="0" w:color="auto"/>
          </w:divBdr>
        </w:div>
      </w:divsChild>
    </w:div>
    <w:div w:id="732780359">
      <w:bodyDiv w:val="1"/>
      <w:marLeft w:val="0"/>
      <w:marRight w:val="0"/>
      <w:marTop w:val="0"/>
      <w:marBottom w:val="0"/>
      <w:divBdr>
        <w:top w:val="none" w:sz="0" w:space="0" w:color="auto"/>
        <w:left w:val="none" w:sz="0" w:space="0" w:color="auto"/>
        <w:bottom w:val="none" w:sz="0" w:space="0" w:color="auto"/>
        <w:right w:val="none" w:sz="0" w:space="0" w:color="auto"/>
      </w:divBdr>
    </w:div>
    <w:div w:id="828255269">
      <w:bodyDiv w:val="1"/>
      <w:marLeft w:val="0"/>
      <w:marRight w:val="0"/>
      <w:marTop w:val="0"/>
      <w:marBottom w:val="0"/>
      <w:divBdr>
        <w:top w:val="none" w:sz="0" w:space="0" w:color="auto"/>
        <w:left w:val="none" w:sz="0" w:space="0" w:color="auto"/>
        <w:bottom w:val="none" w:sz="0" w:space="0" w:color="auto"/>
        <w:right w:val="none" w:sz="0" w:space="0" w:color="auto"/>
      </w:divBdr>
    </w:div>
    <w:div w:id="839780563">
      <w:bodyDiv w:val="1"/>
      <w:marLeft w:val="0"/>
      <w:marRight w:val="0"/>
      <w:marTop w:val="0"/>
      <w:marBottom w:val="0"/>
      <w:divBdr>
        <w:top w:val="none" w:sz="0" w:space="0" w:color="auto"/>
        <w:left w:val="none" w:sz="0" w:space="0" w:color="auto"/>
        <w:bottom w:val="none" w:sz="0" w:space="0" w:color="auto"/>
        <w:right w:val="none" w:sz="0" w:space="0" w:color="auto"/>
      </w:divBdr>
    </w:div>
    <w:div w:id="1106123631">
      <w:bodyDiv w:val="1"/>
      <w:marLeft w:val="0"/>
      <w:marRight w:val="0"/>
      <w:marTop w:val="0"/>
      <w:marBottom w:val="0"/>
      <w:divBdr>
        <w:top w:val="none" w:sz="0" w:space="0" w:color="auto"/>
        <w:left w:val="none" w:sz="0" w:space="0" w:color="auto"/>
        <w:bottom w:val="none" w:sz="0" w:space="0" w:color="auto"/>
        <w:right w:val="none" w:sz="0" w:space="0" w:color="auto"/>
      </w:divBdr>
    </w:div>
    <w:div w:id="1115176465">
      <w:bodyDiv w:val="1"/>
      <w:marLeft w:val="0"/>
      <w:marRight w:val="0"/>
      <w:marTop w:val="0"/>
      <w:marBottom w:val="0"/>
      <w:divBdr>
        <w:top w:val="none" w:sz="0" w:space="0" w:color="auto"/>
        <w:left w:val="none" w:sz="0" w:space="0" w:color="auto"/>
        <w:bottom w:val="none" w:sz="0" w:space="0" w:color="auto"/>
        <w:right w:val="none" w:sz="0" w:space="0" w:color="auto"/>
      </w:divBdr>
    </w:div>
    <w:div w:id="1168133275">
      <w:bodyDiv w:val="1"/>
      <w:marLeft w:val="0"/>
      <w:marRight w:val="0"/>
      <w:marTop w:val="0"/>
      <w:marBottom w:val="0"/>
      <w:divBdr>
        <w:top w:val="none" w:sz="0" w:space="0" w:color="auto"/>
        <w:left w:val="none" w:sz="0" w:space="0" w:color="auto"/>
        <w:bottom w:val="none" w:sz="0" w:space="0" w:color="auto"/>
        <w:right w:val="none" w:sz="0" w:space="0" w:color="auto"/>
      </w:divBdr>
    </w:div>
    <w:div w:id="1390878153">
      <w:bodyDiv w:val="1"/>
      <w:marLeft w:val="0"/>
      <w:marRight w:val="0"/>
      <w:marTop w:val="0"/>
      <w:marBottom w:val="0"/>
      <w:divBdr>
        <w:top w:val="none" w:sz="0" w:space="0" w:color="auto"/>
        <w:left w:val="none" w:sz="0" w:space="0" w:color="auto"/>
        <w:bottom w:val="none" w:sz="0" w:space="0" w:color="auto"/>
        <w:right w:val="none" w:sz="0" w:space="0" w:color="auto"/>
      </w:divBdr>
    </w:div>
    <w:div w:id="1532382963">
      <w:bodyDiv w:val="1"/>
      <w:marLeft w:val="0"/>
      <w:marRight w:val="0"/>
      <w:marTop w:val="0"/>
      <w:marBottom w:val="0"/>
      <w:divBdr>
        <w:top w:val="none" w:sz="0" w:space="0" w:color="auto"/>
        <w:left w:val="none" w:sz="0" w:space="0" w:color="auto"/>
        <w:bottom w:val="none" w:sz="0" w:space="0" w:color="auto"/>
        <w:right w:val="none" w:sz="0" w:space="0" w:color="auto"/>
      </w:divBdr>
    </w:div>
    <w:div w:id="1667785447">
      <w:bodyDiv w:val="1"/>
      <w:marLeft w:val="0"/>
      <w:marRight w:val="0"/>
      <w:marTop w:val="0"/>
      <w:marBottom w:val="0"/>
      <w:divBdr>
        <w:top w:val="none" w:sz="0" w:space="0" w:color="auto"/>
        <w:left w:val="none" w:sz="0" w:space="0" w:color="auto"/>
        <w:bottom w:val="none" w:sz="0" w:space="0" w:color="auto"/>
        <w:right w:val="none" w:sz="0" w:space="0" w:color="auto"/>
      </w:divBdr>
    </w:div>
    <w:div w:id="2043823899">
      <w:bodyDiv w:val="1"/>
      <w:marLeft w:val="0"/>
      <w:marRight w:val="0"/>
      <w:marTop w:val="0"/>
      <w:marBottom w:val="0"/>
      <w:divBdr>
        <w:top w:val="none" w:sz="0" w:space="0" w:color="auto"/>
        <w:left w:val="none" w:sz="0" w:space="0" w:color="auto"/>
        <w:bottom w:val="none" w:sz="0" w:space="0" w:color="auto"/>
        <w:right w:val="none" w:sz="0" w:space="0" w:color="auto"/>
      </w:divBdr>
      <w:divsChild>
        <w:div w:id="5520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banas@amaes.edu.p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eduardo.yu@ama.edu.p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16</Pages>
  <Words>6110</Words>
  <Characters>34831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Bujoy</dc:creator>
  <cp:keywords/>
  <dc:description/>
  <cp:lastModifiedBy>Joy</cp:lastModifiedBy>
  <cp:revision>69</cp:revision>
  <cp:lastPrinted>2026-06-07T03:50:00Z</cp:lastPrinted>
  <dcterms:created xsi:type="dcterms:W3CDTF">2026-06-07T02:41:00Z</dcterms:created>
  <dcterms:modified xsi:type="dcterms:W3CDTF">2026-06-12T10:14:00Z</dcterms:modified>
</cp:coreProperties>
</file>