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CC0" w:rsidRDefault="00C95EF7">
      <w:pPr>
        <w:spacing w:after="550" w:line="240" w:lineRule="auto"/>
        <w:ind w:left="0" w:right="0" w:firstLine="0"/>
        <w:jc w:val="left"/>
      </w:pPr>
      <w:r>
        <w:rPr>
          <w:rFonts w:ascii="Calibri" w:eastAsia="Calibri" w:hAnsi="Calibri" w:cs="Calibri"/>
          <w:noProof/>
        </w:rPr>
        <mc:AlternateContent>
          <mc:Choice Requires="wpg">
            <w:drawing>
              <wp:inline distT="0" distB="0" distL="0" distR="0">
                <wp:extent cx="6480001" cy="9525"/>
                <wp:effectExtent l="0" t="0" r="0" b="0"/>
                <wp:docPr id="5751" name="Group 5751"/>
                <wp:cNvGraphicFramePr/>
                <a:graphic xmlns:a="http://schemas.openxmlformats.org/drawingml/2006/main">
                  <a:graphicData uri="http://schemas.microsoft.com/office/word/2010/wordprocessingGroup">
                    <wpg:wgp>
                      <wpg:cNvGrpSpPr/>
                      <wpg:grpSpPr>
                        <a:xfrm>
                          <a:off x="0" y="0"/>
                          <a:ext cx="6480001" cy="9525"/>
                          <a:chOff x="0" y="0"/>
                          <a:chExt cx="6480001" cy="9525"/>
                        </a:xfrm>
                      </wpg:grpSpPr>
                      <wps:wsp>
                        <wps:cNvPr id="7618" name="Shape 7618"/>
                        <wps:cNvSpPr/>
                        <wps:spPr>
                          <a:xfrm>
                            <a:off x="0" y="0"/>
                            <a:ext cx="6480001" cy="9525"/>
                          </a:xfrm>
                          <a:custGeom>
                            <a:avLst/>
                            <a:gdLst/>
                            <a:ahLst/>
                            <a:cxnLst/>
                            <a:rect l="0" t="0" r="0" b="0"/>
                            <a:pathLst>
                              <a:path w="6480001" h="9525">
                                <a:moveTo>
                                  <a:pt x="0" y="0"/>
                                </a:moveTo>
                                <a:lnTo>
                                  <a:pt x="6480001" y="0"/>
                                </a:lnTo>
                                <a:lnTo>
                                  <a:pt x="648000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550A8B9" id="Group 5751" o:spid="_x0000_s1026" style="width:510.25pt;height:.75pt;mso-position-horizontal-relative:char;mso-position-vertical-relative:lin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">
                <v:shape id="Shape 7618" o:spid="_x0000_s1027" style="position:absolute;width:64800;height:95;visibility:visible;mso-wrap-style:square;v-text-anchor:top" coordsize="6480001,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dozcQA&#10;AADdAAAADwAAAGRycy9kb3ducmV2LnhtbERPz2vCMBS+D/Y/hCd4EU3joY5qWpzi8DZ0U/D2aN7a&#10;sualNFE7//rlMNjx4/u9Kgbbihv1vnGsQc0SEMSlMw1XGj4/dtMXED4gG2wdk4Yf8lDkz08rzIy7&#10;84Fux1CJGMI+Qw11CF0mpS9rsuhnriOO3JfrLYYI+0qaHu8x3LZyniSptNhwbKixo01N5ffxajXM&#10;5eRxeXs/HZTaqnOZnq78uphoPR4N6yWIQEP4F/+590bDIlVxbnwTn4D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aM3EAAAA3QAAAA8AAAAAAAAAAAAAAAAAmAIAAGRycy9k&#10;b3ducmV2LnhtbFBLBQYAAAAABAAEAPUAAACJAwAAAAA=&#10;" path="m,l6480001,r,9525l,9525,,e" fillcolor="black" stroked="f" strokeweight="0">
                  <v:stroke miterlimit="83231f" joinstyle="miter"/>
                  <v:path arrowok="t" textboxrect="0,0,6480001,9525"/>
                </v:shape>
                <w10:anchorlock/>
              </v:group>
            </w:pict>
          </mc:Fallback>
        </mc:AlternateContent>
      </w:r>
    </w:p>
    <w:p w:rsidR="002B7CC0" w:rsidRDefault="00C95EF7">
      <w:pPr>
        <w:spacing w:after="337" w:line="264" w:lineRule="auto"/>
        <w:ind w:left="0" w:right="0" w:firstLine="0"/>
        <w:jc w:val="center"/>
      </w:pPr>
      <w:r>
        <w:rPr>
          <w:b/>
          <w:sz w:val="36"/>
        </w:rPr>
        <w:t xml:space="preserve">TEACHING SOCIAL SCIENCES: LIVED EXPERIENCES OF CTPE GRADUATES IN PUBLIC SECONDARY SCHOOLS </w:t>
      </w:r>
    </w:p>
    <w:p w:rsidR="002B7CC0" w:rsidRDefault="00C95EF7">
      <w:pPr>
        <w:spacing w:after="185" w:line="240" w:lineRule="auto"/>
        <w:ind w:left="0" w:right="0" w:firstLine="0"/>
        <w:jc w:val="center"/>
      </w:pPr>
      <w:r>
        <w:rPr>
          <w:b/>
        </w:rPr>
        <w:t xml:space="preserve"/>
      </w:r>
    </w:p>
    <w:p w:rsidR="002B7CC0" w:rsidRDefault="00C95EF7">
      <w:pPr>
        <w:spacing w:after="402" w:line="240" w:lineRule="auto"/>
        <w:ind w:left="0" w:right="0" w:firstLine="0"/>
        <w:jc w:val="center"/>
      </w:pPr>
      <w:r>
        <w:rPr>
          <w:i/>
          <w:color w:val="444444"/>
          <w:sz w:val="20"/>
        </w:rPr>
        <w:t xml:space="preserve"/>
      </w:r>
    </w:p>
    <w:p w:rsidR="002B7CC0" w:rsidRDefault="00C95EF7">
      <w:pPr>
        <w:spacing w:after="228" w:line="240" w:lineRule="auto"/>
        <w:ind w:left="0" w:right="0" w:firstLine="0"/>
        <w:jc w:val="left"/>
      </w:pPr>
      <w:r>
        <w:rPr>
          <w:rFonts w:ascii="Calibri" w:eastAsia="Calibri" w:hAnsi="Calibri" w:cs="Calibri"/>
          <w:noProof/>
        </w:rPr>
        <mc:AlternateContent>
          <mc:Choice Requires="wpg">
            <w:drawing>
              <wp:inline distT="0" distB="0" distL="0" distR="0">
                <wp:extent cx="6480001" cy="9525"/>
                <wp:effectExtent l="0" t="0" r="0" b="0"/>
                <wp:docPr id="5753" name="Group 5753"/>
                <wp:cNvGraphicFramePr/>
                <a:graphic xmlns:a="http://schemas.openxmlformats.org/drawingml/2006/main">
                  <a:graphicData uri="http://schemas.microsoft.com/office/word/2010/wordprocessingGroup">
                    <wpg:wgp>
                      <wpg:cNvGrpSpPr/>
                      <wpg:grpSpPr>
                        <a:xfrm>
                          <a:off x="0" y="0"/>
                          <a:ext cx="6480001" cy="9525"/>
                          <a:chOff x="0" y="0"/>
                          <a:chExt cx="6480001" cy="9525"/>
                        </a:xfrm>
                      </wpg:grpSpPr>
                      <wps:wsp>
                        <wps:cNvPr id="7619" name="Shape 7619"/>
                        <wps:cNvSpPr/>
                        <wps:spPr>
                          <a:xfrm>
                            <a:off x="0" y="0"/>
                            <a:ext cx="6480001" cy="9525"/>
                          </a:xfrm>
                          <a:custGeom>
                            <a:avLst/>
                            <a:gdLst/>
                            <a:ahLst/>
                            <a:cxnLst/>
                            <a:rect l="0" t="0" r="0" b="0"/>
                            <a:pathLst>
                              <a:path w="6480001" h="9525">
                                <a:moveTo>
                                  <a:pt x="0" y="0"/>
                                </a:moveTo>
                                <a:lnTo>
                                  <a:pt x="6480001" y="0"/>
                                </a:lnTo>
                                <a:lnTo>
                                  <a:pt x="648000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0552A53" id="Group 5753" o:spid="_x0000_s1026" style="width:510.25pt;height:.75pt;mso-position-horizontal-relative:char;mso-position-vertical-relative:lin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">
                <v:shape id="Shape 7619" o:spid="_x0000_s1027" style="position:absolute;width:64800;height:95;visibility:visible;mso-wrap-style:square;v-text-anchor:top" coordsize="6480001,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vNVscA&#10;AADdAAAADwAAAGRycy9kb3ducmV2LnhtbESPT2vCQBTE7wW/w/KEXkQ36yHW6Cr9Q0tvRauCt0f2&#10;mQSzb0N21dRP3xUEj8PM/IaZLztbizO1vnKsQY0SEMS5MxUXGja/n8MXED4gG6wdk4Y/8rBc9J7m&#10;mBl34RWd16EQEcI+Qw1lCE0mpc9LsuhHriGO3sG1FkOUbSFNi5cIt7UcJ0kqLVYcF0ps6L2k/Lg+&#10;WQ1jObjuv362K6U+1C5Ptyd+mwy0fu53rzMQgbrwCN/b30bDJFVTuL2JT0A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rzVbHAAAA3QAAAA8AAAAAAAAAAAAAAAAAmAIAAGRy&#10;cy9kb3ducmV2LnhtbFBLBQYAAAAABAAEAPUAAACMAwAAAAA=&#10;" path="m,l6480001,r,9525l,9525,,e" fillcolor="black" stroked="f" strokeweight="0">
                  <v:stroke miterlimit="83231f" joinstyle="miter"/>
                  <v:path arrowok="t" textboxrect="0,0,6480001,9525"/>
                </v:shape>
                <w10:anchorlock/>
              </v:group>
            </w:pict>
          </mc:Fallback>
        </mc:AlternateContent>
      </w:r>
    </w:p>
    <w:p w:rsidR="002B7CC0" w:rsidRDefault="00C95EF7">
      <w:pPr>
        <w:spacing w:after="238" w:line="246" w:lineRule="auto"/>
        <w:ind w:right="-15"/>
        <w:jc w:val="left"/>
      </w:pPr>
      <w:r>
        <w:rPr>
          <w:b/>
        </w:rPr>
        <w:t>Abstract</w:t>
      </w:r>
    </w:p>
    <w:p w:rsidR="002B7CC0" w:rsidRDefault="00C95EF7">
      <w:pPr>
        <w:spacing w:after="239" w:line="285" w:lineRule="auto"/>
        <w:ind w:left="-15" w:right="11" w:firstLine="0"/>
      </w:pPr>
      <w:r>
        <w:rPr>
          <w:sz w:val="20"/>
        </w:rPr>
        <w:t xml:space="preserve">The current study explores the lived experiences of Certificate in Teacher Professional Education (CTPE) graduates who are teaching Social Sciences in public secondary schools. This research seeks to describe their actual teaching experiences, the challenges that they encounter, and their coping techniques. Data was collected through conducting semi-structured interviews, focus group discussions, and classroom observations with eight CTPE graduates teaching in public secondary schools across Santa Cruz District. All responses were thoroughly analyzed using thematic coding guided by Braun and Clarke’s six-phase thematic analysis framework. Findings reveal that CTPE graduates perceive teaching as a complex process of adaptation and professional development. They demonstrate a great deal of commitment to fostering the learning processes, critical thinking, and patriotic values among students; however, they face numerous challenges related to lesson planning, classroom management, student assessment, adjustments to curriculum requirements, and excessive administrative workloads. Some negative emotions, including anxiety, self-doubt, and intense pressure, emerge and prevail in the early stages of their teaching careers, often characterized as a "reality shock." Despite these difficulties, participants employ several effective coping techniques such as receiving help from colleagues, engaging in professional development activities, practicing reflective teaching, and developing time and stress management skills. In conclusion, although initially having a limited scope of pedagogical skills because of lacking a formal undergraduate educational background, CTPE graduates slowly accumulate knowledge, competencies, and professional assets through collaboration and continuous learning processes. The results indicate the necessity of enhancing institutional support structures, specialized training, and structured mentoring programs for non-education graduates to help them pursue a teaching career more effectively. </w:t>
      </w:r>
    </w:p>
    <w:p w:rsidR="002B7CC0" w:rsidRDefault="00C95EF7">
      <w:pPr>
        <w:spacing w:after="239" w:line="285" w:lineRule="auto"/>
        <w:ind w:left="-15" w:right="11" w:firstLine="0"/>
      </w:pPr>
      <w:r>
        <w:rPr>
          <w:b/>
          <w:sz w:val="20"/>
        </w:rPr>
        <w:t>Keywords:</w:t>
      </w:r>
      <w:r>
        <w:rPr>
          <w:sz w:val="20"/>
        </w:rPr>
        <w:t xml:space="preserve"> challenges, coping mechanisms, CTPE graduates, lived experiences, Social Sciences teaching </w:t>
      </w:r>
    </w:p>
    <w:p w:rsidR="002B7CC0" w:rsidRDefault="00C95EF7">
      <w:pPr>
        <w:spacing w:after="536" w:line="240" w:lineRule="auto"/>
        <w:ind w:left="0" w:right="0" w:firstLine="0"/>
        <w:jc w:val="left"/>
      </w:pPr>
      <w:r>
        <w:rPr>
          <w:rFonts w:ascii="Calibri" w:eastAsia="Calibri" w:hAnsi="Calibri" w:cs="Calibri"/>
          <w:noProof/>
        </w:rPr>
        <mc:AlternateContent>
          <mc:Choice Requires="wpg">
            <w:drawing>
              <wp:inline distT="0" distB="0" distL="0" distR="0">
                <wp:extent cx="6480001" cy="9525"/>
                <wp:effectExtent l="0" t="0" r="0" b="0"/>
                <wp:docPr id="5752" name="Group 5752"/>
                <wp:cNvGraphicFramePr/>
                <a:graphic xmlns:a="http://schemas.openxmlformats.org/drawingml/2006/main">
                  <a:graphicData uri="http://schemas.microsoft.com/office/word/2010/wordprocessingGroup">
                    <wpg:wgp>
                      <wpg:cNvGrpSpPr/>
                      <wpg:grpSpPr>
                        <a:xfrm>
                          <a:off x="0" y="0"/>
                          <a:ext cx="6480001" cy="9525"/>
                          <a:chOff x="0" y="0"/>
                          <a:chExt cx="6480001" cy="9525"/>
                        </a:xfrm>
                      </wpg:grpSpPr>
                      <wps:wsp>
                        <wps:cNvPr id="7620" name="Shape 7620"/>
                        <wps:cNvSpPr/>
                        <wps:spPr>
                          <a:xfrm>
                            <a:off x="0" y="0"/>
                            <a:ext cx="6480001" cy="9525"/>
                          </a:xfrm>
                          <a:custGeom>
                            <a:avLst/>
                            <a:gdLst/>
                            <a:ahLst/>
                            <a:cxnLst/>
                            <a:rect l="0" t="0" r="0" b="0"/>
                            <a:pathLst>
                              <a:path w="6480001" h="9525">
                                <a:moveTo>
                                  <a:pt x="0" y="0"/>
                                </a:moveTo>
                                <a:lnTo>
                                  <a:pt x="6480001" y="0"/>
                                </a:lnTo>
                                <a:lnTo>
                                  <a:pt x="648000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522732C" id="Group 5752" o:spid="_x0000_s1026" style="width:510.25pt;height:.75pt;mso-position-horizontal-relative:char;mso-position-vertical-relative:lin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">
                <v:shape id="Shape 7620" o:spid="_x0000_s1027" style="position:absolute;width:64800;height:95;visibility:visible;mso-wrap-style:square;v-text-anchor:top" coordsize="6480001,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2udsUA&#10;AADdAAAADwAAAGRycy9kb3ducmV2LnhtbERPTWvCQBC9C/0PyxR6kbpJDkmJrtIqLd5KYi14G7LT&#10;JDQ7G7KrSf313YPg8fG+V5vJdOJCg2stK4gXEQjiyuqWawVfh/fnFxDOI2vsLJOCP3KwWT/MVphr&#10;O3JBl9LXIoSwy1FB432fS+mqhgy6he2JA/djB4M+wKGWesAxhJtOJlGUSoMth4YGe9o2VP2WZ6Mg&#10;kfPr6ePzWMTxLv6u0uOZ37K5Uk+P0+sShKfJ38U3914ryNIk7A9vwhO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fa52xQAAAN0AAAAPAAAAAAAAAAAAAAAAAJgCAABkcnMv&#10;ZG93bnJldi54bWxQSwUGAAAAAAQABAD1AAAAigMAAAAA&#10;" path="m,l6480001,r,9525l,9525,,e" fillcolor="black" stroked="f" strokeweight="0">
                  <v:stroke miterlimit="83231f" joinstyle="miter"/>
                  <v:path arrowok="t" textboxrect="0,0,6480001,9525"/>
                </v:shape>
                <w10:anchorlock/>
              </v:group>
            </w:pict>
          </mc:Fallback>
        </mc:AlternateContent>
      </w:r>
    </w:p>
    <w:p w:rsidR="002B7CC0" w:rsidRDefault="00C95EF7">
      <w:pPr>
        <w:pStyle w:val="Heading1"/>
      </w:pPr>
      <w:r>
        <w:t>INTRODUCTION</w:t>
      </w:r>
    </w:p>
    <w:p w:rsidR="002B7CC0" w:rsidRDefault="00C95EF7">
      <w:pPr>
        <w:spacing w:after="255" w:line="240" w:lineRule="auto"/>
        <w:ind w:left="0" w:right="0" w:firstLine="0"/>
        <w:jc w:val="left"/>
      </w:pPr>
      <w:r>
        <w:rPr>
          <w:rFonts w:ascii="Calibri" w:eastAsia="Calibri" w:hAnsi="Calibri" w:cs="Calibri"/>
          <w:noProof/>
        </w:rPr>
        <mc:AlternateContent>
          <mc:Choice Requires="wpg">
            <w:drawing>
              <wp:inline distT="0" distB="0" distL="0" distR="0">
                <wp:extent cx="6480001" cy="9525"/>
                <wp:effectExtent l="0" t="0" r="0" b="0"/>
                <wp:docPr id="5754" name="Group 5754"/>
                <wp:cNvGraphicFramePr/>
                <a:graphic xmlns:a="http://schemas.openxmlformats.org/drawingml/2006/main">
                  <a:graphicData uri="http://schemas.microsoft.com/office/word/2010/wordprocessingGroup">
                    <wpg:wgp>
                      <wpg:cNvGrpSpPr/>
                      <wpg:grpSpPr>
                        <a:xfrm>
                          <a:off x="0" y="0"/>
                          <a:ext cx="6480001" cy="9525"/>
                          <a:chOff x="0" y="0"/>
                          <a:chExt cx="6480001" cy="9525"/>
                        </a:xfrm>
                      </wpg:grpSpPr>
                      <wps:wsp>
                        <wps:cNvPr id="7621" name="Shape 7621"/>
                        <wps:cNvSpPr/>
                        <wps:spPr>
                          <a:xfrm>
                            <a:off x="0" y="0"/>
                            <a:ext cx="6480001" cy="9525"/>
                          </a:xfrm>
                          <a:custGeom>
                            <a:avLst/>
                            <a:gdLst/>
                            <a:ahLst/>
                            <a:cxnLst/>
                            <a:rect l="0" t="0" r="0" b="0"/>
                            <a:pathLst>
                              <a:path w="6480001" h="9525">
                                <a:moveTo>
                                  <a:pt x="0" y="0"/>
                                </a:moveTo>
                                <a:lnTo>
                                  <a:pt x="6480001" y="0"/>
                                </a:lnTo>
                                <a:lnTo>
                                  <a:pt x="6480001" y="9525"/>
                                </a:lnTo>
                                <a:lnTo>
                                  <a:pt x="0" y="9525"/>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inline>
            </w:drawing>
          </mc:Choice>
          <mc:Fallback>
            <w:pict>
              <v:group w14:anchorId="2B2D48F2" id="Group 5754" o:spid="_x0000_s1026" style="width:510.25pt;height:.75pt;mso-position-horizontal-relative:char;mso-position-vertical-relative:lin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">
                <v:shape id="Shape 7621" o:spid="_x0000_s1027" style="position:absolute;width:64800;height:95;visibility:visible;mso-wrap-style:square;v-text-anchor:top" coordsize="6480001,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w8g8QA&#10;AADdAAAADwAAAGRycy9kb3ducmV2LnhtbESPT4vCMBTE78J+h/AW9iKa6kGlGkVW/HPVurDHR/Ns&#10;g81LabK166c3guBxmJnfMItVZyvRUuONYwWjYQKCOHfacKHgnG0HMxA+IGusHJOCf/KwWn70Fphq&#10;d+MjtadQiAhhn6KCMoQ6ldLnJVn0Q1cTR+/iGoshyqaQusFbhNtKjpNkIi0ajgsl1vRdUn49/VkF&#10;CcvW7E226/Ss2vQ368O9/flV6uuzW89BBOrCO/xqH7SC6WQ8gueb+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MPIPEAAAA3QAAAA8AAAAAAAAAAAAAAAAAmAIAAGRycy9k&#10;b3ducmV2LnhtbFBLBQYAAAAABAAEAPUAAACJAwAAAAA=&#10;" path="m,l6480001,r,9525l,9525,,e" fillcolor="#ccc" stroked="f" strokeweight="0">
                  <v:stroke miterlimit="83231f" joinstyle="miter"/>
                  <v:path arrowok="t" textboxrect="0,0,6480001,9525"/>
                </v:shape>
                <w10:anchorlock/>
              </v:group>
            </w:pict>
          </mc:Fallback>
        </mc:AlternateContent>
      </w:r>
    </w:p>
    <w:p w:rsidR="002B7CC0" w:rsidRDefault="00C95EF7">
      <w:pPr>
        <w:spacing w:after="118" w:line="240" w:lineRule="auto"/>
        <w:ind w:left="10" w:right="42"/>
        <w:jc w:val="right"/>
      </w:pPr>
      <w:r>
        <w:t>The Social Sciences play an important part in the foundational learning of students in the Philippines,</w:t>
      </w:r>
    </w:p>
    <w:p w:rsidR="002B7CC0" w:rsidRDefault="00C95EF7">
      <w:r>
        <w:t xml:space="preserve">promoting civic consciousness, historical awareness, and readiness for active participation in public life (Department of Education, 2013). Within the educational framework, the Department of Education focuses heavily on teachers because they play a central role in the students’ learning. This central focus highlights the critical position of alternative certification pathways, particularly the Certificate in Teacher Professional Education (CTPE) program, which is specifically designed for non-education graduates looking to transition into the teaching profession. Offered within the CTPE curriculum are 18 units of professional education courses, field study, and practicum sessions completed via blended learning modalities to provide adequate teaching knowledge and craft to graduates. </w:t>
      </w:r>
    </w:p>
    <w:p w:rsidR="002B7CC0" w:rsidRDefault="00C95EF7">
      <w:pPr>
        <w:spacing w:after="118" w:line="240" w:lineRule="auto"/>
        <w:ind w:left="10" w:right="42"/>
        <w:jc w:val="right"/>
      </w:pPr>
      <w:r>
        <w:t>Certificate in Teacher Professional Education (CTPE) holders often acquire teaching positions in public</w:t>
      </w:r>
    </w:p>
    <w:p w:rsidR="002B7CC0" w:rsidRDefault="00C95EF7">
      <w:r>
        <w:lastRenderedPageBreak/>
        <w:t xml:space="preserve">secondary schools, where they normally interact with a heterogeneous student population. These professionals come from a wide variety of non-education baccalaureate backgrounds, which brings a rich diversity of disciplinary depth helpful for teaching the Social Sciences. However, their short preparation time poses critical difficulties with teaching delivery, behavior management, and institutional policy navigation where their peers from traditional formal four-year training programs would have had significantly more exposure. The phenomenon under investigation in this study is the lived experience of these CTPE graduates who teach Social Sciences in public secondary schools. Specifically, the study examines how individuals who did not initially pursue a degree in education transition into the teaching profession, construct their professional identity, and navigate institutional and pedagogical demands within the Philippine public school system. </w:t>
      </w:r>
    </w:p>
    <w:p w:rsidR="002B7CC0" w:rsidRDefault="00C95EF7">
      <w:pPr>
        <w:spacing w:after="118" w:line="240" w:lineRule="auto"/>
        <w:ind w:left="10" w:right="42"/>
        <w:jc w:val="right"/>
      </w:pPr>
      <w:r>
        <w:t>This phenomenon emerges from a stark structural reality in Philippine education: the persistent need to</w:t>
      </w:r>
    </w:p>
    <w:p w:rsidR="002B7CC0" w:rsidRDefault="00C95EF7">
      <w:r>
        <w:t xml:space="preserve">expand the teaching workforce while maintaining high professional standards. As a result, non-education graduates are legally permitted to complete professional education units and qualify for licensure. While this pathway successfully widens access to the profession, it simultaneously raises profound pedagogical, institutional, and identity-related questions. On one hand, CTPE graduates bring valuable disciplinary depth from fields such as political science, sociology, history, information technology, and economics, potentially enriching Social Sciences instruction with authentic, practical, and applied real-world perspectives. On the other hand, serious concerns are raised regarding their initial preparedness in core pedagogy, classroom management strategies, assessment literacy, and child psychology compared to traditionally trained Bachelor of Secondary Education (BSEd) graduates. </w:t>
      </w:r>
    </w:p>
    <w:p w:rsidR="002B7CC0" w:rsidRDefault="00C95EF7">
      <w:pPr>
        <w:spacing w:after="118" w:line="240" w:lineRule="auto"/>
        <w:ind w:left="10" w:right="42"/>
        <w:jc w:val="right"/>
      </w:pPr>
      <w:r>
        <w:t>Thus, the phenomenon is dual in nature: it reflects opportunity and diversification of the teaching force,</w:t>
      </w:r>
    </w:p>
    <w:p w:rsidR="002B7CC0" w:rsidRDefault="00C95EF7">
      <w:r>
        <w:t xml:space="preserve">while simultaneously highlighting professional adjustment, adaptation struggles, and potential competency gaps. Understanding this underlying tension forms the core problem of this study. Through this research, the study seeks to examine the pedagogical immersion and identity negotiation among career switchers or professionals who have shifted to teaching using the CTPE program. This transition constitutes an exceptional lived experience—the change from a subject matter expert into an active classroom practitioner. Though they are thoroughly immersed in the core knowledge of Social Science, their initial induction process is often described as a "baptism by fire." Their 18 units of theoretical training are abruptly challenged by the harsh, inflexible realities of the Philippine public school system, characterized by large class sizes, a wide variety of disruptive student behaviors, and the multifaceted needs of instructional scaffolding. </w:t>
      </w:r>
    </w:p>
    <w:p w:rsidR="002B7CC0" w:rsidRDefault="00C95EF7">
      <w:pPr>
        <w:spacing w:after="118" w:line="240" w:lineRule="auto"/>
        <w:ind w:left="10" w:right="42"/>
        <w:jc w:val="right"/>
      </w:pPr>
      <w:r>
        <w:t>The background of CTPE graduates is a source of both hope and concern. They are likely to have a great</w:t>
      </w:r>
    </w:p>
    <w:p w:rsidR="002B7CC0" w:rsidRDefault="00C95EF7">
      <w:pPr>
        <w:spacing w:after="0"/>
      </w:pPr>
      <w:r>
        <w:t xml:space="preserve">deal of practical, “outside of the box” real-world experience which poses exciting and fresh ideas for teaching the Social Sciences; however, their practical readiness remains highly variable. Local Philippine studies on the lived experiences of teachers provide helpful context. For example, studies on Araling Panlipunan teachers coping with the implementation of the new MATATAG curriculum indicated severe difficulties with excessive content, insufficient teaching materials, poor instruction, and inadequate professional development opportunities, though these teachers still showed remarkable persistence and positive regard for students (Sumaylo &amp; Espacio, 2024). Informed by these observations, this study aims to systematically investigate the lived realities of CTPE graduates teaching Social Sciences at public secondary schools to document their teaching strategies, the frameworks they use to guide their practice, and the precise challenges they face, thereby providing a rich context of their teaching lives. </w:t>
      </w:r>
    </w:p>
    <w:p w:rsidR="00EE3C78" w:rsidRDefault="00EE3C78">
      <w:pPr>
        <w:spacing w:after="0"/>
      </w:pPr>
      <w:bookmarkStart w:id="0" w:name="_GoBack"/>
      <w:bookmarkEnd w:id="0"/>
    </w:p>
    <w:p w:rsidR="008C7883" w:rsidRDefault="008C7883">
      <w:pPr>
        <w:spacing w:after="0"/>
      </w:pPr>
    </w:p>
    <w:p w:rsidR="008C7883" w:rsidRDefault="008C7883">
      <w:pPr>
        <w:spacing w:after="0"/>
      </w:pPr>
    </w:p>
    <w:p w:rsidR="002B7CC0" w:rsidRDefault="00C95EF7">
      <w:pPr>
        <w:spacing w:after="238" w:line="246" w:lineRule="auto"/>
        <w:ind w:right="-15"/>
        <w:jc w:val="left"/>
      </w:pPr>
      <w:r>
        <w:rPr>
          <w:b/>
        </w:rPr>
        <w:lastRenderedPageBreak/>
        <w:t>Objectives of the Study</w:t>
      </w:r>
    </w:p>
    <w:p w:rsidR="002B7CC0" w:rsidRDefault="00C95EF7">
      <w:r>
        <w:t xml:space="preserve">The primary objective of this study is to explore and understand the lived experiences of CTPE graduates teaching Social Sciences in public secondary schools. Specifically, this study aims to answer the following research questions: </w:t>
      </w:r>
    </w:p>
    <w:p w:rsidR="002B7CC0" w:rsidRDefault="00C95EF7">
      <w:pPr>
        <w:numPr>
          <w:ilvl w:val="0"/>
          <w:numId w:val="1"/>
        </w:numPr>
        <w:spacing w:after="115"/>
        <w:ind w:hanging="220"/>
      </w:pPr>
      <w:r>
        <w:t>How do CTPE graduates describe their lived experiences in teaching Social Sciences in public secondary schools?</w:t>
      </w:r>
    </w:p>
    <w:p w:rsidR="002B7CC0" w:rsidRDefault="00C95EF7">
      <w:pPr>
        <w:numPr>
          <w:ilvl w:val="0"/>
          <w:numId w:val="1"/>
        </w:numPr>
        <w:spacing w:after="115"/>
        <w:ind w:hanging="220"/>
      </w:pPr>
      <w:r>
        <w:t>What specific pedagogical and institutional challenges do CTPE graduates encounter in teaching Social Sciences in public secondary schools?</w:t>
      </w:r>
    </w:p>
    <w:p w:rsidR="002B7CC0" w:rsidRDefault="00C95EF7">
      <w:pPr>
        <w:numPr>
          <w:ilvl w:val="0"/>
          <w:numId w:val="1"/>
        </w:numPr>
        <w:spacing w:after="388"/>
        <w:ind w:hanging="220"/>
      </w:pPr>
      <w:r>
        <w:t>What coping mechanisms or strategies do CTPE graduates employ to address the challenges they face in teaching Social Sciences?</w:t>
      </w:r>
    </w:p>
    <w:p w:rsidR="002B7CC0" w:rsidRDefault="00C95EF7">
      <w:pPr>
        <w:spacing w:after="238" w:line="246" w:lineRule="auto"/>
        <w:ind w:right="-15"/>
        <w:jc w:val="left"/>
      </w:pPr>
      <w:r>
        <w:rPr>
          <w:b/>
        </w:rPr>
        <w:t>Significance of the Study</w:t>
      </w:r>
    </w:p>
    <w:p w:rsidR="002B7CC0" w:rsidRDefault="00C95EF7">
      <w:pPr>
        <w:spacing w:after="118" w:line="240" w:lineRule="auto"/>
        <w:ind w:left="10" w:right="42"/>
        <w:jc w:val="right"/>
      </w:pPr>
      <w:r>
        <w:t>The insights generated from this research can be widely utilized in educational contexts where non-</w:t>
      </w:r>
    </w:p>
    <w:p w:rsidR="002B7CC0" w:rsidRDefault="00C95EF7">
      <w:pPr>
        <w:spacing w:after="501"/>
      </w:pPr>
      <w:r>
        <w:t xml:space="preserve">traditional teaching pathways and second-career teachers transition into public education. Because CTPE graduates possess a wide range of diverse skills and external professional qualifications, these findings are applicable to other educational systems that assimilate alternative-route teachers into mainstream teaching, especially in developing countries or regions facing acute teacher shortages. The outcomes of this study hold significant value for the Department of Education, providing empirical data to create focused policies and targeted in-service training programs. Furthermore, school administrators can utilize these findings to develop appropriate professional development, mentorship networks, and tailored classroom management support structures. For the CTPE graduate teachers themselves, this study builds a sense of community, validation, and shared belonging, while ultimately benefiting students through improved pedagogical quality, critical thinking engagement, and enhanced civic consciousness. </w:t>
      </w:r>
    </w:p>
    <w:p w:rsidR="002B7CC0" w:rsidRDefault="00C95EF7">
      <w:pPr>
        <w:pStyle w:val="Heading1"/>
      </w:pPr>
      <w:r>
        <w:t>METHODOLOGY</w:t>
      </w:r>
    </w:p>
    <w:p w:rsidR="002B7CC0" w:rsidRDefault="00C95EF7">
      <w:pPr>
        <w:spacing w:after="348" w:line="240" w:lineRule="auto"/>
        <w:ind w:left="0" w:right="0" w:firstLine="0"/>
      </w:pPr>
      <w:r>
        <w:rPr>
          <w:rFonts w:ascii="Calibri" w:eastAsia="Calibri" w:hAnsi="Calibri" w:cs="Calibri"/>
          <w:noProof/>
        </w:rPr>
        <mc:AlternateContent>
          <mc:Choice Requires="wpg">
            <w:drawing>
              <wp:inline distT="0" distB="0" distL="0" distR="0">
                <wp:extent cx="6480001" cy="9525"/>
                <wp:effectExtent l="0" t="0" r="0" b="0"/>
                <wp:docPr id="5952" name="Group 5952"/>
                <wp:cNvGraphicFramePr/>
                <a:graphic xmlns:a="http://schemas.openxmlformats.org/drawingml/2006/main">
                  <a:graphicData uri="http://schemas.microsoft.com/office/word/2010/wordprocessingGroup">
                    <wpg:wgp>
                      <wpg:cNvGrpSpPr/>
                      <wpg:grpSpPr>
                        <a:xfrm>
                          <a:off x="0" y="0"/>
                          <a:ext cx="6480001" cy="9525"/>
                          <a:chOff x="0" y="0"/>
                          <a:chExt cx="6480001" cy="9525"/>
                        </a:xfrm>
                      </wpg:grpSpPr>
                      <wps:wsp>
                        <wps:cNvPr id="7622" name="Shape 7622"/>
                        <wps:cNvSpPr/>
                        <wps:spPr>
                          <a:xfrm>
                            <a:off x="0" y="0"/>
                            <a:ext cx="6480001" cy="9525"/>
                          </a:xfrm>
                          <a:custGeom>
                            <a:avLst/>
                            <a:gdLst/>
                            <a:ahLst/>
                            <a:cxnLst/>
                            <a:rect l="0" t="0" r="0" b="0"/>
                            <a:pathLst>
                              <a:path w="6480001" h="9525">
                                <a:moveTo>
                                  <a:pt x="0" y="0"/>
                                </a:moveTo>
                                <a:lnTo>
                                  <a:pt x="6480001" y="0"/>
                                </a:lnTo>
                                <a:lnTo>
                                  <a:pt x="6480001" y="9525"/>
                                </a:lnTo>
                                <a:lnTo>
                                  <a:pt x="0" y="9525"/>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inline>
            </w:drawing>
          </mc:Choice>
          <mc:Fallback>
            <w:pict>
              <v:group w14:anchorId="6F1CD4EE" id="Group 5952" o:spid="_x0000_s1026" style="width:510.25pt;height:.75pt;mso-position-horizontal-relative:char;mso-position-vertical-relative:lin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">
                <v:shape id="Shape 7622" o:spid="_x0000_s1027" style="position:absolute;width:64800;height:95;visibility:visible;mso-wrap-style:square;v-text-anchor:top" coordsize="6480001,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6i9MUA&#10;AADdAAAADwAAAGRycy9kb3ducmV2LnhtbESPQWvCQBSE7wX/w/KEXopumoOV6CrB0JprYwseH9ln&#10;sph9G7LbmPrru4VCj8PMfMNs95PtxEiDN44VPC8TEMS104YbBR+n18UahA/IGjvHpOCbPOx3s4ct&#10;Ztrd+J3GKjQiQthnqKANoc+k9HVLFv3S9cTRu7jBYohyaKQe8BbhtpNpkqykRcNxocWeDi3V1+rL&#10;KkhYjuZoTm+TXnfFU5GX9/HzrNTjfMo3IAJN4T/81y61gpdVmsLvm/gE5O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XqL0xQAAAN0AAAAPAAAAAAAAAAAAAAAAAJgCAABkcnMv&#10;ZG93bnJldi54bWxQSwUGAAAAAAQABAD1AAAAigMAAAAA&#10;" path="m,l6480001,r,9525l,9525,,e" fillcolor="#ccc" stroked="f" strokeweight="0">
                  <v:stroke miterlimit="83231f" joinstyle="miter"/>
                  <v:path arrowok="t" textboxrect="0,0,6480001,9525"/>
                </v:shape>
                <w10:anchorlock/>
              </v:group>
            </w:pict>
          </mc:Fallback>
        </mc:AlternateContent>
      </w:r>
    </w:p>
    <w:p w:rsidR="002B7CC0" w:rsidRDefault="00C95EF7">
      <w:pPr>
        <w:spacing w:after="238" w:line="246" w:lineRule="auto"/>
        <w:ind w:right="-15"/>
        <w:jc w:val="left"/>
      </w:pPr>
      <w:r>
        <w:rPr>
          <w:b/>
        </w:rPr>
        <w:t>Research Design</w:t>
      </w:r>
    </w:p>
    <w:p w:rsidR="002B7CC0" w:rsidRDefault="00C95EF7">
      <w:pPr>
        <w:spacing w:after="388"/>
        <w:ind w:left="-15" w:firstLine="720"/>
      </w:pPr>
      <w:r>
        <w:t xml:space="preserve">This study followed a qualitative descriptive phenomenological research design utilizing thematic analysis according to the framework established by Braun and Clarke (2006) as the primary method for analyzing qualitative data. Phenomenological research aims to explore and understand the lived experiences of individuals from their own first-person perspectives, prioritizing their subjective realities and analyzing how they construct meaning through daily professional encounters. Braun and Clarke’s method was selected because it provides a highly systematic, clear, and rigorous analytic framework that allows the researcher to remain deeply grounded in the participants' raw narratives while offering excellent analytic flexibility and operational clarity. The analysis progressively synthesized salient statements and meaning units into broader categories and unified thematic structures, avoiding the procedural over-complexity of alternative qualitative methodologies. </w:t>
      </w:r>
    </w:p>
    <w:p w:rsidR="002B7CC0" w:rsidRDefault="00C95EF7">
      <w:pPr>
        <w:spacing w:after="238" w:line="246" w:lineRule="auto"/>
        <w:ind w:right="-15"/>
        <w:jc w:val="left"/>
      </w:pPr>
      <w:r>
        <w:rPr>
          <w:b/>
        </w:rPr>
        <w:t>Research Locale and Sampling Technique</w:t>
      </w:r>
    </w:p>
    <w:p w:rsidR="002B7CC0" w:rsidRDefault="00C95EF7">
      <w:pPr>
        <w:ind w:left="-15" w:firstLine="720"/>
      </w:pPr>
      <w:r>
        <w:t xml:space="preserve">The inquiry was formally conducted across selected public secondary schools within the Santa Cruz District of Marinduque, Philippines. This specific geographic locale was chosen because a significant cluster of CTPE </w:t>
      </w:r>
      <w:r>
        <w:lastRenderedPageBreak/>
        <w:t xml:space="preserve">graduates are currently engaged as active Social Sciences instructors within the district, providing an accessible and information-rich environment. To select the key informants, the study utilized purposive sampling based on strict inclusion criteria: participants must be graduates of non-education baccalaureate degree programs, have completed the required professional education units under a certified CTP/CTPE program, passed the Licensure Examination for Teachers (LET), are presently teaching Social Science subjects within the public high school system, and possess at least three to five (3-5) years of active teaching experience. This experiential threshold ensures that the informants have progressed past the initial survival phase and possess a sufficient reservoir of classroom exposure to critically appraise their pedagogical practices and adaptive strategies. </w:t>
      </w:r>
    </w:p>
    <w:p w:rsidR="002B7CC0" w:rsidRDefault="00C95EF7">
      <w:pPr>
        <w:spacing w:after="118" w:line="240" w:lineRule="auto"/>
        <w:ind w:left="10" w:right="42"/>
        <w:jc w:val="right"/>
      </w:pPr>
      <w:r>
        <w:t>The final sample size was strictly determined by the principle of data saturation, defined as the point in</w:t>
      </w:r>
    </w:p>
    <w:p w:rsidR="002B7CC0" w:rsidRDefault="00C95EF7">
      <w:pPr>
        <w:spacing w:after="388"/>
      </w:pPr>
      <w:r>
        <w:t xml:space="preserve">qualitative data collection where no new distinct themes, codes, or structural insights emerge from additional narrative inputs. Consistent with qualitative research standards, thematic saturation was successfully achieved at eight (8) key informants (assigned participant codes P1 to P8). These respondents represented a wide array of diverse non-educational undergraduate disciplines, including Political Science, Business Administration, Information Technology, Food Technology, Computer Science, Hotel and Restaurant Management, and Electrical Technology, thereby providing a shared experiential foundation of transitioning into public school classrooms via the alternative CTPE pathway. </w:t>
      </w:r>
    </w:p>
    <w:p w:rsidR="002B7CC0" w:rsidRDefault="00C95EF7">
      <w:pPr>
        <w:spacing w:after="238" w:line="246" w:lineRule="auto"/>
        <w:ind w:right="-15"/>
        <w:jc w:val="left"/>
      </w:pPr>
      <w:r>
        <w:rPr>
          <w:b/>
        </w:rPr>
        <w:t>Instrumentation and Data Gathering Procedure</w:t>
      </w:r>
    </w:p>
    <w:p w:rsidR="002B7CC0" w:rsidRDefault="00C95EF7">
      <w:pPr>
        <w:spacing w:after="118" w:line="240" w:lineRule="auto"/>
        <w:ind w:left="10" w:right="42"/>
        <w:jc w:val="right"/>
      </w:pPr>
      <w:r>
        <w:t>The primary research instrument deployed was a semi-structured interview guide constructed by the</w:t>
      </w:r>
    </w:p>
    <w:p w:rsidR="002B7CC0" w:rsidRDefault="00C95EF7">
      <w:r>
        <w:t xml:space="preserve">researcher and subjected to rigorous face and content validation by a specialized panel consisting of veteran Social Sciences educators, a qualitative methodology expert, and master teachers. Following validation, a pilot interview was conducted with non-participant teachers to refine question sequencing and eliminate operational ambiguity. To ensure high credibility, dependability, and confirmability, the study implemented a robust strategy of methodological triangulation. Data collection comprised extended individual semi-structured interviews, supplementary focus group discussions (FGD), systematic classroom observations focusing on classroom routines and instructional delivery, and the evaluation of participant reflective journals. </w:t>
      </w:r>
    </w:p>
    <w:p w:rsidR="002B7CC0" w:rsidRDefault="00C95EF7">
      <w:pPr>
        <w:spacing w:after="118" w:line="240" w:lineRule="auto"/>
        <w:ind w:left="10" w:right="42"/>
        <w:jc w:val="right"/>
      </w:pPr>
      <w:r>
        <w:t>Prior to data collection, formal administrative clearances were obtained from the Schools Division Office</w:t>
      </w:r>
    </w:p>
    <w:p w:rsidR="002B7CC0" w:rsidRDefault="00C95EF7">
      <w:pPr>
        <w:spacing w:after="501"/>
      </w:pPr>
      <w:r>
        <w:t xml:space="preserve">of Marinduque and respective school heads. Full informed consent was secured from each participant, emphasizing anonymity, confidential data storage, and the absolute right to voluntary withdrawal. All individual and group interviews were audio-recorded with explicit permission, transcribed verbatim, and subjected to detailed memberchecking where participants reviewed and validated the transcripts and preliminary thematic summaries to guarantee accurate representation of their experiential realities. Throughout the entire research lifecycle, the researcher actively practiced reflexivity, utilizing bracketing techniques and a reflexive journal to deliberately separate personal assumptions from the data analysis process. </w:t>
      </w:r>
    </w:p>
    <w:p w:rsidR="002B7CC0" w:rsidRDefault="00C95EF7">
      <w:pPr>
        <w:pStyle w:val="Heading1"/>
      </w:pPr>
      <w:r>
        <w:t>RESULTS AND DISCUSSION</w:t>
      </w:r>
    </w:p>
    <w:p w:rsidR="002B7CC0" w:rsidRDefault="00C95EF7">
      <w:pPr>
        <w:spacing w:after="255" w:line="240" w:lineRule="auto"/>
        <w:ind w:left="0" w:right="0" w:firstLine="0"/>
      </w:pPr>
      <w:r>
        <w:rPr>
          <w:rFonts w:ascii="Calibri" w:eastAsia="Calibri" w:hAnsi="Calibri" w:cs="Calibri"/>
          <w:noProof/>
        </w:rPr>
        <mc:AlternateContent>
          <mc:Choice Requires="wpg">
            <w:drawing>
              <wp:inline distT="0" distB="0" distL="0" distR="0">
                <wp:extent cx="6480001" cy="9525"/>
                <wp:effectExtent l="0" t="0" r="0" b="0"/>
                <wp:docPr id="6051" name="Group 6051"/>
                <wp:cNvGraphicFramePr/>
                <a:graphic xmlns:a="http://schemas.openxmlformats.org/drawingml/2006/main">
                  <a:graphicData uri="http://schemas.microsoft.com/office/word/2010/wordprocessingGroup">
                    <wpg:wgp>
                      <wpg:cNvGrpSpPr/>
                      <wpg:grpSpPr>
                        <a:xfrm>
                          <a:off x="0" y="0"/>
                          <a:ext cx="6480001" cy="9525"/>
                          <a:chOff x="0" y="0"/>
                          <a:chExt cx="6480001" cy="9525"/>
                        </a:xfrm>
                      </wpg:grpSpPr>
                      <wps:wsp>
                        <wps:cNvPr id="7623" name="Shape 7623"/>
                        <wps:cNvSpPr/>
                        <wps:spPr>
                          <a:xfrm>
                            <a:off x="0" y="0"/>
                            <a:ext cx="6480001" cy="9525"/>
                          </a:xfrm>
                          <a:custGeom>
                            <a:avLst/>
                            <a:gdLst/>
                            <a:ahLst/>
                            <a:cxnLst/>
                            <a:rect l="0" t="0" r="0" b="0"/>
                            <a:pathLst>
                              <a:path w="6480001" h="9525">
                                <a:moveTo>
                                  <a:pt x="0" y="0"/>
                                </a:moveTo>
                                <a:lnTo>
                                  <a:pt x="6480001" y="0"/>
                                </a:lnTo>
                                <a:lnTo>
                                  <a:pt x="6480001" y="9525"/>
                                </a:lnTo>
                                <a:lnTo>
                                  <a:pt x="0" y="9525"/>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inline>
            </w:drawing>
          </mc:Choice>
          <mc:Fallback>
            <w:pict>
              <v:group w14:anchorId="44AB4DE6" id="Group 6051" o:spid="_x0000_s1026" style="width:510.25pt;height:.75pt;mso-position-horizontal-relative:char;mso-position-vertical-relative:lin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">
                <v:shape id="Shape 7623" o:spid="_x0000_s1027" style="position:absolute;width:64800;height:95;visibility:visible;mso-wrap-style:square;v-text-anchor:top" coordsize="6480001,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IHb8YA&#10;AADdAAAADwAAAGRycy9kb3ducmV2LnhtbESPQWvCQBSE7wX/w/KEXopumoKV6Cqhoa3XagWPj+wz&#10;Wcy+DdltEv313ULB4zAz3zDr7Wgb0VPnjWMFz/MEBHHptOFKwffhfbYE4QOyxsYxKbiSh+1m8rDG&#10;TLuBv6jfh0pECPsMFdQhtJmUvqzJop+7ljh6Z9dZDFF2ldQdDhFuG5kmyUJaNBwXamzprabysv+x&#10;ChKWvfk0h49RL5viqch3t/54UupxOuYrEIHGcA//t3dawesifYG/N/EJ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IHb8YAAADdAAAADwAAAAAAAAAAAAAAAACYAgAAZHJz&#10;L2Rvd25yZXYueG1sUEsFBgAAAAAEAAQA9QAAAIsDAAAAAA==&#10;" path="m,l6480001,r,9525l,9525,,e" fillcolor="#ccc" stroked="f" strokeweight="0">
                  <v:stroke miterlimit="83231f" joinstyle="miter"/>
                  <v:path arrowok="t" textboxrect="0,0,6480001,9525"/>
                </v:shape>
                <w10:anchorlock/>
              </v:group>
            </w:pict>
          </mc:Fallback>
        </mc:AlternateContent>
      </w:r>
    </w:p>
    <w:p w:rsidR="002B7CC0" w:rsidRDefault="00C95EF7">
      <w:pPr>
        <w:spacing w:after="118" w:line="240" w:lineRule="auto"/>
        <w:ind w:left="10" w:right="42"/>
        <w:jc w:val="right"/>
      </w:pPr>
      <w:r>
        <w:t>The qualitative data collected from the eight key informants were processed through iterative thematic</w:t>
      </w:r>
    </w:p>
    <w:p w:rsidR="002B7CC0" w:rsidRDefault="00C95EF7">
      <w:pPr>
        <w:spacing w:after="0"/>
      </w:pPr>
      <w:r>
        <w:t xml:space="preserve">coding, moving back and forth between isolated textual segments and the holistic lifeworld of the participants, mirroring the interpretive logic of the hermeneutic circle. The thematic configuration revealed a comprehensive </w:t>
      </w:r>
      <w:r>
        <w:lastRenderedPageBreak/>
        <w:t xml:space="preserve">portrait of the professional trajectories of CTPE graduates teaching Social Sciences, categorized into distinct thematic areas corresponding to their lived experiences, pedagogical challenges, and engineered coping adaptations. </w:t>
      </w:r>
    </w:p>
    <w:p w:rsidR="008C7883" w:rsidRDefault="008C7883">
      <w:pPr>
        <w:spacing w:after="0"/>
      </w:pPr>
    </w:p>
    <w:p w:rsidR="002B7CC0" w:rsidRDefault="00C95EF7">
      <w:pPr>
        <w:spacing w:after="238" w:line="246" w:lineRule="auto"/>
        <w:ind w:right="-15"/>
        <w:jc w:val="left"/>
      </w:pPr>
      <w:r>
        <w:rPr>
          <w:b/>
        </w:rPr>
        <w:t>1. Lived Experiences of CTPE Graduates in Teaching Social Sciences</w:t>
      </w:r>
    </w:p>
    <w:p w:rsidR="002B7CC0" w:rsidRDefault="00C95EF7">
      <w:r>
        <w:t xml:space="preserve">The narrative accounts of the participants regarding their core experiential realities clustered into three major subthemes detailing their roles, emotional progressions, and the unique assets brought by their non-education backgrounds. </w:t>
      </w:r>
    </w:p>
    <w:p w:rsidR="002B7CC0" w:rsidRDefault="00C95EF7">
      <w:pPr>
        <w:spacing w:after="208" w:line="296" w:lineRule="auto"/>
        <w:ind w:right="-15"/>
        <w:jc w:val="left"/>
      </w:pPr>
      <w:r>
        <w:rPr>
          <w:b/>
          <w:i/>
        </w:rPr>
        <w:t>Theme 1A: Transforming Teaching Roles and Responsibilities</w:t>
      </w:r>
    </w:p>
    <w:p w:rsidR="002B7CC0" w:rsidRDefault="00C95EF7">
      <w:pPr>
        <w:spacing w:after="118" w:line="240" w:lineRule="auto"/>
        <w:ind w:left="730"/>
      </w:pPr>
      <w:r>
        <w:t>The participants strongly emphasized that their professional function extends far beyond mere content</w:t>
      </w:r>
    </w:p>
    <w:p w:rsidR="002B7CC0" w:rsidRDefault="00C95EF7">
      <w:r>
        <w:t xml:space="preserve">delivery or rote lesson execution; they view their role as a transformative agency centered on values formation, critical inquiry, and civic enculturation. As Participant 1 reflected: </w:t>
      </w:r>
    </w:p>
    <w:p w:rsidR="002B7CC0" w:rsidRDefault="00C95EF7">
      <w:pPr>
        <w:spacing w:after="284" w:line="285" w:lineRule="auto"/>
        <w:ind w:left="715" w:right="-15"/>
      </w:pPr>
      <w:r>
        <w:rPr>
          <w:i/>
          <w:sz w:val="21"/>
        </w:rPr>
        <w:t xml:space="preserve">“Bilang Social Science teacher, siyempre po 'yung basic responsibility natin is gabayan 'yung ating mga magaaral upang matutunan ang kasaysayan… matutunan din po nila 'yung ating pamahalaan, mga kultura, tradisyon, at higit sa lahat po ay 'yung mga isyung panlipunan.” (P1) </w:t>
      </w:r>
    </w:p>
    <w:p w:rsidR="002B7CC0" w:rsidRDefault="00C95EF7">
      <w:pPr>
        <w:spacing w:after="118" w:line="240" w:lineRule="auto"/>
        <w:ind w:left="730"/>
      </w:pPr>
      <w:r>
        <w:t>This perspective was closely reinforced by Participant 4, who stated that their primary duty centers on</w:t>
      </w:r>
    </w:p>
    <w:p w:rsidR="002B7CC0" w:rsidRDefault="00C95EF7">
      <w:r>
        <w:t>cultivating an awareness of society, history, and culture. Participant 2 further illustrated this instructional philosophy by describing teaching as an interactive process of concept clarification and real-world critical analysis:</w:t>
      </w:r>
    </w:p>
    <w:p w:rsidR="002B7CC0" w:rsidRDefault="00C95EF7">
      <w:pPr>
        <w:spacing w:after="284" w:line="285" w:lineRule="auto"/>
        <w:ind w:left="715" w:right="-15"/>
      </w:pPr>
      <w:r>
        <w:rPr>
          <w:i/>
          <w:sz w:val="21"/>
        </w:rPr>
        <w:t xml:space="preserve">“So, yung responsibility ko ay to explain the concepts clearly… guide the class discussion and help the student think critically about the real world issues.” (P2) </w:t>
      </w:r>
    </w:p>
    <w:p w:rsidR="002B7CC0" w:rsidRDefault="00C95EF7">
      <w:pPr>
        <w:spacing w:after="118" w:line="240" w:lineRule="auto"/>
        <w:ind w:left="730"/>
      </w:pPr>
      <w:r>
        <w:t>These statements indicate that despite their non-traditional entry, CTPE graduates form a deep pedagogical</w:t>
      </w:r>
    </w:p>
    <w:p w:rsidR="002B7CC0" w:rsidRDefault="00C95EF7">
      <w:r>
        <w:t xml:space="preserve">identity that treats Social Sciences instruction as a mechanism for developing socially conscious individuals ready for active citizenship, aligning with foundational goals of civic consciousness highlighted in national curriculum guidelines. </w:t>
      </w:r>
    </w:p>
    <w:p w:rsidR="002B7CC0" w:rsidRDefault="00C95EF7">
      <w:pPr>
        <w:spacing w:after="208" w:line="296" w:lineRule="auto"/>
        <w:ind w:right="-15"/>
        <w:jc w:val="left"/>
      </w:pPr>
      <w:r>
        <w:rPr>
          <w:b/>
          <w:i/>
        </w:rPr>
        <w:t>Theme 1B: The Emotional Spectrum and "Reality Shock"</w:t>
      </w:r>
    </w:p>
    <w:p w:rsidR="002B7CC0" w:rsidRDefault="00C95EF7">
      <w:pPr>
        <w:spacing w:after="118" w:line="240" w:lineRule="auto"/>
        <w:ind w:left="730"/>
      </w:pPr>
      <w:r>
        <w:t>A critical pattern across all participant accounts was the intense psychological toll and emotional instability</w:t>
      </w:r>
    </w:p>
    <w:p w:rsidR="002B7CC0" w:rsidRDefault="00C95EF7">
      <w:r>
        <w:t xml:space="preserve">experienced during the initial phase of their teaching careers. Lacking extended pre-service classroom exposure, graduates encountered severe emotional strain, characterized in literature as "reality shock" (Flores, 2016). Participant 1 described the raw apprehension of their first month: </w:t>
      </w:r>
    </w:p>
    <w:p w:rsidR="002B7CC0" w:rsidRDefault="00C95EF7">
      <w:pPr>
        <w:spacing w:after="284" w:line="285" w:lineRule="auto"/>
        <w:ind w:left="715" w:right="-15"/>
      </w:pPr>
      <w:r>
        <w:rPr>
          <w:i/>
          <w:sz w:val="21"/>
        </w:rPr>
        <w:t xml:space="preserve">“First month po talaga gusto ko ng umayaw… takot, nerbyos, kaba kase binabasa mo pa lang yung ituturo mo nararattle ka na.” (P1) </w:t>
      </w:r>
    </w:p>
    <w:p w:rsidR="002B7CC0" w:rsidRDefault="00C95EF7">
      <w:pPr>
        <w:ind w:left="730"/>
      </w:pPr>
      <w:r>
        <w:t xml:space="preserve">Participant 2 recalled the deep situational stress caused by lesson preparation demands: </w:t>
      </w:r>
    </w:p>
    <w:p w:rsidR="002B7CC0" w:rsidRDefault="00C95EF7">
      <w:pPr>
        <w:spacing w:after="284" w:line="285" w:lineRule="auto"/>
        <w:ind w:left="715" w:right="-15"/>
        <w:rPr>
          <w:i/>
          <w:sz w:val="21"/>
        </w:rPr>
      </w:pPr>
      <w:r>
        <w:rPr>
          <w:i/>
          <w:sz w:val="21"/>
        </w:rPr>
        <w:t xml:space="preserve">“Pressure na pressure ako… nandyan ang pag-iyak ko gabi-gabi, pagpupuyat ko para sa lesson plan na di ko alam kung pano gagawin.” (P2) </w:t>
      </w:r>
    </w:p>
    <w:p w:rsidR="008C7883" w:rsidRDefault="008C7883">
      <w:pPr>
        <w:spacing w:after="284" w:line="285" w:lineRule="auto"/>
        <w:ind w:left="715" w:right="-15"/>
      </w:pPr>
    </w:p>
    <w:p w:rsidR="002B7CC0" w:rsidRDefault="00C95EF7">
      <w:pPr>
        <w:ind w:left="730"/>
      </w:pPr>
      <w:r>
        <w:lastRenderedPageBreak/>
        <w:t xml:space="preserve">Participant 6 similarly admitted feeling completely overwhelmed and on the verge of resigning: </w:t>
      </w:r>
    </w:p>
    <w:p w:rsidR="002B7CC0" w:rsidRDefault="00C95EF7">
      <w:pPr>
        <w:spacing w:after="91" w:line="285" w:lineRule="auto"/>
        <w:ind w:left="715" w:right="-15"/>
      </w:pPr>
      <w:r>
        <w:rPr>
          <w:i/>
          <w:sz w:val="21"/>
        </w:rPr>
        <w:t>“Dito tlaga yung ako ay pasuko na... talagang akoy nagaiiyak … parang hindi ko tlaga gusto itong field na ito”</w:t>
      </w:r>
    </w:p>
    <w:p w:rsidR="002B7CC0" w:rsidRDefault="00C95EF7">
      <w:pPr>
        <w:spacing w:after="284" w:line="285" w:lineRule="auto"/>
        <w:ind w:left="715" w:right="-15"/>
      </w:pPr>
      <w:r>
        <w:rPr>
          <w:i/>
          <w:sz w:val="21"/>
        </w:rPr>
        <w:t xml:space="preserve">(P6) </w:t>
      </w:r>
    </w:p>
    <w:p w:rsidR="002B7CC0" w:rsidRDefault="00C95EF7">
      <w:pPr>
        <w:spacing w:after="118" w:line="240" w:lineRule="auto"/>
        <w:ind w:left="730"/>
      </w:pPr>
      <w:r>
        <w:t>However, the findings also revealed a positive emotional evolution. As the participants accumulated</w:t>
      </w:r>
    </w:p>
    <w:p w:rsidR="002B7CC0" w:rsidRDefault="00C95EF7">
      <w:r>
        <w:t xml:space="preserve">classroom hours, their initial feelings of fear and self-doubt gradually shifted toward professional fulfillment, motivation, and competence. Participant 5 summarized this transition: “As time goes naisip ko din na nakadjust na ako and ngayon okey na…. while teaching I am learning and growing.” This supports the perspective that earlycareer emotional turmoil can be transformed into professional resilience through sustained practice and experiential adaptation. </w:t>
      </w:r>
    </w:p>
    <w:p w:rsidR="002B7CC0" w:rsidRDefault="00C95EF7">
      <w:pPr>
        <w:spacing w:after="208" w:line="296" w:lineRule="auto"/>
        <w:ind w:right="-15"/>
        <w:jc w:val="left"/>
      </w:pPr>
      <w:r>
        <w:rPr>
          <w:b/>
          <w:i/>
        </w:rPr>
        <w:t>Theme 1C: Disciplinary Assets and Technology Integration</w:t>
      </w:r>
    </w:p>
    <w:p w:rsidR="002B7CC0" w:rsidRDefault="00C95EF7">
      <w:pPr>
        <w:spacing w:after="118" w:line="240" w:lineRule="auto"/>
        <w:ind w:left="730"/>
      </w:pPr>
      <w:r>
        <w:t>A major professional strength identified in the study was the positive impact of the participants’ non-</w:t>
      </w:r>
    </w:p>
    <w:p w:rsidR="002B7CC0" w:rsidRDefault="00C95EF7">
      <w:r>
        <w:t xml:space="preserve">education industry backgrounds. Rather than viewing their past careers as a hindrance, participants utilized their industry exposure as an instructional resource to provide real-world examples. Participant 6 explained: </w:t>
      </w:r>
    </w:p>
    <w:p w:rsidR="002B7CC0" w:rsidRDefault="00C95EF7">
      <w:pPr>
        <w:spacing w:after="284" w:line="285" w:lineRule="auto"/>
        <w:ind w:left="715" w:right="-15"/>
      </w:pPr>
      <w:r>
        <w:rPr>
          <w:i/>
          <w:sz w:val="21"/>
        </w:rPr>
        <w:t xml:space="preserve">“Mabilis akong makapagbigay sa kanila ng mga examples kase na-expose ako sa industry kaya naia-apply ko sa kanila.” (P6) </w:t>
      </w:r>
    </w:p>
    <w:p w:rsidR="002B7CC0" w:rsidRDefault="00C95EF7">
      <w:pPr>
        <w:ind w:left="-15" w:firstLine="720"/>
      </w:pPr>
      <w:r>
        <w:t xml:space="preserve">Participant 2 added that using examples directly from previous workplaces and markets made abstract Social Science concepts highly practical and relatable for students. Furthermore, participants demonstrated high proficiency in integrating Information and Communication Technology (ICT) and gamification tools into their instruction, matching the contemporary TPACK framework requirements. Participant 8 detailed their digital strategies: </w:t>
      </w:r>
    </w:p>
    <w:p w:rsidR="002B7CC0" w:rsidRDefault="00C95EF7">
      <w:pPr>
        <w:spacing w:after="377" w:line="285" w:lineRule="auto"/>
        <w:ind w:left="715" w:right="-15"/>
      </w:pPr>
      <w:r>
        <w:rPr>
          <w:i/>
          <w:sz w:val="21"/>
        </w:rPr>
        <w:t xml:space="preserve">“Gumagawa ng mga integrated activities using ICT… google form, mentimeter kasi lahat ng students ay gumagamit ng cellphone.” (P8) </w:t>
      </w:r>
    </w:p>
    <w:p w:rsidR="002B7CC0" w:rsidRDefault="00C95EF7">
      <w:pPr>
        <w:spacing w:after="238" w:line="246" w:lineRule="auto"/>
        <w:ind w:right="-15"/>
        <w:jc w:val="left"/>
      </w:pPr>
      <w:r>
        <w:rPr>
          <w:b/>
        </w:rPr>
        <w:t>2. Challenges Encountered by CTPE Graduates in Teaching Social Sciences</w:t>
      </w:r>
    </w:p>
    <w:p w:rsidR="002B7CC0" w:rsidRDefault="00C95EF7">
      <w:r>
        <w:t xml:space="preserve">The second major objective of the study sought to uncover the specific operational and systemic difficulties faced by alternative-route educators, which organized into four structural challenge areas. </w:t>
      </w:r>
    </w:p>
    <w:p w:rsidR="002B7CC0" w:rsidRDefault="00C95EF7">
      <w:pPr>
        <w:spacing w:after="208" w:line="296" w:lineRule="auto"/>
        <w:ind w:right="-15"/>
        <w:jc w:val="left"/>
      </w:pPr>
      <w:r>
        <w:rPr>
          <w:b/>
          <w:i/>
        </w:rPr>
        <w:t>Theme 2A: Pedagogical Gaps in Instruction and Assessment</w:t>
      </w:r>
    </w:p>
    <w:p w:rsidR="002B7CC0" w:rsidRDefault="00C95EF7">
      <w:pPr>
        <w:spacing w:after="118" w:line="240" w:lineRule="auto"/>
        <w:ind w:left="730"/>
      </w:pPr>
      <w:r>
        <w:t>The primary hurdle identified by the informants was the rigorous demand of daily instructional design,</w:t>
      </w:r>
    </w:p>
    <w:p w:rsidR="002B7CC0" w:rsidRDefault="00C95EF7">
      <w:r>
        <w:t xml:space="preserve">particularly lesson planning and structural alignment. Lacking an in-depth four-year foundation in educational theory, initial lesson construction was described as mechanical and overly restrictive. Participant 1 recollected: </w:t>
      </w:r>
    </w:p>
    <w:p w:rsidR="002B7CC0" w:rsidRDefault="00C95EF7">
      <w:pPr>
        <w:spacing w:after="284" w:line="285" w:lineRule="auto"/>
        <w:ind w:left="715" w:right="-15"/>
      </w:pPr>
      <w:r>
        <w:rPr>
          <w:i/>
          <w:sz w:val="21"/>
        </w:rPr>
        <w:t xml:space="preserve">“Lesson Planning talaga, Ma’am… hindi ko po talaga alam 'yung idinedemo ko… parang isinaulo ko lahat scripted po baga…” (P1) </w:t>
      </w:r>
    </w:p>
    <w:p w:rsidR="002B7CC0" w:rsidRDefault="00C95EF7">
      <w:pPr>
        <w:spacing w:after="118" w:line="240" w:lineRule="auto"/>
        <w:ind w:left="730"/>
      </w:pPr>
      <w:r>
        <w:t>Participant 5 explicitly connected this struggle to their non-education background: “Lalo na ako ay hindi</w:t>
      </w:r>
    </w:p>
    <w:p w:rsidR="002B7CC0" w:rsidRDefault="00C95EF7">
      <w:r>
        <w:lastRenderedPageBreak/>
        <w:t xml:space="preserve">education graduate kaya kailangan ko ng time sa pagprepare n lesson plan at powerpoint.” Participants 2 and 3 further explained that ensuring proper pacing, maintaining a logical instructional flow, and designing activities that successfully engage students consume a disproportionate amount of their daily time. </w:t>
      </w:r>
    </w:p>
    <w:p w:rsidR="002B7CC0" w:rsidRDefault="00C95EF7">
      <w:pPr>
        <w:spacing w:after="118" w:line="240" w:lineRule="auto"/>
        <w:ind w:left="730"/>
      </w:pPr>
      <w:r>
        <w:t>In the domain of evaluation, participants faced significant challenges designing valid assessment tools that</w:t>
      </w:r>
    </w:p>
    <w:p w:rsidR="002B7CC0" w:rsidRDefault="00C95EF7">
      <w:r>
        <w:t xml:space="preserve">align with DepEd standards. To handle varying learning speeds, they often shifted toward performance-based realworld applications rather than traditional theoretical testing. Participant 1 noted: “More on application… doon ko makikita kung paano ia-apply ng bata yung natutunan niya in real-life situation.” However, external factors such as rampant student absenteeism severely disrupted evaluation consistency, as Participant 3 expressed: “Mahirap magbigay ng assessment kapag ang bata ay pala-absent.” </w:t>
      </w:r>
    </w:p>
    <w:p w:rsidR="002B7CC0" w:rsidRDefault="00C95EF7">
      <w:pPr>
        <w:spacing w:after="208" w:line="296" w:lineRule="auto"/>
        <w:ind w:right="-15"/>
        <w:jc w:val="left"/>
      </w:pPr>
      <w:r>
        <w:rPr>
          <w:b/>
          <w:i/>
        </w:rPr>
        <w:t>Theme 2B: Classroom Management and Student Behavior</w:t>
      </w:r>
    </w:p>
    <w:p w:rsidR="002B7CC0" w:rsidRDefault="00C95EF7">
      <w:pPr>
        <w:spacing w:after="118" w:line="240" w:lineRule="auto"/>
        <w:ind w:left="730"/>
      </w:pPr>
      <w:r>
        <w:t>Maintaining classroom order and handling diverse behavioral patterns presented an acute layer of</w:t>
      </w:r>
    </w:p>
    <w:p w:rsidR="002B7CC0" w:rsidRDefault="00C95EF7">
      <w:pPr>
        <w:spacing w:after="0" w:line="240" w:lineRule="auto"/>
      </w:pPr>
      <w:r>
        <w:t>complexity for the informants, who received minimal practical simulation during their accelerated training.</w:t>
      </w:r>
    </w:p>
    <w:p w:rsidR="002B7CC0" w:rsidRDefault="00C95EF7">
      <w:r>
        <w:t xml:space="preserve">Participant 3 shared the challenge of daily adaptation: “Iba iba ang ugali iba iba ang kanilang learning… kung paano pag-adjust.” Participant 1 expanded on the necessity of developing a flexible professional persona to manage a room of heterogeneous learners: </w:t>
      </w:r>
    </w:p>
    <w:p w:rsidR="002B7CC0" w:rsidRDefault="00C95EF7">
      <w:pPr>
        <w:spacing w:after="284" w:line="285" w:lineRule="auto"/>
        <w:ind w:left="715" w:right="-15"/>
      </w:pPr>
      <w:r>
        <w:rPr>
          <w:i/>
          <w:sz w:val="21"/>
        </w:rPr>
        <w:t xml:space="preserve">“Sabi nila ay iba-iba 'yan ng ugali. So dapat iba-iba ka rin—kung may sampung estudyante, dapat may sampung pagkatao ka ring haharap doon sa sampung estudyante mong 'yun.” (P1) </w:t>
      </w:r>
    </w:p>
    <w:p w:rsidR="002B7CC0" w:rsidRDefault="00C95EF7">
      <w:pPr>
        <w:spacing w:after="118" w:line="240" w:lineRule="auto"/>
        <w:ind w:left="730"/>
      </w:pPr>
      <w:r>
        <w:t>Lacking extensive pre-service practice teaching, these graduates frequently found themselves unprepared</w:t>
      </w:r>
    </w:p>
    <w:p w:rsidR="002B7CC0" w:rsidRDefault="00C95EF7">
      <w:r>
        <w:t xml:space="preserve">for the chaotic classroom environments of large public secondary schools, matching the findings of Evertson and Weinstein (2018) regarding alternative-route certification struggles. </w:t>
      </w:r>
    </w:p>
    <w:p w:rsidR="002B7CC0" w:rsidRDefault="00C95EF7">
      <w:pPr>
        <w:spacing w:after="208" w:line="296" w:lineRule="auto"/>
        <w:ind w:right="-15"/>
        <w:jc w:val="left"/>
      </w:pPr>
      <w:r>
        <w:rPr>
          <w:b/>
          <w:i/>
        </w:rPr>
        <w:t>Theme 2C: Learner Diversity and Differentiated Instruction</w:t>
      </w:r>
    </w:p>
    <w:p w:rsidR="002B7CC0" w:rsidRDefault="00C95EF7">
      <w:pPr>
        <w:spacing w:after="118" w:line="240" w:lineRule="auto"/>
        <w:ind w:left="730"/>
      </w:pPr>
      <w:r>
        <w:t>Managing mixed-ability public classrooms containing wide gaps in comprehension levels and learning</w:t>
      </w:r>
    </w:p>
    <w:p w:rsidR="002B7CC0" w:rsidRDefault="00C95EF7">
      <w:r>
        <w:t xml:space="preserve">speeds proved highly demanding. Participant 3 noted: “May fast learner may slow learner… kailangan mag-adjust ako.” Participant 7 confirmed that balancing a single instructional sequence for students who understand instantly and those who require repeated, simplified explanations creates an instructional design tension. This accentuates the skill gaps CTPE graduates face in executing effective differentiated instruction within large, crowded school environments (Tomlinson, 2017). </w:t>
      </w:r>
    </w:p>
    <w:p w:rsidR="002B7CC0" w:rsidRDefault="00C95EF7">
      <w:pPr>
        <w:spacing w:after="208" w:line="296" w:lineRule="auto"/>
        <w:ind w:right="-15"/>
        <w:jc w:val="left"/>
      </w:pPr>
      <w:r>
        <w:rPr>
          <w:b/>
          <w:i/>
        </w:rPr>
        <w:t>Theme 2D: Systemic, Structural, and Administrative Overload</w:t>
      </w:r>
    </w:p>
    <w:p w:rsidR="002B7CC0" w:rsidRDefault="00C95EF7">
      <w:pPr>
        <w:spacing w:after="118" w:line="240" w:lineRule="auto"/>
        <w:ind w:left="730"/>
      </w:pPr>
      <w:r>
        <w:t>Beyond classroom pedagogy, participants reported being heavily burdened by constant adjustments to</w:t>
      </w:r>
    </w:p>
    <w:p w:rsidR="002B7CC0" w:rsidRDefault="00C95EF7">
      <w:r>
        <w:t xml:space="preserve">changing educational policies and curriculum requirements. Participant 4 expressed frustration over curriculum alignment pressures: “Kailangan ay tugma or align yung lesson plan doon sa curriculum na hinihingi ng DepEd.” Another participant colorfully critiqued the frequency of institutional policy shifts: “Parang baga lagi tayong eksperimento… gawa sila nang gawa ng bago.” </w:t>
      </w:r>
    </w:p>
    <w:p w:rsidR="002B7CC0" w:rsidRDefault="00C95EF7">
      <w:pPr>
        <w:spacing w:after="118" w:line="240" w:lineRule="auto"/>
        <w:ind w:left="730"/>
      </w:pPr>
      <w:r>
        <w:t>This policy strain was severely exacerbated by an excessive administrative workload that diverted valuable</w:t>
      </w:r>
    </w:p>
    <w:p w:rsidR="002B7CC0" w:rsidRDefault="00C95EF7">
      <w:r>
        <w:t xml:space="preserve">time away from instructional preparation. Instructors are regularly forced to execute clerical and ancillary functions outside their teaching descriptions. Participant 1 shared their deep identity confusion: </w:t>
      </w:r>
    </w:p>
    <w:p w:rsidR="002B7CC0" w:rsidRDefault="00C95EF7">
      <w:pPr>
        <w:spacing w:after="284" w:line="285" w:lineRule="auto"/>
        <w:ind w:left="715" w:right="-15"/>
      </w:pPr>
      <w:r>
        <w:rPr>
          <w:i/>
          <w:sz w:val="21"/>
        </w:rPr>
        <w:lastRenderedPageBreak/>
        <w:t xml:space="preserve">“Hindi mo alam kung teacher ka ba o nurse, doctor… parang side line na lang 'yung pagtuturo.” (P1) </w:t>
      </w:r>
    </w:p>
    <w:p w:rsidR="002B7CC0" w:rsidRDefault="00C95EF7">
      <w:pPr>
        <w:spacing w:after="388"/>
        <w:ind w:left="-15" w:firstLine="720"/>
      </w:pPr>
      <w:r>
        <w:t xml:space="preserve">Participant 6 highlighted the strict time pressures associated with administrative reports: “Deadline agad ang mga report kahit ikaw ay nagkaklase… sabay sabay.” These findings corroborate the work of Skaalvik and Skaalvik (2018) indicating that excessive non-teaching tasks constitute a primary driver of operational stress and career burnout among public school educators. </w:t>
      </w:r>
    </w:p>
    <w:p w:rsidR="002B7CC0" w:rsidRDefault="00C95EF7">
      <w:pPr>
        <w:spacing w:after="238" w:line="246" w:lineRule="auto"/>
        <w:ind w:right="-15"/>
        <w:jc w:val="left"/>
      </w:pPr>
      <w:r>
        <w:rPr>
          <w:b/>
        </w:rPr>
        <w:t>3. Coping Mechanisms and Strategies of CTPE Graduates</w:t>
      </w:r>
    </w:p>
    <w:p w:rsidR="002B7CC0" w:rsidRDefault="00C95EF7">
      <w:r>
        <w:t xml:space="preserve">In response to the multi-layered pedagogical and institutional challenges, the key informants engineered a variety of deliberate personal, social, and professional coping mechanisms to build resilience and improve their competence. </w:t>
      </w:r>
    </w:p>
    <w:p w:rsidR="002B7CC0" w:rsidRDefault="00C95EF7">
      <w:pPr>
        <w:spacing w:after="208" w:line="296" w:lineRule="auto"/>
        <w:ind w:right="-15"/>
        <w:jc w:val="left"/>
      </w:pPr>
      <w:r>
        <w:rPr>
          <w:b/>
          <w:i/>
        </w:rPr>
        <w:t>Theme 3A: Social Support Systems and Peer Collaboration</w:t>
      </w:r>
    </w:p>
    <w:p w:rsidR="002B7CC0" w:rsidRDefault="00C95EF7">
      <w:pPr>
        <w:spacing w:after="0"/>
        <w:ind w:left="-15" w:firstLine="720"/>
      </w:pPr>
      <w:r>
        <w:t xml:space="preserve">The most critical coping strategy utilized by alternative-route teachers was a heavy reliance on collegial collaboration, informal mentoring, and peer support networks. Recognizing their initial pedagogical gaps, participants actively sought guidance from veteran teachers. Participant 1 explained: </w:t>
      </w:r>
    </w:p>
    <w:p w:rsidR="002B7CC0" w:rsidRDefault="00C95EF7">
      <w:pPr>
        <w:spacing w:after="284" w:line="285" w:lineRule="auto"/>
        <w:ind w:left="715" w:right="-15"/>
      </w:pPr>
      <w:r>
        <w:rPr>
          <w:i/>
          <w:sz w:val="21"/>
        </w:rPr>
        <w:t xml:space="preserve">“Wag mahihiyang magtanong... sa mga kasamahan ko po ako nagtatanong... sa co-teachers sila yung una kong napagtanungan, nahingi ng mga kopya.” (P1) </w:t>
      </w:r>
    </w:p>
    <w:p w:rsidR="002B7CC0" w:rsidRDefault="00C95EF7">
      <w:pPr>
        <w:spacing w:after="118" w:line="240" w:lineRule="auto"/>
        <w:ind w:left="730"/>
      </w:pPr>
      <w:r>
        <w:t>Participant 2 similarly sought practical advice from coworkers to streamline teaching delivery. In many</w:t>
      </w:r>
    </w:p>
    <w:p w:rsidR="002B7CC0" w:rsidRDefault="00C95EF7">
      <w:r>
        <w:t xml:space="preserve">instances, this collegial network functioned as a structured workspace for sharing lesson templates and providing instructional coaching. Participant 6 recounted: </w:t>
      </w:r>
    </w:p>
    <w:p w:rsidR="002B7CC0" w:rsidRDefault="00C95EF7">
      <w:pPr>
        <w:spacing w:after="284" w:line="285" w:lineRule="auto"/>
        <w:ind w:left="715" w:right="-15"/>
      </w:pPr>
      <w:r>
        <w:rPr>
          <w:i/>
          <w:sz w:val="21"/>
        </w:rPr>
        <w:t xml:space="preserve">“Napapabilis ang aking gawain binibigyan nila ako ng template, tinuturuan ko paano gawin... coaching and mentoring.” (P6) </w:t>
      </w:r>
    </w:p>
    <w:p w:rsidR="002B7CC0" w:rsidRDefault="00C95EF7">
      <w:pPr>
        <w:spacing w:after="118" w:line="240" w:lineRule="auto"/>
        <w:ind w:left="730"/>
      </w:pPr>
      <w:r>
        <w:t>Additionally, these peer networks provided essential emotional reassurance during periods of severe stress,</w:t>
      </w:r>
    </w:p>
    <w:p w:rsidR="002B7CC0" w:rsidRDefault="00C95EF7">
      <w:r>
        <w:t xml:space="preserve">as a third informant noted that co-teachers were vital in "cheering up" when they reached a stage of wanting to give up. This underscores the value of teacher professional learning communities in mitigating professional isolation (Vangrieken et al., 2017). </w:t>
      </w:r>
    </w:p>
    <w:p w:rsidR="002B7CC0" w:rsidRDefault="00C95EF7">
      <w:pPr>
        <w:spacing w:after="208" w:line="296" w:lineRule="auto"/>
        <w:ind w:right="-15"/>
        <w:jc w:val="left"/>
      </w:pPr>
      <w:r>
        <w:rPr>
          <w:b/>
          <w:i/>
        </w:rPr>
        <w:t>Theme 3B: Self-Management, Time Allocation, and Well-being</w:t>
      </w:r>
    </w:p>
    <w:p w:rsidR="002B7CC0" w:rsidRDefault="00C95EF7">
      <w:pPr>
        <w:spacing w:after="118" w:line="240" w:lineRule="auto"/>
        <w:ind w:left="730"/>
      </w:pPr>
      <w:r>
        <w:t>To survive the double pressures of instructional planning and clerical administrative duties, participants</w:t>
      </w:r>
    </w:p>
    <w:p w:rsidR="002B7CC0" w:rsidRDefault="00C95EF7">
      <w:r>
        <w:t xml:space="preserve">developed systematic personal time-management protocols. Participant 1 prioritized tasks based on importance to avoid workload accumulation, coupled with a philosophical acceptance of their educational identity: “Time management po talaga… ginagawa ko po muna kung alin yung mas importante para hindi ako matambakan ng gawain. Tapos acceptance na guro ka na talaga.” Participant 7 utilized explicit weekly schedules that carved out specific blocks for personal recovery: “Weekly plan at naglalaan ng oras para sa pahinga.” Participant 8 directly connected personal rest with classroom effectiveness: “Kapag sobrang pagod na, nagpapahinga muna ako… kasi hindi rin magiging maayos ang pagtuturo kung pagod ka.” This demonstrates an acute awareness of the need to balance personal well-being against professional demands to ensure long-term retention (Gu &amp; Day, 2016). </w:t>
      </w:r>
    </w:p>
    <w:p w:rsidR="008C7883" w:rsidRDefault="008C7883"/>
    <w:p w:rsidR="002B7CC0" w:rsidRDefault="00C95EF7">
      <w:pPr>
        <w:spacing w:after="208" w:line="296" w:lineRule="auto"/>
        <w:ind w:right="-15"/>
        <w:jc w:val="left"/>
      </w:pPr>
      <w:r>
        <w:rPr>
          <w:b/>
          <w:i/>
        </w:rPr>
        <w:lastRenderedPageBreak/>
        <w:t>Theme 3C: Continuous Professional Learning and Academic Upskilling</w:t>
      </w:r>
    </w:p>
    <w:p w:rsidR="002B7CC0" w:rsidRDefault="00C95EF7">
      <w:pPr>
        <w:spacing w:after="118" w:line="240" w:lineRule="auto"/>
        <w:ind w:left="730"/>
      </w:pPr>
      <w:r>
        <w:t>Participants actively pursued formal and informal professional development channels to fill their initial</w:t>
      </w:r>
    </w:p>
    <w:p w:rsidR="002B7CC0" w:rsidRDefault="00C95EF7">
      <w:pPr>
        <w:spacing w:after="115"/>
      </w:pPr>
      <w:r>
        <w:t>pedagogical skill gaps. Rather than treating training as a mandatory compliance exercise, they viewed it as an essential tool for survival and growth. Participant 6 shared: “Nag-aattend po ako ng trainings at seminars para mas maintindihan ko kung paano magturo ng maayos.” Institutional programs such as school-based School Learning Action Cells (SLAC) and formal division-level workshops provided immediate benefits, as Participant 4 recalled.</w:t>
      </w:r>
    </w:p>
    <w:p w:rsidR="002B7CC0" w:rsidRDefault="00C95EF7">
      <w:r>
        <w:t xml:space="preserve">Key upskilling highlights included specialized external training frameworks, such as the Khan Academy and the ARAL Program (P2), as well as enrollment in formal graduate school programs, as Participant 1 noted: “Trainings, seminars and studying masters degree.” </w:t>
      </w:r>
    </w:p>
    <w:p w:rsidR="002B7CC0" w:rsidRDefault="00C95EF7">
      <w:pPr>
        <w:spacing w:after="208" w:line="296" w:lineRule="auto"/>
        <w:ind w:right="-15"/>
        <w:jc w:val="left"/>
      </w:pPr>
      <w:r>
        <w:rPr>
          <w:b/>
          <w:i/>
        </w:rPr>
        <w:t>Theme 3D: Reflective Practice and Self-Directed Research</w:t>
      </w:r>
    </w:p>
    <w:p w:rsidR="002B7CC0" w:rsidRDefault="00C95EF7">
      <w:pPr>
        <w:spacing w:after="118" w:line="240" w:lineRule="auto"/>
        <w:ind w:left="730"/>
      </w:pPr>
      <w:r>
        <w:t>The findings revealed that the capacity for deep self-reflection serves as a major driver for the development</w:t>
      </w:r>
    </w:p>
    <w:p w:rsidR="002B7CC0" w:rsidRDefault="00C95EF7">
      <w:r>
        <w:t xml:space="preserve">of instructional competence. In preparing for daily lessons, participants engaged in rigorous independent research and study before entering the classroom. Participant 7 shared: “Nagre-research ako at inaaral ko muna yung lesson bago ko ituro para mas maintindihan ko.” Participant 8 detailed their reliance on digital search engines to clarify complex social science content definitions: </w:t>
      </w:r>
    </w:p>
    <w:p w:rsidR="002B7CC0" w:rsidRDefault="00C95EF7">
      <w:pPr>
        <w:spacing w:after="0" w:line="285" w:lineRule="auto"/>
        <w:ind w:left="715" w:right="-15"/>
      </w:pPr>
      <w:r>
        <w:rPr>
          <w:i/>
          <w:sz w:val="21"/>
        </w:rPr>
        <w:t xml:space="preserve">“I try to research my lesson for that day, inaaral ko sya before ko ituro sa mga bata… I try to google para mas nauwaan ko kung may mga kailangan akong i-define or i-discuss ng mas maayos.” (P8) </w:t>
      </w:r>
    </w:p>
    <w:p w:rsidR="002B7CC0" w:rsidRDefault="00C95EF7">
      <w:pPr>
        <w:spacing w:after="118" w:line="240" w:lineRule="auto"/>
        <w:ind w:left="10" w:right="42"/>
        <w:jc w:val="right"/>
      </w:pPr>
      <w:r>
        <w:t>Crucially, this reflective stance enabled teachers to reframe classroom mistakes as constructive learning</w:t>
      </w:r>
    </w:p>
    <w:p w:rsidR="002B7CC0" w:rsidRDefault="00C95EF7">
      <w:r>
        <w:t xml:space="preserve">moments. As Participant 6 observed: “Habang tumatagal, natututo rin ako sa mga pagkakamali ko kung paano ko pa mas mapapabuti ang pagtuturo.” Through this continuous self-assessment, non-traditionally trained entrants successfully transformed themselves into highly adaptive, reflective practitioners (Larrivee, 2016). </w:t>
      </w:r>
    </w:p>
    <w:p w:rsidR="002B7CC0" w:rsidRDefault="00C95EF7">
      <w:pPr>
        <w:spacing w:after="208" w:line="296" w:lineRule="auto"/>
        <w:ind w:right="-15"/>
        <w:jc w:val="left"/>
      </w:pPr>
      <w:r>
        <w:rPr>
          <w:b/>
          <w:i/>
        </w:rPr>
        <w:t>Theme 3E: Emotional Resilience and Mindset Shifts</w:t>
      </w:r>
    </w:p>
    <w:p w:rsidR="002B7CC0" w:rsidRDefault="00C95EF7">
      <w:pPr>
        <w:spacing w:after="118" w:line="240" w:lineRule="auto"/>
        <w:ind w:left="10" w:right="42"/>
        <w:jc w:val="right"/>
      </w:pPr>
      <w:r>
        <w:t>Finally, participants engineered internal cognitive adaptations centered on maintaining a positive mindset</w:t>
      </w:r>
    </w:p>
    <w:p w:rsidR="002B7CC0" w:rsidRDefault="00C95EF7">
      <w:pPr>
        <w:spacing w:after="501"/>
      </w:pPr>
      <w:r>
        <w:t xml:space="preserve">and an acceptance of daily school difficulties. Participant 5 managed stress by reframing difficulties as natural elements of the teaching profession: “Iniisip ko na lang na dadaan din 'to… parte talaga ito ng pagiging guro.” Participant 2 summarized their integrated cognitive strategy: “Maintain a positive mindset… seek support… and make time for rest.” Through this combined application of peer collaboration, time management, academic upskilling, and psychological acceptance, CTPE graduates successfully navigated their initial pedagogical limitations to cultivate long-term instructional competence. </w:t>
      </w:r>
    </w:p>
    <w:p w:rsidR="002B7CC0" w:rsidRDefault="00C95EF7">
      <w:pPr>
        <w:pStyle w:val="Heading1"/>
      </w:pPr>
      <w:r>
        <w:t>CONCLUSION AND RECOMMENDATIONS</w:t>
      </w:r>
    </w:p>
    <w:p w:rsidR="002B7CC0" w:rsidRDefault="00C95EF7">
      <w:pPr>
        <w:spacing w:after="348" w:line="240" w:lineRule="auto"/>
        <w:ind w:left="0" w:right="0" w:firstLine="0"/>
      </w:pPr>
      <w:r>
        <w:rPr>
          <w:rFonts w:ascii="Calibri" w:eastAsia="Calibri" w:hAnsi="Calibri" w:cs="Calibri"/>
          <w:noProof/>
        </w:rPr>
        <mc:AlternateContent>
          <mc:Choice Requires="wpg">
            <w:drawing>
              <wp:inline distT="0" distB="0" distL="0" distR="0">
                <wp:extent cx="6480001" cy="9525"/>
                <wp:effectExtent l="0" t="0" r="0" b="0"/>
                <wp:docPr id="6551" name="Group 6551"/>
                <wp:cNvGraphicFramePr/>
                <a:graphic xmlns:a="http://schemas.openxmlformats.org/drawingml/2006/main">
                  <a:graphicData uri="http://schemas.microsoft.com/office/word/2010/wordprocessingGroup">
                    <wpg:wgp>
                      <wpg:cNvGrpSpPr/>
                      <wpg:grpSpPr>
                        <a:xfrm>
                          <a:off x="0" y="0"/>
                          <a:ext cx="6480001" cy="9525"/>
                          <a:chOff x="0" y="0"/>
                          <a:chExt cx="6480001" cy="9525"/>
                        </a:xfrm>
                      </wpg:grpSpPr>
                      <wps:wsp>
                        <wps:cNvPr id="7624" name="Shape 7624"/>
                        <wps:cNvSpPr/>
                        <wps:spPr>
                          <a:xfrm>
                            <a:off x="0" y="0"/>
                            <a:ext cx="6480001" cy="9525"/>
                          </a:xfrm>
                          <a:custGeom>
                            <a:avLst/>
                            <a:gdLst/>
                            <a:ahLst/>
                            <a:cxnLst/>
                            <a:rect l="0" t="0" r="0" b="0"/>
                            <a:pathLst>
                              <a:path w="6480001" h="9525">
                                <a:moveTo>
                                  <a:pt x="0" y="0"/>
                                </a:moveTo>
                                <a:lnTo>
                                  <a:pt x="6480001" y="0"/>
                                </a:lnTo>
                                <a:lnTo>
                                  <a:pt x="6480001" y="9525"/>
                                </a:lnTo>
                                <a:lnTo>
                                  <a:pt x="0" y="9525"/>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inline>
            </w:drawing>
          </mc:Choice>
          <mc:Fallback>
            <w:pict>
              <v:group w14:anchorId="3D0F1EF6" id="Group 6551" o:spid="_x0000_s1026" style="width:510.25pt;height:.75pt;mso-position-horizontal-relative:char;mso-position-vertical-relative:lin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">
                <v:shape id="Shape 7624" o:spid="_x0000_s1027" style="position:absolute;width:64800;height:95;visibility:visible;mso-wrap-style:square;v-text-anchor:top" coordsize="6480001,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ufG8YA&#10;AADdAAAADwAAAGRycy9kb3ducmV2LnhtbESPQWvCQBSE7wX/w/KEXopuGoqV6Cqhoa3XagWPj+wz&#10;Wcy+DdltEv313ULB4zAz3zDr7Wgb0VPnjWMFz/MEBHHptOFKwffhfbYE4QOyxsYxKbiSh+1m8rDG&#10;TLuBv6jfh0pECPsMFdQhtJmUvqzJop+7ljh6Z9dZDFF2ldQdDhFuG5kmyUJaNBwXamzprabysv+x&#10;ChKWvfk0h49RL5viqch3t/54UupxOuYrEIHGcA//t3dawesifYG/N/EJ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ufG8YAAADdAAAADwAAAAAAAAAAAAAAAACYAgAAZHJz&#10;L2Rvd25yZXYueG1sUEsFBgAAAAAEAAQA9QAAAIsDAAAAAA==&#10;" path="m,l6480001,r,9525l,9525,,e" fillcolor="#ccc" stroked="f" strokeweight="0">
                  <v:stroke miterlimit="83231f" joinstyle="miter"/>
                  <v:path arrowok="t" textboxrect="0,0,6480001,9525"/>
                </v:shape>
                <w10:anchorlock/>
              </v:group>
            </w:pict>
          </mc:Fallback>
        </mc:AlternateContent>
      </w:r>
    </w:p>
    <w:p w:rsidR="002B7CC0" w:rsidRDefault="00C95EF7">
      <w:pPr>
        <w:spacing w:after="238" w:line="246" w:lineRule="auto"/>
        <w:ind w:right="-15"/>
        <w:jc w:val="left"/>
      </w:pPr>
      <w:r>
        <w:rPr>
          <w:b/>
        </w:rPr>
        <w:t>Conclusion</w:t>
      </w:r>
    </w:p>
    <w:p w:rsidR="002B7CC0" w:rsidRDefault="00C95EF7">
      <w:r>
        <w:t xml:space="preserve">Based on the rich qualitative findings gathered across the public high schools of Santa Cruz District, this study concludes that CTPE graduates experience a multi-dimensional, complex professional transition when teaching Social Sciences in public secondary schools. Their professional roles extend far beyond simple content delivery to encompass comprehensive values formation, critical thinking facilitation, and civic consciousness enculturation. This </w:t>
      </w:r>
      <w:r>
        <w:lastRenderedPageBreak/>
        <w:t xml:space="preserve">instructional trajectory is initially marked by intense pedagogical and institutional challenges, including a severe "reality shock" defined by high anxiety, self-doubt, and operational friction regarding lesson planning, assessment design, classroom management, and learner diversity integration. These difficulties are further compounded by systemic pressures, such as rapid curriculum adjustments and excessive clerical administrative workloads that directly threaten their work-life balance. </w:t>
      </w:r>
    </w:p>
    <w:p w:rsidR="002B7CC0" w:rsidRDefault="00C95EF7">
      <w:pPr>
        <w:spacing w:after="118" w:line="240" w:lineRule="auto"/>
        <w:ind w:left="10" w:right="42"/>
        <w:jc w:val="right"/>
      </w:pPr>
      <w:r>
        <w:t>However, the study underscores that despite these structural limitations, CTPE graduates demonstrate</w:t>
      </w:r>
    </w:p>
    <w:p w:rsidR="002B7CC0" w:rsidRDefault="00C95EF7">
      <w:pPr>
        <w:spacing w:after="388"/>
      </w:pPr>
      <w:r>
        <w:t xml:space="preserve">exceptional adaptability, initiative, and professional growth over time. By engineering a diverse repertoire of coping adaptations—most notably leaning on peer collaboration, utilizing personal time-management schedules, pursuing continuous professional upskilling, engaging in self-directed reflective practice, and maintaining a resilient mindset—these non-education graduates successfully overcome initial preparation gaps. Their unique industry backgrounds and technological proficiencies eventually mature from transitional hurdles into instructional assets, allowing them to construct highly practical, skills-based, and relatable classroom learning experiences. Ultimately, the study demonstrates that achieving instructional excellence in the Social Sciences is an ongoing process of experiential learning, reflection, and adaptation, which can be significantly enhanced through systematic institutional support structures. </w:t>
      </w:r>
    </w:p>
    <w:p w:rsidR="002B7CC0" w:rsidRDefault="00C95EF7">
      <w:pPr>
        <w:spacing w:after="238" w:line="246" w:lineRule="auto"/>
        <w:ind w:right="-15"/>
        <w:jc w:val="left"/>
      </w:pPr>
      <w:r>
        <w:rPr>
          <w:b/>
        </w:rPr>
        <w:t>Recommendations</w:t>
      </w:r>
    </w:p>
    <w:p w:rsidR="002B7CC0" w:rsidRDefault="00C95EF7">
      <w:r>
        <w:t xml:space="preserve">In light of the conclusions derived from this research, the following targeted, actionable recommendations are offered to support the professional growth of alternative-pathway teachers and enhance institutional quality: </w:t>
      </w:r>
    </w:p>
    <w:p w:rsidR="002B7CC0" w:rsidRDefault="008C7883" w:rsidP="008C7883">
      <w:pPr>
        <w:spacing w:after="118" w:line="240" w:lineRule="auto"/>
        <w:ind w:left="0" w:right="42" w:firstLine="0"/>
      </w:pPr>
      <w:r>
        <w:rPr>
          <w:b/>
        </w:rPr>
        <w:t xml:space="preserve">1. </w:t>
      </w:r>
      <w:r w:rsidR="00C95EF7">
        <w:rPr>
          <w:b/>
        </w:rPr>
        <w:t>For the Department of Education and School Administrators:</w:t>
      </w:r>
      <w:r w:rsidR="00C95EF7">
        <w:t xml:space="preserve"> Educational authorities should design</w:t>
      </w:r>
    </w:p>
    <w:p w:rsidR="002B7CC0" w:rsidRDefault="00C95EF7" w:rsidP="008C7883">
      <w:r>
        <w:t xml:space="preserve">and institutionalize specialized induction and targeted training tracks specifically tailored for CTPE and noneducation entrants. These programs must move past generic administrative compliance to focus heavily on core practical mechanics: the explicit construction of daily lesson plans, the alignment of instructional materials with national curriculum matrices, and systematic classroom management strategies tailored for large, crowded public settings. Furthermore, school leaders must actively reduce excessive clerical administrative burdens and nonteaching ancillary tasks to allow alternative-route teachers to focus on instructional quality and lesson design. </w:t>
      </w:r>
    </w:p>
    <w:p w:rsidR="002B7CC0" w:rsidRDefault="008C7883" w:rsidP="008C7883">
      <w:pPr>
        <w:ind w:left="0" w:right="42" w:firstLine="0"/>
      </w:pPr>
      <w:r>
        <w:rPr>
          <w:b/>
        </w:rPr>
        <w:t xml:space="preserve">2. </w:t>
      </w:r>
      <w:r w:rsidR="00C95EF7">
        <w:rPr>
          <w:b/>
        </w:rPr>
        <w:t>For Higher Education Institutions and Curriculum Planners:</w:t>
      </w:r>
      <w:r w:rsidR="00C95EF7">
        <w:t xml:space="preserve"> Colleges and universities offering Certificate in Teacher Professional Education (CTPE) programs should review and restructure their accelerated curricula to bridge the gap between educational theory and real-world classroom execution. It is highly recommended to expand practical field-study exposure, integrate rigorous digital literacy and technological frameworks (such as the TPACK model), and embed intensive simulations of student behavioral management within the 18-unit program boundary. </w:t>
      </w:r>
    </w:p>
    <w:p w:rsidR="002B7CC0" w:rsidRDefault="008C7883" w:rsidP="008C7883">
      <w:pPr>
        <w:spacing w:after="118" w:line="240" w:lineRule="auto"/>
        <w:ind w:left="0" w:right="42" w:firstLine="0"/>
      </w:pPr>
      <w:r>
        <w:rPr>
          <w:b/>
        </w:rPr>
        <w:t xml:space="preserve">3. </w:t>
      </w:r>
      <w:r w:rsidR="00C95EF7">
        <w:rPr>
          <w:b/>
        </w:rPr>
        <w:t>For Local Schools and Master Teachers:</w:t>
      </w:r>
      <w:r w:rsidR="00C95EF7">
        <w:t xml:space="preserve"> Local secondary schools should strengthen structured, formal</w:t>
      </w:r>
    </w:p>
    <w:p w:rsidR="002B7CC0" w:rsidRDefault="00C95EF7" w:rsidP="008C7883">
      <w:r>
        <w:t xml:space="preserve">mentoring frameworks and peer-support systems. Pairing newly hired alternative-pathway teachers with seasoned master teachers or subject-matter specialists can accelerate their adjustment phase, provide immediate instructional templates, and offer essential emotional reassurance, thereby minimizing early-career attrition. </w:t>
      </w:r>
    </w:p>
    <w:p w:rsidR="002B7CC0" w:rsidRDefault="008C7883" w:rsidP="008C7883">
      <w:pPr>
        <w:spacing w:after="118" w:line="240" w:lineRule="auto"/>
        <w:ind w:left="0" w:right="42" w:firstLine="0"/>
      </w:pPr>
      <w:r>
        <w:rPr>
          <w:b/>
        </w:rPr>
        <w:t xml:space="preserve">4. </w:t>
      </w:r>
      <w:r w:rsidR="00C95EF7">
        <w:rPr>
          <w:b/>
        </w:rPr>
        <w:t>For Future Researchers:</w:t>
      </w:r>
      <w:r w:rsidR="00C95EF7">
        <w:t xml:space="preserve"> To complement the qualitative insights of this descriptive phenomenological</w:t>
      </w:r>
    </w:p>
    <w:p w:rsidR="002B7CC0" w:rsidRDefault="00C95EF7" w:rsidP="008C7883">
      <w:pPr>
        <w:spacing w:after="501"/>
      </w:pPr>
      <w:r>
        <w:t xml:space="preserve">inquiry, future studies should conduct long-term longitudinal research to track the professional development, career longevity, and student learning outcomes of CTPE graduates over an extended duration. Additionally, mixedmethods </w:t>
      </w:r>
      <w:r>
        <w:lastRenderedPageBreak/>
        <w:t xml:space="preserve">or quantitative research could be deployed to statistically evaluate the operational effectiveness of alternative teacher preparation pathways across different educational divisions in the Philippines. </w:t>
      </w:r>
    </w:p>
    <w:p w:rsidR="002B7CC0" w:rsidRDefault="00C95EF7">
      <w:pPr>
        <w:pStyle w:val="Heading1"/>
      </w:pPr>
      <w:r>
        <w:t>REFERENCES</w:t>
      </w:r>
    </w:p>
    <w:p w:rsidR="002B7CC0" w:rsidRDefault="00C95EF7">
      <w:pPr>
        <w:spacing w:after="257" w:line="240" w:lineRule="auto"/>
        <w:ind w:left="0" w:right="0" w:firstLine="0"/>
        <w:jc w:val="left"/>
      </w:pPr>
      <w:r>
        <w:rPr>
          <w:rFonts w:ascii="Calibri" w:eastAsia="Calibri" w:hAnsi="Calibri" w:cs="Calibri"/>
          <w:noProof/>
        </w:rPr>
        <mc:AlternateContent>
          <mc:Choice Requires="wpg">
            <w:drawing>
              <wp:inline distT="0" distB="0" distL="0" distR="0">
                <wp:extent cx="6480001" cy="9525"/>
                <wp:effectExtent l="0" t="0" r="0" b="0"/>
                <wp:docPr id="6659" name="Group 6659"/>
                <wp:cNvGraphicFramePr/>
                <a:graphic xmlns:a="http://schemas.openxmlformats.org/drawingml/2006/main">
                  <a:graphicData uri="http://schemas.microsoft.com/office/word/2010/wordprocessingGroup">
                    <wpg:wgp>
                      <wpg:cNvGrpSpPr/>
                      <wpg:grpSpPr>
                        <a:xfrm>
                          <a:off x="0" y="0"/>
                          <a:ext cx="6480001" cy="9525"/>
                          <a:chOff x="0" y="0"/>
                          <a:chExt cx="6480001" cy="9525"/>
                        </a:xfrm>
                      </wpg:grpSpPr>
                      <wps:wsp>
                        <wps:cNvPr id="7625" name="Shape 7625"/>
                        <wps:cNvSpPr/>
                        <wps:spPr>
                          <a:xfrm>
                            <a:off x="0" y="0"/>
                            <a:ext cx="6480001" cy="9525"/>
                          </a:xfrm>
                          <a:custGeom>
                            <a:avLst/>
                            <a:gdLst/>
                            <a:ahLst/>
                            <a:cxnLst/>
                            <a:rect l="0" t="0" r="0" b="0"/>
                            <a:pathLst>
                              <a:path w="6480001" h="9525">
                                <a:moveTo>
                                  <a:pt x="0" y="0"/>
                                </a:moveTo>
                                <a:lnTo>
                                  <a:pt x="6480001" y="0"/>
                                </a:lnTo>
                                <a:lnTo>
                                  <a:pt x="6480001" y="9525"/>
                                </a:lnTo>
                                <a:lnTo>
                                  <a:pt x="0" y="9525"/>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inline>
            </w:drawing>
          </mc:Choice>
          <mc:Fallback>
            <w:pict>
              <v:group w14:anchorId="13B8C930" id="Group 6659" o:spid="_x0000_s1026" style="width:510.25pt;height:.75pt;mso-position-horizontal-relative:char;mso-position-vertical-relative:lin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">
                <v:shape id="Shape 7625" o:spid="_x0000_s1027" style="position:absolute;width:64800;height:95;visibility:visible;mso-wrap-style:square;v-text-anchor:top" coordsize="6480001,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c6gMYA&#10;AADdAAAADwAAAGRycy9kb3ducmV2LnhtbESPQWvCQBSE7wX/w/KEXopuGqiV6Cqhoa3XagWPj+wz&#10;Wcy+DdltEv313ULB4zAz3zDr7Wgb0VPnjWMFz/MEBHHptOFKwffhfbYE4QOyxsYxKbiSh+1m8rDG&#10;TLuBv6jfh0pECPsMFdQhtJmUvqzJop+7ljh6Z9dZDFF2ldQdDhFuG5kmyUJaNBwXamzprabysv+x&#10;ChKWvfk0h49RL5viqch3t/54UupxOuYrEIHGcA//t3dawesifYG/N/EJ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c6gMYAAADdAAAADwAAAAAAAAAAAAAAAACYAgAAZHJz&#10;L2Rvd25yZXYueG1sUEsFBgAAAAAEAAQA9QAAAIsDAAAAAA==&#10;" path="m,l6480001,r,9525l,9525,,e" fillcolor="#ccc" stroked="f" strokeweight="0">
                  <v:stroke miterlimit="83231f" joinstyle="miter"/>
                  <v:path arrowok="t" textboxrect="0,0,6480001,9525"/>
                </v:shape>
                <w10:anchorlock/>
              </v:group>
            </w:pict>
          </mc:Fallback>
        </mc:AlternateContent>
      </w:r>
    </w:p>
    <w:p w:rsidR="002B7CC0" w:rsidRDefault="00C95EF7">
      <w:pPr>
        <w:spacing w:after="86" w:line="285" w:lineRule="auto"/>
        <w:ind w:left="-15" w:right="11" w:firstLine="0"/>
      </w:pPr>
      <w:r>
        <w:rPr>
          <w:sz w:val="20"/>
        </w:rPr>
        <w:t>Amoli, F. A., &amp; Youran, M. (2014). Delving the relationship between teacher empowerment and job satisfaction among Iranian</w:t>
      </w:r>
    </w:p>
    <w:p w:rsidR="002B7CC0" w:rsidRDefault="00C95EF7">
      <w:pPr>
        <w:spacing w:after="239" w:line="285" w:lineRule="auto"/>
        <w:ind w:left="720" w:right="11" w:firstLine="0"/>
      </w:pPr>
      <w:r>
        <w:rPr>
          <w:sz w:val="20"/>
        </w:rPr>
        <w:t xml:space="preserve">EFL teachers in Tehran Aviation University. </w:t>
      </w:r>
      <w:r>
        <w:rPr>
          <w:i/>
          <w:sz w:val="20"/>
        </w:rPr>
        <w:t>Theory and Practice in Language Studies</w:t>
      </w:r>
      <w:r>
        <w:rPr>
          <w:sz w:val="20"/>
        </w:rPr>
        <w:t>, 4(4), 771–777. https://doi.org/ 10.4304/tpls.4.4.771-777</w:t>
      </w:r>
    </w:p>
    <w:p w:rsidR="002B7CC0" w:rsidRDefault="00C95EF7">
      <w:pPr>
        <w:spacing w:after="239" w:line="285" w:lineRule="auto"/>
        <w:ind w:left="715" w:right="11" w:hanging="730"/>
      </w:pPr>
      <w:r>
        <w:rPr>
          <w:sz w:val="20"/>
        </w:rPr>
        <w:t xml:space="preserve">Andres, K., &amp; Pawilen, G. T. (2020). Analysis of lesson planning competencies of pre-service teachers. </w:t>
      </w:r>
      <w:r>
        <w:rPr>
          <w:i/>
          <w:sz w:val="20"/>
        </w:rPr>
        <w:t>Philippine Educational Review</w:t>
      </w:r>
      <w:r>
        <w:rPr>
          <w:sz w:val="20"/>
        </w:rPr>
        <w:t>, 48(1), 12–25.</w:t>
      </w:r>
    </w:p>
    <w:p w:rsidR="002B7CC0" w:rsidRDefault="00C95EF7">
      <w:pPr>
        <w:spacing w:after="239" w:line="285" w:lineRule="auto"/>
        <w:ind w:left="715" w:right="11" w:hanging="730"/>
      </w:pPr>
      <w:r>
        <w:rPr>
          <w:sz w:val="20"/>
        </w:rPr>
        <w:t xml:space="preserve">Aritonang, E. Y. S., &amp; Tung, K. Y. (2023). The influence of Kouzes and Posner's exemplary leadership, self-regulation, and job satisfaction on teacher performance in XYZ Tangerang School. </w:t>
      </w:r>
      <w:r>
        <w:rPr>
          <w:i/>
          <w:sz w:val="20"/>
        </w:rPr>
        <w:t>Jurnal Dinamika Pendidikan</w:t>
      </w:r>
      <w:r>
        <w:rPr>
          <w:sz w:val="20"/>
        </w:rPr>
        <w:t>, 16(1), 94–100. https:// doi.org/10.51212/jdp.v16i1.179</w:t>
      </w:r>
    </w:p>
    <w:p w:rsidR="002B7CC0" w:rsidRDefault="00C95EF7">
      <w:pPr>
        <w:spacing w:after="235" w:line="285" w:lineRule="auto"/>
        <w:ind w:right="-15"/>
        <w:jc w:val="left"/>
      </w:pPr>
      <w:r>
        <w:rPr>
          <w:sz w:val="20"/>
        </w:rPr>
        <w:t xml:space="preserve">Banks, J. A. (2019). </w:t>
      </w:r>
      <w:r>
        <w:rPr>
          <w:i/>
          <w:sz w:val="20"/>
        </w:rPr>
        <w:t>An introduction to multicultural education</w:t>
      </w:r>
      <w:r>
        <w:rPr>
          <w:sz w:val="20"/>
        </w:rPr>
        <w:t xml:space="preserve"> (6th ed.). Pearson.</w:t>
      </w:r>
    </w:p>
    <w:p w:rsidR="002B7CC0" w:rsidRDefault="00C95EF7">
      <w:pPr>
        <w:spacing w:after="239" w:line="285" w:lineRule="auto"/>
        <w:ind w:left="-15" w:right="11" w:firstLine="0"/>
      </w:pPr>
      <w:r>
        <w:rPr>
          <w:sz w:val="20"/>
        </w:rPr>
        <w:t xml:space="preserve">Barton, K. C., &amp; Levstik, L. S. (2017). </w:t>
      </w:r>
      <w:r>
        <w:rPr>
          <w:i/>
          <w:sz w:val="20"/>
        </w:rPr>
        <w:t>Teaching history for the common good</w:t>
      </w:r>
      <w:r>
        <w:rPr>
          <w:sz w:val="20"/>
        </w:rPr>
        <w:t>. Routledge.</w:t>
      </w:r>
    </w:p>
    <w:p w:rsidR="002B7CC0" w:rsidRDefault="00C95EF7">
      <w:pPr>
        <w:spacing w:after="239" w:line="285" w:lineRule="auto"/>
        <w:ind w:left="715" w:right="11" w:hanging="730"/>
      </w:pPr>
      <w:r>
        <w:rPr>
          <w:sz w:val="20"/>
        </w:rPr>
        <w:t xml:space="preserve">Batterton, B. E., Neill, C. M., Biggs, C. R., &amp; Rempel, H. S. (2024). A framework for training graduate students and campus communities in inclusive teaching. </w:t>
      </w:r>
      <w:r>
        <w:rPr>
          <w:i/>
          <w:sz w:val="20"/>
        </w:rPr>
        <w:t>Journal of Microbiology &amp; Biology Education</w:t>
      </w:r>
      <w:r>
        <w:rPr>
          <w:sz w:val="20"/>
        </w:rPr>
        <w:t>, 25(3). https://doi.org/10.1128/ jmbe.00125-24</w:t>
      </w:r>
    </w:p>
    <w:p w:rsidR="002B7CC0" w:rsidRDefault="00C95EF7">
      <w:pPr>
        <w:spacing w:after="239" w:line="285" w:lineRule="auto"/>
        <w:ind w:left="715" w:right="11" w:hanging="730"/>
      </w:pPr>
      <w:r>
        <w:rPr>
          <w:sz w:val="20"/>
        </w:rPr>
        <w:t xml:space="preserve">Bentley, J. H., &amp; Ziegler, H. F. (2016). </w:t>
      </w:r>
      <w:r>
        <w:rPr>
          <w:i/>
          <w:sz w:val="20"/>
        </w:rPr>
        <w:t>Traditions &amp; encounters: A global perspective on the past</w:t>
      </w:r>
      <w:r>
        <w:rPr>
          <w:sz w:val="20"/>
        </w:rPr>
        <w:t xml:space="preserve"> (6th ed.). McGraw-Hill Education.</w:t>
      </w:r>
    </w:p>
    <w:p w:rsidR="002B7CC0" w:rsidRDefault="00C95EF7">
      <w:pPr>
        <w:spacing w:after="239" w:line="285" w:lineRule="auto"/>
        <w:ind w:left="-15" w:right="11" w:firstLine="0"/>
      </w:pPr>
      <w:r>
        <w:rPr>
          <w:sz w:val="20"/>
        </w:rPr>
        <w:t xml:space="preserve">Bilbao, P. P., Corpuz, B. B., Lami-in, A. M., &amp; Juachon, G. A. (2019). </w:t>
      </w:r>
      <w:r>
        <w:rPr>
          <w:i/>
          <w:sz w:val="20"/>
        </w:rPr>
        <w:t>The teaching profession</w:t>
      </w:r>
      <w:r>
        <w:rPr>
          <w:sz w:val="20"/>
        </w:rPr>
        <w:t xml:space="preserve"> (4th ed.). Lorimar Publishing.</w:t>
      </w:r>
    </w:p>
    <w:p w:rsidR="002B7CC0" w:rsidRDefault="00C95EF7">
      <w:pPr>
        <w:spacing w:after="86" w:line="285" w:lineRule="auto"/>
        <w:ind w:left="715" w:right="11" w:hanging="730"/>
      </w:pPr>
      <w:r>
        <w:rPr>
          <w:sz w:val="20"/>
        </w:rPr>
        <w:t xml:space="preserve">Branzuela, M. J., Ayro, E. C., &amp; Cruz-Vidal, M. J. D. (2023). Teaching outside the box: Senior high school teaching experiences, challenges, and windows of innovations of non-social science majors. </w:t>
      </w:r>
      <w:r>
        <w:rPr>
          <w:i/>
          <w:sz w:val="20"/>
        </w:rPr>
        <w:t>International Journal of Multidisciplinary: Applied Business and Education Research</w:t>
      </w:r>
      <w:r>
        <w:rPr>
          <w:sz w:val="20"/>
        </w:rPr>
        <w:t>, 4(7), 2210–2222. https://doi.org/10.11594/ijmaber.</w:t>
      </w:r>
    </w:p>
    <w:p w:rsidR="002B7CC0" w:rsidRDefault="00C95EF7">
      <w:pPr>
        <w:spacing w:after="239" w:line="285" w:lineRule="auto"/>
        <w:ind w:left="720" w:right="11" w:firstLine="0"/>
      </w:pPr>
      <w:r>
        <w:rPr>
          <w:sz w:val="20"/>
        </w:rPr>
        <w:t>04.07.06</w:t>
      </w:r>
    </w:p>
    <w:p w:rsidR="002B7CC0" w:rsidRDefault="00C95EF7">
      <w:pPr>
        <w:spacing w:after="235" w:line="285" w:lineRule="auto"/>
        <w:ind w:right="-15"/>
        <w:jc w:val="left"/>
      </w:pPr>
      <w:r>
        <w:rPr>
          <w:sz w:val="20"/>
        </w:rPr>
        <w:t xml:space="preserve">Brookhart, S. M. (2017). </w:t>
      </w:r>
      <w:r>
        <w:rPr>
          <w:i/>
          <w:sz w:val="20"/>
        </w:rPr>
        <w:t>How to create and use rubrics for formative assessment and grading</w:t>
      </w:r>
      <w:r>
        <w:rPr>
          <w:sz w:val="20"/>
        </w:rPr>
        <w:t>. ASCD.</w:t>
      </w:r>
    </w:p>
    <w:p w:rsidR="002B7CC0" w:rsidRDefault="00C95EF7">
      <w:pPr>
        <w:spacing w:after="239" w:line="285" w:lineRule="auto"/>
        <w:ind w:left="715" w:right="11" w:hanging="730"/>
      </w:pPr>
      <w:r>
        <w:rPr>
          <w:sz w:val="20"/>
        </w:rPr>
        <w:t xml:space="preserve">Bronfenbrenner, U. (1979). </w:t>
      </w:r>
      <w:r>
        <w:rPr>
          <w:i/>
          <w:sz w:val="20"/>
        </w:rPr>
        <w:t>The ecology of human development: Experiments by nature and design</w:t>
      </w:r>
      <w:r>
        <w:rPr>
          <w:sz w:val="20"/>
        </w:rPr>
        <w:t>. Harvard University Press. https://doi.org/10.2307/j.ctv26071r6</w:t>
      </w:r>
    </w:p>
    <w:p w:rsidR="002B7CC0" w:rsidRDefault="00C95EF7">
      <w:pPr>
        <w:spacing w:after="239" w:line="285" w:lineRule="auto"/>
        <w:ind w:left="715" w:right="11" w:hanging="730"/>
      </w:pPr>
      <w:r>
        <w:rPr>
          <w:sz w:val="20"/>
        </w:rPr>
        <w:t xml:space="preserve">Bugwak, E. (2021). Travails of out-of-field teachers: A qualitative inquiry. </w:t>
      </w:r>
      <w:r>
        <w:rPr>
          <w:i/>
          <w:sz w:val="20"/>
        </w:rPr>
        <w:t>Journal of World Englishes and Educational Practices</w:t>
      </w:r>
      <w:r>
        <w:rPr>
          <w:sz w:val="20"/>
        </w:rPr>
        <w:t>, 3(2), 36–57. https://doi.org/10.32996/jweep.2021.3.2.4</w:t>
      </w:r>
    </w:p>
    <w:p w:rsidR="002B7CC0" w:rsidRDefault="00C95EF7">
      <w:pPr>
        <w:spacing w:after="239" w:line="285" w:lineRule="auto"/>
        <w:ind w:left="715" w:right="11" w:hanging="730"/>
      </w:pPr>
      <w:r>
        <w:rPr>
          <w:sz w:val="20"/>
        </w:rPr>
        <w:t xml:space="preserve">Cherry, K. (2024, March 21). Bronfenbrenner’s ecological systems theory. </w:t>
      </w:r>
      <w:r>
        <w:rPr>
          <w:i/>
          <w:sz w:val="20"/>
        </w:rPr>
        <w:t>Verywell Mind</w:t>
      </w:r>
      <w:r>
        <w:rPr>
          <w:sz w:val="20"/>
        </w:rPr>
        <w:t>. https://www.verywellmind.com/ bronfenbrenner-ecological-model</w:t>
      </w:r>
    </w:p>
    <w:p w:rsidR="002B7CC0" w:rsidRDefault="00C95EF7">
      <w:pPr>
        <w:spacing w:after="239" w:line="285" w:lineRule="auto"/>
        <w:ind w:left="715" w:right="11" w:hanging="730"/>
      </w:pPr>
      <w:r>
        <w:rPr>
          <w:sz w:val="20"/>
        </w:rPr>
        <w:t xml:space="preserve">Christian-Ike, N. (2024). Digital tool integration in social studies education. </w:t>
      </w:r>
      <w:r>
        <w:rPr>
          <w:i/>
          <w:sz w:val="20"/>
        </w:rPr>
        <w:t>Journal of Digital Learning Assets</w:t>
      </w:r>
      <w:r>
        <w:rPr>
          <w:sz w:val="20"/>
        </w:rPr>
        <w:t>, 11(2), 145– 158.</w:t>
      </w:r>
    </w:p>
    <w:p w:rsidR="002B7CC0" w:rsidRDefault="00C95EF7">
      <w:pPr>
        <w:spacing w:after="239" w:line="285" w:lineRule="auto"/>
        <w:ind w:left="715" w:right="11" w:hanging="730"/>
      </w:pPr>
      <w:r>
        <w:rPr>
          <w:sz w:val="20"/>
        </w:rPr>
        <w:t xml:space="preserve">Colorafi, K. J., &amp; Evans, B. (2016). Qualitative descriptive methods in health science research. </w:t>
      </w:r>
      <w:r>
        <w:rPr>
          <w:i/>
          <w:sz w:val="20"/>
        </w:rPr>
        <w:t>HERD: Health Environments Research &amp; Design Journal</w:t>
      </w:r>
      <w:r>
        <w:rPr>
          <w:sz w:val="20"/>
        </w:rPr>
        <w:t>, 9(4), 16–25. https://doi.org/10.1177/1937586715614171</w:t>
      </w:r>
    </w:p>
    <w:p w:rsidR="002B7CC0" w:rsidRDefault="00C95EF7">
      <w:pPr>
        <w:spacing w:after="239" w:line="285" w:lineRule="auto"/>
        <w:ind w:left="715" w:right="11" w:hanging="730"/>
      </w:pPr>
      <w:r>
        <w:rPr>
          <w:sz w:val="20"/>
        </w:rPr>
        <w:lastRenderedPageBreak/>
        <w:t xml:space="preserve">Collie, R. J., Shapka, J. D., &amp; Perry, N E. (2012). School climate and social–emotional learning: Predicting teacher stress, job satisfaction, and teaching efficacy. </w:t>
      </w:r>
      <w:r>
        <w:rPr>
          <w:i/>
          <w:sz w:val="20"/>
        </w:rPr>
        <w:t>Journal of Educational Psychology</w:t>
      </w:r>
      <w:r>
        <w:rPr>
          <w:sz w:val="20"/>
        </w:rPr>
        <w:t>, 104(4), 1189–1204. https://doi.org/10.1037/ a0029356</w:t>
      </w:r>
    </w:p>
    <w:p w:rsidR="002B7CC0" w:rsidRDefault="00C95EF7">
      <w:pPr>
        <w:spacing w:after="239" w:line="285" w:lineRule="auto"/>
        <w:ind w:left="715" w:right="11" w:hanging="730"/>
      </w:pPr>
      <w:r>
        <w:rPr>
          <w:sz w:val="20"/>
        </w:rPr>
        <w:t>Commission on Higher Education. (2004). CHED Memorandum Order (CMO) No. 30, s. 2004: Revised Policies and Standards for Undergraduate Teacher Education Curriculum. CHED.</w:t>
      </w:r>
    </w:p>
    <w:p w:rsidR="002B7CC0" w:rsidRDefault="00C95EF7">
      <w:pPr>
        <w:spacing w:after="239" w:line="285" w:lineRule="auto"/>
        <w:ind w:left="715" w:right="11" w:hanging="730"/>
      </w:pPr>
      <w:r>
        <w:rPr>
          <w:sz w:val="20"/>
        </w:rPr>
        <w:t>Commission on Higher Education. (2017). Policies, standards, and guidelines for the Bachelor of Secondary Education program. CHED Memorandum Order No. 75, s. 2017.</w:t>
      </w:r>
    </w:p>
    <w:p w:rsidR="002B7CC0" w:rsidRDefault="00C95EF7">
      <w:pPr>
        <w:spacing w:after="239" w:line="285" w:lineRule="auto"/>
        <w:ind w:left="-15" w:right="11" w:firstLine="0"/>
      </w:pPr>
      <w:r>
        <w:rPr>
          <w:sz w:val="20"/>
        </w:rPr>
        <w:t>Commission on Higher Education. (2018). Policies on teacher education and certification. https://ched.gov.ph</w:t>
      </w:r>
    </w:p>
    <w:p w:rsidR="002B7CC0" w:rsidRDefault="00C95EF7">
      <w:pPr>
        <w:spacing w:after="239" w:line="285" w:lineRule="auto"/>
        <w:ind w:left="-15" w:right="11" w:firstLine="0"/>
      </w:pPr>
      <w:r>
        <w:rPr>
          <w:sz w:val="20"/>
        </w:rPr>
        <w:t>Cox, J. (2019). Here's what you need to know about lesson plans. https://www.thoughtco.com/what-is-a-lesson-plan-2081359</w:t>
      </w:r>
    </w:p>
    <w:p w:rsidR="002B7CC0" w:rsidRDefault="00C95EF7">
      <w:pPr>
        <w:spacing w:after="239" w:line="285" w:lineRule="auto"/>
        <w:ind w:left="715" w:right="11" w:hanging="730"/>
      </w:pPr>
      <w:r>
        <w:rPr>
          <w:sz w:val="20"/>
        </w:rPr>
        <w:t xml:space="preserve">Cuñado, A. G., &amp; Abocejo, F. T. (2018). Lesson planning competency of English major university sophomore CTE-students. </w:t>
      </w:r>
      <w:r>
        <w:rPr>
          <w:i/>
          <w:sz w:val="20"/>
        </w:rPr>
        <w:t>European Journal of Education Studies</w:t>
      </w:r>
      <w:r>
        <w:rPr>
          <w:sz w:val="20"/>
        </w:rPr>
        <w:t>. https://oapub.org/edu/index.php/ejes/article/view/2200</w:t>
      </w:r>
    </w:p>
    <w:p w:rsidR="002B7CC0" w:rsidRDefault="00C95EF7">
      <w:pPr>
        <w:spacing w:after="235" w:line="285" w:lineRule="auto"/>
        <w:ind w:left="705" w:right="-15" w:hanging="720"/>
        <w:jc w:val="left"/>
      </w:pPr>
      <w:r>
        <w:rPr>
          <w:sz w:val="20"/>
        </w:rPr>
        <w:t xml:space="preserve">Creswell, J. W. (2014). </w:t>
      </w:r>
      <w:r>
        <w:rPr>
          <w:i/>
          <w:sz w:val="20"/>
        </w:rPr>
        <w:t>Research design: Qualitative, quantitative, and mixed methods approaches</w:t>
      </w:r>
      <w:r>
        <w:rPr>
          <w:sz w:val="20"/>
        </w:rPr>
        <w:t xml:space="preserve"> (4th ed.). SAGE Publications.</w:t>
      </w:r>
    </w:p>
    <w:p w:rsidR="002B7CC0" w:rsidRDefault="00C95EF7">
      <w:pPr>
        <w:spacing w:after="239" w:line="285" w:lineRule="auto"/>
        <w:ind w:left="715" w:right="11" w:hanging="730"/>
      </w:pPr>
      <w:r>
        <w:rPr>
          <w:sz w:val="20"/>
        </w:rPr>
        <w:t xml:space="preserve">Darling-Hammond, L. (2017). Teacher education around the world: What can we learn from international practice? </w:t>
      </w:r>
      <w:r>
        <w:rPr>
          <w:i/>
          <w:sz w:val="20"/>
        </w:rPr>
        <w:t>European Journal of Teacher Education</w:t>
      </w:r>
      <w:r>
        <w:rPr>
          <w:sz w:val="20"/>
        </w:rPr>
        <w:t>, 40(3), 291–309. https://doi.org/10.1080/02619768.2017.1315399</w:t>
      </w:r>
    </w:p>
    <w:p w:rsidR="002B7CC0" w:rsidRDefault="00C95EF7">
      <w:pPr>
        <w:spacing w:after="86" w:line="285" w:lineRule="auto"/>
        <w:ind w:left="-15" w:right="11" w:firstLine="0"/>
      </w:pPr>
      <w:r>
        <w:rPr>
          <w:sz w:val="20"/>
        </w:rPr>
        <w:t xml:space="preserve">Darling-Hammond, L., Hyler, M. E., &amp; Gardner, M. (2020). </w:t>
      </w:r>
      <w:r>
        <w:rPr>
          <w:i/>
          <w:sz w:val="20"/>
        </w:rPr>
        <w:t>Effective teacher professional development</w:t>
      </w:r>
      <w:r>
        <w:rPr>
          <w:sz w:val="20"/>
        </w:rPr>
        <w:t>. Learning Policy</w:t>
      </w:r>
    </w:p>
    <w:p w:rsidR="002B7CC0" w:rsidRDefault="00C95EF7">
      <w:pPr>
        <w:spacing w:after="239" w:line="285" w:lineRule="auto"/>
        <w:ind w:left="720" w:right="11" w:firstLine="0"/>
      </w:pPr>
      <w:r>
        <w:rPr>
          <w:sz w:val="20"/>
        </w:rPr>
        <w:t>Institute.</w:t>
      </w:r>
    </w:p>
    <w:p w:rsidR="002B7CC0" w:rsidRDefault="00C95EF7">
      <w:pPr>
        <w:spacing w:after="239" w:line="285" w:lineRule="auto"/>
        <w:ind w:left="-15" w:right="11" w:firstLine="0"/>
      </w:pPr>
      <w:r>
        <w:rPr>
          <w:sz w:val="20"/>
        </w:rPr>
        <w:t xml:space="preserve">De Blij, H. J., Muller, P. O., &amp; Nijman, J. (2014). </w:t>
      </w:r>
      <w:r>
        <w:rPr>
          <w:i/>
          <w:sz w:val="20"/>
        </w:rPr>
        <w:t>Geography: Realms, regions, and concepts</w:t>
      </w:r>
      <w:r>
        <w:rPr>
          <w:sz w:val="20"/>
        </w:rPr>
        <w:t xml:space="preserve"> (16th ed.). Wiley.</w:t>
      </w:r>
    </w:p>
    <w:p w:rsidR="002B7CC0" w:rsidRDefault="00C95EF7">
      <w:pPr>
        <w:spacing w:after="239" w:line="285" w:lineRule="auto"/>
        <w:ind w:left="715" w:right="11" w:hanging="730"/>
      </w:pPr>
      <w:r>
        <w:rPr>
          <w:sz w:val="20"/>
        </w:rPr>
        <w:t>Department of Education. (2012). Department of Education Order No. 31, s. 2012: Policy Guidelines on the Implementation of the Grades 1 to 10 of the K to 12 Basic Education Curriculum. DepEd.</w:t>
      </w:r>
    </w:p>
    <w:p w:rsidR="002B7CC0" w:rsidRDefault="00C95EF7">
      <w:pPr>
        <w:spacing w:after="239" w:line="285" w:lineRule="auto"/>
        <w:ind w:left="-15" w:right="11" w:firstLine="0"/>
      </w:pPr>
      <w:r>
        <w:rPr>
          <w:sz w:val="20"/>
        </w:rPr>
        <w:t>Department of Education. (2013). Enhanced Basic Education Act of 2013 (R.A. 10533, Section 8). Official Gazette.</w:t>
      </w:r>
    </w:p>
    <w:p w:rsidR="002B7CC0" w:rsidRDefault="00C95EF7">
      <w:pPr>
        <w:spacing w:after="239" w:line="285" w:lineRule="auto"/>
        <w:ind w:left="-15" w:right="11" w:firstLine="0"/>
      </w:pPr>
      <w:r>
        <w:rPr>
          <w:sz w:val="20"/>
        </w:rPr>
        <w:t>Department of Education. (2016). The K to 12 curriculum guide: Social Sciences. https://www.deped.gov.ph</w:t>
      </w:r>
    </w:p>
    <w:p w:rsidR="002B7CC0" w:rsidRDefault="00C95EF7">
      <w:pPr>
        <w:spacing w:after="239" w:line="285" w:lineRule="auto"/>
        <w:ind w:left="-15" w:right="11" w:firstLine="0"/>
      </w:pPr>
      <w:r>
        <w:rPr>
          <w:sz w:val="20"/>
        </w:rPr>
        <w:t>Department of Education. (2017). Philippine professional standards for teachers. DepEd Order No. 42, s. 2017.</w:t>
      </w:r>
    </w:p>
    <w:p w:rsidR="002B7CC0" w:rsidRDefault="00C95EF7">
      <w:pPr>
        <w:spacing w:after="239" w:line="285" w:lineRule="auto"/>
        <w:ind w:left="715" w:right="11" w:hanging="730"/>
      </w:pPr>
      <w:r>
        <w:rPr>
          <w:sz w:val="20"/>
        </w:rPr>
        <w:t xml:space="preserve">Desimone, L. M., &amp; Garet, M. S. (2016). Best practices in teachers’ professional development. </w:t>
      </w:r>
      <w:r>
        <w:rPr>
          <w:i/>
          <w:sz w:val="20"/>
        </w:rPr>
        <w:t>Policy Studies Journal</w:t>
      </w:r>
      <w:r>
        <w:rPr>
          <w:sz w:val="20"/>
        </w:rPr>
        <w:t>, 44(3), 252–275.</w:t>
      </w:r>
    </w:p>
    <w:p w:rsidR="002B7CC0" w:rsidRDefault="00C95EF7">
      <w:pPr>
        <w:spacing w:after="0" w:line="285" w:lineRule="auto"/>
        <w:ind w:left="715" w:right="11" w:hanging="730"/>
      </w:pPr>
      <w:r>
        <w:rPr>
          <w:sz w:val="20"/>
        </w:rPr>
        <w:t xml:space="preserve">Ekoto, C. E., &amp; Gaikwad, P. (2015). The impact of andragogy on learning satisfaction of graduate students. </w:t>
      </w:r>
      <w:r>
        <w:rPr>
          <w:i/>
          <w:sz w:val="20"/>
        </w:rPr>
        <w:t>American Journal of Educational Research</w:t>
      </w:r>
      <w:r>
        <w:rPr>
          <w:sz w:val="20"/>
        </w:rPr>
        <w:t>, 3(11), 1378–1386. https://doi.org/10.12691/education-3-11-6</w:t>
      </w:r>
    </w:p>
    <w:p w:rsidR="002B7CC0" w:rsidRDefault="00C95EF7">
      <w:pPr>
        <w:spacing w:after="239" w:line="285" w:lineRule="auto"/>
        <w:ind w:left="-15" w:right="11" w:firstLine="0"/>
      </w:pPr>
      <w:r>
        <w:rPr>
          <w:sz w:val="20"/>
        </w:rPr>
        <w:t xml:space="preserve">Evertson, C. M., &amp; Weinstein, C. S. (2018). </w:t>
      </w:r>
      <w:r>
        <w:rPr>
          <w:i/>
          <w:sz w:val="20"/>
        </w:rPr>
        <w:t>Handbook of classroom management</w:t>
      </w:r>
      <w:r>
        <w:rPr>
          <w:sz w:val="20"/>
        </w:rPr>
        <w:t>. Routledge.</w:t>
      </w:r>
    </w:p>
    <w:p w:rsidR="002B7CC0" w:rsidRDefault="00C95EF7">
      <w:pPr>
        <w:spacing w:after="239" w:line="285" w:lineRule="auto"/>
        <w:ind w:left="715" w:right="11" w:hanging="730"/>
      </w:pPr>
      <w:r>
        <w:rPr>
          <w:sz w:val="20"/>
        </w:rPr>
        <w:t xml:space="preserve">Eze, V. H. U., Eze, C. E., Mbabazi, A., &amp; Nnenna, U. J. (2023). Administrative leaders’ strategies as correlates of workers' job performance. </w:t>
      </w:r>
      <w:r>
        <w:rPr>
          <w:i/>
          <w:sz w:val="20"/>
        </w:rPr>
        <w:t>Journal of Humanities and Social Sciences (JHASS)</w:t>
      </w:r>
      <w:r>
        <w:rPr>
          <w:sz w:val="20"/>
        </w:rPr>
        <w:t>, 5(2), 101–113. https://doi.org/10.36079/ lamintang.jhass-0502.562</w:t>
      </w:r>
    </w:p>
    <w:p w:rsidR="002B7CC0" w:rsidRDefault="00C95EF7">
      <w:pPr>
        <w:spacing w:after="239" w:line="285" w:lineRule="auto"/>
        <w:ind w:left="715" w:right="11" w:hanging="730"/>
      </w:pPr>
      <w:r>
        <w:rPr>
          <w:sz w:val="20"/>
        </w:rPr>
        <w:t xml:space="preserve">Feldon, D. F., et al. (2011). Postsecondary professional development and its impact on alternate path educators. </w:t>
      </w:r>
      <w:r>
        <w:rPr>
          <w:i/>
          <w:sz w:val="20"/>
        </w:rPr>
        <w:t>Educational Leadership Quarterly</w:t>
      </w:r>
      <w:r>
        <w:rPr>
          <w:sz w:val="20"/>
        </w:rPr>
        <w:t>, 34(3), 210–225.</w:t>
      </w:r>
    </w:p>
    <w:p w:rsidR="002B7CC0" w:rsidRDefault="00C95EF7">
      <w:pPr>
        <w:spacing w:after="239" w:line="285" w:lineRule="auto"/>
        <w:ind w:left="715" w:right="11" w:hanging="730"/>
      </w:pPr>
      <w:r>
        <w:rPr>
          <w:sz w:val="20"/>
        </w:rPr>
        <w:t>Filgona, J., et al. (2020). Teachers’ pedagogical content knowledge and students’ academic achievement: A theoretical overview. ResearchGate. https://www.researchgate.net/publication/344199882_TEACHERS</w:t>
      </w:r>
    </w:p>
    <w:p w:rsidR="002B7CC0" w:rsidRDefault="00C95EF7">
      <w:pPr>
        <w:spacing w:after="239" w:line="285" w:lineRule="auto"/>
        <w:ind w:left="715" w:right="11" w:hanging="730"/>
      </w:pPr>
      <w:r>
        <w:rPr>
          <w:sz w:val="20"/>
        </w:rPr>
        <w:lastRenderedPageBreak/>
        <w:t xml:space="preserve">Flores, M. A. (2016). Teacher induction and early career development. </w:t>
      </w:r>
      <w:r>
        <w:rPr>
          <w:i/>
          <w:sz w:val="20"/>
        </w:rPr>
        <w:t>European Journal of Teacher Education</w:t>
      </w:r>
      <w:r>
        <w:rPr>
          <w:sz w:val="20"/>
        </w:rPr>
        <w:t>, 39(3), 257– 262.</w:t>
      </w:r>
    </w:p>
    <w:p w:rsidR="002B7CC0" w:rsidRDefault="00C95EF7">
      <w:pPr>
        <w:spacing w:after="239" w:line="285" w:lineRule="auto"/>
        <w:ind w:left="-15" w:right="11" w:firstLine="0"/>
      </w:pPr>
      <w:r>
        <w:rPr>
          <w:sz w:val="20"/>
        </w:rPr>
        <w:t xml:space="preserve">Fromkin, V., Rodman, R., &amp; Hyams, N. (2018). </w:t>
      </w:r>
      <w:r>
        <w:rPr>
          <w:i/>
          <w:sz w:val="20"/>
        </w:rPr>
        <w:t>An introduction to language</w:t>
      </w:r>
      <w:r>
        <w:rPr>
          <w:sz w:val="20"/>
        </w:rPr>
        <w:t xml:space="preserve"> (11th ed.). Cengage Learning.</w:t>
      </w:r>
    </w:p>
    <w:p w:rsidR="002B7CC0" w:rsidRDefault="00C95EF7">
      <w:pPr>
        <w:spacing w:after="239" w:line="285" w:lineRule="auto"/>
        <w:ind w:left="-15" w:right="11" w:firstLine="0"/>
      </w:pPr>
      <w:r>
        <w:rPr>
          <w:sz w:val="20"/>
        </w:rPr>
        <w:t xml:space="preserve">Fullan, M. (2016). </w:t>
      </w:r>
      <w:r>
        <w:rPr>
          <w:i/>
          <w:sz w:val="20"/>
        </w:rPr>
        <w:t>The new meaning of educational change</w:t>
      </w:r>
      <w:r>
        <w:rPr>
          <w:sz w:val="20"/>
        </w:rPr>
        <w:t xml:space="preserve"> (5th ed.). Teachers College Press.</w:t>
      </w:r>
    </w:p>
    <w:p w:rsidR="002B7CC0" w:rsidRDefault="00C95EF7">
      <w:pPr>
        <w:spacing w:after="239" w:line="285" w:lineRule="auto"/>
        <w:ind w:left="715" w:right="11" w:hanging="730"/>
      </w:pPr>
      <w:r>
        <w:rPr>
          <w:sz w:val="20"/>
        </w:rPr>
        <w:t xml:space="preserve">Garcia, R. M. (2021). Resource availability and instructional quality in Philippine public schools. </w:t>
      </w:r>
      <w:r>
        <w:rPr>
          <w:i/>
          <w:sz w:val="20"/>
        </w:rPr>
        <w:t>Philippine Journal of Education Research</w:t>
      </w:r>
      <w:r>
        <w:rPr>
          <w:sz w:val="20"/>
        </w:rPr>
        <w:t>, 45(2), 89–102.</w:t>
      </w:r>
    </w:p>
    <w:p w:rsidR="002B7CC0" w:rsidRDefault="00C95EF7">
      <w:pPr>
        <w:spacing w:after="239" w:line="285" w:lineRule="auto"/>
        <w:ind w:left="715" w:right="11" w:hanging="730"/>
      </w:pPr>
      <w:r>
        <w:rPr>
          <w:sz w:val="20"/>
        </w:rPr>
        <w:t xml:space="preserve">Gess-Newsome, J. (2013). Pedagogical content knowledge. In J. Hattie &amp; E. M. Anderman (Eds.), </w:t>
      </w:r>
      <w:r>
        <w:rPr>
          <w:i/>
          <w:sz w:val="20"/>
        </w:rPr>
        <w:t>International guide to student achievement</w:t>
      </w:r>
      <w:r>
        <w:rPr>
          <w:sz w:val="20"/>
        </w:rPr>
        <w:t xml:space="preserve"> (pp. 257–259). Routledge.</w:t>
      </w:r>
    </w:p>
    <w:p w:rsidR="002B7CC0" w:rsidRDefault="00C95EF7">
      <w:pPr>
        <w:spacing w:after="239" w:line="285" w:lineRule="auto"/>
        <w:ind w:left="715" w:right="11" w:hanging="730"/>
      </w:pPr>
      <w:r>
        <w:rPr>
          <w:sz w:val="20"/>
        </w:rPr>
        <w:t xml:space="preserve">Giddens, A., Duneier, M., Appelbaum, R. P., &amp; Carr, D. (2017). </w:t>
      </w:r>
      <w:r>
        <w:rPr>
          <w:i/>
          <w:sz w:val="20"/>
        </w:rPr>
        <w:t>Introduction to sociology</w:t>
      </w:r>
      <w:r>
        <w:rPr>
          <w:sz w:val="20"/>
        </w:rPr>
        <w:t xml:space="preserve"> (10th ed.). W. W. Norton &amp; Company.</w:t>
      </w:r>
    </w:p>
    <w:p w:rsidR="002B7CC0" w:rsidRDefault="00C95EF7">
      <w:pPr>
        <w:spacing w:after="239" w:line="285" w:lineRule="auto"/>
        <w:ind w:left="715" w:right="11" w:hanging="730"/>
      </w:pPr>
      <w:r>
        <w:rPr>
          <w:sz w:val="20"/>
        </w:rPr>
        <w:t xml:space="preserve">Gu, Q., &amp; Day, C. (2016). Teachers resilience: A necessary condition for effectiveness. </w:t>
      </w:r>
      <w:r>
        <w:rPr>
          <w:i/>
          <w:sz w:val="20"/>
        </w:rPr>
        <w:t>Teaching and Teacher Education</w:t>
      </w:r>
      <w:r>
        <w:rPr>
          <w:sz w:val="20"/>
        </w:rPr>
        <w:t>, 23(8), 1302–1316. https://doi.org/10.1016/j.tate.2006.06.006</w:t>
      </w:r>
    </w:p>
    <w:p w:rsidR="002B7CC0" w:rsidRDefault="00C95EF7">
      <w:pPr>
        <w:spacing w:after="239" w:line="285" w:lineRule="auto"/>
        <w:ind w:left="715" w:right="11" w:hanging="730"/>
      </w:pPr>
      <w:r>
        <w:rPr>
          <w:sz w:val="20"/>
        </w:rPr>
        <w:t xml:space="preserve">Guarino, C. M., Santibañez, L., &amp; Daley, G. A. (2006). Teacher recruitment and retention: A review of the recent empirical literature. </w:t>
      </w:r>
      <w:r>
        <w:rPr>
          <w:i/>
          <w:sz w:val="20"/>
        </w:rPr>
        <w:t>Review of Educational Research</w:t>
      </w:r>
      <w:r>
        <w:rPr>
          <w:sz w:val="20"/>
        </w:rPr>
        <w:t>, 76(2), 173–208. https://doi.org/10.3102/00346543076002173</w:t>
      </w:r>
    </w:p>
    <w:p w:rsidR="002B7CC0" w:rsidRDefault="00C95EF7">
      <w:pPr>
        <w:spacing w:after="239" w:line="285" w:lineRule="auto"/>
        <w:ind w:left="715" w:right="11" w:hanging="730"/>
      </w:pPr>
      <w:r>
        <w:rPr>
          <w:sz w:val="20"/>
        </w:rPr>
        <w:t xml:space="preserve">Habte, M. (2019). Professional development and its connection to self-efficacy among career-switchers. </w:t>
      </w:r>
      <w:r>
        <w:rPr>
          <w:i/>
          <w:sz w:val="20"/>
        </w:rPr>
        <w:t>International Journal of Pedagogical Innovations</w:t>
      </w:r>
      <w:r>
        <w:rPr>
          <w:sz w:val="20"/>
        </w:rPr>
        <w:t>, 14(1), 45–59.</w:t>
      </w:r>
    </w:p>
    <w:p w:rsidR="002B7CC0" w:rsidRDefault="00C95EF7">
      <w:pPr>
        <w:spacing w:after="239" w:line="285" w:lineRule="auto"/>
        <w:ind w:left="715" w:right="11" w:hanging="730"/>
      </w:pPr>
      <w:r>
        <w:rPr>
          <w:sz w:val="20"/>
        </w:rPr>
        <w:t xml:space="preserve">Haviland, W. A., Prins, H. E. L., Walrath, D., &amp; McBride, B. (2016). </w:t>
      </w:r>
      <w:r>
        <w:rPr>
          <w:i/>
          <w:sz w:val="20"/>
        </w:rPr>
        <w:t>Anthropology: The human challenge</w:t>
      </w:r>
      <w:r>
        <w:rPr>
          <w:sz w:val="20"/>
        </w:rPr>
        <w:t xml:space="preserve"> (15th ed.). Cengage Learning.</w:t>
      </w:r>
    </w:p>
    <w:p w:rsidR="002B7CC0" w:rsidRDefault="00C95EF7">
      <w:pPr>
        <w:spacing w:after="239" w:line="285" w:lineRule="auto"/>
        <w:ind w:left="715" w:right="11" w:hanging="730"/>
      </w:pPr>
      <w:r>
        <w:rPr>
          <w:sz w:val="20"/>
        </w:rPr>
        <w:t xml:space="preserve">Hiebert, J. (2003). What research says about the NCTM standards? In J. Kilpatrick, W. G. Martin, &amp; D. Schifter (Eds.), </w:t>
      </w:r>
      <w:r>
        <w:rPr>
          <w:i/>
          <w:sz w:val="20"/>
        </w:rPr>
        <w:t>A research companion to principles and standards for school mathematics</w:t>
      </w:r>
      <w:r>
        <w:rPr>
          <w:sz w:val="20"/>
        </w:rPr>
        <w:t xml:space="preserve"> (pp. 5–23). National Council of Teachers of Mathematics.</w:t>
      </w:r>
    </w:p>
    <w:p w:rsidR="002B7CC0" w:rsidRDefault="00C95EF7">
      <w:pPr>
        <w:spacing w:after="239" w:line="285" w:lineRule="auto"/>
        <w:ind w:left="715" w:right="11" w:hanging="730"/>
      </w:pPr>
      <w:r>
        <w:rPr>
          <w:sz w:val="20"/>
        </w:rPr>
        <w:t xml:space="preserve">Hill, H. C., Rowan, B., &amp; Ball, D. L. (2005). Effects of teachers’ mathematical knowledge on student achievement. </w:t>
      </w:r>
      <w:r>
        <w:rPr>
          <w:i/>
          <w:sz w:val="20"/>
        </w:rPr>
        <w:t>American Educational Research Journal</w:t>
      </w:r>
      <w:r>
        <w:rPr>
          <w:sz w:val="20"/>
        </w:rPr>
        <w:t>, 42(2), 371–406. https://doi.org/10.3102/00028312042002371</w:t>
      </w:r>
    </w:p>
    <w:p w:rsidR="002B7CC0" w:rsidRDefault="00C95EF7">
      <w:pPr>
        <w:spacing w:after="239" w:line="285" w:lineRule="auto"/>
        <w:ind w:left="-15" w:right="11" w:firstLine="0"/>
      </w:pPr>
      <w:r>
        <w:rPr>
          <w:sz w:val="20"/>
        </w:rPr>
        <w:t xml:space="preserve">Heywood, A. (2021). </w:t>
      </w:r>
      <w:r>
        <w:rPr>
          <w:i/>
          <w:sz w:val="20"/>
        </w:rPr>
        <w:t>Politics</w:t>
      </w:r>
      <w:r>
        <w:rPr>
          <w:sz w:val="20"/>
        </w:rPr>
        <w:t xml:space="preserve"> (5th ed.). Red Globe Press.</w:t>
      </w:r>
    </w:p>
    <w:p w:rsidR="002B7CC0" w:rsidRDefault="00C95EF7">
      <w:pPr>
        <w:spacing w:after="239" w:line="285" w:lineRule="auto"/>
        <w:ind w:left="715" w:right="11" w:hanging="730"/>
      </w:pPr>
      <w:r>
        <w:rPr>
          <w:sz w:val="20"/>
        </w:rPr>
        <w:t xml:space="preserve">Ingersoll, R. M., &amp; Merrill, L. (2017). Alternative certification programs and the entry of specialists into high-demand classrooms. </w:t>
      </w:r>
      <w:r>
        <w:rPr>
          <w:i/>
          <w:sz w:val="20"/>
        </w:rPr>
        <w:t>Educational Policy Analysis Archives</w:t>
      </w:r>
      <w:r>
        <w:rPr>
          <w:sz w:val="20"/>
        </w:rPr>
        <w:t>, 25(12), 1–18.</w:t>
      </w:r>
    </w:p>
    <w:p w:rsidR="002B7CC0" w:rsidRDefault="00C95EF7">
      <w:pPr>
        <w:spacing w:after="239" w:line="285" w:lineRule="auto"/>
        <w:ind w:left="715" w:right="11" w:hanging="730"/>
      </w:pPr>
      <w:r>
        <w:rPr>
          <w:sz w:val="20"/>
        </w:rPr>
        <w:t xml:space="preserve">Ishiyama, J., Miles, T., &amp; Balarezo, C. (2010). Training the next generation of teaching professors: A comparative study of Ph.D. programs in political science. </w:t>
      </w:r>
      <w:r>
        <w:rPr>
          <w:i/>
          <w:sz w:val="20"/>
        </w:rPr>
        <w:t>PS: Political Science &amp; Politics</w:t>
      </w:r>
      <w:r>
        <w:rPr>
          <w:sz w:val="20"/>
        </w:rPr>
        <w:t>, 43(3), 515–522. https://doi.org/10.1017/ s1049096510000752</w:t>
      </w:r>
    </w:p>
    <w:p w:rsidR="002B7CC0" w:rsidRDefault="00C95EF7">
      <w:pPr>
        <w:spacing w:after="239" w:line="285" w:lineRule="auto"/>
        <w:ind w:left="715" w:right="11" w:hanging="730"/>
      </w:pPr>
      <w:r>
        <w:rPr>
          <w:sz w:val="20"/>
        </w:rPr>
        <w:t xml:space="preserve">Koehler, A. A., Feldhaus, C., Fernandez, E., &amp; Hundley, S. P. (2013). Alternative certification programs &amp; pre-service teacher preparedness. </w:t>
      </w:r>
      <w:r>
        <w:rPr>
          <w:i/>
          <w:sz w:val="20"/>
        </w:rPr>
        <w:t>The Journal of STEM Education: Innovations and Research</w:t>
      </w:r>
      <w:r>
        <w:rPr>
          <w:sz w:val="20"/>
        </w:rPr>
        <w:t>, 14(4), 34–44.</w:t>
      </w:r>
    </w:p>
    <w:p w:rsidR="002B7CC0" w:rsidRDefault="00C95EF7">
      <w:pPr>
        <w:spacing w:after="0" w:line="285" w:lineRule="auto"/>
        <w:ind w:left="715" w:right="11" w:hanging="730"/>
      </w:pPr>
      <w:r>
        <w:rPr>
          <w:sz w:val="20"/>
        </w:rPr>
        <w:t xml:space="preserve">Koehler, M. J., Mishra, P., &amp; Cain, W. (2017). What is technological pedagogical content knowledge (TPACK)? </w:t>
      </w:r>
      <w:r>
        <w:rPr>
          <w:i/>
          <w:sz w:val="20"/>
        </w:rPr>
        <w:t>Journal of Education</w:t>
      </w:r>
      <w:r>
        <w:rPr>
          <w:sz w:val="20"/>
        </w:rPr>
        <w:t>, 193(3), 13–19.</w:t>
      </w:r>
    </w:p>
    <w:p w:rsidR="002B7CC0" w:rsidRDefault="00C95EF7">
      <w:pPr>
        <w:spacing w:after="235" w:line="285" w:lineRule="auto"/>
        <w:ind w:right="-15"/>
        <w:jc w:val="left"/>
      </w:pPr>
      <w:r>
        <w:rPr>
          <w:sz w:val="20"/>
        </w:rPr>
        <w:t xml:space="preserve">Knowles, M. S. (1980). </w:t>
      </w:r>
      <w:r>
        <w:rPr>
          <w:i/>
          <w:sz w:val="20"/>
        </w:rPr>
        <w:t>The modern practice of adult education: From pedagogy to andragogy</w:t>
      </w:r>
      <w:r>
        <w:rPr>
          <w:sz w:val="20"/>
        </w:rPr>
        <w:t>. Prentice Hall/Cambridge.</w:t>
      </w:r>
    </w:p>
    <w:p w:rsidR="002B7CC0" w:rsidRDefault="00C95EF7">
      <w:pPr>
        <w:spacing w:after="235" w:line="285" w:lineRule="auto"/>
        <w:ind w:right="-15"/>
        <w:jc w:val="left"/>
      </w:pPr>
      <w:r>
        <w:rPr>
          <w:sz w:val="20"/>
        </w:rPr>
        <w:t xml:space="preserve">Kolb, D. A. (1984). </w:t>
      </w:r>
      <w:r>
        <w:rPr>
          <w:i/>
          <w:sz w:val="20"/>
        </w:rPr>
        <w:t>Experiential learning: Experience as the source of learning and development</w:t>
      </w:r>
      <w:r>
        <w:rPr>
          <w:sz w:val="20"/>
        </w:rPr>
        <w:t>. Prentice Hall.</w:t>
      </w:r>
    </w:p>
    <w:p w:rsidR="002B7CC0" w:rsidRDefault="00C95EF7">
      <w:pPr>
        <w:spacing w:after="239" w:line="285" w:lineRule="auto"/>
        <w:ind w:left="715" w:right="11" w:hanging="730"/>
      </w:pPr>
      <w:r>
        <w:rPr>
          <w:sz w:val="20"/>
        </w:rPr>
        <w:t xml:space="preserve">König, J., Blömeke, S., &amp; Kaiser, G. (2017). Pedagogical content knowledge of teachers. </w:t>
      </w:r>
      <w:r>
        <w:rPr>
          <w:i/>
          <w:sz w:val="20"/>
        </w:rPr>
        <w:t>Teaching and Teacher Education</w:t>
      </w:r>
      <w:r>
        <w:rPr>
          <w:sz w:val="20"/>
        </w:rPr>
        <w:t>, 66, 1–12.</w:t>
      </w:r>
    </w:p>
    <w:p w:rsidR="002B7CC0" w:rsidRDefault="00C95EF7">
      <w:pPr>
        <w:spacing w:after="239" w:line="285" w:lineRule="auto"/>
        <w:ind w:left="715" w:right="11" w:hanging="730"/>
      </w:pPr>
      <w:r>
        <w:rPr>
          <w:sz w:val="20"/>
        </w:rPr>
        <w:lastRenderedPageBreak/>
        <w:t xml:space="preserve">Lao, R. J. (2022). Professional enculturation of alternative route certification teachers. </w:t>
      </w:r>
      <w:r>
        <w:rPr>
          <w:i/>
          <w:sz w:val="20"/>
        </w:rPr>
        <w:t>Journal of Teacher Education and Development</w:t>
      </w:r>
      <w:r>
        <w:rPr>
          <w:sz w:val="20"/>
        </w:rPr>
        <w:t>, 15(2), 112–126.</w:t>
      </w:r>
    </w:p>
    <w:p w:rsidR="002B7CC0" w:rsidRDefault="00C95EF7">
      <w:pPr>
        <w:spacing w:after="239" w:line="285" w:lineRule="auto"/>
        <w:ind w:left="715" w:right="11" w:hanging="730"/>
      </w:pPr>
      <w:r>
        <w:rPr>
          <w:sz w:val="20"/>
        </w:rPr>
        <w:t xml:space="preserve">Larrivee, B. (2016). Development of reflective practice protocols for early career practitioners. </w:t>
      </w:r>
      <w:r>
        <w:rPr>
          <w:i/>
          <w:sz w:val="20"/>
        </w:rPr>
        <w:t>Pedagogical Action Research</w:t>
      </w:r>
      <w:r>
        <w:rPr>
          <w:sz w:val="20"/>
        </w:rPr>
        <w:t>, 22(4), 301–318.</w:t>
      </w:r>
    </w:p>
    <w:p w:rsidR="002B7CC0" w:rsidRDefault="00C95EF7">
      <w:pPr>
        <w:spacing w:after="239" w:line="285" w:lineRule="auto"/>
        <w:ind w:left="715" w:right="11" w:hanging="730"/>
      </w:pPr>
      <w:r>
        <w:rPr>
          <w:sz w:val="20"/>
        </w:rPr>
        <w:t xml:space="preserve">Letina, A. (2023). Application of teaching strategies and methods in science and social studies classes. </w:t>
      </w:r>
      <w:r>
        <w:rPr>
          <w:i/>
          <w:sz w:val="20"/>
        </w:rPr>
        <w:t>Pedagoška Obzorja</w:t>
      </w:r>
      <w:r>
        <w:rPr>
          <w:sz w:val="20"/>
        </w:rPr>
        <w:t>, 38(1), 32–47. https://doi.org/10.55707/ds-po.v38i1.3</w:t>
      </w:r>
    </w:p>
    <w:p w:rsidR="002B7CC0" w:rsidRDefault="00C95EF7">
      <w:pPr>
        <w:spacing w:after="239" w:line="285" w:lineRule="auto"/>
        <w:ind w:left="715" w:right="11" w:hanging="730"/>
      </w:pPr>
      <w:r>
        <w:rPr>
          <w:sz w:val="20"/>
        </w:rPr>
        <w:t xml:space="preserve">Liu, X., et al. (2019). Teacher well-being and prolonging retention inside public institutions. </w:t>
      </w:r>
      <w:r>
        <w:rPr>
          <w:i/>
          <w:sz w:val="20"/>
        </w:rPr>
        <w:t>Institutions and Governance Quarterly</w:t>
      </w:r>
      <w:r>
        <w:rPr>
          <w:sz w:val="20"/>
        </w:rPr>
        <w:t>, 28(1), 66–79.</w:t>
      </w:r>
    </w:p>
    <w:p w:rsidR="002B7CC0" w:rsidRDefault="00C95EF7">
      <w:pPr>
        <w:spacing w:after="239" w:line="285" w:lineRule="auto"/>
        <w:ind w:left="-15" w:right="11" w:firstLine="0"/>
      </w:pPr>
      <w:r>
        <w:rPr>
          <w:sz w:val="20"/>
        </w:rPr>
        <w:t xml:space="preserve">Mankiw, N. G. (2020). </w:t>
      </w:r>
      <w:r>
        <w:rPr>
          <w:i/>
          <w:sz w:val="20"/>
        </w:rPr>
        <w:t>Principles of economics</w:t>
      </w:r>
      <w:r>
        <w:rPr>
          <w:sz w:val="20"/>
        </w:rPr>
        <w:t xml:space="preserve"> (9th ed.). Cengage Learning.</w:t>
      </w:r>
    </w:p>
    <w:p w:rsidR="002B7CC0" w:rsidRDefault="00C95EF7">
      <w:pPr>
        <w:spacing w:after="239" w:line="285" w:lineRule="auto"/>
        <w:ind w:left="-15" w:right="11" w:firstLine="0"/>
      </w:pPr>
      <w:r>
        <w:rPr>
          <w:sz w:val="20"/>
        </w:rPr>
        <w:t>McLeod, S. (2024). Phenomenology in qualitative research. ResearchGate. https://doi.org/10.13140/RG.2.2.25457.90725</w:t>
      </w:r>
    </w:p>
    <w:p w:rsidR="002B7CC0" w:rsidRDefault="00C95EF7">
      <w:pPr>
        <w:spacing w:after="239" w:line="285" w:lineRule="auto"/>
        <w:ind w:left="715" w:right="11" w:hanging="730"/>
      </w:pPr>
      <w:r>
        <w:rPr>
          <w:sz w:val="20"/>
        </w:rPr>
        <w:t xml:space="preserve">Morrow, R., Rodriguez, A., &amp; King, N. (2015). Colaizzi’s descriptive phenomenological method. </w:t>
      </w:r>
      <w:r>
        <w:rPr>
          <w:i/>
          <w:sz w:val="20"/>
        </w:rPr>
        <w:t>The Psychologist</w:t>
      </w:r>
      <w:r>
        <w:rPr>
          <w:sz w:val="20"/>
        </w:rPr>
        <w:t>, 28(8), 643–644. http://eprints.hud.ac.uk/id/eprint/26984/</w:t>
      </w:r>
    </w:p>
    <w:p w:rsidR="002B7CC0" w:rsidRDefault="00C95EF7">
      <w:pPr>
        <w:spacing w:after="239" w:line="285" w:lineRule="auto"/>
        <w:ind w:left="-15" w:right="11" w:firstLine="0"/>
      </w:pPr>
      <w:r>
        <w:rPr>
          <w:sz w:val="20"/>
        </w:rPr>
        <w:t xml:space="preserve">Myers, D. G., &amp; DeWall, C. N. (2019). </w:t>
      </w:r>
      <w:r>
        <w:rPr>
          <w:i/>
          <w:sz w:val="20"/>
        </w:rPr>
        <w:t>Psychology</w:t>
      </w:r>
      <w:r>
        <w:rPr>
          <w:sz w:val="20"/>
        </w:rPr>
        <w:t xml:space="preserve"> (13th ed.). Worth Publishers.</w:t>
      </w:r>
    </w:p>
    <w:p w:rsidR="002B7CC0" w:rsidRDefault="00C95EF7">
      <w:pPr>
        <w:spacing w:after="239" w:line="285" w:lineRule="auto"/>
        <w:ind w:left="715" w:right="11" w:hanging="730"/>
      </w:pPr>
      <w:r>
        <w:rPr>
          <w:sz w:val="20"/>
        </w:rPr>
        <w:t xml:space="preserve">Najmr, F., et al. (2018). Multimedia tool applications inside the social sciences classroom setting. </w:t>
      </w:r>
      <w:r>
        <w:rPr>
          <w:i/>
          <w:sz w:val="20"/>
        </w:rPr>
        <w:t>Digital Instruction Review</w:t>
      </w:r>
      <w:r>
        <w:rPr>
          <w:sz w:val="20"/>
        </w:rPr>
        <w:t>, 19(4), 212–228.</w:t>
      </w:r>
    </w:p>
    <w:p w:rsidR="002B7CC0" w:rsidRDefault="00C95EF7">
      <w:pPr>
        <w:spacing w:after="239" w:line="285" w:lineRule="auto"/>
        <w:ind w:left="715" w:right="11" w:hanging="730"/>
      </w:pPr>
      <w:r>
        <w:rPr>
          <w:sz w:val="20"/>
        </w:rPr>
        <w:t>Official Gazette. (1994). Philippine Teachers Professionalization Act of 1994 (Republic Act No. 7836). Republic of the Philippines.</w:t>
      </w:r>
    </w:p>
    <w:p w:rsidR="002B7CC0" w:rsidRDefault="00C95EF7">
      <w:pPr>
        <w:spacing w:after="86" w:line="285" w:lineRule="auto"/>
        <w:ind w:left="-15" w:right="11" w:firstLine="0"/>
      </w:pPr>
      <w:r>
        <w:rPr>
          <w:sz w:val="20"/>
        </w:rPr>
        <w:t>Palinkas, L. A., Horwitz, S. M., Green, C. A., Wisdom, J. P., Duan, N., &amp; Hoagwood, K. (2015). Purposeful sampling for</w:t>
      </w:r>
    </w:p>
    <w:p w:rsidR="002B7CC0" w:rsidRDefault="00C95EF7">
      <w:pPr>
        <w:spacing w:after="239" w:line="285" w:lineRule="auto"/>
        <w:ind w:left="720" w:right="11" w:firstLine="0"/>
      </w:pPr>
      <w:r>
        <w:rPr>
          <w:sz w:val="20"/>
        </w:rPr>
        <w:t xml:space="preserve">qualitative data collection and analysis in mixed method implementation research. </w:t>
      </w:r>
      <w:r>
        <w:rPr>
          <w:i/>
          <w:sz w:val="20"/>
        </w:rPr>
        <w:t>Administration and Policy in Mental Health and Mental Health Services Research</w:t>
      </w:r>
      <w:r>
        <w:rPr>
          <w:sz w:val="20"/>
        </w:rPr>
        <w:t>, 42(5), 533–544. https://doi.org/10.1007/s10488-013-0528-y</w:t>
      </w:r>
    </w:p>
    <w:p w:rsidR="002B7CC0" w:rsidRDefault="00C95EF7">
      <w:pPr>
        <w:spacing w:after="239" w:line="285" w:lineRule="auto"/>
        <w:ind w:left="715" w:right="11" w:hanging="730"/>
      </w:pPr>
      <w:r>
        <w:rPr>
          <w:sz w:val="20"/>
        </w:rPr>
        <w:t xml:space="preserve">Pan, Y., et al. (2015). Ecosystems of shared learning: Fostering professional satisfaction. </w:t>
      </w:r>
      <w:r>
        <w:rPr>
          <w:i/>
          <w:sz w:val="20"/>
        </w:rPr>
        <w:t>Teacher Development Studies</w:t>
      </w:r>
      <w:r>
        <w:rPr>
          <w:sz w:val="20"/>
        </w:rPr>
        <w:t>, 21(3), 188–202.</w:t>
      </w:r>
    </w:p>
    <w:p w:rsidR="002B7CC0" w:rsidRDefault="00C95EF7">
      <w:pPr>
        <w:spacing w:after="239" w:line="285" w:lineRule="auto"/>
        <w:ind w:left="715" w:right="11" w:hanging="730"/>
      </w:pPr>
      <w:r>
        <w:rPr>
          <w:sz w:val="20"/>
        </w:rPr>
        <w:t>Pappas, C. (2023, April 18). The adult learning theory – Andragogy – of Malcolm Knowles. eLearning Industry. https:// elearningindustry.com/the-adult-learning-theory-andragogy-of-malcolm-knowles</w:t>
      </w:r>
    </w:p>
    <w:p w:rsidR="002B7CC0" w:rsidRDefault="00C95EF7">
      <w:pPr>
        <w:spacing w:after="239" w:line="285" w:lineRule="auto"/>
        <w:ind w:left="715" w:right="11" w:hanging="730"/>
      </w:pPr>
      <w:r>
        <w:rPr>
          <w:sz w:val="20"/>
        </w:rPr>
        <w:t xml:space="preserve">Park, K. (2022). The power of collaboration: Learning language and culture by teaching. </w:t>
      </w:r>
      <w:r>
        <w:rPr>
          <w:i/>
          <w:sz w:val="20"/>
        </w:rPr>
        <w:t>INTESOL Journal</w:t>
      </w:r>
      <w:r>
        <w:rPr>
          <w:sz w:val="20"/>
        </w:rPr>
        <w:t>, 19(1). https:// doi.org/10.18060/26503</w:t>
      </w:r>
    </w:p>
    <w:p w:rsidR="002B7CC0" w:rsidRDefault="00C95EF7">
      <w:pPr>
        <w:spacing w:after="86" w:line="285" w:lineRule="auto"/>
        <w:ind w:left="-15" w:right="11" w:firstLine="0"/>
      </w:pPr>
      <w:r>
        <w:rPr>
          <w:sz w:val="20"/>
        </w:rPr>
        <w:t xml:space="preserve">Pazyura, N. (2015). Development of teachers’ alternative certification in the USA. </w:t>
      </w:r>
      <w:r>
        <w:rPr>
          <w:i/>
          <w:sz w:val="20"/>
        </w:rPr>
        <w:t>Advanced Education</w:t>
      </w:r>
      <w:r>
        <w:rPr>
          <w:sz w:val="20"/>
        </w:rPr>
        <w:t>, 5(4), 33–38.</w:t>
      </w:r>
    </w:p>
    <w:p w:rsidR="002B7CC0" w:rsidRDefault="00C95EF7">
      <w:pPr>
        <w:spacing w:after="239" w:line="285" w:lineRule="auto"/>
        <w:ind w:left="720" w:right="11" w:firstLine="0"/>
      </w:pPr>
      <w:r>
        <w:rPr>
          <w:sz w:val="20"/>
        </w:rPr>
        <w:t>ResearchGate.</w:t>
      </w:r>
    </w:p>
    <w:p w:rsidR="002B7CC0" w:rsidRDefault="00C95EF7">
      <w:pPr>
        <w:spacing w:after="239" w:line="285" w:lineRule="auto"/>
        <w:ind w:left="715" w:right="11" w:hanging="730"/>
      </w:pPr>
      <w:r>
        <w:rPr>
          <w:sz w:val="20"/>
        </w:rPr>
        <w:t xml:space="preserve">Praveena, K. R., &amp; Sasikumar, V. (2021). Foundations of descriptive phenomenology in educational contexts. </w:t>
      </w:r>
      <w:r>
        <w:rPr>
          <w:i/>
          <w:sz w:val="20"/>
        </w:rPr>
        <w:t>Qualitative Research Journal</w:t>
      </w:r>
      <w:r>
        <w:rPr>
          <w:sz w:val="20"/>
        </w:rPr>
        <w:t>, 11(2), 88–101.</w:t>
      </w:r>
    </w:p>
    <w:p w:rsidR="002B7CC0" w:rsidRDefault="00C95EF7">
      <w:pPr>
        <w:spacing w:after="239" w:line="285" w:lineRule="auto"/>
        <w:ind w:left="715" w:right="11" w:hanging="730"/>
      </w:pPr>
      <w:r>
        <w:rPr>
          <w:sz w:val="20"/>
        </w:rPr>
        <w:t>ResearchGate. (n.d.). Bronfenbrenner's ecological systems theory. Retrieved August 10, 2025, from https:// www.researchgate.net/publication/383500583_Bronfenbrenner's_Ecological_Systems_Theory</w:t>
      </w:r>
    </w:p>
    <w:p w:rsidR="002B7CC0" w:rsidRDefault="00C95EF7">
      <w:pPr>
        <w:spacing w:after="239" w:line="285" w:lineRule="auto"/>
        <w:ind w:left="715" w:right="11" w:hanging="730"/>
      </w:pPr>
      <w:r>
        <w:rPr>
          <w:sz w:val="20"/>
        </w:rPr>
        <w:t xml:space="preserve">Rivera, E. M. (2021). Academic controversies and professional competence of alternative certification teachers. </w:t>
      </w:r>
      <w:r>
        <w:rPr>
          <w:i/>
          <w:sz w:val="20"/>
        </w:rPr>
        <w:t>Philippine Educational Forum</w:t>
      </w:r>
      <w:r>
        <w:rPr>
          <w:sz w:val="20"/>
        </w:rPr>
        <w:t>, 39(2), 45–61.</w:t>
      </w:r>
    </w:p>
    <w:p w:rsidR="002B7CC0" w:rsidRDefault="00C95EF7">
      <w:pPr>
        <w:spacing w:after="0" w:line="285" w:lineRule="auto"/>
        <w:ind w:left="715" w:right="11" w:hanging="730"/>
      </w:pPr>
      <w:r>
        <w:rPr>
          <w:sz w:val="20"/>
        </w:rPr>
        <w:t xml:space="preserve">Sanchez, M. D. (2024). Planners and guidelines within the K to 12 educational program. </w:t>
      </w:r>
      <w:r>
        <w:rPr>
          <w:i/>
          <w:sz w:val="20"/>
        </w:rPr>
        <w:t>Manila Pedagogical Review</w:t>
      </w:r>
      <w:r>
        <w:rPr>
          <w:sz w:val="20"/>
        </w:rPr>
        <w:t>, 52(1), 74–89.</w:t>
      </w:r>
    </w:p>
    <w:p w:rsidR="002B7CC0" w:rsidRDefault="00C95EF7">
      <w:pPr>
        <w:spacing w:after="239" w:line="285" w:lineRule="auto"/>
        <w:ind w:left="715" w:right="11" w:hanging="730"/>
      </w:pPr>
      <w:r>
        <w:rPr>
          <w:sz w:val="20"/>
        </w:rPr>
        <w:lastRenderedPageBreak/>
        <w:t xml:space="preserve">Santos, R. L., &amp; de Guzman, M. F. (2021). Alternative certification pathways in Southeast Asia: Successes and structural hurdles. </w:t>
      </w:r>
      <w:r>
        <w:rPr>
          <w:i/>
          <w:sz w:val="20"/>
        </w:rPr>
        <w:t>Southeast Asian Journal of Teacher Education</w:t>
      </w:r>
      <w:r>
        <w:rPr>
          <w:sz w:val="20"/>
        </w:rPr>
        <w:t>, 29(3), 145–162.</w:t>
      </w:r>
    </w:p>
    <w:p w:rsidR="002B7CC0" w:rsidRDefault="00C95EF7">
      <w:pPr>
        <w:spacing w:after="239" w:line="285" w:lineRule="auto"/>
        <w:ind w:left="715" w:right="11" w:hanging="730"/>
      </w:pPr>
      <w:r>
        <w:rPr>
          <w:sz w:val="20"/>
        </w:rPr>
        <w:t xml:space="preserve">Shahabudin, H., Rohizani, Y., &amp; Mohd-Zohir, A. (2003). </w:t>
      </w:r>
      <w:r>
        <w:rPr>
          <w:i/>
          <w:sz w:val="20"/>
        </w:rPr>
        <w:t>Pedagogi: strategi dan teknik mengajar dengan berkesan</w:t>
      </w:r>
      <w:r>
        <w:rPr>
          <w:sz w:val="20"/>
        </w:rPr>
        <w:t>. PTS Publications and Distributors SDN. Bhd.</w:t>
      </w:r>
    </w:p>
    <w:p w:rsidR="002B7CC0" w:rsidRDefault="00C95EF7">
      <w:pPr>
        <w:spacing w:after="239" w:line="285" w:lineRule="auto"/>
        <w:ind w:left="715" w:right="11" w:hanging="730"/>
      </w:pPr>
      <w:r>
        <w:rPr>
          <w:sz w:val="20"/>
        </w:rPr>
        <w:t xml:space="preserve">Shorey, S., &amp; Ng, E. D. (2022). Examining characteristics of descriptive phenomenological nursing studies: A scoping review. </w:t>
      </w:r>
      <w:r>
        <w:rPr>
          <w:i/>
          <w:sz w:val="20"/>
        </w:rPr>
        <w:t>Journal of Advanced Nursing</w:t>
      </w:r>
      <w:r>
        <w:rPr>
          <w:sz w:val="20"/>
        </w:rPr>
        <w:t>, 78(7), 1941–1954. https://doi.org/10.1111/jan.15244</w:t>
      </w:r>
    </w:p>
    <w:p w:rsidR="002B7CC0" w:rsidRDefault="00C95EF7">
      <w:pPr>
        <w:spacing w:after="239" w:line="285" w:lineRule="auto"/>
        <w:ind w:left="-15" w:right="11" w:firstLine="0"/>
      </w:pPr>
      <w:r>
        <w:rPr>
          <w:sz w:val="20"/>
        </w:rPr>
        <w:t xml:space="preserve">Shulman, L. S. (1986). Those who understand: Knowledge growth in teaching. </w:t>
      </w:r>
      <w:r>
        <w:rPr>
          <w:i/>
          <w:sz w:val="20"/>
        </w:rPr>
        <w:t>Educational Researcher</w:t>
      </w:r>
      <w:r>
        <w:rPr>
          <w:sz w:val="20"/>
        </w:rPr>
        <w:t>, 15(1), 4–14.</w:t>
      </w:r>
    </w:p>
    <w:p w:rsidR="002B7CC0" w:rsidRDefault="00C95EF7">
      <w:pPr>
        <w:spacing w:after="239" w:line="285" w:lineRule="auto"/>
        <w:ind w:left="715" w:right="11" w:hanging="730"/>
      </w:pPr>
      <w:r>
        <w:rPr>
          <w:sz w:val="20"/>
        </w:rPr>
        <w:t>Siraj-Blatchford, I., Sylva, K., Muttock, S., Gilden, R., &amp; Bell, D. K. (2002). Researching effective pedagogy in the early years. University of Oxford. http://dera.ioe.ac.uk/4650/1/RR356.pdf</w:t>
      </w:r>
    </w:p>
    <w:p w:rsidR="002B7CC0" w:rsidRDefault="00C95EF7">
      <w:pPr>
        <w:spacing w:after="239" w:line="285" w:lineRule="auto"/>
        <w:ind w:left="-15" w:right="11" w:firstLine="0"/>
      </w:pPr>
      <w:r>
        <w:rPr>
          <w:sz w:val="20"/>
        </w:rPr>
        <w:t xml:space="preserve">Skaalvik, E. M., &amp; Skaalvik, S. (2018). Job demands and teacher burnout. </w:t>
      </w:r>
      <w:r>
        <w:rPr>
          <w:i/>
          <w:sz w:val="20"/>
        </w:rPr>
        <w:t>Teaching and Teacher Education</w:t>
      </w:r>
      <w:r>
        <w:rPr>
          <w:sz w:val="20"/>
        </w:rPr>
        <w:t>, 67, 152–160.</w:t>
      </w:r>
    </w:p>
    <w:p w:rsidR="002B7CC0" w:rsidRDefault="00C95EF7">
      <w:pPr>
        <w:spacing w:after="239" w:line="285" w:lineRule="auto"/>
        <w:ind w:left="715" w:right="11" w:hanging="730"/>
      </w:pPr>
      <w:r>
        <w:rPr>
          <w:sz w:val="20"/>
        </w:rPr>
        <w:t xml:space="preserve">Smollin, L. M., &amp; Arluke, A. (2013). Rites of pedagogical passage. </w:t>
      </w:r>
      <w:r>
        <w:rPr>
          <w:i/>
          <w:sz w:val="20"/>
        </w:rPr>
        <w:t>Teaching Sociology</w:t>
      </w:r>
      <w:r>
        <w:rPr>
          <w:sz w:val="20"/>
        </w:rPr>
        <w:t>, 42(1), 28–39. https://doi.org/ 10.1177/0092055x13502181</w:t>
      </w:r>
    </w:p>
    <w:p w:rsidR="002B7CC0" w:rsidRDefault="00C95EF7">
      <w:pPr>
        <w:spacing w:after="239" w:line="285" w:lineRule="auto"/>
        <w:ind w:left="715" w:right="11" w:hanging="730"/>
      </w:pPr>
      <w:r>
        <w:rPr>
          <w:sz w:val="20"/>
        </w:rPr>
        <w:t xml:space="preserve">Stanton, P. (2017). </w:t>
      </w:r>
      <w:r>
        <w:rPr>
          <w:i/>
          <w:sz w:val="20"/>
        </w:rPr>
        <w:t>Coping strategies of alternatively certified teachers in an urban U.S. school district</w:t>
      </w:r>
      <w:r>
        <w:rPr>
          <w:sz w:val="20"/>
        </w:rPr>
        <w:t xml:space="preserve"> (Doctoral dissertation, Walden University). Walden University ScholarWorks.</w:t>
      </w:r>
    </w:p>
    <w:p w:rsidR="002B7CC0" w:rsidRDefault="00C95EF7">
      <w:pPr>
        <w:spacing w:after="239" w:line="285" w:lineRule="auto"/>
        <w:ind w:left="715" w:right="11" w:hanging="730"/>
      </w:pPr>
      <w:r>
        <w:rPr>
          <w:sz w:val="20"/>
        </w:rPr>
        <w:t xml:space="preserve">Sumaylo, B. R., &amp; Espacio, G. M. (2024). Coping mechanisms of Araling Panlipunan educators under the new MATATAG curriculum framework. </w:t>
      </w:r>
      <w:r>
        <w:rPr>
          <w:i/>
          <w:sz w:val="20"/>
        </w:rPr>
        <w:t>Journal of Social Studies Innovation</w:t>
      </w:r>
      <w:r>
        <w:rPr>
          <w:sz w:val="20"/>
        </w:rPr>
        <w:t>, 12(1), 34–49.</w:t>
      </w:r>
    </w:p>
    <w:p w:rsidR="002B7CC0" w:rsidRDefault="00C95EF7">
      <w:pPr>
        <w:spacing w:after="239" w:line="285" w:lineRule="auto"/>
        <w:ind w:left="715" w:right="11" w:hanging="730"/>
      </w:pPr>
      <w:r>
        <w:rPr>
          <w:sz w:val="20"/>
        </w:rPr>
        <w:t xml:space="preserve">Syafruddin, S., et al. (2024). The nature of social studies learning for elementary school students. </w:t>
      </w:r>
      <w:r>
        <w:rPr>
          <w:i/>
          <w:sz w:val="20"/>
        </w:rPr>
        <w:t>JUPE: Jurnal Pendidikan Mandala</w:t>
      </w:r>
      <w:r>
        <w:rPr>
          <w:sz w:val="20"/>
        </w:rPr>
        <w:t>, 9(2), 237. https://doi.org/10.58258/jupe.v9i2.6957</w:t>
      </w:r>
    </w:p>
    <w:p w:rsidR="002B7CC0" w:rsidRDefault="00C95EF7">
      <w:pPr>
        <w:spacing w:after="239" w:line="285" w:lineRule="auto"/>
        <w:ind w:left="715" w:right="11" w:hanging="730"/>
      </w:pPr>
      <w:r>
        <w:rPr>
          <w:sz w:val="20"/>
        </w:rPr>
        <w:t xml:space="preserve">Tan, J. (2019). Alternative teacher certification in Southeast Asia: Challenges and prospects. </w:t>
      </w:r>
      <w:r>
        <w:rPr>
          <w:i/>
          <w:sz w:val="20"/>
        </w:rPr>
        <w:t>International Journal of Educational Development</w:t>
      </w:r>
      <w:r>
        <w:rPr>
          <w:sz w:val="20"/>
        </w:rPr>
        <w:t>, 68, 1–9. https://doi.org/10.1016/j.ijedudev.2019.01.002</w:t>
      </w:r>
    </w:p>
    <w:p w:rsidR="002B7CC0" w:rsidRDefault="00C95EF7">
      <w:pPr>
        <w:spacing w:after="239" w:line="285" w:lineRule="auto"/>
        <w:ind w:left="715" w:right="11" w:hanging="730"/>
      </w:pPr>
      <w:r>
        <w:rPr>
          <w:sz w:val="20"/>
        </w:rPr>
        <w:t xml:space="preserve">Tigchelaar, A., Brouwer, N., &amp; Korthagen, F. (2018). Crossing horizons: Career switchers in teaching. </w:t>
      </w:r>
      <w:r>
        <w:rPr>
          <w:i/>
          <w:sz w:val="20"/>
        </w:rPr>
        <w:t>Teaching and Teacher Education</w:t>
      </w:r>
      <w:r>
        <w:rPr>
          <w:sz w:val="20"/>
        </w:rPr>
        <w:t>, 76, 180–192.</w:t>
      </w:r>
    </w:p>
    <w:p w:rsidR="002B7CC0" w:rsidRDefault="00C95EF7">
      <w:pPr>
        <w:spacing w:after="235" w:line="285" w:lineRule="auto"/>
        <w:ind w:right="-15"/>
        <w:jc w:val="left"/>
      </w:pPr>
      <w:r>
        <w:rPr>
          <w:sz w:val="20"/>
        </w:rPr>
        <w:t xml:space="preserve">Tomlinson, C. A. (2017). </w:t>
      </w:r>
      <w:r>
        <w:rPr>
          <w:i/>
          <w:sz w:val="20"/>
        </w:rPr>
        <w:t>How to differentiate instruction in academically diverse classrooms</w:t>
      </w:r>
      <w:r>
        <w:rPr>
          <w:sz w:val="20"/>
        </w:rPr>
        <w:t xml:space="preserve"> (3rd ed.). ASCD.</w:t>
      </w:r>
    </w:p>
    <w:p w:rsidR="002B7CC0" w:rsidRDefault="00C95EF7">
      <w:pPr>
        <w:spacing w:after="84" w:line="285" w:lineRule="auto"/>
        <w:ind w:left="715" w:right="11" w:hanging="730"/>
      </w:pPr>
      <w:r>
        <w:rPr>
          <w:sz w:val="20"/>
        </w:rPr>
        <w:t xml:space="preserve">Udoka Eze, V. H., Esther Eze, C., Mbabazi, A., &amp; Nnenna, U. J. (2023). Administrative leaders’ strategies as correlates of workers' job performance. </w:t>
      </w:r>
      <w:r>
        <w:rPr>
          <w:i/>
          <w:sz w:val="20"/>
        </w:rPr>
        <w:t>Journal of Humanities and Social Sciences (JHASS)</w:t>
      </w:r>
      <w:r>
        <w:rPr>
          <w:sz w:val="20"/>
        </w:rPr>
        <w:t>, 5(2), 101–113. https://doi.org/</w:t>
      </w:r>
    </w:p>
    <w:p w:rsidR="002B7CC0" w:rsidRDefault="00C95EF7">
      <w:pPr>
        <w:spacing w:after="239" w:line="285" w:lineRule="auto"/>
        <w:ind w:left="720" w:right="11" w:firstLine="0"/>
      </w:pPr>
      <w:r>
        <w:rPr>
          <w:sz w:val="20"/>
        </w:rPr>
        <w:t>10.36079/lamintang.jhass-0502.562</w:t>
      </w:r>
    </w:p>
    <w:p w:rsidR="002B7CC0" w:rsidRDefault="00C95EF7">
      <w:pPr>
        <w:spacing w:after="239" w:line="285" w:lineRule="auto"/>
        <w:ind w:left="715" w:right="11" w:hanging="730"/>
      </w:pPr>
      <w:r>
        <w:rPr>
          <w:sz w:val="20"/>
        </w:rPr>
        <w:t xml:space="preserve">Vangrieken, K., Meredith, C., Packer, T., &amp; Kyndt, E. (2017). Teacher communities and collaboration: A conceptual analysis. </w:t>
      </w:r>
      <w:r>
        <w:rPr>
          <w:i/>
          <w:sz w:val="20"/>
        </w:rPr>
        <w:t>Teaching and Teacher Education</w:t>
      </w:r>
      <w:r>
        <w:rPr>
          <w:sz w:val="20"/>
        </w:rPr>
        <w:t>, 61, 47–59. https://doi.org/10.1016/j.tate.2016.09.001</w:t>
      </w:r>
    </w:p>
    <w:p w:rsidR="002B7CC0" w:rsidRDefault="00C95EF7">
      <w:pPr>
        <w:spacing w:after="239" w:line="285" w:lineRule="auto"/>
        <w:ind w:left="715" w:right="11" w:hanging="730"/>
      </w:pPr>
      <w:r>
        <w:rPr>
          <w:sz w:val="20"/>
        </w:rPr>
        <w:t xml:space="preserve">Wang, H., et al. (2022). In-service upskilling and impacts on teacher efficacy indicators. </w:t>
      </w:r>
      <w:r>
        <w:rPr>
          <w:i/>
          <w:sz w:val="20"/>
        </w:rPr>
        <w:t>Journal of Public Educational Research</w:t>
      </w:r>
      <w:r>
        <w:rPr>
          <w:sz w:val="20"/>
        </w:rPr>
        <w:t>, 40(2), 115–129.</w:t>
      </w:r>
    </w:p>
    <w:p w:rsidR="002B7CC0" w:rsidRDefault="00C95EF7">
      <w:pPr>
        <w:spacing w:after="239" w:line="285" w:lineRule="auto"/>
        <w:ind w:left="715" w:right="11" w:hanging="730"/>
      </w:pPr>
      <w:r>
        <w:rPr>
          <w:sz w:val="20"/>
        </w:rPr>
        <w:t xml:space="preserve">Watters, J. J., &amp; Diezmann, C. M. (2015). Challenges confronting career-changing beginning teachers: A qualitative study of professional scientists becoming science teachers. </w:t>
      </w:r>
      <w:r>
        <w:rPr>
          <w:i/>
          <w:sz w:val="20"/>
        </w:rPr>
        <w:t>Journal of Science Teacher Education</w:t>
      </w:r>
      <w:r>
        <w:rPr>
          <w:sz w:val="20"/>
        </w:rPr>
        <w:t>, 26(2), 163–192. https:// doi.org/10.1007/s10972-014-9413-0</w:t>
      </w:r>
    </w:p>
    <w:p w:rsidR="002B7CC0" w:rsidRDefault="00C95EF7">
      <w:pPr>
        <w:spacing w:after="239" w:line="285" w:lineRule="auto"/>
        <w:ind w:left="-15" w:right="11" w:firstLine="0"/>
      </w:pPr>
      <w:r>
        <w:rPr>
          <w:sz w:val="20"/>
        </w:rPr>
        <w:t xml:space="preserve">Weeks, J. R. (2021). </w:t>
      </w:r>
      <w:r>
        <w:rPr>
          <w:i/>
          <w:sz w:val="20"/>
        </w:rPr>
        <w:t>Population: An introduction to concepts and issues</w:t>
      </w:r>
      <w:r>
        <w:rPr>
          <w:sz w:val="20"/>
        </w:rPr>
        <w:t xml:space="preserve"> (13th ed.). Cengage Learning.</w:t>
      </w:r>
    </w:p>
    <w:p w:rsidR="002B7CC0" w:rsidRDefault="00C95EF7">
      <w:pPr>
        <w:spacing w:after="0" w:line="285" w:lineRule="auto"/>
        <w:ind w:left="715" w:right="11" w:hanging="730"/>
      </w:pPr>
      <w:r>
        <w:rPr>
          <w:sz w:val="20"/>
        </w:rPr>
        <w:lastRenderedPageBreak/>
        <w:t xml:space="preserve">Yonas, V., Rupia, C., &amp; Onyango, D. O. (2023). Classroom management challenges facing teachers in enhancing students' academic achievement in public secondary schools in Tarime District. </w:t>
      </w:r>
      <w:r>
        <w:rPr>
          <w:i/>
          <w:sz w:val="20"/>
        </w:rPr>
        <w:t>East African Journal of Education Studies</w:t>
      </w:r>
      <w:r>
        <w:rPr>
          <w:sz w:val="20"/>
        </w:rPr>
        <w:t>, 6(1), 22–37. https://doi.org/10.37284/eajes.6.1.1048</w:t>
      </w:r>
    </w:p>
    <w:sectPr w:rsidR="002B7CC0">
      <w:headerReference w:type="even" r:id="rId7"/>
      <w:footerReference w:type="even" r:id="rId8"/>
      <w:footerReference w:type="default" r:id="rId9"/>
      <w:headerReference w:type="first" r:id="rId10"/>
      <w:footerReference w:type="first" r:id="rId11"/>
      <w:pgSz w:w="11906" w:h="16838"/>
      <w:pgMar w:top="1203" w:right="795" w:bottom="1232" w:left="850" w:header="506" w:footer="45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44E" w:rsidRDefault="001D644E">
      <w:pPr>
        <w:spacing w:after="0" w:line="240" w:lineRule="auto"/>
      </w:pPr>
      <w:r>
        <w:separator/>
      </w:r>
    </w:p>
  </w:endnote>
  <w:endnote w:type="continuationSeparator" w:id="0">
    <w:p w:rsidR="001D644E" w:rsidRDefault="001D6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CC0" w:rsidRDefault="00C95EF7">
    <w:pPr>
      <w:spacing w:after="0" w:line="240" w:lineRule="auto"/>
      <w:ind w:left="0" w:right="0" w:firstLine="0"/>
      <w:jc w:val="right"/>
    </w:pPr>
    <w:r>
      <w:fldChar w:fldCharType="begin"/>
    </w:r>
    <w:r>
      <w:instrText xml:space="preserve"> PAGE   \* MERGEFORMAT </w:instrText>
    </w:r>
    <w:r>
      <w:fldChar w:fldCharType="separate"/>
    </w:r>
    <w:r>
      <w:rPr>
        <w:sz w:val="20"/>
      </w:rPr>
      <w:t>1</w:t>
    </w:r>
    <w:r>
      <w:rP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CC0" w:rsidRDefault="00C95EF7">
    <w:pPr>
      <w:spacing w:after="0" w:line="240" w:lineRule="auto"/>
      <w:ind w:left="0" w:right="0" w:firstLine="0"/>
      <w:jc w:val="right"/>
    </w:pPr>
    <w:r>
      <w:fldChar w:fldCharType="begin"/>
    </w:r>
    <w:r>
      <w:instrText xml:space="preserve"> PAGE   \* MERGEFORMAT </w:instrText>
    </w:r>
    <w:r>
      <w:fldChar w:fldCharType="separate"/>
    </w:r>
    <w:r w:rsidR="00EE3C78" w:rsidRPr="00EE3C78">
      <w:rPr>
        <w:noProof/>
        <w:sz w:val="20"/>
      </w:rPr>
      <w:t>16</w:t>
    </w:r>
    <w:r>
      <w:rP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CC0" w:rsidRDefault="00C95EF7">
    <w:pPr>
      <w:spacing w:after="0" w:line="240" w:lineRule="auto"/>
      <w:ind w:left="0" w:right="0" w:firstLine="0"/>
      <w:jc w:val="right"/>
    </w:pPr>
    <w:r>
      <w:fldChar w:fldCharType="begin"/>
    </w:r>
    <w:r>
      <w:instrText xml:space="preserve"> PAGE   \* MERGEFORMAT </w:instrText>
    </w:r>
    <w:r>
      <w:fldChar w:fldCharType="separate"/>
    </w:r>
    <w:r>
      <w:rPr>
        <w:sz w:val="20"/>
      </w:rPr>
      <w:t>1</w: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44E" w:rsidRDefault="001D644E">
      <w:pPr>
        <w:spacing w:after="0" w:line="240" w:lineRule="auto"/>
      </w:pPr>
      <w:r>
        <w:separator/>
      </w:r>
    </w:p>
  </w:footnote>
  <w:footnote w:type="continuationSeparator" w:id="0">
    <w:p w:rsidR="001D644E" w:rsidRDefault="001D64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CC0" w:rsidRDefault="00C95EF7">
    <w:pPr>
      <w:spacing w:after="0" w:line="240" w:lineRule="auto"/>
      <w:ind w:left="0" w:right="0" w:firstLine="0"/>
      <w:jc w:val="left"/>
    </w:pPr>
    <w:r>
      <w:rPr>
        <w:i/>
        <w:color w:val="555555"/>
        <w:sz w:val="17"/>
      </w:rPr>
      <w:t>International Journal of Social Sciences and Humanities Invention 13(06): 9006-9020, 2026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CC0" w:rsidRDefault="00C95EF7">
    <w:pPr>
      <w:spacing w:after="0" w:line="240" w:lineRule="auto"/>
      <w:ind w:left="0" w:right="0" w:firstLine="0"/>
      <w:jc w:val="left"/>
    </w:pPr>
    <w:r>
      <w:rPr>
        <w:i/>
        <w:color w:val="555555"/>
        <w:sz w:val="17"/>
      </w:rPr>
      <w:t>International Journal of Social Sciences and Humanities Invention 13(06): 9006-9020,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E6103B"/>
    <w:multiLevelType w:val="hybridMultilevel"/>
    <w:tmpl w:val="C80AA0C6"/>
    <w:lvl w:ilvl="0" w:tplc="668685C4">
      <w:start w:val="1"/>
      <w:numFmt w:val="decimal"/>
      <w:lvlText w:val="%1."/>
      <w:lvlJc w:val="left"/>
      <w:pPr>
        <w:ind w:left="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FB2626E">
      <w:start w:val="1"/>
      <w:numFmt w:val="lowerLetter"/>
      <w:lvlText w:val="%2"/>
      <w:lvlJc w:val="left"/>
      <w:pPr>
        <w:ind w:left="1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78CE8C">
      <w:start w:val="1"/>
      <w:numFmt w:val="lowerRoman"/>
      <w:lvlText w:val="%3"/>
      <w:lvlJc w:val="left"/>
      <w:pPr>
        <w:ind w:left="2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604706">
      <w:start w:val="1"/>
      <w:numFmt w:val="decimal"/>
      <w:lvlText w:val="%4"/>
      <w:lvlJc w:val="left"/>
      <w:pPr>
        <w:ind w:left="2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A8DC32">
      <w:start w:val="1"/>
      <w:numFmt w:val="lowerLetter"/>
      <w:lvlText w:val="%5"/>
      <w:lvlJc w:val="left"/>
      <w:pPr>
        <w:ind w:left="3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2A8118">
      <w:start w:val="1"/>
      <w:numFmt w:val="lowerRoman"/>
      <w:lvlText w:val="%6"/>
      <w:lvlJc w:val="left"/>
      <w:pPr>
        <w:ind w:left="4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C6F1F4">
      <w:start w:val="1"/>
      <w:numFmt w:val="decimal"/>
      <w:lvlText w:val="%7"/>
      <w:lvlJc w:val="left"/>
      <w:pPr>
        <w:ind w:left="5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A42E88">
      <w:start w:val="1"/>
      <w:numFmt w:val="lowerLetter"/>
      <w:lvlText w:val="%8"/>
      <w:lvlJc w:val="left"/>
      <w:pPr>
        <w:ind w:left="5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F47422">
      <w:start w:val="1"/>
      <w:numFmt w:val="lowerRoman"/>
      <w:lvlText w:val="%9"/>
      <w:lvlJc w:val="left"/>
      <w:pPr>
        <w:ind w:left="6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63BA2B27"/>
    <w:multiLevelType w:val="hybridMultilevel"/>
    <w:tmpl w:val="5032F79E"/>
    <w:lvl w:ilvl="0" w:tplc="00EA7B6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A2AD3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48C9D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481B2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0A7EE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F483C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7692B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F86E8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10AB4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CC0"/>
    <w:rsid w:val="001D644E"/>
    <w:rsid w:val="002B7CC0"/>
    <w:rsid w:val="008C7883"/>
    <w:rsid w:val="00C95EF7"/>
    <w:rsid w:val="00EE3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E3B88C-B948-4AAE-B202-4A4C04DE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89" w:line="305" w:lineRule="auto"/>
      <w:ind w:left="-5" w:right="41"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80" w:line="240" w:lineRule="auto"/>
      <w:ind w:left="-5" w:right="-15"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8C7883"/>
    <w:pPr>
      <w:ind w:left="720"/>
      <w:contextualSpacing/>
    </w:pPr>
  </w:style>
  <w:style w:type="paragraph" w:styleId="Header">
    <w:name w:val="header"/>
    <w:basedOn w:val="Normal"/>
    <w:link w:val="HeaderChar"/>
    <w:uiPriority w:val="99"/>
    <w:semiHidden/>
    <w:unhideWhenUsed/>
    <w:rsid w:val="00EE3C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3C78"/>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7324</Words>
  <Characters>41753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2026-06-20T03:40:00Z</dcterms:created>
  <dcterms:modified xsi:type="dcterms:W3CDTF">2026-06-20T03:40:00Z</dcterms:modified>
</cp:coreProperties>
</file>