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5870" w14:textId="77777777" w:rsidR="007D4829" w:rsidRPr="00A96BA2" w:rsidRDefault="007D4829" w:rsidP="00A96BA2">
      <w:pPr>
        <w:spacing w:after="0" w:line="240" w:lineRule="auto"/>
        <w:jc w:val="center"/>
        <w:rPr>
          <w:rFonts w:ascii="Times New Roman" w:hAnsi="Times New Roman" w:cs="Times New Roman"/>
          <w:b/>
          <w:sz w:val="24"/>
          <w:szCs w:val="24"/>
        </w:rPr>
      </w:pPr>
      <w:r w:rsidRPr="00A96BA2">
        <w:rPr>
          <w:rFonts w:ascii="Times New Roman" w:hAnsi="Times New Roman" w:cs="Times New Roman"/>
          <w:b/>
          <w:sz w:val="24"/>
          <w:szCs w:val="24"/>
        </w:rPr>
        <w:t>Redefining the Principle of Equality in Banjar Regency Regulations Regarding Gemstone Certification Fee</w:t>
      </w:r>
    </w:p>
    <w:p w14:paraId="21A970E8" w14:textId="77777777" w:rsidR="007D4829" w:rsidRPr="00A96BA2" w:rsidRDefault="007D4829" w:rsidP="00A96BA2">
      <w:pPr>
        <w:spacing w:after="0" w:line="240" w:lineRule="auto"/>
        <w:jc w:val="center"/>
        <w:rPr>
          <w:rFonts w:ascii="Times New Roman" w:hAnsi="Times New Roman" w:cs="Times New Roman"/>
          <w:bCs/>
          <w:sz w:val="24"/>
          <w:szCs w:val="24"/>
        </w:rPr>
      </w:pPr>
      <w:r w:rsidRPr="00A96BA2">
        <w:rPr>
          <w:rFonts w:ascii="Times New Roman" w:hAnsi="Times New Roman" w:cs="Times New Roman"/>
          <w:bCs/>
          <w:sz w:val="24"/>
          <w:szCs w:val="24"/>
        </w:rPr>
        <w:t>Ronaldo Heinrich Herman</w:t>
      </w:r>
    </w:p>
    <w:p w14:paraId="7C5D368D" w14:textId="77777777" w:rsidR="007D4829" w:rsidRPr="00A96BA2" w:rsidRDefault="007D4829" w:rsidP="00A96BA2">
      <w:pPr>
        <w:spacing w:after="0"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Faculty of Law, University of Indonesia, Depok, West Java</w:t>
      </w:r>
    </w:p>
    <w:p w14:paraId="1F02C59C" w14:textId="77777777" w:rsidR="007D4829" w:rsidRPr="00A96BA2" w:rsidRDefault="007D4829" w:rsidP="00A96BA2">
      <w:pPr>
        <w:spacing w:after="0" w:line="240" w:lineRule="auto"/>
        <w:jc w:val="center"/>
        <w:rPr>
          <w:rFonts w:ascii="Times New Roman" w:hAnsi="Times New Roman" w:cs="Times New Roman"/>
          <w:bCs/>
          <w:sz w:val="20"/>
          <w:szCs w:val="20"/>
        </w:rPr>
      </w:pPr>
      <w:hyperlink r:id="rId8" w:history="1">
        <w:r w:rsidRPr="00A96BA2">
          <w:rPr>
            <w:rStyle w:val="Hyperlink"/>
            <w:rFonts w:ascii="Times New Roman" w:hAnsi="Times New Roman" w:cs="Times New Roman"/>
            <w:bCs/>
            <w:color w:val="auto"/>
            <w:sz w:val="20"/>
            <w:szCs w:val="20"/>
            <w:u w:val="none"/>
          </w:rPr>
          <w:t>ronaldo21heinrich@gmail.com</w:t>
        </w:r>
      </w:hyperlink>
    </w:p>
    <w:p w14:paraId="4863AFA3" w14:textId="77777777" w:rsidR="007D4829" w:rsidRPr="00A96BA2" w:rsidRDefault="007D4829" w:rsidP="00A96BA2">
      <w:pPr>
        <w:spacing w:after="0" w:line="240" w:lineRule="auto"/>
        <w:jc w:val="both"/>
        <w:rPr>
          <w:rFonts w:ascii="Times New Roman" w:hAnsi="Times New Roman" w:cs="Times New Roman"/>
          <w:b/>
          <w:sz w:val="20"/>
          <w:szCs w:val="20"/>
        </w:rPr>
      </w:pPr>
      <w:r w:rsidRPr="00A96BA2">
        <w:rPr>
          <w:rFonts w:ascii="Times New Roman" w:hAnsi="Times New Roman" w:cs="Times New Roman"/>
          <w:b/>
          <w:sz w:val="20"/>
          <w:szCs w:val="20"/>
        </w:rPr>
        <w:t>Abstract</w:t>
      </w:r>
    </w:p>
    <w:p w14:paraId="3355E25F" w14:textId="48785F5F" w:rsidR="007D4829" w:rsidRPr="00A96BA2" w:rsidRDefault="007D4829" w:rsidP="00A96BA2">
      <w:pPr>
        <w:spacing w:after="0" w:line="240" w:lineRule="auto"/>
        <w:ind w:firstLine="720"/>
        <w:jc w:val="both"/>
        <w:rPr>
          <w:rFonts w:ascii="Times New Roman" w:hAnsi="Times New Roman" w:cs="Times New Roman"/>
          <w:bCs/>
          <w:sz w:val="20"/>
          <w:szCs w:val="20"/>
        </w:rPr>
      </w:pPr>
      <w:r w:rsidRPr="00A96BA2">
        <w:rPr>
          <w:rFonts w:ascii="Times New Roman" w:hAnsi="Times New Roman" w:cs="Times New Roman"/>
          <w:bCs/>
          <w:sz w:val="20"/>
          <w:szCs w:val="20"/>
        </w:rPr>
        <w:t xml:space="preserve">This research aims to redefining the principle of equality in Banjar Regency regulation regarding gemstone certification. Gemstone certification is an act to verify the authenticity of gemstones in gemological laboratory. Gemmologist issues certificates to inform sellers and customers about gemstones authenticity. Each gemstone certificate is subject to a business service fee based on Banjar Regency regional regulations. This research analyzes previous researches regarding the meaning of principle of equality. This research also textually </w:t>
      </w:r>
      <w:r w:rsidR="0099205D" w:rsidRPr="00A96BA2">
        <w:rPr>
          <w:rFonts w:ascii="Times New Roman" w:hAnsi="Times New Roman" w:cs="Times New Roman"/>
          <w:bCs/>
          <w:sz w:val="20"/>
          <w:szCs w:val="20"/>
        </w:rPr>
        <w:t>analyzes</w:t>
      </w:r>
      <w:r w:rsidRPr="00A96BA2">
        <w:rPr>
          <w:rFonts w:ascii="Times New Roman" w:hAnsi="Times New Roman" w:cs="Times New Roman"/>
          <w:bCs/>
          <w:sz w:val="20"/>
          <w:szCs w:val="20"/>
        </w:rPr>
        <w:t xml:space="preserve"> the content of Banjar Regency legal framework regarding genstone certification fee. Finally, this doctrinal legal research will discuss how the Indonesian legal framework defines the meaning of the principle of equality in Banjar Regency regulation regarding gemstone certification. </w:t>
      </w:r>
    </w:p>
    <w:p w14:paraId="00DA2E68" w14:textId="77777777" w:rsidR="007D4829" w:rsidRPr="00A96BA2" w:rsidRDefault="007D4829" w:rsidP="00A96BA2">
      <w:pPr>
        <w:spacing w:after="0" w:line="240" w:lineRule="auto"/>
        <w:jc w:val="both"/>
        <w:rPr>
          <w:rFonts w:ascii="Times New Roman" w:hAnsi="Times New Roman" w:cs="Times New Roman"/>
          <w:bCs/>
          <w:sz w:val="20"/>
          <w:szCs w:val="20"/>
        </w:rPr>
      </w:pPr>
      <w:r w:rsidRPr="00A96BA2">
        <w:rPr>
          <w:rFonts w:ascii="Times New Roman" w:hAnsi="Times New Roman" w:cs="Times New Roman"/>
          <w:bCs/>
          <w:sz w:val="20"/>
          <w:szCs w:val="20"/>
        </w:rPr>
        <w:t xml:space="preserve">Keywords: Principle of Equality, Gemstone Certification Fee, Banjar Regency </w:t>
      </w:r>
    </w:p>
    <w:p w14:paraId="4D3301BB"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INTRODUCTION</w:t>
      </w:r>
    </w:p>
    <w:p w14:paraId="38D63462" w14:textId="77777777"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hAnsi="Times New Roman" w:cs="Times New Roman"/>
          <w:bCs/>
          <w:sz w:val="24"/>
          <w:szCs w:val="24"/>
        </w:rPr>
        <w:t>This research aims to redefining the principle of equality in Banjar Regency legal framework about gemstone certification fee. Banjar regency is one of the region that produces gemstones in the Republic of Indonesia. Since 1950, traders has been selling diamonds in the Martapura City of Banjar Regency.</w:t>
      </w:r>
      <w:r w:rsidRPr="00A96BA2">
        <w:rPr>
          <w:rStyle w:val="FootnoteReference"/>
          <w:rFonts w:ascii="Times New Roman" w:hAnsi="Times New Roman" w:cs="Times New Roman"/>
          <w:bCs/>
          <w:sz w:val="24"/>
          <w:szCs w:val="24"/>
        </w:rPr>
        <w:footnoteReference w:id="1"/>
      </w:r>
      <w:r w:rsidRPr="00A96BA2">
        <w:rPr>
          <w:rFonts w:ascii="Times New Roman" w:hAnsi="Times New Roman" w:cs="Times New Roman"/>
          <w:bCs/>
          <w:sz w:val="24"/>
          <w:szCs w:val="24"/>
        </w:rPr>
        <w:t xml:space="preserve"> Article 2 of the </w:t>
      </w:r>
      <w:r w:rsidRPr="00A96BA2">
        <w:rPr>
          <w:rFonts w:ascii="Times New Roman" w:eastAsia="Times New Roman" w:hAnsi="Times New Roman" w:cs="Times New Roman"/>
          <w:sz w:val="24"/>
          <w:szCs w:val="24"/>
        </w:rPr>
        <w:t>Minister of Industry of the Republic of Indonesia Regulation Number 161/M-IND/PER/12/2012 regulates gemstone industry as the main source of income in Banjar Regency.</w:t>
      </w:r>
    </w:p>
    <w:p w14:paraId="0CA4638E" w14:textId="1AA94DDC"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eastAsia="Times New Roman" w:hAnsi="Times New Roman" w:cs="Times New Roman"/>
          <w:sz w:val="24"/>
          <w:szCs w:val="24"/>
        </w:rPr>
        <w:t>Gemstone certification is a part of gemstone industry. The word certification means an act to issue a certificate through gemstone analysis in gemmological laboratory.</w:t>
      </w:r>
      <w:r w:rsidRPr="00A96BA2">
        <w:rPr>
          <w:rStyle w:val="FootnoteReference"/>
          <w:rFonts w:ascii="Times New Roman" w:eastAsia="Times New Roman" w:hAnsi="Times New Roman" w:cs="Times New Roman"/>
          <w:sz w:val="24"/>
          <w:szCs w:val="24"/>
        </w:rPr>
        <w:footnoteReference w:id="2"/>
      </w:r>
      <w:r w:rsidRPr="00A96BA2">
        <w:rPr>
          <w:rFonts w:ascii="Times New Roman" w:eastAsia="Times New Roman" w:hAnsi="Times New Roman" w:cs="Times New Roman"/>
          <w:sz w:val="24"/>
          <w:szCs w:val="24"/>
        </w:rPr>
        <w:t xml:space="preserve"> In other words, certification ensures the gemstone authenticity. It helps sellers and consumers to determine the proper price for gemstones. For an example, a natural gemstone price should be more expensive than syntethic gemstones. Because unlike natural gemstones, the latter was being made by gemmologist in the laboratory.</w:t>
      </w:r>
      <w:r w:rsidRPr="00A96BA2">
        <w:rPr>
          <w:rStyle w:val="FootnoteReference"/>
          <w:rFonts w:ascii="Times New Roman" w:eastAsia="Times New Roman" w:hAnsi="Times New Roman" w:cs="Times New Roman"/>
          <w:sz w:val="24"/>
          <w:szCs w:val="24"/>
        </w:rPr>
        <w:footnoteReference w:id="3"/>
      </w:r>
      <w:r w:rsidRPr="00A96BA2">
        <w:rPr>
          <w:rFonts w:ascii="Times New Roman" w:eastAsia="Times New Roman" w:hAnsi="Times New Roman" w:cs="Times New Roman"/>
          <w:sz w:val="24"/>
          <w:szCs w:val="24"/>
        </w:rPr>
        <w:t xml:space="preserve"> Therefore, they lack natural gemstones rarity and natural beauty.</w:t>
      </w:r>
    </w:p>
    <w:p w14:paraId="198BEACC" w14:textId="4E6B4D9A" w:rsidR="007D4829"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eastAsia="Times New Roman" w:hAnsi="Times New Roman" w:cs="Times New Roman"/>
          <w:sz w:val="24"/>
          <w:szCs w:val="24"/>
        </w:rPr>
        <w:t>Gemstone industry is imporant to the Republic of Indonesia national economy. Since 2013 to 2015, gemstone industry contributes 459,57 million USD the jewelry export.</w:t>
      </w:r>
      <w:r w:rsidRPr="00A96BA2">
        <w:rPr>
          <w:rStyle w:val="FootnoteReference"/>
          <w:rFonts w:ascii="Times New Roman" w:eastAsia="Times New Roman" w:hAnsi="Times New Roman" w:cs="Times New Roman"/>
          <w:sz w:val="24"/>
          <w:szCs w:val="24"/>
        </w:rPr>
        <w:footnoteReference w:id="4"/>
      </w:r>
      <w:r w:rsidRPr="00A96BA2">
        <w:rPr>
          <w:rFonts w:ascii="Times New Roman" w:eastAsia="Times New Roman" w:hAnsi="Times New Roman" w:cs="Times New Roman"/>
          <w:sz w:val="24"/>
          <w:szCs w:val="24"/>
        </w:rPr>
        <w:t xml:space="preserve"> In addition, gemstone industry also employed 218.174 workers from the Republic of Indonesia.</w:t>
      </w:r>
      <w:r w:rsidRPr="00A96BA2">
        <w:rPr>
          <w:rStyle w:val="FootnoteReference"/>
          <w:rFonts w:ascii="Times New Roman" w:eastAsia="Times New Roman" w:hAnsi="Times New Roman" w:cs="Times New Roman"/>
          <w:sz w:val="24"/>
          <w:szCs w:val="24"/>
        </w:rPr>
        <w:footnoteReference w:id="5"/>
      </w:r>
      <w:r w:rsidRPr="00A96BA2">
        <w:rPr>
          <w:rFonts w:ascii="Times New Roman" w:eastAsia="Times New Roman" w:hAnsi="Times New Roman" w:cs="Times New Roman"/>
          <w:sz w:val="24"/>
          <w:szCs w:val="24"/>
        </w:rPr>
        <w:t xml:space="preserve"> The profits from gemstone ndustry are the reason hy Banjar Regency government charges business service fees for gemstone certification. They did so through the Appendix 1, point V of </w:t>
      </w:r>
      <w:r w:rsidRPr="00A96BA2">
        <w:rPr>
          <w:rFonts w:ascii="Times New Roman" w:hAnsi="Times New Roman" w:cs="Times New Roman"/>
          <w:bCs/>
          <w:sz w:val="24"/>
          <w:szCs w:val="24"/>
        </w:rPr>
        <w:t xml:space="preserve">Banjar Regency Regional Regulation Number 7 of 2011. </w:t>
      </w:r>
    </w:p>
    <w:p w14:paraId="27BB4E08" w14:textId="77777777"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hAnsi="Times New Roman" w:cs="Times New Roman"/>
          <w:bCs/>
          <w:sz w:val="24"/>
          <w:szCs w:val="24"/>
        </w:rPr>
        <w:lastRenderedPageBreak/>
        <w:t>Regional fees are one of the type of local revenue (</w:t>
      </w:r>
      <w:r w:rsidRPr="00A96BA2">
        <w:rPr>
          <w:rFonts w:ascii="Times New Roman" w:hAnsi="Times New Roman" w:cs="Times New Roman"/>
          <w:bCs/>
          <w:i/>
          <w:iCs/>
          <w:sz w:val="24"/>
          <w:szCs w:val="24"/>
        </w:rPr>
        <w:t>Pendapatan Asli Daerah</w:t>
      </w:r>
      <w:r w:rsidRPr="00A96BA2">
        <w:rPr>
          <w:rFonts w:ascii="Times New Roman" w:hAnsi="Times New Roman" w:cs="Times New Roman"/>
          <w:bCs/>
          <w:sz w:val="24"/>
          <w:szCs w:val="24"/>
        </w:rPr>
        <w:t xml:space="preserve"> or PAD).</w:t>
      </w:r>
      <w:r w:rsidRPr="00A96BA2">
        <w:rPr>
          <w:rStyle w:val="FootnoteReference"/>
          <w:rFonts w:ascii="Times New Roman" w:hAnsi="Times New Roman" w:cs="Times New Roman"/>
          <w:bCs/>
          <w:sz w:val="24"/>
          <w:szCs w:val="24"/>
        </w:rPr>
        <w:footnoteReference w:id="6"/>
      </w:r>
      <w:r w:rsidRPr="00A96BA2">
        <w:rPr>
          <w:rFonts w:ascii="Times New Roman" w:hAnsi="Times New Roman" w:cs="Times New Roman"/>
          <w:bCs/>
          <w:sz w:val="24"/>
          <w:szCs w:val="24"/>
        </w:rPr>
        <w:t xml:space="preserve"> Local revenue is income obtained by a region from sources within its own territory.</w:t>
      </w:r>
      <w:r w:rsidRPr="00A96BA2">
        <w:rPr>
          <w:rStyle w:val="FootnoteReference"/>
          <w:rFonts w:ascii="Times New Roman" w:hAnsi="Times New Roman" w:cs="Times New Roman"/>
          <w:bCs/>
          <w:sz w:val="24"/>
          <w:szCs w:val="24"/>
        </w:rPr>
        <w:footnoteReference w:id="7"/>
      </w:r>
      <w:r w:rsidRPr="00A96BA2">
        <w:rPr>
          <w:rFonts w:ascii="Times New Roman" w:hAnsi="Times New Roman" w:cs="Times New Roman"/>
          <w:bCs/>
          <w:sz w:val="24"/>
          <w:szCs w:val="24"/>
        </w:rPr>
        <w:t xml:space="preserve"> It is collected based on regional regulations in accordance with applicable laws and regulations.</w:t>
      </w:r>
      <w:r w:rsidRPr="00A96BA2">
        <w:rPr>
          <w:rStyle w:val="FootnoteReference"/>
          <w:rFonts w:ascii="Times New Roman" w:hAnsi="Times New Roman" w:cs="Times New Roman"/>
          <w:bCs/>
          <w:sz w:val="24"/>
          <w:szCs w:val="24"/>
        </w:rPr>
        <w:footnoteReference w:id="8"/>
      </w:r>
      <w:r w:rsidRPr="00A96BA2">
        <w:rPr>
          <w:rFonts w:ascii="Times New Roman" w:hAnsi="Times New Roman" w:cs="Times New Roman"/>
          <w:bCs/>
          <w:sz w:val="24"/>
          <w:szCs w:val="24"/>
        </w:rPr>
        <w:t xml:space="preserve"> The purpose of local revenue is giving autonomy to the local government to financing of regional government expenditure in the context of implementing regional autonomy as a manifestation of the principle of decentralization.</w:t>
      </w:r>
      <w:r w:rsidRPr="00A96BA2">
        <w:rPr>
          <w:rStyle w:val="FootnoteReference"/>
          <w:rFonts w:ascii="Times New Roman" w:hAnsi="Times New Roman" w:cs="Times New Roman"/>
          <w:bCs/>
          <w:sz w:val="24"/>
          <w:szCs w:val="24"/>
        </w:rPr>
        <w:footnoteReference w:id="9"/>
      </w:r>
      <w:r w:rsidRPr="00A96BA2">
        <w:rPr>
          <w:rFonts w:ascii="Times New Roman" w:hAnsi="Times New Roman" w:cs="Times New Roman"/>
          <w:bCs/>
          <w:sz w:val="24"/>
          <w:szCs w:val="24"/>
        </w:rPr>
        <w:t xml:space="preserve"> In other words, regional autonomy permits government of Banjar Regency to </w:t>
      </w:r>
      <w:r w:rsidRPr="00A96BA2">
        <w:rPr>
          <w:rFonts w:ascii="Times New Roman" w:eastAsia="Times New Roman" w:hAnsi="Times New Roman" w:cs="Times New Roman"/>
          <w:sz w:val="24"/>
          <w:szCs w:val="24"/>
        </w:rPr>
        <w:t>charges business service fees for gemstone certification.</w:t>
      </w:r>
    </w:p>
    <w:p w14:paraId="57AD4C0A" w14:textId="7185C96C" w:rsidR="007D4829" w:rsidRPr="00A96BA2" w:rsidRDefault="007D4829"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eastAsia="Times New Roman" w:hAnsi="Times New Roman" w:cs="Times New Roman"/>
          <w:sz w:val="24"/>
          <w:szCs w:val="24"/>
        </w:rPr>
        <w:t>Law Number 28 of 2009 regulates both taxes and fees. Indonesian tax laws must follow the principles of tax collection or the four maxims.</w:t>
      </w:r>
      <w:r w:rsidRPr="00A96BA2">
        <w:rPr>
          <w:rStyle w:val="FootnoteReference"/>
          <w:rFonts w:ascii="Times New Roman" w:eastAsia="Times New Roman" w:hAnsi="Times New Roman" w:cs="Times New Roman"/>
          <w:sz w:val="24"/>
          <w:szCs w:val="24"/>
        </w:rPr>
        <w:footnoteReference w:id="10"/>
      </w:r>
      <w:r w:rsidRPr="00A96BA2">
        <w:rPr>
          <w:rFonts w:ascii="Times New Roman" w:eastAsia="Times New Roman" w:hAnsi="Times New Roman" w:cs="Times New Roman"/>
          <w:sz w:val="24"/>
          <w:szCs w:val="24"/>
        </w:rPr>
        <w:t xml:space="preserve"> One of those principles is the principle of equality. Principle of equality forbid discrimination regarding the amount of tax that could be charged</w:t>
      </w:r>
      <w:r w:rsidRPr="00A96BA2">
        <w:rPr>
          <w:rFonts w:ascii="Times New Roman" w:hAnsi="Times New Roman" w:cs="Times New Roman"/>
          <w:bCs/>
          <w:sz w:val="24"/>
          <w:szCs w:val="24"/>
        </w:rPr>
        <w:t>.</w:t>
      </w:r>
      <w:r w:rsidRPr="00A96BA2">
        <w:rPr>
          <w:rStyle w:val="FootnoteReference"/>
          <w:rFonts w:ascii="Times New Roman" w:hAnsi="Times New Roman" w:cs="Times New Roman"/>
          <w:bCs/>
          <w:sz w:val="24"/>
          <w:szCs w:val="24"/>
        </w:rPr>
        <w:footnoteReference w:id="11"/>
      </w:r>
      <w:r w:rsidRPr="00A96BA2">
        <w:rPr>
          <w:rFonts w:ascii="Times New Roman" w:hAnsi="Times New Roman" w:cs="Times New Roman"/>
          <w:bCs/>
          <w:sz w:val="24"/>
          <w:szCs w:val="24"/>
        </w:rPr>
        <w:t xml:space="preserve"> In other words, this principle ensures the law charge same amount of fees to those who has equal ability to pay taxes.</w:t>
      </w:r>
      <w:r w:rsidRPr="00A96BA2">
        <w:rPr>
          <w:rStyle w:val="FootnoteReference"/>
          <w:rFonts w:ascii="Times New Roman" w:hAnsi="Times New Roman" w:cs="Times New Roman"/>
          <w:bCs/>
          <w:sz w:val="24"/>
          <w:szCs w:val="24"/>
        </w:rPr>
        <w:footnoteReference w:id="12"/>
      </w:r>
      <w:r w:rsidRPr="00A96BA2">
        <w:rPr>
          <w:rFonts w:ascii="Times New Roman" w:eastAsia="Times New Roman" w:hAnsi="Times New Roman" w:cs="Times New Roman"/>
          <w:sz w:val="24"/>
          <w:szCs w:val="24"/>
        </w:rPr>
        <w:t xml:space="preserve"> The non-discrimination is related to justice. Justice is one of the purposes of the law.</w:t>
      </w:r>
      <w:r w:rsidRPr="00A96BA2">
        <w:rPr>
          <w:rStyle w:val="FootnoteReference"/>
          <w:rFonts w:ascii="Times New Roman" w:eastAsia="Times New Roman" w:hAnsi="Times New Roman" w:cs="Times New Roman"/>
          <w:sz w:val="24"/>
          <w:szCs w:val="24"/>
        </w:rPr>
        <w:footnoteReference w:id="13"/>
      </w:r>
      <w:r w:rsidRPr="00A96BA2">
        <w:rPr>
          <w:rFonts w:ascii="Times New Roman" w:eastAsia="Times New Roman" w:hAnsi="Times New Roman" w:cs="Times New Roman"/>
          <w:sz w:val="24"/>
          <w:szCs w:val="24"/>
        </w:rPr>
        <w:t xml:space="preserve"> </w:t>
      </w:r>
    </w:p>
    <w:p w14:paraId="2E4B123F" w14:textId="7B710FD7" w:rsidR="007D4829"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eastAsia="Times New Roman" w:hAnsi="Times New Roman" w:cs="Times New Roman"/>
          <w:sz w:val="24"/>
          <w:szCs w:val="24"/>
        </w:rPr>
        <w:t>This research wants to emphasize the importance of justice and the principle of equality. Consumers, sellers, and the gemmologists have rights for justice. Especially justice in taxation.</w:t>
      </w:r>
      <w:r w:rsidR="00031687" w:rsidRPr="00A96BA2">
        <w:rPr>
          <w:rFonts w:ascii="Times New Roman" w:eastAsia="Times New Roman" w:hAnsi="Times New Roman" w:cs="Times New Roman"/>
          <w:sz w:val="24"/>
          <w:szCs w:val="24"/>
        </w:rPr>
        <w:t xml:space="preserve"> </w:t>
      </w:r>
      <w:r w:rsidR="00031687" w:rsidRPr="00A96BA2">
        <w:rPr>
          <w:rFonts w:ascii="Times New Roman" w:hAnsi="Times New Roman" w:cs="Times New Roman"/>
          <w:bCs/>
          <w:sz w:val="24"/>
          <w:szCs w:val="24"/>
        </w:rPr>
        <w:t>Banjar Regency Regional Regulation Number 7 of 2011 charges gemstone certification with business fees. But, is the law</w:t>
      </w:r>
      <w:r w:rsidR="001F0242" w:rsidRPr="00A96BA2">
        <w:rPr>
          <w:rFonts w:ascii="Times New Roman" w:hAnsi="Times New Roman" w:cs="Times New Roman"/>
          <w:bCs/>
          <w:sz w:val="24"/>
          <w:szCs w:val="24"/>
        </w:rPr>
        <w:t xml:space="preserve"> is fair to the consumers and sellers alike? Does it </w:t>
      </w:r>
      <w:r w:rsidR="00B83162" w:rsidRPr="00A96BA2">
        <w:rPr>
          <w:rFonts w:ascii="Times New Roman" w:hAnsi="Times New Roman" w:cs="Times New Roman"/>
          <w:bCs/>
          <w:sz w:val="24"/>
          <w:szCs w:val="24"/>
        </w:rPr>
        <w:t xml:space="preserve">applied based on the principle of equality to all the parties in gemstone industry in Banjar Regency? </w:t>
      </w:r>
      <w:r w:rsidRPr="00A96BA2">
        <w:rPr>
          <w:rFonts w:ascii="Times New Roman" w:eastAsia="Times New Roman" w:hAnsi="Times New Roman" w:cs="Times New Roman"/>
          <w:sz w:val="24"/>
          <w:szCs w:val="24"/>
        </w:rPr>
        <w:t xml:space="preserve">Therefore, this research wants to evaluate the meaning of principle of equality according to the Banjar Regency Regulations regarding gemstone certification. This law will also analyse the meaning of equality and justice in the previous literatures about Indonesian taxes laws. The purpose of this research is to redefining the meaning of equality in the Banjar Regency regulations about gemstone certification. </w:t>
      </w:r>
    </w:p>
    <w:p w14:paraId="1107C2F9"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LITERATURE REVIEW</w:t>
      </w:r>
    </w:p>
    <w:p w14:paraId="05886BEE" w14:textId="37E8B8B2" w:rsidR="007D4829"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This research reviews the previous researches about principle of equality in gemstone certification business fees. Therefore, this research divides previous studies into two groups. First is the group of law article journals regarding the principle of equality. Mubarak shows the existence of horizontal injustice to motor vehicle taxpayers in West Java. He said that compliant taxpayers bear the full burden, while negligent taxpayers gain economic benefits from delayed payments.</w:t>
      </w:r>
      <w:r w:rsidRPr="00A96BA2">
        <w:rPr>
          <w:rStyle w:val="FootnoteReference"/>
          <w:rFonts w:ascii="Times New Roman" w:hAnsi="Times New Roman" w:cs="Times New Roman"/>
          <w:bCs/>
          <w:sz w:val="24"/>
          <w:szCs w:val="24"/>
        </w:rPr>
        <w:footnoteReference w:id="14"/>
      </w:r>
      <w:r w:rsidR="00875F15" w:rsidRPr="00A96BA2">
        <w:rPr>
          <w:rFonts w:ascii="Times New Roman" w:hAnsi="Times New Roman" w:cs="Times New Roman"/>
          <w:bCs/>
          <w:sz w:val="24"/>
          <w:szCs w:val="24"/>
        </w:rPr>
        <w:t xml:space="preserve"> Johan, Hikmah, and Anditya discuss the characteristics of Tax Law Based on Pancasila Philosophy.</w:t>
      </w:r>
      <w:r w:rsidR="00875F15" w:rsidRPr="00A96BA2">
        <w:rPr>
          <w:rStyle w:val="FootnoteReference"/>
          <w:rFonts w:ascii="Times New Roman" w:hAnsi="Times New Roman" w:cs="Times New Roman"/>
          <w:bCs/>
          <w:sz w:val="24"/>
          <w:szCs w:val="24"/>
        </w:rPr>
        <w:footnoteReference w:id="15"/>
      </w:r>
      <w:r w:rsidR="00353435" w:rsidRPr="00A96BA2">
        <w:rPr>
          <w:rFonts w:ascii="Times New Roman" w:hAnsi="Times New Roman" w:cs="Times New Roman"/>
          <w:bCs/>
          <w:sz w:val="24"/>
          <w:szCs w:val="24"/>
        </w:rPr>
        <w:t xml:space="preserve"> Dewi examine how utilization implementation law tax for </w:t>
      </w:r>
      <w:r w:rsidR="00353435" w:rsidRPr="00A96BA2">
        <w:rPr>
          <w:rFonts w:ascii="Times New Roman" w:hAnsi="Times New Roman" w:cs="Times New Roman"/>
          <w:bCs/>
          <w:sz w:val="24"/>
          <w:szCs w:val="24"/>
        </w:rPr>
        <w:lastRenderedPageBreak/>
        <w:t>well-being people based on principle of equality.</w:t>
      </w:r>
      <w:r w:rsidR="00353435" w:rsidRPr="00A96BA2">
        <w:rPr>
          <w:rStyle w:val="FootnoteReference"/>
          <w:rFonts w:ascii="Times New Roman" w:hAnsi="Times New Roman" w:cs="Times New Roman"/>
          <w:bCs/>
          <w:sz w:val="24"/>
          <w:szCs w:val="24"/>
        </w:rPr>
        <w:footnoteReference w:id="16"/>
      </w:r>
      <w:r w:rsidR="00353435" w:rsidRPr="00A96BA2">
        <w:rPr>
          <w:rFonts w:ascii="Times New Roman" w:hAnsi="Times New Roman" w:cs="Times New Roman"/>
          <w:bCs/>
          <w:sz w:val="24"/>
          <w:szCs w:val="24"/>
        </w:rPr>
        <w:t xml:space="preserve"> Darmayasa discuss the concept of taxation of digital-based transactions across jurisdictions regulated by the Tax Treaty between Indonesia and Malaysia.</w:t>
      </w:r>
      <w:r w:rsidR="00353435" w:rsidRPr="00A96BA2">
        <w:rPr>
          <w:rStyle w:val="FootnoteReference"/>
          <w:rFonts w:ascii="Times New Roman" w:hAnsi="Times New Roman" w:cs="Times New Roman"/>
          <w:bCs/>
          <w:sz w:val="24"/>
          <w:szCs w:val="24"/>
        </w:rPr>
        <w:footnoteReference w:id="17"/>
      </w:r>
      <w:r w:rsidR="00353435" w:rsidRPr="00A96BA2">
        <w:rPr>
          <w:rFonts w:ascii="Times New Roman" w:hAnsi="Times New Roman" w:cs="Times New Roman"/>
          <w:bCs/>
          <w:sz w:val="24"/>
          <w:szCs w:val="24"/>
        </w:rPr>
        <w:t xml:space="preserve"> Rasji and Trawocoadji discuss the settlement of tax disputes through the application of the principle of equity. They describe the first principle, equality or equity, underlines the importance of implementing taxation without discrimination.</w:t>
      </w:r>
      <w:r w:rsidR="00353435" w:rsidRPr="00A96BA2">
        <w:rPr>
          <w:rStyle w:val="FootnoteReference"/>
          <w:rFonts w:ascii="Times New Roman" w:hAnsi="Times New Roman" w:cs="Times New Roman"/>
          <w:bCs/>
          <w:sz w:val="24"/>
          <w:szCs w:val="24"/>
        </w:rPr>
        <w:footnoteReference w:id="18"/>
      </w:r>
    </w:p>
    <w:p w14:paraId="3E9DDCD3" w14:textId="00189361" w:rsidR="007D4829" w:rsidRPr="00A96BA2" w:rsidRDefault="007D1AFC" w:rsidP="00A96BA2">
      <w:pPr>
        <w:spacing w:after="0" w:line="240" w:lineRule="auto"/>
        <w:ind w:firstLine="720"/>
        <w:jc w:val="both"/>
        <w:rPr>
          <w:rFonts w:ascii="Times New Roman" w:hAnsi="Times New Roman" w:cs="Times New Roman"/>
          <w:sz w:val="24"/>
          <w:szCs w:val="24"/>
          <w:lang w:val="fi-FI"/>
        </w:rPr>
      </w:pPr>
      <w:r w:rsidRPr="00A96BA2">
        <w:rPr>
          <w:rFonts w:ascii="Times New Roman" w:hAnsi="Times New Roman" w:cs="Times New Roman"/>
          <w:bCs/>
          <w:sz w:val="24"/>
          <w:szCs w:val="24"/>
        </w:rPr>
        <w:t xml:space="preserve">Second is the researches about gemstone certification laws. </w:t>
      </w:r>
      <w:r w:rsidRPr="00A96BA2">
        <w:rPr>
          <w:rFonts w:ascii="Times New Roman" w:hAnsi="Times New Roman" w:cs="Times New Roman"/>
          <w:sz w:val="24"/>
          <w:szCs w:val="24"/>
        </w:rPr>
        <w:t>Herman and Lestarini explain consumer rights protection regarding information as a reason for the urgency of regulating gemstone certification obligations in Indonesia.</w:t>
      </w:r>
      <w:r w:rsidRPr="00A96BA2">
        <w:rPr>
          <w:rStyle w:val="FootnoteReference"/>
          <w:rFonts w:ascii="Times New Roman" w:hAnsi="Times New Roman" w:cs="Times New Roman"/>
          <w:sz w:val="24"/>
          <w:szCs w:val="24"/>
        </w:rPr>
        <w:footnoteReference w:id="19"/>
      </w:r>
      <w:r w:rsidRPr="00A96BA2">
        <w:rPr>
          <w:rFonts w:ascii="Times New Roman" w:hAnsi="Times New Roman" w:cs="Times New Roman"/>
          <w:sz w:val="24"/>
          <w:szCs w:val="24"/>
        </w:rPr>
        <w:t>In addition, Herman also suggests the establishment of a professional gemmologist organization in the Republic of Indonesia.</w:t>
      </w:r>
      <w:r w:rsidRPr="00A96BA2">
        <w:rPr>
          <w:rStyle w:val="FootnoteReference"/>
          <w:rFonts w:ascii="Times New Roman" w:hAnsi="Times New Roman" w:cs="Times New Roman"/>
          <w:sz w:val="24"/>
          <w:szCs w:val="24"/>
        </w:rPr>
        <w:t xml:space="preserve"> </w:t>
      </w:r>
      <w:r w:rsidRPr="00A96BA2">
        <w:rPr>
          <w:rStyle w:val="FootnoteReference"/>
          <w:rFonts w:ascii="Times New Roman" w:hAnsi="Times New Roman" w:cs="Times New Roman"/>
          <w:sz w:val="24"/>
          <w:szCs w:val="24"/>
          <w:lang w:val="de-DE"/>
        </w:rPr>
        <w:footnoteReference w:id="20"/>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The aim is to provide consumers with a basis to demand legal accountability from gemmologists who harm them by incorrectly issuing information in gemstone certificates.</w:t>
      </w:r>
      <w:r w:rsidRPr="00A96BA2">
        <w:rPr>
          <w:rStyle w:val="FootnoteReference"/>
          <w:rFonts w:ascii="Times New Roman" w:hAnsi="Times New Roman" w:cs="Times New Roman"/>
          <w:sz w:val="24"/>
          <w:szCs w:val="24"/>
          <w:lang w:val="de-DE"/>
        </w:rPr>
        <w:footnoteReference w:id="21"/>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Putra explains Government Regulation of the Republic of Indonesia Number 51 of 2011 as the legal basis for pawnshops issuing gemstone certificates.</w:t>
      </w:r>
      <w:r w:rsidRPr="00A96BA2">
        <w:rPr>
          <w:rStyle w:val="FootnoteReference"/>
          <w:rFonts w:ascii="Times New Roman" w:hAnsi="Times New Roman" w:cs="Times New Roman"/>
          <w:sz w:val="24"/>
          <w:szCs w:val="24"/>
          <w:lang w:val="de-DE"/>
        </w:rPr>
        <w:footnoteReference w:id="22"/>
      </w:r>
      <w:r w:rsidRPr="00A96BA2">
        <w:rPr>
          <w:rFonts w:ascii="Times New Roman" w:hAnsi="Times New Roman" w:cs="Times New Roman"/>
          <w:sz w:val="24"/>
          <w:szCs w:val="24"/>
        </w:rPr>
        <w:t xml:space="preserve"> In addition, Putra also identifies weaknesses of certificates as evidence tools that do not include the name of the owner of the certified gemstone.</w:t>
      </w:r>
      <w:r w:rsidRPr="00A96BA2">
        <w:rPr>
          <w:rStyle w:val="FootnoteReference"/>
          <w:rFonts w:ascii="Times New Roman" w:hAnsi="Times New Roman" w:cs="Times New Roman"/>
          <w:sz w:val="24"/>
          <w:szCs w:val="24"/>
          <w:lang w:val="de-DE"/>
        </w:rPr>
        <w:footnoteReference w:id="23"/>
      </w:r>
      <w:r w:rsidRPr="00A96BA2">
        <w:rPr>
          <w:rFonts w:ascii="Times New Roman" w:hAnsi="Times New Roman" w:cs="Times New Roman"/>
          <w:sz w:val="24"/>
          <w:szCs w:val="24"/>
          <w:lang w:val="fi-FI"/>
        </w:rPr>
        <w:t xml:space="preserve">  </w:t>
      </w:r>
      <w:r w:rsidRPr="00A96BA2">
        <w:rPr>
          <w:rFonts w:ascii="Times New Roman" w:hAnsi="Times New Roman" w:cs="Times New Roman"/>
          <w:bCs/>
          <w:sz w:val="24"/>
          <w:szCs w:val="24"/>
          <w:lang w:val="fi-FI"/>
        </w:rPr>
        <w:t xml:space="preserve">But the previous researches don’t analyze </w:t>
      </w:r>
      <w:r w:rsidR="00016B6B" w:rsidRPr="00A96BA2">
        <w:rPr>
          <w:rFonts w:ascii="Times New Roman" w:hAnsi="Times New Roman" w:cs="Times New Roman"/>
          <w:bCs/>
          <w:sz w:val="24"/>
          <w:szCs w:val="24"/>
          <w:lang w:val="fi-FI"/>
        </w:rPr>
        <w:t xml:space="preserve">the </w:t>
      </w:r>
      <w:r w:rsidR="00016B6B" w:rsidRPr="00A96BA2">
        <w:rPr>
          <w:rFonts w:ascii="Times New Roman" w:eastAsia="Times New Roman" w:hAnsi="Times New Roman" w:cs="Times New Roman"/>
          <w:sz w:val="24"/>
          <w:szCs w:val="24"/>
        </w:rPr>
        <w:t xml:space="preserve">meaning of equality in the Banjar Regency regulations about gemstone certification. </w:t>
      </w:r>
      <w:r w:rsidRPr="00A96BA2">
        <w:rPr>
          <w:rFonts w:ascii="Times New Roman" w:eastAsia="Times New Roman" w:hAnsi="Times New Roman" w:cs="Times New Roman"/>
          <w:sz w:val="24"/>
          <w:szCs w:val="24"/>
        </w:rPr>
        <w:t>That analysis is this research novelty to bridge the gap. Wibisana describe gap as something that the previous researches don’t describe.</w:t>
      </w:r>
      <w:r w:rsidRPr="00A96BA2">
        <w:rPr>
          <w:rStyle w:val="FootnoteReference"/>
          <w:rFonts w:ascii="Times New Roman" w:eastAsia="Times New Roman" w:hAnsi="Times New Roman" w:cs="Times New Roman"/>
          <w:sz w:val="24"/>
          <w:szCs w:val="24"/>
        </w:rPr>
        <w:footnoteReference w:id="24"/>
      </w:r>
    </w:p>
    <w:p w14:paraId="492D732D"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 xml:space="preserve">RESEARCH METHOD AND DESIGN </w:t>
      </w:r>
    </w:p>
    <w:p w14:paraId="23EF78C5" w14:textId="72F9B3E8" w:rsidR="00016B6B" w:rsidRPr="00A96BA2" w:rsidRDefault="007D4829"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bCs/>
          <w:sz w:val="24"/>
          <w:szCs w:val="24"/>
        </w:rPr>
        <w:t xml:space="preserve">This research </w:t>
      </w:r>
      <w:r w:rsidR="00016B6B" w:rsidRPr="00A96BA2">
        <w:rPr>
          <w:rFonts w:ascii="Times New Roman" w:hAnsi="Times New Roman" w:cs="Times New Roman"/>
          <w:sz w:val="24"/>
          <w:szCs w:val="24"/>
        </w:rPr>
        <w:t>is doctrinal legal research. Doctrinal legal research places information and legal norms at the centre of its study.</w:t>
      </w:r>
      <w:r w:rsidR="00016B6B" w:rsidRPr="00A96BA2">
        <w:rPr>
          <w:rFonts w:ascii="Times New Roman" w:hAnsi="Times New Roman" w:cs="Times New Roman"/>
          <w:sz w:val="24"/>
          <w:szCs w:val="24"/>
          <w:vertAlign w:val="superscript"/>
        </w:rPr>
        <w:footnoteReference w:id="25"/>
      </w:r>
      <w:r w:rsidR="00016B6B" w:rsidRPr="00A96BA2">
        <w:rPr>
          <w:rFonts w:ascii="Times New Roman" w:hAnsi="Times New Roman" w:cs="Times New Roman"/>
          <w:bCs/>
          <w:sz w:val="24"/>
          <w:szCs w:val="24"/>
        </w:rPr>
        <w:t xml:space="preserve"> </w:t>
      </w:r>
      <w:r w:rsidR="00016B6B" w:rsidRPr="00A96BA2">
        <w:rPr>
          <w:rFonts w:ascii="Times New Roman" w:hAnsi="Times New Roman" w:cs="Times New Roman"/>
          <w:sz w:val="24"/>
          <w:szCs w:val="24"/>
        </w:rPr>
        <w:t xml:space="preserve">This research will focus on legal norm regarding the amount of business fee of gemstone certification according to the Banjar Regency Regulation as its main subject. This doctrinal research is descriptive because it aims to examine as accurately as possible the </w:t>
      </w:r>
      <w:r w:rsidR="00016B6B" w:rsidRPr="00A96BA2">
        <w:rPr>
          <w:rFonts w:ascii="Times New Roman" w:hAnsi="Times New Roman" w:cs="Times New Roman"/>
          <w:bCs/>
          <w:sz w:val="24"/>
          <w:szCs w:val="24"/>
          <w:lang w:val="fi-FI"/>
        </w:rPr>
        <w:t xml:space="preserve">the </w:t>
      </w:r>
      <w:r w:rsidR="00016B6B" w:rsidRPr="00A96BA2">
        <w:rPr>
          <w:rFonts w:ascii="Times New Roman" w:eastAsia="Times New Roman" w:hAnsi="Times New Roman" w:cs="Times New Roman"/>
          <w:sz w:val="24"/>
          <w:szCs w:val="24"/>
        </w:rPr>
        <w:t>meaning of equality in the Banjar Regency regulations about gemstone certification.</w:t>
      </w:r>
      <w:r w:rsidR="00016B6B" w:rsidRPr="00A96BA2">
        <w:rPr>
          <w:rFonts w:ascii="Times New Roman" w:hAnsi="Times New Roman" w:cs="Times New Roman"/>
          <w:sz w:val="24"/>
          <w:szCs w:val="24"/>
        </w:rPr>
        <w:t xml:space="preserve"> Descriptive legal research aims to provide the most accurate possible data related to a phenomenon.</w:t>
      </w:r>
      <w:r w:rsidR="00016B6B" w:rsidRPr="00A96BA2">
        <w:rPr>
          <w:rFonts w:ascii="Times New Roman" w:hAnsi="Times New Roman" w:cs="Times New Roman"/>
          <w:sz w:val="24"/>
          <w:szCs w:val="24"/>
          <w:vertAlign w:val="superscript"/>
        </w:rPr>
        <w:footnoteReference w:id="26"/>
      </w:r>
    </w:p>
    <w:p w14:paraId="6FA86E18" w14:textId="0F275B15" w:rsidR="007D4829" w:rsidRPr="00A96BA2" w:rsidRDefault="00016B6B"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hAnsi="Times New Roman" w:cs="Times New Roman"/>
          <w:sz w:val="24"/>
          <w:szCs w:val="24"/>
        </w:rPr>
        <w:t>The data collection tool for this research is a literature study. The literature study collects data by analysing the content of documents, or content analysis.</w:t>
      </w:r>
      <w:r w:rsidRPr="00A96BA2">
        <w:rPr>
          <w:rFonts w:ascii="Times New Roman" w:hAnsi="Times New Roman" w:cs="Times New Roman"/>
          <w:sz w:val="24"/>
          <w:szCs w:val="24"/>
          <w:vertAlign w:val="superscript"/>
        </w:rPr>
        <w:footnoteReference w:id="27"/>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 xml:space="preserve">This research conducts a literature study on primary legal materials in the form of statutory regulations, such </w:t>
      </w:r>
      <w:r w:rsidRPr="00A96BA2">
        <w:rPr>
          <w:rFonts w:ascii="Times New Roman" w:hAnsi="Times New Roman" w:cs="Times New Roman"/>
          <w:sz w:val="24"/>
          <w:szCs w:val="24"/>
        </w:rPr>
        <w:lastRenderedPageBreak/>
        <w:t>as the Banjar Regency Regional Regulation Number 8 of 2009.</w:t>
      </w:r>
      <w:r w:rsidRPr="00A96BA2">
        <w:rPr>
          <w:rFonts w:ascii="Times New Roman" w:hAnsi="Times New Roman" w:cs="Times New Roman"/>
          <w:sz w:val="24"/>
          <w:szCs w:val="24"/>
          <w:vertAlign w:val="superscript"/>
        </w:rPr>
        <w:footnoteReference w:id="28"/>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 xml:space="preserve"> In addition, document studies are also carried out on secondary legal materials, such as journal articles related to gemstone certification law and principle of equality, as well as legal dictionaries like Black's Law Dictionary by Black.</w:t>
      </w:r>
      <w:r w:rsidRPr="00A96BA2">
        <w:rPr>
          <w:rFonts w:ascii="Times New Roman" w:hAnsi="Times New Roman" w:cs="Times New Roman"/>
          <w:sz w:val="24"/>
          <w:szCs w:val="24"/>
          <w:vertAlign w:val="superscript"/>
        </w:rPr>
        <w:footnoteReference w:id="29"/>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rPr>
        <w:t xml:space="preserve">The aim is to explain </w:t>
      </w:r>
      <w:r w:rsidRPr="00A96BA2">
        <w:rPr>
          <w:rFonts w:ascii="Times New Roman" w:eastAsia="Times New Roman" w:hAnsi="Times New Roman" w:cs="Times New Roman"/>
          <w:sz w:val="24"/>
          <w:szCs w:val="24"/>
        </w:rPr>
        <w:t>meaning of equality in the Banjar Regency regulations about gemstone certification.</w:t>
      </w:r>
    </w:p>
    <w:p w14:paraId="2409DAE1" w14:textId="712AC1C5" w:rsidR="00016B6B" w:rsidRPr="00A96BA2" w:rsidRDefault="00016B6B" w:rsidP="00A96BA2">
      <w:pPr>
        <w:spacing w:after="0" w:line="240" w:lineRule="auto"/>
        <w:ind w:firstLine="720"/>
        <w:jc w:val="both"/>
        <w:rPr>
          <w:rFonts w:ascii="Times New Roman" w:eastAsia="Times New Roman" w:hAnsi="Times New Roman" w:cs="Times New Roman"/>
          <w:sz w:val="24"/>
          <w:szCs w:val="24"/>
        </w:rPr>
      </w:pPr>
      <w:r w:rsidRPr="00A96BA2">
        <w:rPr>
          <w:rFonts w:ascii="Times New Roman" w:eastAsia="Times New Roman" w:hAnsi="Times New Roman" w:cs="Times New Roman"/>
          <w:sz w:val="24"/>
          <w:szCs w:val="24"/>
        </w:rPr>
        <w:t xml:space="preserve">After the introductory remarks, this research reviews previous researches. The purpose of this review is to find the gap from previous researches. This research will also explain its method and research design. The next part will be divided to three different parts. First, it’s discussing the principle of equality. This part analysing the </w:t>
      </w:r>
      <w:r w:rsidR="008F2B6F" w:rsidRPr="00A96BA2">
        <w:rPr>
          <w:rFonts w:ascii="Times New Roman" w:eastAsia="Times New Roman" w:hAnsi="Times New Roman" w:cs="Times New Roman"/>
          <w:sz w:val="24"/>
          <w:szCs w:val="24"/>
        </w:rPr>
        <w:t>literatures regarding the principle o</w:t>
      </w:r>
      <w:r w:rsidR="00A96BA2" w:rsidRPr="00A96BA2">
        <w:rPr>
          <w:rFonts w:ascii="Times New Roman" w:eastAsia="Times New Roman" w:hAnsi="Times New Roman" w:cs="Times New Roman"/>
          <w:sz w:val="24"/>
          <w:szCs w:val="24"/>
        </w:rPr>
        <w:t>f</w:t>
      </w:r>
      <w:r w:rsidR="008F2B6F" w:rsidRPr="00A96BA2">
        <w:rPr>
          <w:rFonts w:ascii="Times New Roman" w:eastAsia="Times New Roman" w:hAnsi="Times New Roman" w:cs="Times New Roman"/>
          <w:sz w:val="24"/>
          <w:szCs w:val="24"/>
        </w:rPr>
        <w:t xml:space="preserve"> equality</w:t>
      </w:r>
      <w:r w:rsidRPr="00A96BA2">
        <w:rPr>
          <w:rFonts w:ascii="Times New Roman" w:eastAsia="Times New Roman" w:hAnsi="Times New Roman" w:cs="Times New Roman"/>
          <w:sz w:val="24"/>
          <w:szCs w:val="24"/>
        </w:rPr>
        <w:t xml:space="preserve">.  Second, it analysing the gemstone certification </w:t>
      </w:r>
      <w:r w:rsidR="0050664E" w:rsidRPr="00A96BA2">
        <w:rPr>
          <w:rFonts w:ascii="Times New Roman" w:eastAsia="Times New Roman" w:hAnsi="Times New Roman" w:cs="Times New Roman"/>
          <w:sz w:val="24"/>
          <w:szCs w:val="24"/>
        </w:rPr>
        <w:t>laws in the Republic of Indonesia</w:t>
      </w:r>
      <w:r w:rsidRPr="00A96BA2">
        <w:rPr>
          <w:rFonts w:ascii="Times New Roman" w:eastAsia="Times New Roman" w:hAnsi="Times New Roman" w:cs="Times New Roman"/>
          <w:sz w:val="24"/>
          <w:szCs w:val="24"/>
        </w:rPr>
        <w:t xml:space="preserve">. It analysing the legal framework </w:t>
      </w:r>
      <w:r w:rsidR="000A5F61" w:rsidRPr="00A96BA2">
        <w:rPr>
          <w:rFonts w:ascii="Times New Roman" w:eastAsia="Times New Roman" w:hAnsi="Times New Roman" w:cs="Times New Roman"/>
          <w:sz w:val="24"/>
          <w:szCs w:val="24"/>
        </w:rPr>
        <w:t xml:space="preserve">such as Banjar Regency Regulations. </w:t>
      </w:r>
      <w:r w:rsidR="008F2B6F" w:rsidRPr="00A96BA2">
        <w:rPr>
          <w:rFonts w:ascii="Times New Roman" w:eastAsia="Times New Roman" w:hAnsi="Times New Roman" w:cs="Times New Roman"/>
          <w:sz w:val="24"/>
          <w:szCs w:val="24"/>
        </w:rPr>
        <w:t xml:space="preserve">This part analysing the laws Indonesian Tax Laws textually. </w:t>
      </w:r>
      <w:r w:rsidR="001706B8" w:rsidRPr="00A96BA2">
        <w:rPr>
          <w:rFonts w:ascii="Times New Roman" w:eastAsia="Calibri" w:hAnsi="Times New Roman" w:cs="Times New Roman"/>
          <w:sz w:val="24"/>
          <w:szCs w:val="24"/>
          <w:lang w:val="en-US" w:eastAsia="zh-CN"/>
        </w:rPr>
        <w:t>Textualism begins and ends with the wording and implications of a text.</w:t>
      </w:r>
      <w:r w:rsidR="001706B8" w:rsidRPr="00A96BA2">
        <w:rPr>
          <w:rFonts w:ascii="Times New Roman" w:eastAsia="Calibri" w:hAnsi="Times New Roman" w:cs="Times New Roman"/>
          <w:sz w:val="24"/>
          <w:szCs w:val="24"/>
          <w:vertAlign w:val="superscript"/>
          <w:lang w:val="en-US"/>
        </w:rPr>
        <w:footnoteReference w:id="30"/>
      </w:r>
      <w:r w:rsidR="001706B8" w:rsidRPr="00A96BA2">
        <w:rPr>
          <w:rFonts w:ascii="Times New Roman" w:eastAsia="Calibri" w:hAnsi="Times New Roman" w:cs="Times New Roman"/>
          <w:sz w:val="24"/>
          <w:szCs w:val="24"/>
          <w:lang w:val="en-US" w:eastAsia="zh-CN"/>
        </w:rPr>
        <w:t xml:space="preserve"> </w:t>
      </w:r>
      <w:r w:rsidR="000A5F61" w:rsidRPr="00A96BA2">
        <w:rPr>
          <w:rFonts w:ascii="Times New Roman" w:eastAsia="Times New Roman" w:hAnsi="Times New Roman" w:cs="Times New Roman"/>
          <w:sz w:val="24"/>
          <w:szCs w:val="24"/>
        </w:rPr>
        <w:t xml:space="preserve">The third part discuss </w:t>
      </w:r>
      <w:r w:rsidR="00A96BA2" w:rsidRPr="00A96BA2">
        <w:rPr>
          <w:rFonts w:ascii="Times New Roman" w:eastAsia="Times New Roman" w:hAnsi="Times New Roman" w:cs="Times New Roman"/>
          <w:sz w:val="24"/>
          <w:szCs w:val="24"/>
        </w:rPr>
        <w:t>what the Banjar Regency Regulation should take into account</w:t>
      </w:r>
      <w:r w:rsidR="000A5F61" w:rsidRPr="00A96BA2">
        <w:rPr>
          <w:rFonts w:ascii="Times New Roman" w:eastAsia="Times New Roman" w:hAnsi="Times New Roman" w:cs="Times New Roman"/>
          <w:sz w:val="24"/>
          <w:szCs w:val="24"/>
        </w:rPr>
        <w:t>. So, the law could fulfil the consumers, sellers, and gemmologists rights for justice. The last part concludes this research.</w:t>
      </w:r>
    </w:p>
    <w:p w14:paraId="608D29F7" w14:textId="6D6C4973" w:rsidR="00016B6B" w:rsidRPr="00A96BA2" w:rsidRDefault="00016B6B" w:rsidP="00A96BA2">
      <w:pPr>
        <w:spacing w:after="0" w:line="240" w:lineRule="auto"/>
        <w:jc w:val="both"/>
        <w:rPr>
          <w:rFonts w:ascii="Times New Roman" w:hAnsi="Times New Roman" w:cs="Times New Roman"/>
          <w:b/>
          <w:bCs/>
          <w:sz w:val="24"/>
          <w:szCs w:val="24"/>
        </w:rPr>
      </w:pPr>
      <w:r w:rsidRPr="00A96BA2">
        <w:rPr>
          <w:rFonts w:ascii="Times New Roman" w:eastAsia="Times New Roman" w:hAnsi="Times New Roman" w:cs="Times New Roman"/>
          <w:b/>
          <w:bCs/>
          <w:sz w:val="24"/>
          <w:szCs w:val="24"/>
        </w:rPr>
        <w:t>DISCUSSION</w:t>
      </w:r>
    </w:p>
    <w:p w14:paraId="73CE7900" w14:textId="357637FA" w:rsidR="0050664E"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Principle of Equality in Indonesian Tax Laws</w:t>
      </w:r>
    </w:p>
    <w:p w14:paraId="7E4C280B" w14:textId="7A2F0B77" w:rsidR="005626C5" w:rsidRPr="00A96BA2" w:rsidRDefault="005626C5"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Adam</w:t>
      </w:r>
      <w:r w:rsidR="00F52E33" w:rsidRPr="00A96BA2">
        <w:rPr>
          <w:rFonts w:ascii="Times New Roman" w:hAnsi="Times New Roman" w:cs="Times New Roman"/>
          <w:bCs/>
          <w:sz w:val="24"/>
          <w:szCs w:val="24"/>
        </w:rPr>
        <w:t xml:space="preserve"> </w:t>
      </w:r>
      <w:r w:rsidR="00113DB2" w:rsidRPr="00A96BA2">
        <w:rPr>
          <w:rFonts w:ascii="Times New Roman" w:hAnsi="Times New Roman" w:cs="Times New Roman"/>
          <w:bCs/>
          <w:sz w:val="24"/>
          <w:szCs w:val="24"/>
        </w:rPr>
        <w:t xml:space="preserve">Smith </w:t>
      </w:r>
      <w:r w:rsidR="00C337A6" w:rsidRPr="00A96BA2">
        <w:rPr>
          <w:rFonts w:ascii="Times New Roman" w:hAnsi="Times New Roman" w:cs="Times New Roman"/>
          <w:bCs/>
          <w:sz w:val="24"/>
          <w:szCs w:val="24"/>
        </w:rPr>
        <w:t>state</w:t>
      </w:r>
      <w:r w:rsidR="00303DA4" w:rsidRPr="00A96BA2">
        <w:rPr>
          <w:rFonts w:ascii="Times New Roman" w:hAnsi="Times New Roman" w:cs="Times New Roman"/>
          <w:bCs/>
          <w:sz w:val="24"/>
          <w:szCs w:val="24"/>
        </w:rPr>
        <w:t>d</w:t>
      </w:r>
      <w:r w:rsidR="00C337A6" w:rsidRPr="00A96BA2">
        <w:rPr>
          <w:rFonts w:ascii="Times New Roman" w:hAnsi="Times New Roman" w:cs="Times New Roman"/>
          <w:bCs/>
          <w:sz w:val="24"/>
          <w:szCs w:val="24"/>
        </w:rPr>
        <w:t xml:space="preserve"> the four </w:t>
      </w:r>
      <w:r w:rsidR="00DC5710" w:rsidRPr="00A96BA2">
        <w:rPr>
          <w:rFonts w:ascii="Times New Roman" w:hAnsi="Times New Roman" w:cs="Times New Roman"/>
          <w:bCs/>
          <w:sz w:val="24"/>
          <w:szCs w:val="24"/>
        </w:rPr>
        <w:t xml:space="preserve">classic </w:t>
      </w:r>
      <w:r w:rsidR="00C337A6" w:rsidRPr="00A96BA2">
        <w:rPr>
          <w:rFonts w:ascii="Times New Roman" w:hAnsi="Times New Roman" w:cs="Times New Roman"/>
          <w:bCs/>
          <w:sz w:val="24"/>
          <w:szCs w:val="24"/>
        </w:rPr>
        <w:t>maxim</w:t>
      </w:r>
      <w:r w:rsidR="00DC5710" w:rsidRPr="00A96BA2">
        <w:rPr>
          <w:rFonts w:ascii="Times New Roman" w:hAnsi="Times New Roman" w:cs="Times New Roman"/>
          <w:bCs/>
          <w:sz w:val="24"/>
          <w:szCs w:val="24"/>
        </w:rPr>
        <w:t xml:space="preserve"> of taxation. First, </w:t>
      </w:r>
      <w:r w:rsidR="00A83DCB" w:rsidRPr="00A96BA2">
        <w:rPr>
          <w:rFonts w:ascii="Times New Roman" w:hAnsi="Times New Roman" w:cs="Times New Roman"/>
          <w:bCs/>
          <w:sz w:val="24"/>
          <w:szCs w:val="24"/>
        </w:rPr>
        <w:t>the subjects of every State ought to contribute toward the support of the government as nearly as possible in proportion to their respective abilities</w:t>
      </w:r>
      <w:r w:rsidR="00DF26EB" w:rsidRPr="00A96BA2">
        <w:rPr>
          <w:rFonts w:ascii="Times New Roman" w:hAnsi="Times New Roman" w:cs="Times New Roman"/>
          <w:bCs/>
          <w:sz w:val="24"/>
          <w:szCs w:val="24"/>
        </w:rPr>
        <w:t>.</w:t>
      </w:r>
      <w:r w:rsidR="00FF13AB" w:rsidRPr="00A96BA2">
        <w:rPr>
          <w:rStyle w:val="FootnoteReference"/>
          <w:rFonts w:ascii="Times New Roman" w:hAnsi="Times New Roman" w:cs="Times New Roman"/>
          <w:bCs/>
          <w:sz w:val="24"/>
          <w:szCs w:val="24"/>
        </w:rPr>
        <w:footnoteReference w:id="31"/>
      </w:r>
      <w:r w:rsidR="00DF26EB" w:rsidRPr="00A96BA2">
        <w:rPr>
          <w:rFonts w:ascii="Times New Roman" w:hAnsi="Times New Roman" w:cs="Times New Roman"/>
          <w:bCs/>
          <w:sz w:val="24"/>
          <w:szCs w:val="24"/>
        </w:rPr>
        <w:t xml:space="preserve"> Second, </w:t>
      </w:r>
      <w:r w:rsidR="00E80B24" w:rsidRPr="00A96BA2">
        <w:rPr>
          <w:rFonts w:ascii="Times New Roman" w:hAnsi="Times New Roman" w:cs="Times New Roman"/>
          <w:bCs/>
          <w:sz w:val="24"/>
          <w:szCs w:val="24"/>
        </w:rPr>
        <w:t>the tax each individual is bound to pay ought to be certain and not arbitrary.</w:t>
      </w:r>
      <w:r w:rsidR="00FB6D27" w:rsidRPr="00A96BA2">
        <w:rPr>
          <w:rStyle w:val="FootnoteReference"/>
          <w:rFonts w:ascii="Times New Roman" w:hAnsi="Times New Roman" w:cs="Times New Roman"/>
          <w:bCs/>
          <w:sz w:val="24"/>
          <w:szCs w:val="24"/>
        </w:rPr>
        <w:footnoteReference w:id="32"/>
      </w:r>
      <w:r w:rsidR="00E80B24" w:rsidRPr="00A96BA2">
        <w:rPr>
          <w:rFonts w:ascii="Times New Roman" w:hAnsi="Times New Roman" w:cs="Times New Roman"/>
          <w:bCs/>
          <w:sz w:val="24"/>
          <w:szCs w:val="24"/>
        </w:rPr>
        <w:t xml:space="preserve"> Third, </w:t>
      </w:r>
      <w:r w:rsidR="000853BF" w:rsidRPr="00A96BA2">
        <w:rPr>
          <w:rFonts w:ascii="Times New Roman" w:hAnsi="Times New Roman" w:cs="Times New Roman"/>
          <w:bCs/>
          <w:sz w:val="24"/>
          <w:szCs w:val="24"/>
        </w:rPr>
        <w:t>every tax ought to be levied at the time and in the manner in which it is most convenient for the contributors to pay it.</w:t>
      </w:r>
      <w:r w:rsidR="00FB6D27" w:rsidRPr="00A96BA2">
        <w:rPr>
          <w:rStyle w:val="FootnoteReference"/>
          <w:rFonts w:ascii="Times New Roman" w:hAnsi="Times New Roman" w:cs="Times New Roman"/>
          <w:bCs/>
          <w:sz w:val="24"/>
          <w:szCs w:val="24"/>
        </w:rPr>
        <w:footnoteReference w:id="33"/>
      </w:r>
      <w:r w:rsidR="000853BF" w:rsidRPr="00A96BA2">
        <w:rPr>
          <w:rFonts w:ascii="Times New Roman" w:hAnsi="Times New Roman" w:cs="Times New Roman"/>
          <w:bCs/>
          <w:sz w:val="24"/>
          <w:szCs w:val="24"/>
        </w:rPr>
        <w:t xml:space="preserve"> </w:t>
      </w:r>
      <w:r w:rsidR="00FF13AB" w:rsidRPr="00A96BA2">
        <w:rPr>
          <w:rFonts w:ascii="Times New Roman" w:hAnsi="Times New Roman" w:cs="Times New Roman"/>
          <w:bCs/>
          <w:sz w:val="24"/>
          <w:szCs w:val="24"/>
        </w:rPr>
        <w:t>Fourth, every tax ought to be so contrived as to take out and keep out of the pockets of the people as little as possible above what it brings into the public treasury of the State.</w:t>
      </w:r>
      <w:r w:rsidR="00FB6D27" w:rsidRPr="00A96BA2">
        <w:rPr>
          <w:rStyle w:val="FootnoteReference"/>
          <w:rFonts w:ascii="Times New Roman" w:hAnsi="Times New Roman" w:cs="Times New Roman"/>
          <w:bCs/>
          <w:sz w:val="24"/>
          <w:szCs w:val="24"/>
        </w:rPr>
        <w:footnoteReference w:id="34"/>
      </w:r>
    </w:p>
    <w:p w14:paraId="1D1FC31B" w14:textId="0DEE45BB" w:rsidR="0011346D" w:rsidRPr="00A96BA2" w:rsidRDefault="005626C5"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Smith first maxim of taxation is the principle of equality. </w:t>
      </w:r>
      <w:r w:rsidR="00C23B96" w:rsidRPr="00A96BA2">
        <w:rPr>
          <w:rFonts w:ascii="Times New Roman" w:hAnsi="Times New Roman" w:cs="Times New Roman"/>
          <w:bCs/>
          <w:sz w:val="24"/>
          <w:szCs w:val="24"/>
        </w:rPr>
        <w:t xml:space="preserve">The first maxim is the canon of </w:t>
      </w:r>
      <w:r w:rsidR="00586A08" w:rsidRPr="00A96BA2">
        <w:rPr>
          <w:rFonts w:ascii="Times New Roman" w:hAnsi="Times New Roman" w:cs="Times New Roman"/>
          <w:bCs/>
          <w:sz w:val="24"/>
          <w:szCs w:val="24"/>
        </w:rPr>
        <w:t>equality.</w:t>
      </w:r>
      <w:r w:rsidR="00586A08" w:rsidRPr="00A96BA2">
        <w:rPr>
          <w:rStyle w:val="FootnoteReference"/>
          <w:rFonts w:ascii="Times New Roman" w:hAnsi="Times New Roman" w:cs="Times New Roman"/>
          <w:bCs/>
          <w:sz w:val="24"/>
          <w:szCs w:val="24"/>
        </w:rPr>
        <w:footnoteReference w:id="35"/>
      </w:r>
      <w:r w:rsidR="00365BBA" w:rsidRPr="00A96BA2">
        <w:rPr>
          <w:rFonts w:ascii="Times New Roman" w:hAnsi="Times New Roman" w:cs="Times New Roman"/>
          <w:bCs/>
          <w:sz w:val="24"/>
          <w:szCs w:val="24"/>
        </w:rPr>
        <w:t xml:space="preserve"> </w:t>
      </w:r>
      <w:r w:rsidR="006913DD" w:rsidRPr="00A96BA2">
        <w:rPr>
          <w:rFonts w:ascii="Times New Roman" w:hAnsi="Times New Roman" w:cs="Times New Roman"/>
          <w:bCs/>
          <w:sz w:val="24"/>
          <w:szCs w:val="24"/>
        </w:rPr>
        <w:t>The principle of equality of taxation is one of the most important principles formulated by Adam Smith.</w:t>
      </w:r>
      <w:r w:rsidR="006913DD" w:rsidRPr="00A96BA2">
        <w:rPr>
          <w:rStyle w:val="FootnoteReference"/>
          <w:rFonts w:ascii="Times New Roman" w:hAnsi="Times New Roman" w:cs="Times New Roman"/>
          <w:bCs/>
          <w:sz w:val="24"/>
          <w:szCs w:val="24"/>
        </w:rPr>
        <w:footnoteReference w:id="36"/>
      </w:r>
      <w:r w:rsidR="006913DD" w:rsidRPr="00A96BA2">
        <w:rPr>
          <w:rFonts w:ascii="Times New Roman" w:hAnsi="Times New Roman" w:cs="Times New Roman"/>
          <w:bCs/>
          <w:sz w:val="24"/>
          <w:szCs w:val="24"/>
        </w:rPr>
        <w:t xml:space="preserve"> He replaced the concept of equity with the concept of equality.</w:t>
      </w:r>
      <w:r w:rsidR="00F8569F" w:rsidRPr="00A96BA2">
        <w:rPr>
          <w:rStyle w:val="FootnoteReference"/>
          <w:rFonts w:ascii="Times New Roman" w:hAnsi="Times New Roman" w:cs="Times New Roman"/>
          <w:bCs/>
          <w:sz w:val="24"/>
          <w:szCs w:val="24"/>
        </w:rPr>
        <w:footnoteReference w:id="37"/>
      </w:r>
      <w:r w:rsidR="003964CD" w:rsidRPr="00A96BA2">
        <w:rPr>
          <w:rFonts w:ascii="Times New Roman" w:hAnsi="Times New Roman" w:cs="Times New Roman"/>
          <w:bCs/>
          <w:sz w:val="24"/>
          <w:szCs w:val="24"/>
        </w:rPr>
        <w:t xml:space="preserve"> The word equality also known as fairness. The application of the Fairness principle in tax collection emphasizes equal treatment for all taxpayers who are in a similar position.</w:t>
      </w:r>
      <w:r w:rsidR="003964CD" w:rsidRPr="00A96BA2">
        <w:rPr>
          <w:rStyle w:val="FootnoteReference"/>
          <w:rFonts w:ascii="Times New Roman" w:hAnsi="Times New Roman" w:cs="Times New Roman"/>
          <w:bCs/>
          <w:sz w:val="24"/>
          <w:szCs w:val="24"/>
        </w:rPr>
        <w:footnoteReference w:id="38"/>
      </w:r>
      <w:r w:rsidR="003964CD" w:rsidRPr="00A96BA2">
        <w:rPr>
          <w:rFonts w:ascii="Times New Roman" w:hAnsi="Times New Roman" w:cs="Times New Roman"/>
          <w:bCs/>
          <w:sz w:val="24"/>
          <w:szCs w:val="24"/>
        </w:rPr>
        <w:t xml:space="preserve"> This means that individuals or companies in the same situation should be subject to comparable tax burdens.</w:t>
      </w:r>
      <w:r w:rsidR="003964CD" w:rsidRPr="00A96BA2">
        <w:rPr>
          <w:rStyle w:val="FootnoteReference"/>
          <w:rFonts w:ascii="Times New Roman" w:hAnsi="Times New Roman" w:cs="Times New Roman"/>
          <w:bCs/>
          <w:sz w:val="24"/>
          <w:szCs w:val="24"/>
        </w:rPr>
        <w:footnoteReference w:id="39"/>
      </w:r>
      <w:r w:rsidR="003964CD" w:rsidRPr="00A96BA2">
        <w:rPr>
          <w:rFonts w:ascii="Times New Roman" w:hAnsi="Times New Roman" w:cs="Times New Roman"/>
          <w:bCs/>
          <w:sz w:val="24"/>
          <w:szCs w:val="24"/>
        </w:rPr>
        <w:t xml:space="preserve"> </w:t>
      </w:r>
    </w:p>
    <w:p w14:paraId="092929A5" w14:textId="3888F08C" w:rsidR="00F338B2" w:rsidRPr="00A96BA2" w:rsidRDefault="00FA7AF7"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lastRenderedPageBreak/>
        <w:t xml:space="preserve">Therefore, the principle of equality demands tax laws to charge the same amount of fees to those who have equal ability to pay their taxes. </w:t>
      </w:r>
      <w:r w:rsidR="00FD0245" w:rsidRPr="00A96BA2">
        <w:rPr>
          <w:rFonts w:ascii="Times New Roman" w:hAnsi="Times New Roman" w:cs="Times New Roman"/>
          <w:bCs/>
          <w:sz w:val="24"/>
          <w:szCs w:val="24"/>
        </w:rPr>
        <w:t>The principle of equality before the law comes from the concept of the legal state rule of law in the anglo Saxon legal system.</w:t>
      </w:r>
      <w:r w:rsidR="00FD0245" w:rsidRPr="00A96BA2">
        <w:rPr>
          <w:rStyle w:val="FootnoteReference"/>
          <w:rFonts w:ascii="Times New Roman" w:hAnsi="Times New Roman" w:cs="Times New Roman"/>
          <w:bCs/>
          <w:sz w:val="24"/>
          <w:szCs w:val="24"/>
        </w:rPr>
        <w:footnoteReference w:id="40"/>
      </w:r>
      <w:r w:rsidR="00FD0245" w:rsidRPr="00A96BA2">
        <w:rPr>
          <w:rFonts w:ascii="Times New Roman" w:hAnsi="Times New Roman" w:cs="Times New Roman"/>
          <w:bCs/>
          <w:sz w:val="24"/>
          <w:szCs w:val="24"/>
        </w:rPr>
        <w:t xml:space="preserve"> </w:t>
      </w:r>
      <w:r w:rsidR="007E2A1A" w:rsidRPr="00A96BA2">
        <w:rPr>
          <w:rFonts w:ascii="Times New Roman" w:hAnsi="Times New Roman" w:cs="Times New Roman"/>
          <w:bCs/>
          <w:sz w:val="24"/>
          <w:szCs w:val="24"/>
        </w:rPr>
        <w:t>Equality over time has had two consistent features. First, it has been equated consistently with theories of liberty and justice.</w:t>
      </w:r>
      <w:r w:rsidR="007E2A1A" w:rsidRPr="00A96BA2">
        <w:rPr>
          <w:rStyle w:val="FootnoteReference"/>
          <w:rFonts w:ascii="Times New Roman" w:hAnsi="Times New Roman" w:cs="Times New Roman"/>
          <w:bCs/>
          <w:sz w:val="24"/>
          <w:szCs w:val="24"/>
        </w:rPr>
        <w:footnoteReference w:id="41"/>
      </w:r>
      <w:r w:rsidR="007E2A1A" w:rsidRPr="00A96BA2">
        <w:rPr>
          <w:rFonts w:ascii="Times New Roman" w:hAnsi="Times New Roman" w:cs="Times New Roman"/>
          <w:bCs/>
          <w:sz w:val="24"/>
          <w:szCs w:val="24"/>
        </w:rPr>
        <w:t xml:space="preserve"> Second, it has never been considered absolute.</w:t>
      </w:r>
      <w:r w:rsidR="007E2A1A" w:rsidRPr="00A96BA2">
        <w:rPr>
          <w:rStyle w:val="FootnoteReference"/>
          <w:rFonts w:ascii="Times New Roman" w:hAnsi="Times New Roman" w:cs="Times New Roman"/>
          <w:bCs/>
          <w:sz w:val="24"/>
          <w:szCs w:val="24"/>
        </w:rPr>
        <w:footnoteReference w:id="42"/>
      </w:r>
      <w:r w:rsidR="000340BF" w:rsidRPr="00A96BA2">
        <w:rPr>
          <w:rFonts w:ascii="Times New Roman" w:hAnsi="Times New Roman" w:cs="Times New Roman"/>
          <w:bCs/>
          <w:sz w:val="24"/>
          <w:szCs w:val="24"/>
        </w:rPr>
        <w:t xml:space="preserve"> </w:t>
      </w:r>
      <w:r w:rsidR="009E54AB" w:rsidRPr="00A96BA2">
        <w:rPr>
          <w:rFonts w:ascii="Times New Roman" w:hAnsi="Times New Roman" w:cs="Times New Roman"/>
          <w:bCs/>
          <w:sz w:val="24"/>
          <w:szCs w:val="24"/>
        </w:rPr>
        <w:t>Legal equality is the equality of subjects of law, free and independent from each other, in a single scale, a single norm, and equal measure.</w:t>
      </w:r>
      <w:r w:rsidR="00475F38" w:rsidRPr="00A96BA2">
        <w:rPr>
          <w:rStyle w:val="FootnoteReference"/>
          <w:rFonts w:ascii="Times New Roman" w:hAnsi="Times New Roman" w:cs="Times New Roman"/>
          <w:bCs/>
          <w:sz w:val="24"/>
          <w:szCs w:val="24"/>
        </w:rPr>
        <w:footnoteReference w:id="43"/>
      </w:r>
    </w:p>
    <w:p w14:paraId="7968AC84" w14:textId="6AB32AB7" w:rsidR="0011346D" w:rsidRPr="00A96BA2" w:rsidRDefault="0011346D"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Gerbing identified five indicators that can be a benchmark for measuring the implementation of the principle of Equality</w:t>
      </w:r>
      <w:r w:rsidR="008A12AC" w:rsidRPr="00A96BA2">
        <w:rPr>
          <w:rFonts w:ascii="Times New Roman" w:hAnsi="Times New Roman" w:cs="Times New Roman"/>
          <w:bCs/>
          <w:sz w:val="24"/>
          <w:szCs w:val="24"/>
        </w:rPr>
        <w:t>, namely</w:t>
      </w:r>
      <w:r w:rsidRPr="00A96BA2">
        <w:rPr>
          <w:rFonts w:ascii="Times New Roman" w:hAnsi="Times New Roman" w:cs="Times New Roman"/>
          <w:bCs/>
          <w:sz w:val="24"/>
          <w:szCs w:val="24"/>
        </w:rPr>
        <w:t>: general fairness, exchange with government, self-interest, special provisions, and tax structure rate.</w:t>
      </w:r>
      <w:r w:rsidR="008A12AC" w:rsidRPr="00A96BA2">
        <w:rPr>
          <w:rStyle w:val="FootnoteReference"/>
          <w:rFonts w:ascii="Times New Roman" w:hAnsi="Times New Roman" w:cs="Times New Roman"/>
          <w:bCs/>
          <w:sz w:val="24"/>
          <w:szCs w:val="24"/>
        </w:rPr>
        <w:footnoteReference w:id="44"/>
      </w:r>
      <w:r w:rsidRPr="00A96BA2">
        <w:rPr>
          <w:rFonts w:ascii="Times New Roman" w:hAnsi="Times New Roman" w:cs="Times New Roman"/>
          <w:bCs/>
          <w:sz w:val="24"/>
          <w:szCs w:val="24"/>
        </w:rPr>
        <w:t xml:space="preserve">General Equality indicators can be interpreted as a concept of </w:t>
      </w:r>
      <w:r w:rsidR="008A12AC" w:rsidRPr="00A96BA2">
        <w:rPr>
          <w:rFonts w:ascii="Times New Roman" w:hAnsi="Times New Roman" w:cs="Times New Roman"/>
          <w:bCs/>
          <w:sz w:val="24"/>
          <w:szCs w:val="24"/>
        </w:rPr>
        <w:t>e</w:t>
      </w:r>
      <w:r w:rsidRPr="00A96BA2">
        <w:rPr>
          <w:rFonts w:ascii="Times New Roman" w:hAnsi="Times New Roman" w:cs="Times New Roman"/>
          <w:bCs/>
          <w:sz w:val="24"/>
          <w:szCs w:val="24"/>
        </w:rPr>
        <w:t xml:space="preserve">quality related to human relations by giving what is rightfully theirs or which can be interpreted as </w:t>
      </w:r>
      <w:r w:rsidR="008A12AC" w:rsidRPr="00A96BA2">
        <w:rPr>
          <w:rFonts w:ascii="Times New Roman" w:hAnsi="Times New Roman" w:cs="Times New Roman"/>
          <w:bCs/>
          <w:sz w:val="24"/>
          <w:szCs w:val="24"/>
        </w:rPr>
        <w:t>e</w:t>
      </w:r>
      <w:r w:rsidRPr="00A96BA2">
        <w:rPr>
          <w:rFonts w:ascii="Times New Roman" w:hAnsi="Times New Roman" w:cs="Times New Roman"/>
          <w:bCs/>
          <w:sz w:val="24"/>
          <w:szCs w:val="24"/>
        </w:rPr>
        <w:t>quality desired by law that must be implemented in the public interest.</w:t>
      </w:r>
      <w:r w:rsidR="008A12AC" w:rsidRPr="00A96BA2">
        <w:rPr>
          <w:rStyle w:val="FootnoteReference"/>
          <w:rFonts w:ascii="Times New Roman" w:hAnsi="Times New Roman" w:cs="Times New Roman"/>
          <w:bCs/>
          <w:sz w:val="24"/>
          <w:szCs w:val="24"/>
        </w:rPr>
        <w:footnoteReference w:id="45"/>
      </w:r>
    </w:p>
    <w:p w14:paraId="39807488" w14:textId="2DE8AEC5" w:rsidR="00A44908" w:rsidRPr="00A96BA2" w:rsidRDefault="00382914"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Indonesian tax laws follow the principle of equality. </w:t>
      </w:r>
      <w:r w:rsidR="00703385" w:rsidRPr="00A96BA2">
        <w:rPr>
          <w:rFonts w:ascii="Times New Roman" w:hAnsi="Times New Roman" w:cs="Times New Roman"/>
          <w:bCs/>
          <w:sz w:val="24"/>
          <w:szCs w:val="24"/>
        </w:rPr>
        <w:t>Article 55 of Law Number 8 of 1997 concerning Company Documents mandates that "tax collection shall be conducted based on certain principles," including the principle of ability-to-pay and the principles of horizontal and vertical equity.</w:t>
      </w:r>
      <w:r w:rsidR="00D8735C" w:rsidRPr="00A96BA2">
        <w:rPr>
          <w:rStyle w:val="FootnoteReference"/>
          <w:rFonts w:ascii="Times New Roman" w:hAnsi="Times New Roman" w:cs="Times New Roman"/>
          <w:bCs/>
          <w:sz w:val="24"/>
          <w:szCs w:val="24"/>
        </w:rPr>
        <w:footnoteReference w:id="46"/>
      </w:r>
      <w:r w:rsidR="0026395A" w:rsidRPr="00A96BA2">
        <w:rPr>
          <w:rFonts w:ascii="Times New Roman" w:hAnsi="Times New Roman" w:cs="Times New Roman"/>
          <w:bCs/>
          <w:sz w:val="24"/>
          <w:szCs w:val="24"/>
        </w:rPr>
        <w:t xml:space="preserve"> </w:t>
      </w:r>
      <w:r w:rsidR="00F852A5" w:rsidRPr="00A96BA2">
        <w:rPr>
          <w:rFonts w:ascii="Times New Roman" w:hAnsi="Times New Roman" w:cs="Times New Roman"/>
          <w:bCs/>
          <w:sz w:val="24"/>
          <w:szCs w:val="24"/>
        </w:rPr>
        <w:t>The ability to pay principle suggests that tax is charged to the  subject based on their ability to pay taxes.</w:t>
      </w:r>
      <w:r w:rsidR="004B54B0" w:rsidRPr="00A96BA2">
        <w:rPr>
          <w:rStyle w:val="FootnoteReference"/>
          <w:rFonts w:ascii="Times New Roman" w:hAnsi="Times New Roman" w:cs="Times New Roman"/>
          <w:bCs/>
          <w:sz w:val="24"/>
          <w:szCs w:val="24"/>
        </w:rPr>
        <w:footnoteReference w:id="47"/>
      </w:r>
      <w:r w:rsidR="00F852A5" w:rsidRPr="00A96BA2">
        <w:rPr>
          <w:rFonts w:ascii="Times New Roman" w:hAnsi="Times New Roman" w:cs="Times New Roman"/>
          <w:bCs/>
          <w:sz w:val="24"/>
          <w:szCs w:val="24"/>
        </w:rPr>
        <w:t xml:space="preserve"> </w:t>
      </w:r>
      <w:r w:rsidR="00D31E6E" w:rsidRPr="00A96BA2">
        <w:rPr>
          <w:rFonts w:ascii="Times New Roman" w:hAnsi="Times New Roman" w:cs="Times New Roman"/>
          <w:bCs/>
          <w:sz w:val="24"/>
          <w:szCs w:val="24"/>
        </w:rPr>
        <w:t>For example, in income tax, it is not that people who have the same income are subject to the same tax, but rather people who have the same taxable income are subject to the same tax.</w:t>
      </w:r>
      <w:r w:rsidR="004B3A80" w:rsidRPr="00A96BA2">
        <w:rPr>
          <w:rStyle w:val="FootnoteReference"/>
          <w:rFonts w:ascii="Times New Roman" w:hAnsi="Times New Roman" w:cs="Times New Roman"/>
          <w:bCs/>
          <w:sz w:val="24"/>
          <w:szCs w:val="24"/>
        </w:rPr>
        <w:footnoteReference w:id="48"/>
      </w:r>
      <w:r w:rsidR="00C91DEB" w:rsidRPr="00A96BA2">
        <w:rPr>
          <w:rFonts w:ascii="Times New Roman" w:hAnsi="Times New Roman" w:cs="Times New Roman"/>
          <w:bCs/>
          <w:sz w:val="24"/>
          <w:szCs w:val="24"/>
        </w:rPr>
        <w:t xml:space="preserve"> </w:t>
      </w:r>
    </w:p>
    <w:p w14:paraId="1A642935" w14:textId="61EE66A2" w:rsidR="007D4829"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Gemstone Certification Legal Framework in Banjar Regency</w:t>
      </w:r>
    </w:p>
    <w:p w14:paraId="7CA7320F" w14:textId="6B8B815B"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In order to provide an orderly discussion, this research follow Kelsen's theory regarding the hierarchy of legislation. The legal system in the Republic of Indonesia follows Kelsen's theory.</w:t>
      </w:r>
      <w:r w:rsidRPr="00A96BA2">
        <w:rPr>
          <w:rStyle w:val="FootnoteReference"/>
          <w:rFonts w:ascii="Times New Roman" w:hAnsi="Times New Roman" w:cs="Times New Roman"/>
          <w:sz w:val="24"/>
          <w:szCs w:val="24"/>
        </w:rPr>
        <w:t xml:space="preserve"> </w:t>
      </w:r>
      <w:r w:rsidRPr="00A96BA2">
        <w:rPr>
          <w:rStyle w:val="FootnoteReference"/>
          <w:rFonts w:ascii="Times New Roman" w:hAnsi="Times New Roman" w:cs="Times New Roman"/>
          <w:sz w:val="24"/>
          <w:szCs w:val="24"/>
        </w:rPr>
        <w:footnoteReference w:id="49"/>
      </w:r>
      <w:r w:rsidRPr="00A96BA2">
        <w:rPr>
          <w:rFonts w:ascii="Times New Roman" w:hAnsi="Times New Roman" w:cs="Times New Roman"/>
          <w:sz w:val="24"/>
          <w:szCs w:val="24"/>
        </w:rPr>
        <w:t xml:space="preserve">  Kelsen's </w:t>
      </w:r>
      <w:r w:rsidRPr="00A96BA2">
        <w:rPr>
          <w:rFonts w:ascii="Times New Roman" w:hAnsi="Times New Roman" w:cs="Times New Roman"/>
          <w:i/>
          <w:iCs/>
          <w:sz w:val="24"/>
          <w:szCs w:val="24"/>
        </w:rPr>
        <w:t>Stufenbau</w:t>
      </w:r>
      <w:r w:rsidRPr="00A96BA2">
        <w:rPr>
          <w:rFonts w:ascii="Times New Roman" w:hAnsi="Times New Roman" w:cs="Times New Roman"/>
          <w:sz w:val="24"/>
          <w:szCs w:val="24"/>
        </w:rPr>
        <w:t xml:space="preserve"> theory explains that there is a hierarchy of legal norms so that a norm is sourced from and derives its validity from a higher norm.</w:t>
      </w:r>
      <w:r w:rsidRPr="00A96BA2">
        <w:rPr>
          <w:rStyle w:val="FootnoteReference"/>
          <w:rFonts w:ascii="Times New Roman" w:hAnsi="Times New Roman" w:cs="Times New Roman"/>
          <w:sz w:val="24"/>
          <w:szCs w:val="24"/>
        </w:rPr>
        <w:footnoteReference w:id="50"/>
      </w:r>
      <w:r w:rsidRPr="00A96BA2">
        <w:rPr>
          <w:rFonts w:ascii="Times New Roman" w:hAnsi="Times New Roman" w:cs="Times New Roman"/>
          <w:sz w:val="24"/>
          <w:szCs w:val="24"/>
        </w:rPr>
        <w:t xml:space="preserve"> For example, Article 7, paragraph 1 of the Republic of Indonesia Law Number 12 of 2011 places the position of the Constitution above the laws. </w:t>
      </w:r>
    </w:p>
    <w:p w14:paraId="35386874" w14:textId="75B19C94"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 xml:space="preserve">Although ministerial regulations are not included in the hierarchy of legislation, their existence is still recognized under the provisions of Article 8 of the Republic of Indonesia Law </w:t>
      </w:r>
      <w:r w:rsidRPr="00A96BA2">
        <w:rPr>
          <w:rFonts w:ascii="Times New Roman" w:hAnsi="Times New Roman" w:cs="Times New Roman"/>
          <w:sz w:val="24"/>
          <w:szCs w:val="24"/>
        </w:rPr>
        <w:lastRenderedPageBreak/>
        <w:t>Number 12 of 2011.</w:t>
      </w:r>
      <w:r w:rsidRPr="00A96BA2">
        <w:rPr>
          <w:rStyle w:val="FootnoteReference"/>
          <w:rFonts w:ascii="Times New Roman" w:hAnsi="Times New Roman" w:cs="Times New Roman"/>
          <w:sz w:val="24"/>
          <w:szCs w:val="24"/>
          <w:lang w:val="de-DE"/>
        </w:rPr>
        <w:footnoteReference w:id="51"/>
      </w:r>
      <w:r w:rsidRPr="00A96BA2">
        <w:rPr>
          <w:rFonts w:ascii="Times New Roman" w:hAnsi="Times New Roman" w:cs="Times New Roman"/>
          <w:sz w:val="24"/>
          <w:szCs w:val="24"/>
        </w:rPr>
        <w:t xml:space="preserve"> Ministerial regulations are regulations at the central government level.</w:t>
      </w:r>
      <w:r w:rsidRPr="00A96BA2">
        <w:rPr>
          <w:rStyle w:val="FootnoteReference"/>
          <w:rFonts w:ascii="Times New Roman" w:hAnsi="Times New Roman" w:cs="Times New Roman"/>
          <w:sz w:val="24"/>
          <w:szCs w:val="24"/>
          <w:lang w:val="de-DE"/>
        </w:rPr>
        <w:footnoteReference w:id="52"/>
      </w:r>
      <w:r w:rsidRPr="00A96BA2">
        <w:rPr>
          <w:rFonts w:ascii="Times New Roman" w:hAnsi="Times New Roman" w:cs="Times New Roman"/>
          <w:sz w:val="24"/>
          <w:szCs w:val="24"/>
        </w:rPr>
        <w:t xml:space="preserve"> Therefore, their position is higher than regional regulations at the regional level.</w:t>
      </w:r>
      <w:r w:rsidRPr="00A96BA2">
        <w:rPr>
          <w:rStyle w:val="FootnoteReference"/>
          <w:rFonts w:ascii="Times New Roman" w:hAnsi="Times New Roman" w:cs="Times New Roman"/>
          <w:sz w:val="24"/>
          <w:szCs w:val="24"/>
          <w:lang w:val="de-DE"/>
        </w:rPr>
        <w:footnoteReference w:id="53"/>
      </w:r>
      <w:r w:rsidRPr="00A96BA2">
        <w:rPr>
          <w:rFonts w:ascii="Times New Roman" w:hAnsi="Times New Roman" w:cs="Times New Roman"/>
          <w:sz w:val="24"/>
          <w:szCs w:val="24"/>
        </w:rPr>
        <w:t xml:space="preserve"> For this reason, the discussion in the second part first address the Minister of Industry of the Republic of Indonesia Regulation Number 161/M-IND/PER/12/2012. </w:t>
      </w:r>
    </w:p>
    <w:p w14:paraId="500BFF7C" w14:textId="77777777"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Regulation of the Minister of Industry of the Republic of Indonesia Number 161/M-IND/PER/12/2012 regulates gemstone certification as part of the gemstone industry and a main source of income in Banjar Regency.</w:t>
      </w:r>
      <w:r w:rsidRPr="00A96BA2">
        <w:rPr>
          <w:rStyle w:val="FootnoteReference"/>
          <w:rFonts w:ascii="Times New Roman" w:hAnsi="Times New Roman" w:cs="Times New Roman"/>
          <w:sz w:val="24"/>
          <w:szCs w:val="24"/>
        </w:rPr>
        <w:footnoteReference w:id="54"/>
      </w:r>
      <w:r w:rsidRPr="00A96BA2">
        <w:rPr>
          <w:rFonts w:ascii="Times New Roman" w:hAnsi="Times New Roman" w:cs="Times New Roman"/>
          <w:sz w:val="24"/>
          <w:szCs w:val="24"/>
        </w:rPr>
        <w:t xml:space="preserve"> In other words, this Ministerial Regulation makes gemstone certification an important sector for the economy of the people of Banjar Regency. In addition to the ministerial regulation, regional legislation also regulates gemstone certification in Indonesia.  </w:t>
      </w:r>
    </w:p>
    <w:p w14:paraId="77550D9D" w14:textId="77777777" w:rsidR="0050664E" w:rsidRPr="00A96BA2" w:rsidRDefault="0050664E" w:rsidP="00A96BA2">
      <w:pPr>
        <w:spacing w:after="0" w:line="240" w:lineRule="auto"/>
        <w:ind w:firstLine="720"/>
        <w:jc w:val="both"/>
        <w:rPr>
          <w:rFonts w:ascii="Times New Roman" w:hAnsi="Times New Roman" w:cs="Times New Roman"/>
          <w:sz w:val="24"/>
          <w:szCs w:val="24"/>
        </w:rPr>
      </w:pPr>
      <w:r w:rsidRPr="00A96BA2">
        <w:rPr>
          <w:rFonts w:ascii="Times New Roman" w:hAnsi="Times New Roman" w:cs="Times New Roman"/>
          <w:sz w:val="24"/>
          <w:szCs w:val="24"/>
        </w:rPr>
        <w:t>Regional Regulation of Banjar Regency Number 8 of 2009 regulates the service fees for gemstone certification. Meanwhile, Regional Regulation of Banjar Regency Number 7 of 2011 regulates business service fee. As a regional regulation, the scope of their applicability is limited to the regional level.</w:t>
      </w:r>
      <w:r w:rsidRPr="00A96BA2">
        <w:rPr>
          <w:rStyle w:val="FootnoteReference"/>
          <w:rFonts w:ascii="Times New Roman" w:hAnsi="Times New Roman" w:cs="Times New Roman"/>
          <w:bCs/>
          <w:sz w:val="24"/>
          <w:szCs w:val="24"/>
          <w:lang w:val="de-DE"/>
        </w:rPr>
        <w:footnoteReference w:id="55"/>
      </w:r>
      <w:r w:rsidRPr="00A96BA2">
        <w:rPr>
          <w:rFonts w:ascii="Times New Roman" w:hAnsi="Times New Roman" w:cs="Times New Roman"/>
          <w:sz w:val="24"/>
          <w:szCs w:val="24"/>
        </w:rPr>
        <w:t xml:space="preserve"> Regional regulations are further elaborations of higher legislation while taking into account the unique characteristics of each region.</w:t>
      </w:r>
      <w:r w:rsidRPr="00A96BA2">
        <w:rPr>
          <w:rStyle w:val="FootnoteReference"/>
          <w:rFonts w:ascii="Times New Roman" w:hAnsi="Times New Roman" w:cs="Times New Roman"/>
          <w:bCs/>
          <w:sz w:val="24"/>
          <w:szCs w:val="24"/>
          <w:lang w:val="de-DE"/>
        </w:rPr>
        <w:footnoteReference w:id="56"/>
      </w:r>
      <w:r w:rsidRPr="00A96BA2">
        <w:rPr>
          <w:rFonts w:ascii="Times New Roman" w:hAnsi="Times New Roman" w:cs="Times New Roman"/>
          <w:bCs/>
          <w:sz w:val="24"/>
          <w:szCs w:val="24"/>
        </w:rPr>
        <w:t xml:space="preserve"> </w:t>
      </w:r>
      <w:r w:rsidRPr="00A96BA2">
        <w:rPr>
          <w:rFonts w:ascii="Times New Roman" w:hAnsi="Times New Roman" w:cs="Times New Roman"/>
          <w:sz w:val="24"/>
          <w:szCs w:val="24"/>
        </w:rPr>
        <w:t>The Banjar Regency area in South Kalimantan Province is one of the largest gemstone-producing regions in the Republic of Indonesia.</w:t>
      </w:r>
      <w:r w:rsidRPr="00A96BA2">
        <w:rPr>
          <w:rStyle w:val="FootnoteReference"/>
          <w:rFonts w:ascii="Times New Roman" w:hAnsi="Times New Roman" w:cs="Times New Roman"/>
          <w:bCs/>
          <w:sz w:val="24"/>
          <w:szCs w:val="24"/>
          <w:lang w:val="de-DE"/>
        </w:rPr>
        <w:footnoteReference w:id="57"/>
      </w:r>
      <w:r w:rsidRPr="00A96BA2">
        <w:rPr>
          <w:rFonts w:ascii="Times New Roman" w:hAnsi="Times New Roman" w:cs="Times New Roman"/>
          <w:sz w:val="24"/>
          <w:szCs w:val="24"/>
        </w:rPr>
        <w:t xml:space="preserve"> Therefore, both regional regulations of Banjar Regency regulate certification as part of the gem industry. </w:t>
      </w:r>
    </w:p>
    <w:p w14:paraId="14F82A83" w14:textId="77777777" w:rsidR="0050664E" w:rsidRPr="00A96BA2" w:rsidRDefault="0050664E"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sz w:val="24"/>
          <w:szCs w:val="24"/>
        </w:rPr>
        <w:t xml:space="preserve"> Banjar Regency Regional Regulation Number 7 of  2011 defines gemstone certification as the activity of issuing a certificate for precious stones by using analysis conducted in a gemstone laboratory.</w:t>
      </w:r>
      <w:r w:rsidRPr="00A96BA2">
        <w:rPr>
          <w:rStyle w:val="FootnoteReference"/>
          <w:rFonts w:ascii="Times New Roman" w:hAnsi="Times New Roman" w:cs="Times New Roman"/>
          <w:bCs/>
          <w:sz w:val="24"/>
          <w:szCs w:val="24"/>
          <w:lang w:val="de-DE"/>
        </w:rPr>
        <w:footnoteReference w:id="58"/>
      </w:r>
      <w:r w:rsidRPr="00A96BA2">
        <w:rPr>
          <w:rFonts w:ascii="Times New Roman" w:hAnsi="Times New Roman" w:cs="Times New Roman"/>
          <w:sz w:val="24"/>
          <w:szCs w:val="24"/>
        </w:rPr>
        <w:t xml:space="preserve"> In line with this, Banjar Regency Regional Regulation Number 8 of 2009 defines a gemstone certificate as a certificate sheet containing the name and information regarding the authenticity and quality of precious stones, including polished diamonds.</w:t>
      </w:r>
      <w:r w:rsidRPr="00A96BA2">
        <w:rPr>
          <w:rStyle w:val="FootnoteReference"/>
          <w:rFonts w:ascii="Times New Roman" w:hAnsi="Times New Roman" w:cs="Times New Roman"/>
          <w:bCs/>
          <w:sz w:val="24"/>
          <w:szCs w:val="24"/>
          <w:lang w:val="de-DE"/>
        </w:rPr>
        <w:footnoteReference w:id="59"/>
      </w:r>
      <w:r w:rsidRPr="00A96BA2">
        <w:rPr>
          <w:rFonts w:ascii="Times New Roman" w:hAnsi="Times New Roman" w:cs="Times New Roman"/>
          <w:bCs/>
          <w:sz w:val="24"/>
          <w:szCs w:val="24"/>
        </w:rPr>
        <w:t xml:space="preserve"> </w:t>
      </w:r>
      <w:r w:rsidRPr="00A96BA2">
        <w:rPr>
          <w:rFonts w:ascii="Times New Roman" w:hAnsi="Times New Roman" w:cs="Times New Roman"/>
          <w:sz w:val="24"/>
          <w:szCs w:val="24"/>
        </w:rPr>
        <w:t>In other words, both regulate the basic understanding of gemstone certificates and certification as the process to obtain the certificates.</w:t>
      </w:r>
    </w:p>
    <w:p w14:paraId="0F839B6A" w14:textId="77777777" w:rsidR="0050664E" w:rsidRPr="00A96BA2" w:rsidRDefault="0050664E"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Regional Regulation of Banjar Regency Number 8 of 2009 also regulates that gemstone certificates remain valid as long as the precious stones tested in a gemmology laboratory do not undergo any changes.</w:t>
      </w:r>
      <w:r w:rsidRPr="00A96BA2">
        <w:rPr>
          <w:rStyle w:val="FootnoteReference"/>
          <w:rFonts w:ascii="Times New Roman" w:hAnsi="Times New Roman" w:cs="Times New Roman"/>
          <w:bCs/>
          <w:sz w:val="24"/>
          <w:szCs w:val="24"/>
        </w:rPr>
        <w:footnoteReference w:id="60"/>
      </w:r>
      <w:r w:rsidRPr="00A96BA2">
        <w:rPr>
          <w:rFonts w:ascii="Times New Roman" w:hAnsi="Times New Roman" w:cs="Times New Roman"/>
          <w:bCs/>
          <w:sz w:val="24"/>
          <w:szCs w:val="24"/>
        </w:rPr>
        <w:t xml:space="preserve"> Changes to gemstones can occur either due to the owner's deliberate actions or accidentally.</w:t>
      </w:r>
      <w:r w:rsidRPr="00A96BA2">
        <w:rPr>
          <w:rStyle w:val="FootnoteReference"/>
          <w:rFonts w:ascii="Times New Roman" w:hAnsi="Times New Roman" w:cs="Times New Roman"/>
          <w:bCs/>
          <w:sz w:val="24"/>
          <w:szCs w:val="24"/>
        </w:rPr>
        <w:footnoteReference w:id="61"/>
      </w:r>
      <w:r w:rsidRPr="00A96BA2">
        <w:rPr>
          <w:rFonts w:ascii="Times New Roman" w:hAnsi="Times New Roman" w:cs="Times New Roman"/>
          <w:bCs/>
          <w:sz w:val="24"/>
          <w:szCs w:val="24"/>
        </w:rPr>
        <w:t xml:space="preserve"> In other words, the validity period of a gemstone certificate is not </w:t>
      </w:r>
      <w:r w:rsidRPr="00A96BA2">
        <w:rPr>
          <w:rFonts w:ascii="Times New Roman" w:hAnsi="Times New Roman" w:cs="Times New Roman"/>
          <w:bCs/>
          <w:sz w:val="24"/>
          <w:szCs w:val="24"/>
        </w:rPr>
        <w:lastRenderedPageBreak/>
        <w:t>determined based on a specific unit of time. This is different from land title certificates, whose validity period is limited by statutory regulations. For example, the term of land-use rights in the Republic of Indonesia is twenty-five years.</w:t>
      </w:r>
      <w:r w:rsidRPr="00A96BA2">
        <w:rPr>
          <w:rStyle w:val="FootnoteReference"/>
          <w:rFonts w:ascii="Times New Roman" w:hAnsi="Times New Roman" w:cs="Times New Roman"/>
          <w:bCs/>
          <w:sz w:val="24"/>
          <w:szCs w:val="24"/>
          <w:lang w:val="de-DE"/>
        </w:rPr>
        <w:footnoteReference w:id="62"/>
      </w:r>
    </w:p>
    <w:p w14:paraId="1B411D5F" w14:textId="77777777" w:rsidR="00EE2863" w:rsidRPr="00A96BA2" w:rsidRDefault="0050664E"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Banjar Regency Regional Regulation Number 7 of 2011 regulates the types and amounts of fees for gemstone certificates. Appendix 1, point V of this regional regulation classifies gemstone certificates into several types. First, based on their form, gemstone certificates are divided into memo and non-memo gemstone certificates.</w:t>
      </w:r>
      <w:r w:rsidRPr="00A96BA2">
        <w:rPr>
          <w:rStyle w:val="FootnoteReference"/>
          <w:rFonts w:ascii="Times New Roman" w:hAnsi="Times New Roman" w:cs="Times New Roman"/>
          <w:bCs/>
          <w:sz w:val="24"/>
          <w:szCs w:val="24"/>
          <w:lang w:val="de-DE"/>
        </w:rPr>
        <w:footnoteReference w:id="63"/>
      </w:r>
      <w:r w:rsidRPr="00A96BA2">
        <w:rPr>
          <w:rFonts w:ascii="Times New Roman" w:hAnsi="Times New Roman" w:cs="Times New Roman"/>
          <w:bCs/>
          <w:sz w:val="24"/>
          <w:szCs w:val="24"/>
        </w:rPr>
        <w:t xml:space="preserve"> Second, based on the type of object, gemstone certificates are categorized as diamond certificates, non-diamond certificates, coloured stone certificates, and jewellery certificates.</w:t>
      </w:r>
      <w:r w:rsidRPr="00A96BA2">
        <w:rPr>
          <w:rStyle w:val="FootnoteReference"/>
          <w:rFonts w:ascii="Times New Roman" w:hAnsi="Times New Roman" w:cs="Times New Roman"/>
          <w:bCs/>
          <w:sz w:val="24"/>
          <w:szCs w:val="24"/>
        </w:rPr>
        <w:footnoteReference w:id="64"/>
      </w:r>
      <w:r w:rsidRPr="00A96BA2">
        <w:rPr>
          <w:rFonts w:ascii="Times New Roman" w:hAnsi="Times New Roman" w:cs="Times New Roman"/>
          <w:bCs/>
          <w:sz w:val="24"/>
          <w:szCs w:val="24"/>
        </w:rPr>
        <w:t xml:space="preserve"> In addition, Banjar Regency Regional Regulation Number 7 of 2011 also classifies gemstone certificates based on the weight of the gemstone and the number of gemstone certificate sheets ordered by consumers. The heavier the gemstone being tested, the more expensive the price per certificate sheet will be. Meanwhile, the more gemstone certificates are ordered, the cheaper the price will become.</w:t>
      </w:r>
      <w:r w:rsidR="00C71091" w:rsidRPr="00A96BA2">
        <w:rPr>
          <w:rFonts w:ascii="Times New Roman" w:hAnsi="Times New Roman" w:cs="Times New Roman"/>
          <w:bCs/>
          <w:sz w:val="24"/>
          <w:szCs w:val="24"/>
        </w:rPr>
        <w:t xml:space="preserve"> </w:t>
      </w:r>
    </w:p>
    <w:p w14:paraId="258689AB" w14:textId="412ED98A" w:rsidR="00BA0E0D" w:rsidRPr="00A96BA2" w:rsidRDefault="00C71091"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Table 1 below describe the business fee for </w:t>
      </w:r>
      <w:r w:rsidR="00EE2863" w:rsidRPr="00A96BA2">
        <w:rPr>
          <w:rFonts w:ascii="Times New Roman" w:hAnsi="Times New Roman" w:cs="Times New Roman"/>
          <w:bCs/>
          <w:sz w:val="24"/>
          <w:szCs w:val="24"/>
        </w:rPr>
        <w:t>each type of gemstone certificates based on Appendix 1, point V of Banjar Regency Regional Regulation Number 7 of 201</w:t>
      </w:r>
      <w:r w:rsidR="00BA0E0D" w:rsidRPr="00A96BA2">
        <w:rPr>
          <w:rFonts w:ascii="Times New Roman" w:hAnsi="Times New Roman" w:cs="Times New Roman"/>
          <w:bCs/>
          <w:sz w:val="24"/>
          <w:szCs w:val="24"/>
        </w:rPr>
        <w:t>1:</w:t>
      </w:r>
    </w:p>
    <w:tbl>
      <w:tblPr>
        <w:tblStyle w:val="TableGrid"/>
        <w:tblW w:w="0" w:type="auto"/>
        <w:tblLook w:val="04A0" w:firstRow="1" w:lastRow="0" w:firstColumn="1" w:lastColumn="0" w:noHBand="0" w:noVBand="1"/>
      </w:tblPr>
      <w:tblGrid>
        <w:gridCol w:w="1203"/>
        <w:gridCol w:w="1216"/>
        <w:gridCol w:w="2199"/>
        <w:gridCol w:w="2208"/>
        <w:gridCol w:w="2190"/>
      </w:tblGrid>
      <w:tr w:rsidR="00A96BA2" w:rsidRPr="00A96BA2" w14:paraId="4A40A457" w14:textId="77777777" w:rsidTr="00690131">
        <w:tc>
          <w:tcPr>
            <w:tcW w:w="4618" w:type="dxa"/>
            <w:gridSpan w:val="3"/>
          </w:tcPr>
          <w:p w14:paraId="304E6151" w14:textId="29BABFA3" w:rsidR="00F451E0" w:rsidRPr="00A96BA2" w:rsidRDefault="008D0117"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Gemstone Certificate Cards</w:t>
            </w:r>
          </w:p>
        </w:tc>
        <w:tc>
          <w:tcPr>
            <w:tcW w:w="4398" w:type="dxa"/>
            <w:gridSpan w:val="2"/>
          </w:tcPr>
          <w:p w14:paraId="52A976D5" w14:textId="4369205D" w:rsidR="00F451E0" w:rsidRPr="00A96BA2" w:rsidRDefault="008D0117"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Gemstone Certificate Papers</w:t>
            </w:r>
          </w:p>
        </w:tc>
      </w:tr>
      <w:tr w:rsidR="00A96BA2" w:rsidRPr="00A96BA2" w14:paraId="791E1B71" w14:textId="77777777" w:rsidTr="00690131">
        <w:tc>
          <w:tcPr>
            <w:tcW w:w="2419" w:type="dxa"/>
            <w:gridSpan w:val="2"/>
          </w:tcPr>
          <w:p w14:paraId="2CED8B14" w14:textId="4A80D08D"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Type of Gemstone</w:t>
            </w:r>
          </w:p>
        </w:tc>
        <w:tc>
          <w:tcPr>
            <w:tcW w:w="2199" w:type="dxa"/>
          </w:tcPr>
          <w:p w14:paraId="2FFD4034" w14:textId="35475C14"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Prices</w:t>
            </w:r>
            <w:r w:rsidR="00725AD8" w:rsidRPr="00A96BA2">
              <w:rPr>
                <w:rFonts w:ascii="Times New Roman" w:hAnsi="Times New Roman" w:cs="Times New Roman"/>
                <w:b/>
                <w:sz w:val="20"/>
                <w:szCs w:val="20"/>
              </w:rPr>
              <w:t xml:space="preserve"> per Card</w:t>
            </w:r>
          </w:p>
        </w:tc>
        <w:tc>
          <w:tcPr>
            <w:tcW w:w="2208" w:type="dxa"/>
          </w:tcPr>
          <w:p w14:paraId="2194DEBD" w14:textId="627C382F"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Type of Gemstone</w:t>
            </w:r>
          </w:p>
        </w:tc>
        <w:tc>
          <w:tcPr>
            <w:tcW w:w="2190" w:type="dxa"/>
          </w:tcPr>
          <w:p w14:paraId="6731B5F3" w14:textId="0272A1DC" w:rsidR="00237CA5" w:rsidRPr="00A96BA2" w:rsidRDefault="006E1085" w:rsidP="00A96BA2">
            <w:pPr>
              <w:spacing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Prices</w:t>
            </w:r>
            <w:r w:rsidR="00725AD8" w:rsidRPr="00A96BA2">
              <w:rPr>
                <w:rFonts w:ascii="Times New Roman" w:hAnsi="Times New Roman" w:cs="Times New Roman"/>
                <w:b/>
                <w:sz w:val="20"/>
                <w:szCs w:val="20"/>
              </w:rPr>
              <w:t xml:space="preserve"> per Paper</w:t>
            </w:r>
          </w:p>
        </w:tc>
      </w:tr>
      <w:tr w:rsidR="00A96BA2" w:rsidRPr="00A96BA2" w14:paraId="69569BE5" w14:textId="77777777" w:rsidTr="00690131">
        <w:tc>
          <w:tcPr>
            <w:tcW w:w="2419" w:type="dxa"/>
            <w:gridSpan w:val="2"/>
          </w:tcPr>
          <w:p w14:paraId="130FBB09" w14:textId="04E2C6FA" w:rsidR="00237CA5" w:rsidRPr="00A96BA2" w:rsidRDefault="003230F4"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Gemstones</w:t>
            </w:r>
            <w:r w:rsidR="000E0637" w:rsidRPr="00A96BA2">
              <w:rPr>
                <w:rFonts w:ascii="Times New Roman" w:hAnsi="Times New Roman" w:cs="Times New Roman"/>
                <w:bCs/>
                <w:sz w:val="20"/>
                <w:szCs w:val="20"/>
              </w:rPr>
              <w:t xml:space="preserve"> other than diamonds</w:t>
            </w:r>
            <w:r w:rsidR="006E1085" w:rsidRPr="00A96BA2">
              <w:rPr>
                <w:rFonts w:ascii="Times New Roman" w:hAnsi="Times New Roman" w:cs="Times New Roman"/>
                <w:bCs/>
                <w:sz w:val="20"/>
                <w:szCs w:val="20"/>
              </w:rPr>
              <w:t xml:space="preserve"> (Below 10 until </w:t>
            </w:r>
            <w:r w:rsidR="00FD3F49" w:rsidRPr="00A96BA2">
              <w:rPr>
                <w:rFonts w:ascii="Times New Roman" w:hAnsi="Times New Roman" w:cs="Times New Roman"/>
                <w:bCs/>
                <w:sz w:val="20"/>
                <w:szCs w:val="20"/>
              </w:rPr>
              <w:t>500 Carat Weight)</w:t>
            </w:r>
          </w:p>
        </w:tc>
        <w:tc>
          <w:tcPr>
            <w:tcW w:w="2199" w:type="dxa"/>
          </w:tcPr>
          <w:p w14:paraId="48B9D8D7" w14:textId="77777777" w:rsidR="00EB4894" w:rsidRPr="00A96BA2" w:rsidRDefault="00EB4894" w:rsidP="00A96BA2">
            <w:pPr>
              <w:spacing w:line="240" w:lineRule="auto"/>
              <w:jc w:val="center"/>
              <w:rPr>
                <w:rFonts w:ascii="Times New Roman" w:hAnsi="Times New Roman" w:cs="Times New Roman"/>
                <w:bCs/>
                <w:sz w:val="20"/>
                <w:szCs w:val="20"/>
              </w:rPr>
            </w:pPr>
          </w:p>
          <w:p w14:paraId="5D86FAD8" w14:textId="06320A17" w:rsidR="00342F3B" w:rsidRPr="00A96BA2" w:rsidRDefault="00342F3B"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200.000 – 400.000 Rupiah</w:t>
            </w:r>
          </w:p>
        </w:tc>
        <w:tc>
          <w:tcPr>
            <w:tcW w:w="2208" w:type="dxa"/>
          </w:tcPr>
          <w:p w14:paraId="3791C9DD" w14:textId="77777777" w:rsidR="00CC16FC" w:rsidRPr="00A96BA2" w:rsidRDefault="00CC16FC" w:rsidP="00A96BA2">
            <w:pPr>
              <w:spacing w:line="240" w:lineRule="auto"/>
              <w:jc w:val="center"/>
              <w:rPr>
                <w:rFonts w:ascii="Times New Roman" w:hAnsi="Times New Roman" w:cs="Times New Roman"/>
                <w:bCs/>
                <w:sz w:val="20"/>
                <w:szCs w:val="20"/>
              </w:rPr>
            </w:pPr>
          </w:p>
          <w:p w14:paraId="1E52219D" w14:textId="335AA5A7" w:rsidR="00237CA5" w:rsidRPr="00A96BA2" w:rsidRDefault="000E0637"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Diamond Report</w:t>
            </w:r>
          </w:p>
        </w:tc>
        <w:tc>
          <w:tcPr>
            <w:tcW w:w="2190" w:type="dxa"/>
          </w:tcPr>
          <w:p w14:paraId="20A8C8F4" w14:textId="77777777" w:rsidR="00EB4894" w:rsidRPr="00A96BA2" w:rsidRDefault="00EB4894" w:rsidP="00A96BA2">
            <w:pPr>
              <w:spacing w:line="240" w:lineRule="auto"/>
              <w:jc w:val="center"/>
              <w:rPr>
                <w:rFonts w:ascii="Times New Roman" w:hAnsi="Times New Roman" w:cs="Times New Roman"/>
                <w:bCs/>
                <w:sz w:val="20"/>
                <w:szCs w:val="20"/>
              </w:rPr>
            </w:pPr>
          </w:p>
          <w:p w14:paraId="4FE04226" w14:textId="7E7D1C04" w:rsidR="00237CA5" w:rsidRPr="00A96BA2" w:rsidRDefault="000F1EA2"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100.000 – 150.000</w:t>
            </w:r>
            <w:r w:rsidR="00300AE1" w:rsidRPr="00A96BA2">
              <w:rPr>
                <w:rFonts w:ascii="Times New Roman" w:hAnsi="Times New Roman" w:cs="Times New Roman"/>
                <w:bCs/>
                <w:sz w:val="20"/>
                <w:szCs w:val="20"/>
              </w:rPr>
              <w:t xml:space="preserve"> </w:t>
            </w:r>
            <w:r w:rsidR="00DC54E6" w:rsidRPr="00A96BA2">
              <w:rPr>
                <w:rFonts w:ascii="Times New Roman" w:hAnsi="Times New Roman" w:cs="Times New Roman"/>
                <w:bCs/>
                <w:sz w:val="20"/>
                <w:szCs w:val="20"/>
              </w:rPr>
              <w:t>Rupiah</w:t>
            </w:r>
          </w:p>
        </w:tc>
      </w:tr>
      <w:tr w:rsidR="00A96BA2" w:rsidRPr="00A96BA2" w14:paraId="266479F9" w14:textId="77777777" w:rsidTr="006C22F4">
        <w:tc>
          <w:tcPr>
            <w:tcW w:w="1203" w:type="dxa"/>
            <w:vMerge w:val="restart"/>
          </w:tcPr>
          <w:p w14:paraId="78A9851A" w14:textId="77777777" w:rsidR="00CC16FC" w:rsidRPr="00A96BA2" w:rsidRDefault="00CC16FC" w:rsidP="00A96BA2">
            <w:pPr>
              <w:spacing w:line="240" w:lineRule="auto"/>
              <w:jc w:val="center"/>
              <w:rPr>
                <w:rFonts w:ascii="Times New Roman" w:hAnsi="Times New Roman" w:cs="Times New Roman"/>
                <w:bCs/>
                <w:sz w:val="20"/>
                <w:szCs w:val="20"/>
              </w:rPr>
            </w:pPr>
          </w:p>
          <w:p w14:paraId="1226C954" w14:textId="77777777" w:rsidR="00CC16FC" w:rsidRPr="00A96BA2" w:rsidRDefault="00CC16FC" w:rsidP="00A96BA2">
            <w:pPr>
              <w:spacing w:line="240" w:lineRule="auto"/>
              <w:jc w:val="center"/>
              <w:rPr>
                <w:rFonts w:ascii="Times New Roman" w:hAnsi="Times New Roman" w:cs="Times New Roman"/>
                <w:bCs/>
                <w:sz w:val="20"/>
                <w:szCs w:val="20"/>
              </w:rPr>
            </w:pPr>
          </w:p>
          <w:p w14:paraId="116CB148" w14:textId="77777777" w:rsidR="00CC16FC" w:rsidRPr="00A96BA2" w:rsidRDefault="00CC16FC" w:rsidP="00A96BA2">
            <w:pPr>
              <w:spacing w:line="240" w:lineRule="auto"/>
              <w:jc w:val="center"/>
              <w:rPr>
                <w:rFonts w:ascii="Times New Roman" w:hAnsi="Times New Roman" w:cs="Times New Roman"/>
                <w:bCs/>
                <w:sz w:val="20"/>
                <w:szCs w:val="20"/>
              </w:rPr>
            </w:pPr>
          </w:p>
          <w:p w14:paraId="6A81C30E" w14:textId="77777777" w:rsidR="00CC16FC" w:rsidRPr="00A96BA2" w:rsidRDefault="00CC16FC" w:rsidP="00A96BA2">
            <w:pPr>
              <w:spacing w:line="240" w:lineRule="auto"/>
              <w:jc w:val="center"/>
              <w:rPr>
                <w:rFonts w:ascii="Times New Roman" w:hAnsi="Times New Roman" w:cs="Times New Roman"/>
                <w:bCs/>
                <w:sz w:val="20"/>
                <w:szCs w:val="20"/>
              </w:rPr>
            </w:pPr>
          </w:p>
          <w:p w14:paraId="17961362" w14:textId="77777777" w:rsidR="00CC16FC" w:rsidRPr="00A96BA2" w:rsidRDefault="00CC16FC" w:rsidP="00A96BA2">
            <w:pPr>
              <w:spacing w:line="240" w:lineRule="auto"/>
              <w:jc w:val="center"/>
              <w:rPr>
                <w:rFonts w:ascii="Times New Roman" w:hAnsi="Times New Roman" w:cs="Times New Roman"/>
                <w:bCs/>
                <w:sz w:val="20"/>
                <w:szCs w:val="20"/>
              </w:rPr>
            </w:pPr>
          </w:p>
          <w:p w14:paraId="38936B09" w14:textId="0F24F34A"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Diamonds</w:t>
            </w:r>
          </w:p>
        </w:tc>
        <w:tc>
          <w:tcPr>
            <w:tcW w:w="1216" w:type="dxa"/>
          </w:tcPr>
          <w:p w14:paraId="2410B4D7" w14:textId="77777777"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Martapura</w:t>
            </w:r>
          </w:p>
          <w:p w14:paraId="3AA79634" w14:textId="047550B9"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Premier</w:t>
            </w:r>
          </w:p>
        </w:tc>
        <w:tc>
          <w:tcPr>
            <w:tcW w:w="2199" w:type="dxa"/>
          </w:tcPr>
          <w:p w14:paraId="4A3A25F4" w14:textId="68538A13"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750.000 Rupiah</w:t>
            </w:r>
          </w:p>
        </w:tc>
        <w:tc>
          <w:tcPr>
            <w:tcW w:w="2208" w:type="dxa"/>
            <w:vMerge w:val="restart"/>
          </w:tcPr>
          <w:p w14:paraId="068A4529" w14:textId="77777777" w:rsidR="00CC16FC" w:rsidRPr="00A96BA2" w:rsidRDefault="00CC16FC" w:rsidP="00A96BA2">
            <w:pPr>
              <w:spacing w:line="240" w:lineRule="auto"/>
              <w:jc w:val="center"/>
              <w:rPr>
                <w:rFonts w:ascii="Times New Roman" w:hAnsi="Times New Roman" w:cs="Times New Roman"/>
                <w:bCs/>
                <w:sz w:val="20"/>
                <w:szCs w:val="20"/>
              </w:rPr>
            </w:pPr>
          </w:p>
          <w:p w14:paraId="6F4B35C4" w14:textId="77777777" w:rsidR="00CC16FC" w:rsidRPr="00A96BA2" w:rsidRDefault="00CC16FC" w:rsidP="00A96BA2">
            <w:pPr>
              <w:spacing w:line="240" w:lineRule="auto"/>
              <w:jc w:val="center"/>
              <w:rPr>
                <w:rFonts w:ascii="Times New Roman" w:hAnsi="Times New Roman" w:cs="Times New Roman"/>
                <w:bCs/>
                <w:sz w:val="20"/>
                <w:szCs w:val="20"/>
              </w:rPr>
            </w:pPr>
          </w:p>
          <w:p w14:paraId="33CECC0C" w14:textId="018BE7E0"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Coloured Stones</w:t>
            </w:r>
          </w:p>
        </w:tc>
        <w:tc>
          <w:tcPr>
            <w:tcW w:w="2190" w:type="dxa"/>
          </w:tcPr>
          <w:p w14:paraId="1F76AA00" w14:textId="628AA362" w:rsidR="00300AE1" w:rsidRPr="00A96BA2" w:rsidRDefault="007A36A8"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50.000 Rupiah (</w:t>
            </w:r>
            <w:r w:rsidR="006B46C1" w:rsidRPr="00A96BA2">
              <w:rPr>
                <w:rFonts w:ascii="Times New Roman" w:hAnsi="Times New Roman" w:cs="Times New Roman"/>
                <w:bCs/>
                <w:sz w:val="20"/>
                <w:szCs w:val="20"/>
              </w:rPr>
              <w:t>30 papers per month)</w:t>
            </w:r>
          </w:p>
        </w:tc>
      </w:tr>
      <w:tr w:rsidR="00A96BA2" w:rsidRPr="00A96BA2" w14:paraId="4FC31B06" w14:textId="77777777" w:rsidTr="00690131">
        <w:tc>
          <w:tcPr>
            <w:tcW w:w="1203" w:type="dxa"/>
            <w:vMerge/>
          </w:tcPr>
          <w:p w14:paraId="5E92ACF5" w14:textId="77777777" w:rsidR="00300AE1" w:rsidRPr="00A96BA2" w:rsidRDefault="00300AE1" w:rsidP="00A96BA2">
            <w:pPr>
              <w:spacing w:line="240" w:lineRule="auto"/>
              <w:jc w:val="center"/>
              <w:rPr>
                <w:rFonts w:ascii="Times New Roman" w:hAnsi="Times New Roman" w:cs="Times New Roman"/>
                <w:bCs/>
                <w:sz w:val="20"/>
                <w:szCs w:val="20"/>
              </w:rPr>
            </w:pPr>
          </w:p>
        </w:tc>
        <w:tc>
          <w:tcPr>
            <w:tcW w:w="1216" w:type="dxa"/>
          </w:tcPr>
          <w:p w14:paraId="29878667" w14:textId="281EBE54"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Special Report</w:t>
            </w:r>
          </w:p>
        </w:tc>
        <w:tc>
          <w:tcPr>
            <w:tcW w:w="2199" w:type="dxa"/>
          </w:tcPr>
          <w:p w14:paraId="4F3BF575" w14:textId="21022250"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300.000 – 950.000 Rupiah</w:t>
            </w:r>
          </w:p>
        </w:tc>
        <w:tc>
          <w:tcPr>
            <w:tcW w:w="2208" w:type="dxa"/>
            <w:vMerge/>
          </w:tcPr>
          <w:p w14:paraId="4A4473C0" w14:textId="77777777" w:rsidR="00300AE1" w:rsidRPr="00A96BA2" w:rsidRDefault="00300AE1" w:rsidP="00A96BA2">
            <w:pPr>
              <w:spacing w:line="240" w:lineRule="auto"/>
              <w:jc w:val="center"/>
              <w:rPr>
                <w:rFonts w:ascii="Times New Roman" w:hAnsi="Times New Roman" w:cs="Times New Roman"/>
                <w:bCs/>
                <w:sz w:val="20"/>
                <w:szCs w:val="20"/>
              </w:rPr>
            </w:pPr>
          </w:p>
        </w:tc>
        <w:tc>
          <w:tcPr>
            <w:tcW w:w="2190" w:type="dxa"/>
          </w:tcPr>
          <w:p w14:paraId="3F197C52" w14:textId="305EC9E7" w:rsidR="00300AE1" w:rsidRPr="00A96BA2" w:rsidRDefault="003E5234"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100.000 Rupiah (</w:t>
            </w:r>
            <w:r w:rsidR="00736FD6" w:rsidRPr="00A96BA2">
              <w:rPr>
                <w:rFonts w:ascii="Times New Roman" w:hAnsi="Times New Roman" w:cs="Times New Roman"/>
                <w:bCs/>
                <w:sz w:val="20"/>
                <w:szCs w:val="20"/>
              </w:rPr>
              <w:t>1 to 5 papers per month)</w:t>
            </w:r>
          </w:p>
        </w:tc>
      </w:tr>
      <w:tr w:rsidR="00A96BA2" w:rsidRPr="00A96BA2" w14:paraId="1D42878E" w14:textId="77777777" w:rsidTr="00690131">
        <w:tc>
          <w:tcPr>
            <w:tcW w:w="1203" w:type="dxa"/>
            <w:vMerge/>
          </w:tcPr>
          <w:p w14:paraId="0C03154B" w14:textId="77777777" w:rsidR="00300AE1" w:rsidRPr="00A96BA2" w:rsidRDefault="00300AE1" w:rsidP="00A96BA2">
            <w:pPr>
              <w:spacing w:line="240" w:lineRule="auto"/>
              <w:jc w:val="center"/>
              <w:rPr>
                <w:rFonts w:ascii="Times New Roman" w:hAnsi="Times New Roman" w:cs="Times New Roman"/>
                <w:bCs/>
                <w:sz w:val="20"/>
                <w:szCs w:val="20"/>
              </w:rPr>
            </w:pPr>
          </w:p>
        </w:tc>
        <w:tc>
          <w:tcPr>
            <w:tcW w:w="1216" w:type="dxa"/>
            <w:vMerge w:val="restart"/>
          </w:tcPr>
          <w:p w14:paraId="769820A5" w14:textId="77777777" w:rsidR="00CC16FC" w:rsidRPr="00A96BA2" w:rsidRDefault="00CC16FC" w:rsidP="00A96BA2">
            <w:pPr>
              <w:spacing w:line="240" w:lineRule="auto"/>
              <w:jc w:val="center"/>
              <w:rPr>
                <w:rFonts w:ascii="Times New Roman" w:hAnsi="Times New Roman" w:cs="Times New Roman"/>
                <w:bCs/>
                <w:sz w:val="20"/>
                <w:szCs w:val="20"/>
              </w:rPr>
            </w:pPr>
          </w:p>
          <w:p w14:paraId="5BC7EDF7" w14:textId="77777777" w:rsidR="00CC16FC" w:rsidRPr="00A96BA2" w:rsidRDefault="00CC16FC" w:rsidP="00A96BA2">
            <w:pPr>
              <w:spacing w:line="240" w:lineRule="auto"/>
              <w:jc w:val="center"/>
              <w:rPr>
                <w:rFonts w:ascii="Times New Roman" w:hAnsi="Times New Roman" w:cs="Times New Roman"/>
                <w:bCs/>
                <w:sz w:val="20"/>
                <w:szCs w:val="20"/>
              </w:rPr>
            </w:pPr>
          </w:p>
          <w:p w14:paraId="0BB70F53" w14:textId="45294850"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Custom</w:t>
            </w:r>
          </w:p>
          <w:p w14:paraId="069D69CA" w14:textId="54A3BB13"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Report</w:t>
            </w:r>
          </w:p>
        </w:tc>
        <w:tc>
          <w:tcPr>
            <w:tcW w:w="2199" w:type="dxa"/>
            <w:vMerge w:val="restart"/>
          </w:tcPr>
          <w:p w14:paraId="643BBFF4" w14:textId="77777777" w:rsidR="00CC16FC" w:rsidRPr="00A96BA2" w:rsidRDefault="00CC16FC" w:rsidP="00A96BA2">
            <w:pPr>
              <w:spacing w:line="240" w:lineRule="auto"/>
              <w:jc w:val="center"/>
              <w:rPr>
                <w:rFonts w:ascii="Times New Roman" w:hAnsi="Times New Roman" w:cs="Times New Roman"/>
                <w:bCs/>
                <w:sz w:val="20"/>
                <w:szCs w:val="20"/>
              </w:rPr>
            </w:pPr>
          </w:p>
          <w:p w14:paraId="248C38E6" w14:textId="77777777" w:rsidR="00CC16FC" w:rsidRPr="00A96BA2" w:rsidRDefault="00CC16FC" w:rsidP="00A96BA2">
            <w:pPr>
              <w:spacing w:line="240" w:lineRule="auto"/>
              <w:jc w:val="center"/>
              <w:rPr>
                <w:rFonts w:ascii="Times New Roman" w:hAnsi="Times New Roman" w:cs="Times New Roman"/>
                <w:bCs/>
                <w:sz w:val="20"/>
                <w:szCs w:val="20"/>
              </w:rPr>
            </w:pPr>
          </w:p>
          <w:p w14:paraId="5FF0147E" w14:textId="633FE049"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200.000 – 850.000 Rupiah</w:t>
            </w:r>
          </w:p>
        </w:tc>
        <w:tc>
          <w:tcPr>
            <w:tcW w:w="2208" w:type="dxa"/>
            <w:vMerge w:val="restart"/>
          </w:tcPr>
          <w:p w14:paraId="50C7F0C7" w14:textId="77777777" w:rsidR="00CC16FC" w:rsidRPr="00A96BA2" w:rsidRDefault="00CC16FC" w:rsidP="00A96BA2">
            <w:pPr>
              <w:spacing w:line="240" w:lineRule="auto"/>
              <w:jc w:val="center"/>
              <w:rPr>
                <w:rFonts w:ascii="Times New Roman" w:hAnsi="Times New Roman" w:cs="Times New Roman"/>
                <w:bCs/>
                <w:sz w:val="20"/>
                <w:szCs w:val="20"/>
              </w:rPr>
            </w:pPr>
          </w:p>
          <w:p w14:paraId="6AA73A9B" w14:textId="77777777" w:rsidR="00CC16FC" w:rsidRPr="00A96BA2" w:rsidRDefault="00CC16FC" w:rsidP="00A96BA2">
            <w:pPr>
              <w:spacing w:line="240" w:lineRule="auto"/>
              <w:jc w:val="center"/>
              <w:rPr>
                <w:rFonts w:ascii="Times New Roman" w:hAnsi="Times New Roman" w:cs="Times New Roman"/>
                <w:bCs/>
                <w:sz w:val="20"/>
                <w:szCs w:val="20"/>
              </w:rPr>
            </w:pPr>
          </w:p>
          <w:p w14:paraId="4C808340" w14:textId="77777777" w:rsidR="00CC16FC" w:rsidRPr="00A96BA2" w:rsidRDefault="00CC16FC" w:rsidP="00A96BA2">
            <w:pPr>
              <w:spacing w:line="240" w:lineRule="auto"/>
              <w:jc w:val="center"/>
              <w:rPr>
                <w:rFonts w:ascii="Times New Roman" w:hAnsi="Times New Roman" w:cs="Times New Roman"/>
                <w:bCs/>
                <w:sz w:val="20"/>
                <w:szCs w:val="20"/>
              </w:rPr>
            </w:pPr>
          </w:p>
          <w:p w14:paraId="184F02C3" w14:textId="2C802E64" w:rsidR="00300AE1" w:rsidRPr="00A96BA2" w:rsidRDefault="00300AE1"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Jewellery Report</w:t>
            </w:r>
          </w:p>
        </w:tc>
        <w:tc>
          <w:tcPr>
            <w:tcW w:w="2190" w:type="dxa"/>
          </w:tcPr>
          <w:p w14:paraId="2A29B647" w14:textId="1E792189" w:rsidR="00300AE1" w:rsidRPr="00A96BA2" w:rsidRDefault="003B4EF6"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 xml:space="preserve">100.000 Rupiah (for </w:t>
            </w:r>
            <w:r w:rsidR="00F65BFB" w:rsidRPr="00A96BA2">
              <w:rPr>
                <w:rFonts w:ascii="Times New Roman" w:hAnsi="Times New Roman" w:cs="Times New Roman"/>
                <w:bCs/>
                <w:sz w:val="20"/>
                <w:szCs w:val="20"/>
              </w:rPr>
              <w:t>diamonds and other gemstones one carat weight)</w:t>
            </w:r>
          </w:p>
        </w:tc>
      </w:tr>
      <w:tr w:rsidR="00A96BA2" w:rsidRPr="00A96BA2" w14:paraId="63AEDD42" w14:textId="77777777" w:rsidTr="00690131">
        <w:tc>
          <w:tcPr>
            <w:tcW w:w="1203" w:type="dxa"/>
            <w:vMerge/>
          </w:tcPr>
          <w:p w14:paraId="7745C8C0" w14:textId="77777777" w:rsidR="00300AE1" w:rsidRPr="00A96BA2" w:rsidRDefault="00300AE1" w:rsidP="00A96BA2">
            <w:pPr>
              <w:spacing w:line="240" w:lineRule="auto"/>
              <w:jc w:val="center"/>
              <w:rPr>
                <w:rFonts w:ascii="Times New Roman" w:hAnsi="Times New Roman" w:cs="Times New Roman"/>
                <w:bCs/>
                <w:sz w:val="20"/>
                <w:szCs w:val="20"/>
              </w:rPr>
            </w:pPr>
          </w:p>
        </w:tc>
        <w:tc>
          <w:tcPr>
            <w:tcW w:w="1216" w:type="dxa"/>
            <w:vMerge/>
          </w:tcPr>
          <w:p w14:paraId="7D5EF70D" w14:textId="01DC30B9" w:rsidR="00300AE1" w:rsidRPr="00A96BA2" w:rsidRDefault="00300AE1" w:rsidP="00A96BA2">
            <w:pPr>
              <w:spacing w:line="240" w:lineRule="auto"/>
              <w:jc w:val="center"/>
              <w:rPr>
                <w:rFonts w:ascii="Times New Roman" w:hAnsi="Times New Roman" w:cs="Times New Roman"/>
                <w:bCs/>
                <w:sz w:val="20"/>
                <w:szCs w:val="20"/>
              </w:rPr>
            </w:pPr>
          </w:p>
        </w:tc>
        <w:tc>
          <w:tcPr>
            <w:tcW w:w="2199" w:type="dxa"/>
            <w:vMerge/>
          </w:tcPr>
          <w:p w14:paraId="3F38B1AC" w14:textId="77777777" w:rsidR="00300AE1" w:rsidRPr="00A96BA2" w:rsidRDefault="00300AE1" w:rsidP="00A96BA2">
            <w:pPr>
              <w:spacing w:line="240" w:lineRule="auto"/>
              <w:jc w:val="center"/>
              <w:rPr>
                <w:rFonts w:ascii="Times New Roman" w:hAnsi="Times New Roman" w:cs="Times New Roman"/>
                <w:bCs/>
                <w:sz w:val="20"/>
                <w:szCs w:val="20"/>
              </w:rPr>
            </w:pPr>
          </w:p>
        </w:tc>
        <w:tc>
          <w:tcPr>
            <w:tcW w:w="2208" w:type="dxa"/>
            <w:vMerge/>
          </w:tcPr>
          <w:p w14:paraId="7D04E860" w14:textId="77777777" w:rsidR="00300AE1" w:rsidRPr="00A96BA2" w:rsidRDefault="00300AE1" w:rsidP="00A96BA2">
            <w:pPr>
              <w:spacing w:line="240" w:lineRule="auto"/>
              <w:jc w:val="center"/>
              <w:rPr>
                <w:rFonts w:ascii="Times New Roman" w:hAnsi="Times New Roman" w:cs="Times New Roman"/>
                <w:bCs/>
                <w:sz w:val="20"/>
                <w:szCs w:val="20"/>
              </w:rPr>
            </w:pPr>
          </w:p>
        </w:tc>
        <w:tc>
          <w:tcPr>
            <w:tcW w:w="2190" w:type="dxa"/>
          </w:tcPr>
          <w:p w14:paraId="4053A35C" w14:textId="53365DD2" w:rsidR="00300AE1" w:rsidRPr="00A96BA2" w:rsidRDefault="001620C3" w:rsidP="00A96BA2">
            <w:pPr>
              <w:spacing w:line="240" w:lineRule="auto"/>
              <w:jc w:val="center"/>
              <w:rPr>
                <w:rFonts w:ascii="Times New Roman" w:hAnsi="Times New Roman" w:cs="Times New Roman"/>
                <w:bCs/>
                <w:sz w:val="20"/>
                <w:szCs w:val="20"/>
              </w:rPr>
            </w:pPr>
            <w:r w:rsidRPr="00A96BA2">
              <w:rPr>
                <w:rFonts w:ascii="Times New Roman" w:hAnsi="Times New Roman" w:cs="Times New Roman"/>
                <w:bCs/>
                <w:sz w:val="20"/>
                <w:szCs w:val="20"/>
              </w:rPr>
              <w:t>150.000</w:t>
            </w:r>
            <w:r w:rsidR="00A54D61" w:rsidRPr="00A96BA2">
              <w:rPr>
                <w:rFonts w:ascii="Times New Roman" w:hAnsi="Times New Roman" w:cs="Times New Roman"/>
                <w:bCs/>
                <w:sz w:val="20"/>
                <w:szCs w:val="20"/>
              </w:rPr>
              <w:t xml:space="preserve"> Rupiah</w:t>
            </w:r>
            <w:r w:rsidRPr="00A96BA2">
              <w:rPr>
                <w:rFonts w:ascii="Times New Roman" w:hAnsi="Times New Roman" w:cs="Times New Roman"/>
                <w:bCs/>
                <w:sz w:val="20"/>
                <w:szCs w:val="20"/>
              </w:rPr>
              <w:t xml:space="preserve"> (</w:t>
            </w:r>
            <w:r w:rsidR="00A54D61" w:rsidRPr="00A96BA2">
              <w:rPr>
                <w:rFonts w:ascii="Times New Roman" w:hAnsi="Times New Roman" w:cs="Times New Roman"/>
                <w:bCs/>
                <w:sz w:val="20"/>
                <w:szCs w:val="20"/>
              </w:rPr>
              <w:t xml:space="preserve">for </w:t>
            </w:r>
            <w:r w:rsidRPr="00A96BA2">
              <w:rPr>
                <w:rFonts w:ascii="Times New Roman" w:hAnsi="Times New Roman" w:cs="Times New Roman"/>
                <w:bCs/>
                <w:sz w:val="20"/>
                <w:szCs w:val="20"/>
              </w:rPr>
              <w:t>diamon</w:t>
            </w:r>
            <w:r w:rsidR="00A54D61" w:rsidRPr="00A96BA2">
              <w:rPr>
                <w:rFonts w:ascii="Times New Roman" w:hAnsi="Times New Roman" w:cs="Times New Roman"/>
                <w:bCs/>
                <w:sz w:val="20"/>
                <w:szCs w:val="20"/>
              </w:rPr>
              <w:t>ds more than one carat weight)</w:t>
            </w:r>
          </w:p>
        </w:tc>
      </w:tr>
    </w:tbl>
    <w:p w14:paraId="1076E2A5" w14:textId="484D58C9" w:rsidR="00EE2863" w:rsidRPr="00A96BA2" w:rsidRDefault="00E57A40" w:rsidP="00A96BA2">
      <w:pPr>
        <w:spacing w:after="0" w:line="240" w:lineRule="auto"/>
        <w:jc w:val="center"/>
        <w:rPr>
          <w:rFonts w:ascii="Times New Roman" w:hAnsi="Times New Roman" w:cs="Times New Roman"/>
          <w:b/>
          <w:sz w:val="20"/>
          <w:szCs w:val="20"/>
        </w:rPr>
      </w:pPr>
      <w:r w:rsidRPr="00A96BA2">
        <w:rPr>
          <w:rFonts w:ascii="Times New Roman" w:hAnsi="Times New Roman" w:cs="Times New Roman"/>
          <w:b/>
          <w:sz w:val="20"/>
          <w:szCs w:val="20"/>
        </w:rPr>
        <w:t>Table 1: Business fees for each type of gemstone certificates (Banjar Regency Regional Regulation Number 7 of 2011)</w:t>
      </w:r>
    </w:p>
    <w:p w14:paraId="61B57AF2" w14:textId="613F14EF" w:rsidR="007D4829"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 xml:space="preserve">What Should </w:t>
      </w:r>
      <w:r w:rsidR="005C511C">
        <w:rPr>
          <w:rFonts w:ascii="Times New Roman" w:hAnsi="Times New Roman" w:cs="Times New Roman"/>
          <w:b/>
          <w:sz w:val="24"/>
          <w:szCs w:val="24"/>
        </w:rPr>
        <w:t>The Law Took Into Account</w:t>
      </w:r>
      <w:r w:rsidRPr="00A96BA2">
        <w:rPr>
          <w:rFonts w:ascii="Times New Roman" w:hAnsi="Times New Roman" w:cs="Times New Roman"/>
          <w:b/>
          <w:sz w:val="24"/>
          <w:szCs w:val="24"/>
        </w:rPr>
        <w:t>?</w:t>
      </w:r>
    </w:p>
    <w:p w14:paraId="5A471A44" w14:textId="5E6A2322" w:rsidR="004E319A" w:rsidRPr="00A96BA2" w:rsidRDefault="002E457A"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sz w:val="24"/>
          <w:szCs w:val="24"/>
          <w:shd w:val="clear" w:color="auto" w:fill="FFFFFF"/>
        </w:rPr>
        <w:t>According to Brotosusilo, one of the five characteristics of the discipline of law is explaining how the law should apply.</w:t>
      </w:r>
      <w:r w:rsidRPr="00A96BA2">
        <w:rPr>
          <w:rStyle w:val="FootnoteReference"/>
          <w:rFonts w:ascii="Times New Roman" w:hAnsi="Times New Roman" w:cs="Times New Roman"/>
          <w:sz w:val="24"/>
          <w:szCs w:val="24"/>
          <w:lang w:val="de-DE"/>
        </w:rPr>
        <w:footnoteReference w:id="65"/>
      </w:r>
      <w:r w:rsidRPr="00A96BA2">
        <w:rPr>
          <w:rFonts w:ascii="Times New Roman" w:hAnsi="Times New Roman" w:cs="Times New Roman"/>
          <w:sz w:val="24"/>
          <w:szCs w:val="24"/>
          <w:shd w:val="clear" w:color="auto" w:fill="FFFFFF"/>
        </w:rPr>
        <w:t xml:space="preserve"> In other words, the law must provide a prescription. According to Marzuki, the term "prescriptive" means a guide for solving problems.</w:t>
      </w:r>
      <w:r w:rsidRPr="00A96BA2">
        <w:rPr>
          <w:rStyle w:val="FootnoteReference"/>
          <w:rFonts w:ascii="Times New Roman" w:hAnsi="Times New Roman" w:cs="Times New Roman"/>
          <w:sz w:val="24"/>
          <w:szCs w:val="24"/>
          <w:lang w:val="de-DE"/>
        </w:rPr>
        <w:footnoteReference w:id="66"/>
      </w:r>
      <w:r w:rsidRPr="00A96BA2">
        <w:rPr>
          <w:rFonts w:ascii="Times New Roman" w:hAnsi="Times New Roman" w:cs="Times New Roman"/>
          <w:sz w:val="24"/>
          <w:szCs w:val="24"/>
          <w:lang w:val="fi-FI"/>
        </w:rPr>
        <w:t xml:space="preserve"> </w:t>
      </w:r>
      <w:r w:rsidRPr="00A96BA2">
        <w:rPr>
          <w:rFonts w:ascii="Times New Roman" w:hAnsi="Times New Roman" w:cs="Times New Roman"/>
          <w:sz w:val="24"/>
          <w:szCs w:val="24"/>
          <w:shd w:val="clear" w:color="auto" w:fill="FFFFFF"/>
        </w:rPr>
        <w:t xml:space="preserve">Therefore, this study </w:t>
      </w:r>
      <w:r w:rsidR="00AA6069" w:rsidRPr="00A96BA2">
        <w:rPr>
          <w:rFonts w:ascii="Times New Roman" w:hAnsi="Times New Roman" w:cs="Times New Roman"/>
          <w:sz w:val="24"/>
          <w:szCs w:val="24"/>
          <w:shd w:val="clear" w:color="auto" w:fill="FFFFFF"/>
        </w:rPr>
        <w:t xml:space="preserve">will </w:t>
      </w:r>
      <w:r w:rsidR="00AB049B" w:rsidRPr="00A96BA2">
        <w:rPr>
          <w:rFonts w:ascii="Times New Roman" w:hAnsi="Times New Roman" w:cs="Times New Roman"/>
          <w:sz w:val="24"/>
          <w:szCs w:val="24"/>
          <w:shd w:val="clear" w:color="auto" w:fill="FFFFFF"/>
        </w:rPr>
        <w:t>analyze</w:t>
      </w:r>
      <w:r w:rsidR="00AA6069" w:rsidRPr="00A96BA2">
        <w:rPr>
          <w:rFonts w:ascii="Times New Roman" w:hAnsi="Times New Roman" w:cs="Times New Roman"/>
          <w:sz w:val="24"/>
          <w:szCs w:val="24"/>
          <w:shd w:val="clear" w:color="auto" w:fill="FFFFFF"/>
        </w:rPr>
        <w:t xml:space="preserve"> the </w:t>
      </w:r>
      <w:r w:rsidR="00AA6069" w:rsidRPr="00A96BA2">
        <w:rPr>
          <w:rFonts w:ascii="Times New Roman" w:hAnsi="Times New Roman" w:cs="Times New Roman"/>
          <w:bCs/>
          <w:sz w:val="24"/>
          <w:szCs w:val="24"/>
        </w:rPr>
        <w:t>Appendix 1, point V of Banjar Regency Regional Regulation Number 7 of 2011</w:t>
      </w:r>
      <w:r w:rsidR="0075722A" w:rsidRPr="00A96BA2">
        <w:rPr>
          <w:rFonts w:ascii="Times New Roman" w:hAnsi="Times New Roman" w:cs="Times New Roman"/>
          <w:bCs/>
          <w:sz w:val="24"/>
          <w:szCs w:val="24"/>
        </w:rPr>
        <w:t xml:space="preserve"> </w:t>
      </w:r>
      <w:r w:rsidR="00E755AD" w:rsidRPr="00A96BA2">
        <w:rPr>
          <w:rFonts w:ascii="Times New Roman" w:hAnsi="Times New Roman" w:cs="Times New Roman"/>
          <w:bCs/>
          <w:sz w:val="24"/>
          <w:szCs w:val="24"/>
        </w:rPr>
        <w:t xml:space="preserve">ability </w:t>
      </w:r>
      <w:r w:rsidR="0075722A" w:rsidRPr="00A96BA2">
        <w:rPr>
          <w:rFonts w:ascii="Times New Roman" w:hAnsi="Times New Roman" w:cs="Times New Roman"/>
          <w:bCs/>
          <w:sz w:val="24"/>
          <w:szCs w:val="24"/>
        </w:rPr>
        <w:t>t</w:t>
      </w:r>
      <w:r w:rsidR="00E755AD" w:rsidRPr="00A96BA2">
        <w:rPr>
          <w:rFonts w:ascii="Times New Roman" w:hAnsi="Times New Roman" w:cs="Times New Roman"/>
          <w:bCs/>
          <w:sz w:val="24"/>
          <w:szCs w:val="24"/>
        </w:rPr>
        <w:t xml:space="preserve">o </w:t>
      </w:r>
      <w:r w:rsidR="004E319A" w:rsidRPr="00A96BA2">
        <w:rPr>
          <w:rFonts w:ascii="Times New Roman" w:hAnsi="Times New Roman" w:cs="Times New Roman"/>
          <w:bCs/>
          <w:sz w:val="24"/>
          <w:szCs w:val="24"/>
        </w:rPr>
        <w:t>fulfil</w:t>
      </w:r>
      <w:r w:rsidR="0075722A" w:rsidRPr="00A96BA2">
        <w:rPr>
          <w:rFonts w:ascii="Times New Roman" w:hAnsi="Times New Roman" w:cs="Times New Roman"/>
          <w:bCs/>
          <w:sz w:val="24"/>
          <w:szCs w:val="24"/>
        </w:rPr>
        <w:t xml:space="preserve"> the principle of equality. </w:t>
      </w:r>
      <w:r w:rsidR="0057301A" w:rsidRPr="00A96BA2">
        <w:rPr>
          <w:rFonts w:ascii="Times New Roman" w:hAnsi="Times New Roman" w:cs="Times New Roman"/>
          <w:bCs/>
          <w:sz w:val="24"/>
          <w:szCs w:val="24"/>
        </w:rPr>
        <w:t xml:space="preserve">In other words, this research aims to determine this law ability to </w:t>
      </w:r>
      <w:r w:rsidR="00E824F5" w:rsidRPr="00A96BA2">
        <w:rPr>
          <w:rFonts w:ascii="Times New Roman" w:hAnsi="Times New Roman" w:cs="Times New Roman"/>
          <w:bCs/>
          <w:sz w:val="24"/>
          <w:szCs w:val="24"/>
        </w:rPr>
        <w:t>charges business fees equally to the parties of gemstone industry in Banjar Regency.</w:t>
      </w:r>
    </w:p>
    <w:p w14:paraId="75672D37" w14:textId="2793C90B" w:rsidR="00902DB9" w:rsidRPr="00A96BA2" w:rsidRDefault="00412860"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lastRenderedPageBreak/>
        <w:t>Aristotle explains the relation of "moral Justice" and Equality by pointing out that Equality is related to "moral Justice" in the same way as the part is related to the whole.</w:t>
      </w:r>
      <w:r w:rsidR="00807BAA" w:rsidRPr="00A96BA2">
        <w:rPr>
          <w:rStyle w:val="FootnoteReference"/>
          <w:rFonts w:ascii="Times New Roman" w:hAnsi="Times New Roman" w:cs="Times New Roman"/>
          <w:bCs/>
          <w:sz w:val="24"/>
          <w:szCs w:val="24"/>
        </w:rPr>
        <w:footnoteReference w:id="67"/>
      </w:r>
      <w:r w:rsidR="004E319A" w:rsidRPr="00A96BA2">
        <w:rPr>
          <w:rFonts w:ascii="Times New Roman" w:hAnsi="Times New Roman" w:cs="Times New Roman"/>
          <w:bCs/>
          <w:sz w:val="24"/>
          <w:szCs w:val="24"/>
        </w:rPr>
        <w:t xml:space="preserve"> </w:t>
      </w:r>
      <w:r w:rsidRPr="00A96BA2">
        <w:rPr>
          <w:rFonts w:ascii="Times New Roman" w:hAnsi="Times New Roman" w:cs="Times New Roman"/>
          <w:bCs/>
          <w:sz w:val="24"/>
          <w:szCs w:val="24"/>
        </w:rPr>
        <w:t>He</w:t>
      </w:r>
      <w:r w:rsidR="007815FA" w:rsidRPr="00A96BA2">
        <w:rPr>
          <w:rFonts w:ascii="Times New Roman" w:hAnsi="Times New Roman" w:cs="Times New Roman"/>
          <w:bCs/>
          <w:sz w:val="24"/>
          <w:szCs w:val="24"/>
        </w:rPr>
        <w:t xml:space="preserve"> stated</w:t>
      </w:r>
      <w:r w:rsidR="00303DA4" w:rsidRPr="00A96BA2">
        <w:rPr>
          <w:rFonts w:ascii="Times New Roman" w:hAnsi="Times New Roman" w:cs="Times New Roman"/>
          <w:bCs/>
          <w:sz w:val="24"/>
          <w:szCs w:val="24"/>
        </w:rPr>
        <w:t xml:space="preserve"> two </w:t>
      </w:r>
      <w:r w:rsidR="00894A66" w:rsidRPr="00A96BA2">
        <w:rPr>
          <w:rFonts w:ascii="Times New Roman" w:hAnsi="Times New Roman" w:cs="Times New Roman"/>
          <w:bCs/>
          <w:sz w:val="24"/>
          <w:szCs w:val="24"/>
        </w:rPr>
        <w:t>concept</w:t>
      </w:r>
      <w:r w:rsidR="00C72863" w:rsidRPr="00A96BA2">
        <w:rPr>
          <w:rFonts w:ascii="Times New Roman" w:hAnsi="Times New Roman" w:cs="Times New Roman"/>
          <w:bCs/>
          <w:sz w:val="24"/>
          <w:szCs w:val="24"/>
        </w:rPr>
        <w:t xml:space="preserve"> </w:t>
      </w:r>
      <w:r w:rsidR="00303DA4" w:rsidRPr="00A96BA2">
        <w:rPr>
          <w:rFonts w:ascii="Times New Roman" w:hAnsi="Times New Roman" w:cs="Times New Roman"/>
          <w:bCs/>
          <w:sz w:val="24"/>
          <w:szCs w:val="24"/>
        </w:rPr>
        <w:t>of justices.</w:t>
      </w:r>
      <w:r w:rsidR="00031024" w:rsidRPr="00A96BA2">
        <w:rPr>
          <w:rStyle w:val="FootnoteReference"/>
          <w:rFonts w:ascii="Times New Roman" w:hAnsi="Times New Roman" w:cs="Times New Roman"/>
          <w:bCs/>
          <w:sz w:val="24"/>
          <w:szCs w:val="24"/>
        </w:rPr>
        <w:footnoteReference w:id="68"/>
      </w:r>
      <w:r w:rsidR="00303DA4" w:rsidRPr="00A96BA2">
        <w:rPr>
          <w:rFonts w:ascii="Times New Roman" w:hAnsi="Times New Roman" w:cs="Times New Roman"/>
          <w:bCs/>
          <w:sz w:val="24"/>
          <w:szCs w:val="24"/>
        </w:rPr>
        <w:t xml:space="preserve"> First, it’s a distributive justice.</w:t>
      </w:r>
      <w:r w:rsidR="00501D45" w:rsidRPr="00A96BA2">
        <w:rPr>
          <w:rStyle w:val="FootnoteReference"/>
          <w:rFonts w:ascii="Times New Roman" w:hAnsi="Times New Roman" w:cs="Times New Roman"/>
          <w:bCs/>
          <w:sz w:val="24"/>
          <w:szCs w:val="24"/>
        </w:rPr>
        <w:footnoteReference w:id="69"/>
      </w:r>
      <w:r w:rsidR="00303DA4" w:rsidRPr="00A96BA2">
        <w:rPr>
          <w:rFonts w:ascii="Times New Roman" w:hAnsi="Times New Roman" w:cs="Times New Roman"/>
          <w:bCs/>
          <w:sz w:val="24"/>
          <w:szCs w:val="24"/>
        </w:rPr>
        <w:t xml:space="preserve"> </w:t>
      </w:r>
      <w:r w:rsidR="00303DA4" w:rsidRPr="00A96BA2">
        <w:rPr>
          <w:rFonts w:ascii="Times New Roman" w:hAnsi="Times New Roman" w:cs="Times New Roman"/>
          <w:bCs/>
          <w:i/>
          <w:iCs/>
          <w:sz w:val="24"/>
          <w:szCs w:val="24"/>
        </w:rPr>
        <w:t xml:space="preserve">Justitia Distributiva </w:t>
      </w:r>
      <w:r w:rsidR="00245BA7" w:rsidRPr="00A96BA2">
        <w:rPr>
          <w:rFonts w:ascii="Times New Roman" w:hAnsi="Times New Roman" w:cs="Times New Roman"/>
          <w:bCs/>
          <w:sz w:val="24"/>
          <w:szCs w:val="24"/>
        </w:rPr>
        <w:t xml:space="preserve">is justice that </w:t>
      </w:r>
      <w:r w:rsidR="00AB171B" w:rsidRPr="00A96BA2">
        <w:rPr>
          <w:rFonts w:ascii="Times New Roman" w:hAnsi="Times New Roman" w:cs="Times New Roman"/>
          <w:bCs/>
          <w:sz w:val="24"/>
          <w:szCs w:val="24"/>
        </w:rPr>
        <w:t xml:space="preserve">gives </w:t>
      </w:r>
      <w:r w:rsidR="00507176" w:rsidRPr="00A96BA2">
        <w:rPr>
          <w:rFonts w:ascii="Times New Roman" w:hAnsi="Times New Roman" w:cs="Times New Roman"/>
          <w:bCs/>
          <w:sz w:val="24"/>
          <w:szCs w:val="24"/>
        </w:rPr>
        <w:t xml:space="preserve">each person a portion </w:t>
      </w:r>
      <w:r w:rsidR="00D01688" w:rsidRPr="00A96BA2">
        <w:rPr>
          <w:rFonts w:ascii="Times New Roman" w:hAnsi="Times New Roman" w:cs="Times New Roman"/>
          <w:bCs/>
          <w:sz w:val="24"/>
          <w:szCs w:val="24"/>
        </w:rPr>
        <w:t>according to his or her</w:t>
      </w:r>
      <w:r w:rsidR="00902DB9" w:rsidRPr="00A96BA2">
        <w:rPr>
          <w:rFonts w:ascii="Times New Roman" w:hAnsi="Times New Roman" w:cs="Times New Roman"/>
          <w:bCs/>
          <w:sz w:val="24"/>
          <w:szCs w:val="24"/>
        </w:rPr>
        <w:t xml:space="preserve"> achievement.</w:t>
      </w:r>
      <w:r w:rsidR="00501D45" w:rsidRPr="00A96BA2">
        <w:rPr>
          <w:rStyle w:val="FootnoteReference"/>
          <w:rFonts w:ascii="Times New Roman" w:hAnsi="Times New Roman" w:cs="Times New Roman"/>
          <w:bCs/>
          <w:sz w:val="24"/>
          <w:szCs w:val="24"/>
        </w:rPr>
        <w:footnoteReference w:id="70"/>
      </w:r>
      <w:r w:rsidR="0094185F" w:rsidRPr="00A96BA2">
        <w:rPr>
          <w:rFonts w:ascii="Times New Roman" w:hAnsi="Times New Roman" w:cs="Times New Roman"/>
          <w:bCs/>
          <w:sz w:val="24"/>
          <w:szCs w:val="24"/>
        </w:rPr>
        <w:t xml:space="preserve"> </w:t>
      </w:r>
      <w:r w:rsidR="0061623F" w:rsidRPr="00A96BA2">
        <w:rPr>
          <w:rFonts w:ascii="Times New Roman" w:hAnsi="Times New Roman" w:cs="Times New Roman"/>
          <w:bCs/>
          <w:sz w:val="24"/>
          <w:szCs w:val="24"/>
        </w:rPr>
        <w:t>The concept of distributive justice asserts that treating equals equally and un-equals un-equally implies that an individual's right, duty, and reward should be in proportion to his merit and contribution to the state.</w:t>
      </w:r>
      <w:r w:rsidR="00D77942" w:rsidRPr="00A96BA2">
        <w:rPr>
          <w:rStyle w:val="FootnoteReference"/>
          <w:rFonts w:ascii="Times New Roman" w:hAnsi="Times New Roman" w:cs="Times New Roman"/>
          <w:bCs/>
          <w:sz w:val="24"/>
          <w:szCs w:val="24"/>
        </w:rPr>
        <w:footnoteReference w:id="71"/>
      </w:r>
      <w:r w:rsidR="00FA4077" w:rsidRPr="00A96BA2">
        <w:rPr>
          <w:rFonts w:ascii="Times New Roman" w:hAnsi="Times New Roman" w:cs="Times New Roman"/>
          <w:bCs/>
          <w:sz w:val="24"/>
          <w:szCs w:val="24"/>
        </w:rPr>
        <w:t xml:space="preserve"> </w:t>
      </w:r>
      <w:r w:rsidR="00902DB9" w:rsidRPr="00A96BA2">
        <w:rPr>
          <w:rFonts w:ascii="Times New Roman" w:hAnsi="Times New Roman" w:cs="Times New Roman"/>
          <w:bCs/>
          <w:sz w:val="24"/>
          <w:szCs w:val="24"/>
        </w:rPr>
        <w:t>On the other hand, Aristo</w:t>
      </w:r>
      <w:r w:rsidR="000B307E" w:rsidRPr="00A96BA2">
        <w:rPr>
          <w:rFonts w:ascii="Times New Roman" w:hAnsi="Times New Roman" w:cs="Times New Roman"/>
          <w:bCs/>
          <w:sz w:val="24"/>
          <w:szCs w:val="24"/>
        </w:rPr>
        <w:t>tle</w:t>
      </w:r>
      <w:r w:rsidR="00902DB9" w:rsidRPr="00A96BA2">
        <w:rPr>
          <w:rFonts w:ascii="Times New Roman" w:hAnsi="Times New Roman" w:cs="Times New Roman"/>
          <w:bCs/>
          <w:sz w:val="24"/>
          <w:szCs w:val="24"/>
        </w:rPr>
        <w:t xml:space="preserve"> also </w:t>
      </w:r>
      <w:r w:rsidR="000B307E" w:rsidRPr="00A96BA2">
        <w:rPr>
          <w:rFonts w:ascii="Times New Roman" w:hAnsi="Times New Roman" w:cs="Times New Roman"/>
          <w:bCs/>
          <w:sz w:val="24"/>
          <w:szCs w:val="24"/>
        </w:rPr>
        <w:t>described the concept of commutative justice.</w:t>
      </w:r>
      <w:r w:rsidR="00501D45" w:rsidRPr="00A96BA2">
        <w:rPr>
          <w:rStyle w:val="FootnoteReference"/>
          <w:rFonts w:ascii="Times New Roman" w:hAnsi="Times New Roman" w:cs="Times New Roman"/>
          <w:bCs/>
          <w:sz w:val="24"/>
          <w:szCs w:val="24"/>
        </w:rPr>
        <w:footnoteReference w:id="72"/>
      </w:r>
      <w:r w:rsidR="000B307E" w:rsidRPr="00A96BA2">
        <w:rPr>
          <w:rFonts w:ascii="Times New Roman" w:hAnsi="Times New Roman" w:cs="Times New Roman"/>
          <w:bCs/>
          <w:sz w:val="24"/>
          <w:szCs w:val="24"/>
        </w:rPr>
        <w:t xml:space="preserve"> </w:t>
      </w:r>
      <w:r w:rsidR="000B307E" w:rsidRPr="00A96BA2">
        <w:rPr>
          <w:rFonts w:ascii="Times New Roman" w:hAnsi="Times New Roman" w:cs="Times New Roman"/>
          <w:bCs/>
          <w:i/>
          <w:iCs/>
          <w:sz w:val="24"/>
          <w:szCs w:val="24"/>
        </w:rPr>
        <w:t>Justitia</w:t>
      </w:r>
      <w:r w:rsidR="000B307E" w:rsidRPr="00A96BA2">
        <w:rPr>
          <w:rFonts w:ascii="Times New Roman" w:hAnsi="Times New Roman" w:cs="Times New Roman"/>
          <w:bCs/>
          <w:sz w:val="24"/>
          <w:szCs w:val="24"/>
        </w:rPr>
        <w:t xml:space="preserve"> </w:t>
      </w:r>
      <w:r w:rsidR="007E4829" w:rsidRPr="00A96BA2">
        <w:rPr>
          <w:rFonts w:ascii="Times New Roman" w:hAnsi="Times New Roman" w:cs="Times New Roman"/>
          <w:bCs/>
          <w:i/>
          <w:iCs/>
          <w:sz w:val="24"/>
          <w:szCs w:val="24"/>
        </w:rPr>
        <w:t>Commutativa</w:t>
      </w:r>
      <w:r w:rsidR="000465ED" w:rsidRPr="00A96BA2">
        <w:rPr>
          <w:rFonts w:ascii="Times New Roman" w:hAnsi="Times New Roman" w:cs="Times New Roman"/>
          <w:bCs/>
          <w:sz w:val="24"/>
          <w:szCs w:val="24"/>
        </w:rPr>
        <w:t xml:space="preserve"> provides as much </w:t>
      </w:r>
      <w:r w:rsidR="00780A46" w:rsidRPr="00A96BA2">
        <w:rPr>
          <w:rFonts w:ascii="Times New Roman" w:hAnsi="Times New Roman" w:cs="Times New Roman"/>
          <w:bCs/>
          <w:sz w:val="24"/>
          <w:szCs w:val="24"/>
        </w:rPr>
        <w:t xml:space="preserve">to everyone </w:t>
      </w:r>
      <w:r w:rsidR="00BE49F8" w:rsidRPr="00A96BA2">
        <w:rPr>
          <w:rFonts w:ascii="Times New Roman" w:hAnsi="Times New Roman" w:cs="Times New Roman"/>
          <w:bCs/>
          <w:sz w:val="24"/>
          <w:szCs w:val="24"/>
        </w:rPr>
        <w:t xml:space="preserve">without differentiating </w:t>
      </w:r>
      <w:r w:rsidR="000E32B7" w:rsidRPr="00A96BA2">
        <w:rPr>
          <w:rFonts w:ascii="Times New Roman" w:hAnsi="Times New Roman" w:cs="Times New Roman"/>
          <w:bCs/>
          <w:sz w:val="24"/>
          <w:szCs w:val="24"/>
        </w:rPr>
        <w:t xml:space="preserve">their performance </w:t>
      </w:r>
      <w:r w:rsidR="000B50CB" w:rsidRPr="00A96BA2">
        <w:rPr>
          <w:rFonts w:ascii="Times New Roman" w:hAnsi="Times New Roman" w:cs="Times New Roman"/>
          <w:bCs/>
          <w:sz w:val="24"/>
          <w:szCs w:val="24"/>
        </w:rPr>
        <w:t>in this case related to</w:t>
      </w:r>
      <w:r w:rsidR="002D0F2F" w:rsidRPr="00A96BA2">
        <w:rPr>
          <w:rFonts w:ascii="Times New Roman" w:hAnsi="Times New Roman" w:cs="Times New Roman"/>
          <w:bCs/>
          <w:sz w:val="24"/>
          <w:szCs w:val="24"/>
        </w:rPr>
        <w:t xml:space="preserve"> the role of </w:t>
      </w:r>
      <w:r w:rsidR="00CA1B76" w:rsidRPr="00A96BA2">
        <w:rPr>
          <w:rFonts w:ascii="Times New Roman" w:hAnsi="Times New Roman" w:cs="Times New Roman"/>
          <w:bCs/>
          <w:sz w:val="24"/>
          <w:szCs w:val="24"/>
        </w:rPr>
        <w:t>exchanging goods</w:t>
      </w:r>
      <w:r w:rsidR="00F9481C" w:rsidRPr="00A96BA2">
        <w:rPr>
          <w:rFonts w:ascii="Times New Roman" w:hAnsi="Times New Roman" w:cs="Times New Roman"/>
          <w:bCs/>
          <w:sz w:val="24"/>
          <w:szCs w:val="24"/>
        </w:rPr>
        <w:t xml:space="preserve"> and services.</w:t>
      </w:r>
      <w:r w:rsidR="00AB3733" w:rsidRPr="00A96BA2">
        <w:rPr>
          <w:rStyle w:val="FootnoteReference"/>
          <w:rFonts w:ascii="Times New Roman" w:hAnsi="Times New Roman" w:cs="Times New Roman"/>
          <w:bCs/>
          <w:sz w:val="24"/>
          <w:szCs w:val="24"/>
        </w:rPr>
        <w:footnoteReference w:id="73"/>
      </w:r>
    </w:p>
    <w:p w14:paraId="59CC467C" w14:textId="7C337C42" w:rsidR="00CF6F03" w:rsidRPr="00A96BA2" w:rsidRDefault="00CF6F03"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This research sees that the principle of equality in Indonesian tax laws is in accordance to the Aristotle conception of distributive justice.</w:t>
      </w:r>
      <w:r w:rsidR="004E319A" w:rsidRPr="00A96BA2">
        <w:rPr>
          <w:rFonts w:ascii="Times New Roman" w:hAnsi="Times New Roman" w:cs="Times New Roman"/>
          <w:bCs/>
          <w:sz w:val="24"/>
          <w:szCs w:val="24"/>
        </w:rPr>
        <w:t xml:space="preserve"> </w:t>
      </w:r>
      <w:r w:rsidR="00790587" w:rsidRPr="00A96BA2">
        <w:rPr>
          <w:rFonts w:ascii="Times New Roman" w:hAnsi="Times New Roman" w:cs="Times New Roman"/>
          <w:bCs/>
          <w:sz w:val="24"/>
          <w:szCs w:val="24"/>
        </w:rPr>
        <w:t>The principle of equality before the law and the principle of ability to pay requires every citizen to contribute proportionally to the burden of the state based on their economic capacity.</w:t>
      </w:r>
      <w:r w:rsidR="00790587" w:rsidRPr="00A96BA2">
        <w:rPr>
          <w:rStyle w:val="FootnoteReference"/>
          <w:rFonts w:ascii="Times New Roman" w:hAnsi="Times New Roman" w:cs="Times New Roman"/>
          <w:bCs/>
          <w:sz w:val="24"/>
          <w:szCs w:val="24"/>
        </w:rPr>
        <w:footnoteReference w:id="74"/>
      </w:r>
      <w:r w:rsidR="00790587" w:rsidRPr="00A96BA2">
        <w:rPr>
          <w:rFonts w:ascii="Times New Roman" w:hAnsi="Times New Roman" w:cs="Times New Roman"/>
          <w:bCs/>
          <w:sz w:val="24"/>
          <w:szCs w:val="24"/>
        </w:rPr>
        <w:t xml:space="preserve"> In line with that principles, </w:t>
      </w:r>
      <w:r w:rsidR="005B6088" w:rsidRPr="00A96BA2">
        <w:rPr>
          <w:rFonts w:ascii="Times New Roman" w:hAnsi="Times New Roman" w:cs="Times New Roman"/>
          <w:bCs/>
          <w:sz w:val="24"/>
          <w:szCs w:val="24"/>
        </w:rPr>
        <w:t>patterned principles of distributive justice involve appropriating the actions of other person.</w:t>
      </w:r>
      <w:r w:rsidR="005B6088" w:rsidRPr="00A96BA2">
        <w:rPr>
          <w:rStyle w:val="FootnoteReference"/>
          <w:rFonts w:ascii="Times New Roman" w:hAnsi="Times New Roman" w:cs="Times New Roman"/>
          <w:bCs/>
          <w:sz w:val="24"/>
          <w:szCs w:val="24"/>
        </w:rPr>
        <w:footnoteReference w:id="75"/>
      </w:r>
      <w:r w:rsidR="005B6088" w:rsidRPr="00A96BA2">
        <w:rPr>
          <w:rFonts w:ascii="Times New Roman" w:hAnsi="Times New Roman" w:cs="Times New Roman"/>
          <w:bCs/>
          <w:sz w:val="24"/>
          <w:szCs w:val="24"/>
        </w:rPr>
        <w:t xml:space="preserve"> Therefore, this research sees that Banjar Regulation Regency regarding gemstone certification fees should be in accordance to the </w:t>
      </w:r>
      <w:r w:rsidR="00DB672F" w:rsidRPr="00A96BA2">
        <w:rPr>
          <w:rFonts w:ascii="Times New Roman" w:hAnsi="Times New Roman" w:cs="Times New Roman"/>
          <w:bCs/>
          <w:sz w:val="24"/>
          <w:szCs w:val="24"/>
        </w:rPr>
        <w:t>principle of equality and distributive justice.</w:t>
      </w:r>
    </w:p>
    <w:p w14:paraId="24A5001B" w14:textId="77777777" w:rsidR="00BF228F" w:rsidRPr="00A96BA2" w:rsidRDefault="0099205D"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This research sees that Banjar Regulation Regency regarding gemstone certification fees isn’t in accordance to the principle of equality and distributive justice. The Banjar Regulation Regency regarding gemstone certification doesn’t take the economic situation of the consumers into account.</w:t>
      </w:r>
      <w:r w:rsidR="00EA28E7" w:rsidRPr="00A96BA2">
        <w:rPr>
          <w:rFonts w:ascii="Times New Roman" w:hAnsi="Times New Roman" w:cs="Times New Roman"/>
          <w:bCs/>
          <w:sz w:val="24"/>
          <w:szCs w:val="24"/>
        </w:rPr>
        <w:t xml:space="preserve"> Based on</w:t>
      </w:r>
      <w:r w:rsidR="00EA28E7" w:rsidRPr="00A96BA2">
        <w:rPr>
          <w:rFonts w:ascii="Times New Roman" w:hAnsi="Times New Roman" w:cs="Times New Roman"/>
          <w:sz w:val="24"/>
          <w:szCs w:val="24"/>
          <w:shd w:val="clear" w:color="auto" w:fill="FFFFFF"/>
        </w:rPr>
        <w:t xml:space="preserve"> </w:t>
      </w:r>
      <w:r w:rsidR="00EA28E7" w:rsidRPr="00A96BA2">
        <w:rPr>
          <w:rFonts w:ascii="Times New Roman" w:hAnsi="Times New Roman" w:cs="Times New Roman"/>
          <w:bCs/>
          <w:sz w:val="24"/>
          <w:szCs w:val="24"/>
        </w:rPr>
        <w:t>Appendix 1, point V of Banjar Regency Regional Regulation Number 7 of 2011, the average amount of gemstone certification fees in Banjar Regency is two hundred thousand Rupiah.  A number of consumers do not feel reluctant to pay gemstone certification fees. On 2014, a number of consumers from Republic of Indonesia were willing to pay over a million Rupiah for a good quality chalcedony.</w:t>
      </w:r>
      <w:r w:rsidR="00C74C1B" w:rsidRPr="00A96BA2">
        <w:rPr>
          <w:rStyle w:val="FootnoteReference"/>
          <w:rFonts w:ascii="Times New Roman" w:hAnsi="Times New Roman" w:cs="Times New Roman"/>
          <w:bCs/>
          <w:sz w:val="24"/>
          <w:szCs w:val="24"/>
        </w:rPr>
        <w:footnoteReference w:id="76"/>
      </w:r>
    </w:p>
    <w:p w14:paraId="0A9F3953" w14:textId="62B733D8" w:rsidR="00CB15EE" w:rsidRPr="00A96BA2" w:rsidRDefault="00BF228F"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On the contrary, a number of consumers actually objected to the certificate price, which reached hundreds of thousands of Rupiah. Especially during the global economic crisis caused by the outbreak of the COVID-19 pandemic.</w:t>
      </w:r>
      <w:r w:rsidRPr="00A96BA2">
        <w:rPr>
          <w:rStyle w:val="FootnoteReference"/>
          <w:rFonts w:ascii="Times New Roman" w:hAnsi="Times New Roman" w:cs="Times New Roman"/>
          <w:bCs/>
          <w:sz w:val="24"/>
          <w:szCs w:val="24"/>
        </w:rPr>
        <w:footnoteReference w:id="77"/>
      </w:r>
      <w:r w:rsidR="00CB15EE" w:rsidRPr="00A96BA2">
        <w:rPr>
          <w:rFonts w:ascii="Times New Roman" w:hAnsi="Times New Roman" w:cs="Times New Roman"/>
          <w:bCs/>
          <w:sz w:val="24"/>
          <w:szCs w:val="24"/>
        </w:rPr>
        <w:t xml:space="preserve"> The escalation of conflict in the Middle East has triggered a surge in global energy prices and reopened the risk of a broader economic </w:t>
      </w:r>
      <w:r w:rsidR="00CB15EE" w:rsidRPr="00A96BA2">
        <w:rPr>
          <w:rFonts w:ascii="Times New Roman" w:hAnsi="Times New Roman" w:cs="Times New Roman"/>
          <w:bCs/>
          <w:sz w:val="24"/>
          <w:szCs w:val="24"/>
        </w:rPr>
        <w:lastRenderedPageBreak/>
        <w:t>crisis.</w:t>
      </w:r>
      <w:r w:rsidR="00CB15EE" w:rsidRPr="00A96BA2">
        <w:rPr>
          <w:rStyle w:val="FootnoteReference"/>
          <w:rFonts w:ascii="Times New Roman" w:hAnsi="Times New Roman" w:cs="Times New Roman"/>
          <w:bCs/>
          <w:sz w:val="24"/>
          <w:szCs w:val="24"/>
        </w:rPr>
        <w:footnoteReference w:id="78"/>
      </w:r>
      <w:r w:rsidR="00CB15EE" w:rsidRPr="00A96BA2">
        <w:rPr>
          <w:rFonts w:ascii="Times New Roman" w:hAnsi="Times New Roman" w:cs="Times New Roman"/>
          <w:bCs/>
          <w:sz w:val="24"/>
          <w:szCs w:val="24"/>
        </w:rPr>
        <w:t xml:space="preserve"> Based on ethical theory, the purpose of law is solely to realize justice.</w:t>
      </w:r>
      <w:r w:rsidR="00CB15EE" w:rsidRPr="00A96BA2">
        <w:rPr>
          <w:rStyle w:val="FootnoteReference"/>
          <w:rFonts w:ascii="Times New Roman" w:hAnsi="Times New Roman" w:cs="Times New Roman"/>
          <w:bCs/>
          <w:sz w:val="24"/>
          <w:szCs w:val="24"/>
        </w:rPr>
        <w:footnoteReference w:id="79"/>
      </w:r>
      <w:r w:rsidR="00CB15EE" w:rsidRPr="00A96BA2">
        <w:rPr>
          <w:rFonts w:ascii="Times New Roman" w:hAnsi="Times New Roman" w:cs="Times New Roman"/>
          <w:bCs/>
          <w:sz w:val="24"/>
          <w:szCs w:val="24"/>
        </w:rPr>
        <w:t xml:space="preserve"> That’s why this research sees that Banjar Regulation Regency regarding gemstone certification fees should </w:t>
      </w:r>
      <w:r w:rsidR="00516296" w:rsidRPr="00A96BA2">
        <w:rPr>
          <w:rFonts w:ascii="Times New Roman" w:hAnsi="Times New Roman" w:cs="Times New Roman"/>
          <w:bCs/>
          <w:sz w:val="24"/>
          <w:szCs w:val="24"/>
        </w:rPr>
        <w:t>take the economic situation of the consumers into account.</w:t>
      </w:r>
    </w:p>
    <w:p w14:paraId="43FD5663" w14:textId="1615E1E7" w:rsidR="00016B6B" w:rsidRPr="00A96BA2" w:rsidRDefault="00016B6B"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CONCLUSION</w:t>
      </w:r>
    </w:p>
    <w:p w14:paraId="6AD057C9" w14:textId="4E50069A" w:rsidR="00516296" w:rsidRPr="00A96BA2" w:rsidRDefault="007D4829" w:rsidP="00A96BA2">
      <w:pPr>
        <w:spacing w:after="0" w:line="240" w:lineRule="auto"/>
        <w:ind w:firstLine="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This research </w:t>
      </w:r>
      <w:r w:rsidR="00516296" w:rsidRPr="00A96BA2">
        <w:rPr>
          <w:rFonts w:ascii="Times New Roman" w:hAnsi="Times New Roman" w:cs="Times New Roman"/>
          <w:bCs/>
          <w:sz w:val="24"/>
          <w:szCs w:val="24"/>
        </w:rPr>
        <w:t>has some concluding remarks. First, the Indonesian tax laws follow the four maxims on taxation. One of them is the principle of equality. The principle of equality requires every citizen to contribute proportionally to the burden of the state based on their economic capacity. Second, Banjar Regency Regulation Number 7 of 2011 regulates the gemstone certification fees. Appendix 1, point V of this regulation classifies gemstone certificates fees based on several categories. They are the type of certificates, type of gemstones, the weight of the gemstone, and the number of gemstone certificate sheets ordered by consumers. Third, this research sees that Banjar Regulation Regency regarding gemstone certification fees isn’t in accordance to the principle of equality and distributive justice. The Banjar Regulation Regency regarding gemstone certification doesn’t take the economic situation of the consumers into account.</w:t>
      </w:r>
      <w:r w:rsidR="00A96BA2" w:rsidRPr="00A96BA2">
        <w:rPr>
          <w:rFonts w:ascii="Times New Roman" w:hAnsi="Times New Roman" w:cs="Times New Roman"/>
          <w:bCs/>
          <w:sz w:val="24"/>
          <w:szCs w:val="24"/>
        </w:rPr>
        <w:t xml:space="preserve"> That’s why this research suggests that the Banjar Regulation Regency regarding gemstone certification should take the economic situation of the consumers into account. So, it could be in accordance to the principle of equality and distributive justice.</w:t>
      </w:r>
    </w:p>
    <w:p w14:paraId="60D3FB8B" w14:textId="77777777" w:rsidR="007D4829" w:rsidRPr="00A96BA2" w:rsidRDefault="007D4829" w:rsidP="00A96BA2">
      <w:pPr>
        <w:pStyle w:val="ListParagraph"/>
        <w:numPr>
          <w:ilvl w:val="0"/>
          <w:numId w:val="2"/>
        </w:num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References</w:t>
      </w:r>
    </w:p>
    <w:p w14:paraId="3F65E7E7"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Statutes</w:t>
      </w:r>
    </w:p>
    <w:p w14:paraId="43264919" w14:textId="0E07788B" w:rsidR="001078FE" w:rsidRDefault="001078FE" w:rsidP="00576D50">
      <w:pPr>
        <w:spacing w:after="0" w:line="240" w:lineRule="auto"/>
        <w:ind w:left="720" w:hanging="720"/>
        <w:jc w:val="both"/>
        <w:rPr>
          <w:rFonts w:ascii="Times New Roman" w:hAnsi="Times New Roman" w:cs="Times New Roman"/>
          <w:bCs/>
          <w:sz w:val="24"/>
          <w:szCs w:val="24"/>
        </w:rPr>
      </w:pPr>
      <w:r w:rsidRPr="001078FE">
        <w:rPr>
          <w:rFonts w:ascii="Times New Roman" w:hAnsi="Times New Roman" w:cs="Times New Roman"/>
          <w:bCs/>
          <w:sz w:val="24"/>
          <w:szCs w:val="24"/>
        </w:rPr>
        <w:t>Regulation of the Minister of Industry Number 161/M-Ind/Per/12/2012 concerning the Guideline Map for Core Industry Competency Development in Banjar Regency.</w:t>
      </w:r>
    </w:p>
    <w:p w14:paraId="1311A073" w14:textId="01AF74F3" w:rsidR="00495287" w:rsidRPr="00495287" w:rsidRDefault="00495287" w:rsidP="00576D50">
      <w:pPr>
        <w:spacing w:after="0" w:line="240" w:lineRule="auto"/>
        <w:ind w:left="720" w:hanging="720"/>
        <w:jc w:val="both"/>
        <w:rPr>
          <w:rFonts w:ascii="Times New Roman" w:hAnsi="Times New Roman" w:cs="Times New Roman"/>
          <w:bCs/>
          <w:sz w:val="24"/>
          <w:szCs w:val="24"/>
        </w:rPr>
      </w:pPr>
      <w:r w:rsidRPr="00495287">
        <w:rPr>
          <w:rFonts w:ascii="Times New Roman" w:hAnsi="Times New Roman" w:cs="Times New Roman"/>
          <w:bCs/>
          <w:sz w:val="24"/>
          <w:szCs w:val="24"/>
        </w:rPr>
        <w:t xml:space="preserve">Regional Regulation of Banjar Regency Number 8 of 2009 regarding Service Retribution for Gemstone Certification. Banjar Regency Regional Gazette Number 8 of 2009. Supplement to the Banjar Regency Regional Gazette Number 8. </w:t>
      </w:r>
    </w:p>
    <w:p w14:paraId="437E62AF" w14:textId="26450B0F" w:rsidR="007D4829" w:rsidRPr="00A96BA2" w:rsidRDefault="00495287" w:rsidP="00576D50">
      <w:pPr>
        <w:spacing w:after="0" w:line="240" w:lineRule="auto"/>
        <w:ind w:left="720" w:hanging="720"/>
        <w:jc w:val="both"/>
        <w:rPr>
          <w:rFonts w:ascii="Times New Roman" w:hAnsi="Times New Roman" w:cs="Times New Roman"/>
          <w:bCs/>
          <w:sz w:val="24"/>
          <w:szCs w:val="24"/>
        </w:rPr>
      </w:pPr>
      <w:r w:rsidRPr="00495287">
        <w:rPr>
          <w:rFonts w:ascii="Times New Roman" w:hAnsi="Times New Roman" w:cs="Times New Roman"/>
          <w:bCs/>
          <w:sz w:val="24"/>
          <w:szCs w:val="24"/>
        </w:rPr>
        <w:t>Regional Regulation of Banjar Regency Number 7 of 2011 on Business Service Retribution. Regional Gazette of Banjar Regency Number 7 of 2011. Supplement to the Regional Gazette of Banjar Regency Number 5.</w:t>
      </w:r>
      <w:r w:rsidR="007D4829" w:rsidRPr="00A96BA2">
        <w:rPr>
          <w:rFonts w:ascii="Times New Roman" w:hAnsi="Times New Roman" w:cs="Times New Roman"/>
          <w:bCs/>
          <w:sz w:val="24"/>
          <w:szCs w:val="24"/>
        </w:rPr>
        <w:t xml:space="preserve"> </w:t>
      </w:r>
    </w:p>
    <w:p w14:paraId="629C9E47"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Journal Articles</w:t>
      </w:r>
    </w:p>
    <w:p w14:paraId="4CB1E6C3" w14:textId="53823E9C" w:rsidR="00AA5D12" w:rsidRDefault="00AA5D12"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Abella, </w:t>
      </w:r>
      <w:r w:rsidRPr="00AA5D12">
        <w:rPr>
          <w:rFonts w:ascii="Times New Roman" w:hAnsi="Times New Roman" w:cs="Times New Roman"/>
          <w:bCs/>
          <w:sz w:val="24"/>
          <w:szCs w:val="24"/>
        </w:rPr>
        <w:t>Rosalie Silberman</w:t>
      </w:r>
      <w:r>
        <w:rPr>
          <w:rFonts w:ascii="Times New Roman" w:hAnsi="Times New Roman" w:cs="Times New Roman"/>
          <w:bCs/>
          <w:sz w:val="24"/>
          <w:szCs w:val="24"/>
        </w:rPr>
        <w:t xml:space="preserve">. </w:t>
      </w:r>
      <w:r w:rsidRPr="00AA5D12">
        <w:rPr>
          <w:rFonts w:ascii="Times New Roman" w:hAnsi="Times New Roman" w:cs="Times New Roman"/>
          <w:bCs/>
          <w:sz w:val="24"/>
          <w:szCs w:val="24"/>
        </w:rPr>
        <w:t>“Equality, Human Rights, Women and the Justice System</w:t>
      </w:r>
      <w:r>
        <w:rPr>
          <w:rFonts w:ascii="Times New Roman" w:hAnsi="Times New Roman" w:cs="Times New Roman"/>
          <w:bCs/>
          <w:sz w:val="24"/>
          <w:szCs w:val="24"/>
        </w:rPr>
        <w:t>.”</w:t>
      </w:r>
      <w:r w:rsidRPr="00AA5D12">
        <w:rPr>
          <w:rFonts w:ascii="Times New Roman" w:hAnsi="Times New Roman" w:cs="Times New Roman"/>
          <w:bCs/>
          <w:sz w:val="24"/>
          <w:szCs w:val="24"/>
        </w:rPr>
        <w:t xml:space="preserve"> </w:t>
      </w:r>
      <w:r w:rsidRPr="00AA5D12">
        <w:rPr>
          <w:rFonts w:ascii="Times New Roman" w:hAnsi="Times New Roman" w:cs="Times New Roman"/>
          <w:bCs/>
          <w:i/>
          <w:iCs/>
          <w:sz w:val="24"/>
          <w:szCs w:val="24"/>
        </w:rPr>
        <w:t>McGill</w:t>
      </w:r>
      <w:r w:rsidRPr="00AA5D12">
        <w:rPr>
          <w:rFonts w:ascii="Times New Roman" w:hAnsi="Times New Roman" w:cs="Times New Roman"/>
          <w:bCs/>
          <w:sz w:val="24"/>
          <w:szCs w:val="24"/>
        </w:rPr>
        <w:t xml:space="preserve"> </w:t>
      </w:r>
      <w:r w:rsidRPr="00AA5D12">
        <w:rPr>
          <w:rFonts w:ascii="Times New Roman" w:hAnsi="Times New Roman" w:cs="Times New Roman"/>
          <w:bCs/>
          <w:i/>
          <w:iCs/>
          <w:sz w:val="24"/>
          <w:szCs w:val="24"/>
        </w:rPr>
        <w:t>Law Journal</w:t>
      </w:r>
      <w:r w:rsidR="00472420">
        <w:rPr>
          <w:rFonts w:ascii="Times New Roman" w:hAnsi="Times New Roman" w:cs="Times New Roman"/>
          <w:bCs/>
          <w:sz w:val="24"/>
          <w:szCs w:val="24"/>
        </w:rPr>
        <w:t xml:space="preserve">. </w:t>
      </w:r>
      <w:r w:rsidRPr="00AA5D12">
        <w:rPr>
          <w:rFonts w:ascii="Times New Roman" w:hAnsi="Times New Roman" w:cs="Times New Roman"/>
          <w:bCs/>
          <w:sz w:val="24"/>
          <w:szCs w:val="24"/>
        </w:rPr>
        <w:t>Vol. 39, No. 3 (1994)</w:t>
      </w:r>
      <w:r w:rsidR="00472420">
        <w:rPr>
          <w:rFonts w:ascii="Times New Roman" w:hAnsi="Times New Roman" w:cs="Times New Roman"/>
          <w:bCs/>
          <w:sz w:val="24"/>
          <w:szCs w:val="24"/>
        </w:rPr>
        <w:t>. Pg</w:t>
      </w:r>
      <w:r w:rsidRPr="00AA5D12">
        <w:rPr>
          <w:rFonts w:ascii="Times New Roman" w:hAnsi="Times New Roman" w:cs="Times New Roman"/>
          <w:bCs/>
          <w:sz w:val="24"/>
          <w:szCs w:val="24"/>
        </w:rPr>
        <w:t>. 489-501</w:t>
      </w:r>
      <w:r w:rsidR="00472420">
        <w:rPr>
          <w:rFonts w:ascii="Times New Roman" w:hAnsi="Times New Roman" w:cs="Times New Roman"/>
          <w:bCs/>
          <w:sz w:val="24"/>
          <w:szCs w:val="24"/>
        </w:rPr>
        <w:t>.</w:t>
      </w:r>
    </w:p>
    <w:p w14:paraId="36615581" w14:textId="720AC59F" w:rsidR="00766591" w:rsidRDefault="00766591" w:rsidP="001F0ACD">
      <w:pPr>
        <w:spacing w:after="0" w:line="240" w:lineRule="auto"/>
        <w:ind w:left="720" w:hanging="720"/>
        <w:jc w:val="both"/>
        <w:rPr>
          <w:rFonts w:ascii="Times New Roman" w:hAnsi="Times New Roman" w:cs="Times New Roman"/>
          <w:bCs/>
          <w:sz w:val="24"/>
          <w:szCs w:val="24"/>
        </w:rPr>
      </w:pPr>
      <w:r w:rsidRPr="00766591">
        <w:rPr>
          <w:rFonts w:ascii="Times New Roman" w:hAnsi="Times New Roman" w:cs="Times New Roman"/>
          <w:bCs/>
          <w:sz w:val="24"/>
          <w:szCs w:val="24"/>
        </w:rPr>
        <w:t xml:space="preserve">Akkas, Andi Muhammad. </w:t>
      </w:r>
      <w:r w:rsidRPr="00766591">
        <w:rPr>
          <w:rFonts w:ascii="Times New Roman" w:hAnsi="Times New Roman" w:cs="Times New Roman"/>
          <w:bCs/>
          <w:i/>
          <w:iCs/>
          <w:sz w:val="24"/>
          <w:szCs w:val="24"/>
        </w:rPr>
        <w:t>Et. Al</w:t>
      </w:r>
      <w:r>
        <w:rPr>
          <w:rFonts w:ascii="Times New Roman" w:hAnsi="Times New Roman" w:cs="Times New Roman"/>
          <w:bCs/>
          <w:i/>
          <w:iCs/>
          <w:sz w:val="24"/>
          <w:szCs w:val="24"/>
        </w:rPr>
        <w:t>.</w:t>
      </w:r>
      <w:r w:rsidRPr="00766591">
        <w:rPr>
          <w:rFonts w:ascii="Times New Roman" w:hAnsi="Times New Roman" w:cs="Times New Roman"/>
          <w:bCs/>
          <w:i/>
          <w:iCs/>
          <w:sz w:val="24"/>
          <w:szCs w:val="24"/>
        </w:rPr>
        <w:t xml:space="preserve"> </w:t>
      </w:r>
      <w:r w:rsidRPr="00766591">
        <w:rPr>
          <w:rFonts w:ascii="Times New Roman" w:hAnsi="Times New Roman" w:cs="Times New Roman"/>
          <w:bCs/>
          <w:sz w:val="24"/>
          <w:szCs w:val="24"/>
        </w:rPr>
        <w:t xml:space="preserve">"Inventory of the Availability of Minerals and Rocks for Gemstone Raw Materials.” </w:t>
      </w:r>
      <w:r w:rsidRPr="00766591">
        <w:rPr>
          <w:rFonts w:ascii="Times New Roman" w:hAnsi="Times New Roman" w:cs="Times New Roman"/>
          <w:bCs/>
          <w:i/>
          <w:iCs/>
          <w:sz w:val="24"/>
          <w:szCs w:val="24"/>
        </w:rPr>
        <w:t>Jurnal Geosap</w:t>
      </w:r>
      <w:r>
        <w:rPr>
          <w:rFonts w:ascii="Times New Roman" w:hAnsi="Times New Roman" w:cs="Times New Roman"/>
          <w:bCs/>
          <w:i/>
          <w:iCs/>
          <w:sz w:val="24"/>
          <w:szCs w:val="24"/>
        </w:rPr>
        <w:t>ta</w:t>
      </w:r>
      <w:r w:rsidRPr="00766591">
        <w:rPr>
          <w:rFonts w:ascii="Times New Roman" w:hAnsi="Times New Roman" w:cs="Times New Roman"/>
          <w:bCs/>
          <w:sz w:val="24"/>
          <w:szCs w:val="24"/>
        </w:rPr>
        <w:t>. Vol. 2, No. 2 (2016). Hlm. 94-99.</w:t>
      </w:r>
    </w:p>
    <w:p w14:paraId="322814DC" w14:textId="530D9FA2"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Anggoro, Damas Dwi</w:t>
      </w:r>
      <w:r>
        <w:rPr>
          <w:rFonts w:ascii="Times New Roman" w:hAnsi="Times New Roman" w:cs="Times New Roman"/>
          <w:bCs/>
          <w:sz w:val="24"/>
          <w:szCs w:val="24"/>
        </w:rPr>
        <w:t>.</w:t>
      </w:r>
      <w:r w:rsidRPr="001F0ACD">
        <w:rPr>
          <w:rFonts w:ascii="Times New Roman" w:hAnsi="Times New Roman" w:cs="Times New Roman"/>
          <w:bCs/>
          <w:sz w:val="24"/>
          <w:szCs w:val="24"/>
        </w:rPr>
        <w:t xml:space="preserve"> “Deficiency of the Principle of Fairness in the Implementation of E-Tax in Malang City Based on the Principles of Good Tax Policy</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Indonesian Tax Journa</w:t>
      </w:r>
      <w:r>
        <w:rPr>
          <w:rFonts w:ascii="Times New Roman" w:hAnsi="Times New Roman" w:cs="Times New Roman"/>
          <w:bCs/>
          <w:i/>
          <w:iCs/>
          <w:sz w:val="24"/>
          <w:szCs w:val="24"/>
        </w:rPr>
        <w:t>l.</w:t>
      </w:r>
      <w:r w:rsidRPr="001F0ACD">
        <w:rPr>
          <w:rFonts w:ascii="Times New Roman" w:hAnsi="Times New Roman" w:cs="Times New Roman"/>
          <w:bCs/>
          <w:sz w:val="24"/>
          <w:szCs w:val="24"/>
        </w:rPr>
        <w:t xml:space="preserve"> Vol. 3, No. 1 (2019).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11-15.</w:t>
      </w:r>
    </w:p>
    <w:p w14:paraId="305BC3E8" w14:textId="0182ECD2" w:rsidR="001D099E" w:rsidRDefault="001D099E"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Apendi, </w:t>
      </w:r>
      <w:r w:rsidRPr="001D099E">
        <w:rPr>
          <w:rFonts w:ascii="Times New Roman" w:hAnsi="Times New Roman" w:cs="Times New Roman"/>
          <w:bCs/>
          <w:sz w:val="24"/>
          <w:szCs w:val="24"/>
        </w:rPr>
        <w:t>Sofyan</w:t>
      </w:r>
      <w:r>
        <w:rPr>
          <w:rFonts w:ascii="Times New Roman" w:hAnsi="Times New Roman" w:cs="Times New Roman"/>
          <w:bCs/>
          <w:sz w:val="24"/>
          <w:szCs w:val="24"/>
        </w:rPr>
        <w:t xml:space="preserve">. </w:t>
      </w:r>
      <w:r w:rsidRPr="001D099E">
        <w:rPr>
          <w:rFonts w:ascii="Times New Roman" w:hAnsi="Times New Roman" w:cs="Times New Roman"/>
          <w:bCs/>
          <w:sz w:val="24"/>
          <w:szCs w:val="24"/>
        </w:rPr>
        <w:t>"Ketiadaan Peraturan Menteri Dalam Hierarki Peraturan Perundang-Undangan Nasional dan Implikasinya Terhadap Penataan Regulasi Dalam Sistem Hukum Nasional</w:t>
      </w:r>
      <w:r>
        <w:rPr>
          <w:rFonts w:ascii="Times New Roman" w:hAnsi="Times New Roman" w:cs="Times New Roman"/>
          <w:bCs/>
          <w:sz w:val="24"/>
          <w:szCs w:val="24"/>
        </w:rPr>
        <w:t xml:space="preserve">.” </w:t>
      </w:r>
      <w:r w:rsidRPr="001D099E">
        <w:rPr>
          <w:rFonts w:ascii="Times New Roman" w:hAnsi="Times New Roman" w:cs="Times New Roman"/>
          <w:bCs/>
          <w:i/>
          <w:iCs/>
          <w:sz w:val="24"/>
          <w:szCs w:val="24"/>
        </w:rPr>
        <w:t>PALAR (Pakuan Law Review)</w:t>
      </w:r>
      <w:r>
        <w:rPr>
          <w:rFonts w:ascii="Times New Roman" w:hAnsi="Times New Roman" w:cs="Times New Roman"/>
          <w:bCs/>
          <w:sz w:val="24"/>
          <w:szCs w:val="24"/>
        </w:rPr>
        <w:t xml:space="preserve">. </w:t>
      </w:r>
      <w:r w:rsidRPr="001D099E">
        <w:rPr>
          <w:rFonts w:ascii="Times New Roman" w:hAnsi="Times New Roman" w:cs="Times New Roman"/>
          <w:bCs/>
          <w:sz w:val="24"/>
          <w:szCs w:val="24"/>
        </w:rPr>
        <w:t xml:space="preserve">Vol. 07, No. 01 (2021). </w:t>
      </w:r>
      <w:r>
        <w:rPr>
          <w:rFonts w:ascii="Times New Roman" w:hAnsi="Times New Roman" w:cs="Times New Roman"/>
          <w:bCs/>
          <w:sz w:val="24"/>
          <w:szCs w:val="24"/>
        </w:rPr>
        <w:t xml:space="preserve">Hlm. </w:t>
      </w:r>
      <w:r w:rsidRPr="001D099E">
        <w:rPr>
          <w:rFonts w:ascii="Times New Roman" w:hAnsi="Times New Roman" w:cs="Times New Roman"/>
          <w:bCs/>
          <w:sz w:val="24"/>
          <w:szCs w:val="24"/>
        </w:rPr>
        <w:t>111-126</w:t>
      </w:r>
      <w:r>
        <w:rPr>
          <w:rFonts w:ascii="Times New Roman" w:hAnsi="Times New Roman" w:cs="Times New Roman"/>
          <w:bCs/>
          <w:sz w:val="24"/>
          <w:szCs w:val="24"/>
        </w:rPr>
        <w:t>.</w:t>
      </w:r>
    </w:p>
    <w:p w14:paraId="0A09EA4D" w14:textId="12989C76" w:rsidR="005C5CBF" w:rsidRDefault="005C5CBF"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Arimba, </w:t>
      </w:r>
      <w:r w:rsidRPr="005C5CBF">
        <w:rPr>
          <w:rFonts w:ascii="Times New Roman" w:hAnsi="Times New Roman" w:cs="Times New Roman"/>
          <w:bCs/>
          <w:sz w:val="24"/>
          <w:szCs w:val="24"/>
        </w:rPr>
        <w:t>Cahya Iradi</w:t>
      </w:r>
      <w:r>
        <w:rPr>
          <w:rFonts w:ascii="Times New Roman" w:hAnsi="Times New Roman" w:cs="Times New Roman"/>
          <w:bCs/>
          <w:sz w:val="24"/>
          <w:szCs w:val="24"/>
        </w:rPr>
        <w:t xml:space="preserve">. </w:t>
      </w:r>
      <w:r w:rsidRPr="005C5CBF">
        <w:rPr>
          <w:rFonts w:ascii="Times New Roman" w:hAnsi="Times New Roman" w:cs="Times New Roman"/>
          <w:bCs/>
          <w:sz w:val="24"/>
          <w:szCs w:val="24"/>
        </w:rPr>
        <w:t>"Hans Kelsen’s Nomostatics and Nomodinamics Legal Theor</w:t>
      </w:r>
      <w:r>
        <w:rPr>
          <w:rFonts w:ascii="Times New Roman" w:hAnsi="Times New Roman" w:cs="Times New Roman"/>
          <w:bCs/>
          <w:sz w:val="24"/>
          <w:szCs w:val="24"/>
        </w:rPr>
        <w:t xml:space="preserve">.” </w:t>
      </w:r>
      <w:r w:rsidRPr="005C5CBF">
        <w:rPr>
          <w:rFonts w:ascii="Times New Roman" w:hAnsi="Times New Roman" w:cs="Times New Roman"/>
          <w:bCs/>
          <w:i/>
          <w:iCs/>
          <w:sz w:val="24"/>
          <w:szCs w:val="24"/>
        </w:rPr>
        <w:t>Justice</w:t>
      </w:r>
      <w:r w:rsidRPr="005C5CBF">
        <w:rPr>
          <w:rFonts w:ascii="Times New Roman" w:hAnsi="Times New Roman" w:cs="Times New Roman"/>
          <w:bCs/>
          <w:sz w:val="24"/>
          <w:szCs w:val="24"/>
        </w:rPr>
        <w:t xml:space="preserve"> </w:t>
      </w:r>
      <w:r w:rsidRPr="005C5CBF">
        <w:rPr>
          <w:rFonts w:ascii="Times New Roman" w:hAnsi="Times New Roman" w:cs="Times New Roman"/>
          <w:bCs/>
          <w:i/>
          <w:iCs/>
          <w:sz w:val="24"/>
          <w:szCs w:val="24"/>
        </w:rPr>
        <w:t>Voice</w:t>
      </w:r>
      <w:r>
        <w:rPr>
          <w:rFonts w:ascii="Times New Roman" w:hAnsi="Times New Roman" w:cs="Times New Roman"/>
          <w:bCs/>
          <w:sz w:val="24"/>
          <w:szCs w:val="24"/>
        </w:rPr>
        <w:t xml:space="preserve">. </w:t>
      </w:r>
      <w:r w:rsidRPr="005C5CBF">
        <w:rPr>
          <w:rFonts w:ascii="Times New Roman" w:hAnsi="Times New Roman" w:cs="Times New Roman"/>
          <w:bCs/>
          <w:sz w:val="24"/>
          <w:szCs w:val="24"/>
        </w:rPr>
        <w:t>Vol. 2, No. 2 (2023).</w:t>
      </w:r>
      <w:r>
        <w:rPr>
          <w:rFonts w:ascii="Times New Roman" w:hAnsi="Times New Roman" w:cs="Times New Roman"/>
          <w:bCs/>
          <w:sz w:val="24"/>
          <w:szCs w:val="24"/>
        </w:rPr>
        <w:t xml:space="preserve"> Pg. </w:t>
      </w:r>
      <w:r w:rsidRPr="005C5CBF">
        <w:rPr>
          <w:rFonts w:ascii="Times New Roman" w:hAnsi="Times New Roman" w:cs="Times New Roman"/>
          <w:bCs/>
          <w:sz w:val="24"/>
          <w:szCs w:val="24"/>
        </w:rPr>
        <w:t>55-63</w:t>
      </w:r>
      <w:r>
        <w:rPr>
          <w:rFonts w:ascii="Times New Roman" w:hAnsi="Times New Roman" w:cs="Times New Roman"/>
          <w:bCs/>
          <w:sz w:val="24"/>
          <w:szCs w:val="24"/>
        </w:rPr>
        <w:t>.</w:t>
      </w:r>
    </w:p>
    <w:p w14:paraId="091CF0F4" w14:textId="68FAE910" w:rsidR="00BD5591" w:rsidRDefault="00BD5591" w:rsidP="001F0ACD">
      <w:pPr>
        <w:spacing w:after="0" w:line="240" w:lineRule="auto"/>
        <w:ind w:left="720" w:hanging="720"/>
        <w:jc w:val="both"/>
        <w:rPr>
          <w:rFonts w:ascii="Times New Roman" w:hAnsi="Times New Roman" w:cs="Times New Roman"/>
          <w:bCs/>
          <w:sz w:val="24"/>
          <w:szCs w:val="24"/>
        </w:rPr>
      </w:pPr>
      <w:r w:rsidRPr="00BD5591">
        <w:rPr>
          <w:rFonts w:ascii="Times New Roman" w:hAnsi="Times New Roman" w:cs="Times New Roman"/>
          <w:bCs/>
          <w:sz w:val="24"/>
          <w:szCs w:val="24"/>
        </w:rPr>
        <w:lastRenderedPageBreak/>
        <w:t xml:space="preserve">Ayuningsekar, </w:t>
      </w:r>
      <w:r>
        <w:rPr>
          <w:rFonts w:ascii="Times New Roman" w:hAnsi="Times New Roman" w:cs="Times New Roman"/>
          <w:bCs/>
          <w:sz w:val="24"/>
          <w:szCs w:val="24"/>
        </w:rPr>
        <w:t xml:space="preserve">Cahya Intan, </w:t>
      </w:r>
      <w:r w:rsidRPr="00BD5591">
        <w:rPr>
          <w:rFonts w:ascii="Times New Roman" w:hAnsi="Times New Roman" w:cs="Times New Roman"/>
          <w:bCs/>
          <w:sz w:val="24"/>
          <w:szCs w:val="24"/>
        </w:rPr>
        <w:t>Abdul Kadir Jaelani, and Sapto Hermawan</w:t>
      </w:r>
      <w:r>
        <w:rPr>
          <w:rFonts w:ascii="Times New Roman" w:hAnsi="Times New Roman" w:cs="Times New Roman"/>
          <w:bCs/>
          <w:sz w:val="24"/>
          <w:szCs w:val="24"/>
        </w:rPr>
        <w:t xml:space="preserve">. </w:t>
      </w:r>
      <w:r w:rsidRPr="00BD5591">
        <w:rPr>
          <w:rFonts w:ascii="Times New Roman" w:hAnsi="Times New Roman" w:cs="Times New Roman"/>
          <w:bCs/>
          <w:sz w:val="24"/>
          <w:szCs w:val="24"/>
        </w:rPr>
        <w:t>“Legitimacy Principle of Equality in Collection of Rural and Urban Land Tax</w:t>
      </w:r>
      <w:r>
        <w:rPr>
          <w:rFonts w:ascii="Times New Roman" w:hAnsi="Times New Roman" w:cs="Times New Roman"/>
          <w:bCs/>
          <w:sz w:val="24"/>
          <w:szCs w:val="24"/>
        </w:rPr>
        <w:t xml:space="preserve">.” </w:t>
      </w:r>
      <w:r w:rsidRPr="00BD5591">
        <w:rPr>
          <w:rFonts w:ascii="Times New Roman" w:hAnsi="Times New Roman" w:cs="Times New Roman"/>
          <w:bCs/>
          <w:i/>
          <w:iCs/>
          <w:sz w:val="24"/>
          <w:szCs w:val="24"/>
        </w:rPr>
        <w:t>Journal of Sustainable Development and Regulatory Issues</w:t>
      </w:r>
      <w:r>
        <w:rPr>
          <w:rFonts w:ascii="Times New Roman" w:hAnsi="Times New Roman" w:cs="Times New Roman"/>
          <w:bCs/>
          <w:sz w:val="24"/>
          <w:szCs w:val="24"/>
        </w:rPr>
        <w:t xml:space="preserve">. </w:t>
      </w:r>
      <w:r w:rsidRPr="00BD5591">
        <w:rPr>
          <w:rFonts w:ascii="Times New Roman" w:hAnsi="Times New Roman" w:cs="Times New Roman"/>
          <w:bCs/>
          <w:sz w:val="24"/>
          <w:szCs w:val="24"/>
        </w:rPr>
        <w:t xml:space="preserve">Vol.1, No.3 (2023). </w:t>
      </w:r>
      <w:r>
        <w:rPr>
          <w:rFonts w:ascii="Times New Roman" w:hAnsi="Times New Roman" w:cs="Times New Roman"/>
          <w:bCs/>
          <w:sz w:val="24"/>
          <w:szCs w:val="24"/>
        </w:rPr>
        <w:t xml:space="preserve">Pg. </w:t>
      </w:r>
      <w:r w:rsidRPr="00BD5591">
        <w:rPr>
          <w:rFonts w:ascii="Times New Roman" w:hAnsi="Times New Roman" w:cs="Times New Roman"/>
          <w:bCs/>
          <w:sz w:val="24"/>
          <w:szCs w:val="24"/>
        </w:rPr>
        <w:t>151-174</w:t>
      </w:r>
      <w:r>
        <w:rPr>
          <w:rFonts w:ascii="Times New Roman" w:hAnsi="Times New Roman" w:cs="Times New Roman"/>
          <w:bCs/>
          <w:sz w:val="24"/>
          <w:szCs w:val="24"/>
        </w:rPr>
        <w:t>.</w:t>
      </w:r>
    </w:p>
    <w:p w14:paraId="005AD61F" w14:textId="58A6DAC6" w:rsidR="00EE6C57" w:rsidRDefault="00EE6C57" w:rsidP="001F0ACD">
      <w:pPr>
        <w:spacing w:after="0" w:line="240" w:lineRule="auto"/>
        <w:ind w:left="720" w:hanging="720"/>
        <w:jc w:val="both"/>
        <w:rPr>
          <w:rFonts w:ascii="Times New Roman" w:hAnsi="Times New Roman" w:cs="Times New Roman"/>
          <w:bCs/>
          <w:sz w:val="24"/>
          <w:szCs w:val="24"/>
        </w:rPr>
      </w:pPr>
      <w:r w:rsidRPr="00EE6C57">
        <w:rPr>
          <w:rFonts w:ascii="Times New Roman" w:hAnsi="Times New Roman" w:cs="Times New Roman"/>
          <w:bCs/>
          <w:sz w:val="24"/>
          <w:szCs w:val="24"/>
        </w:rPr>
        <w:t>Beever,</w:t>
      </w:r>
      <w:r>
        <w:rPr>
          <w:rFonts w:ascii="Times New Roman" w:hAnsi="Times New Roman" w:cs="Times New Roman"/>
          <w:bCs/>
          <w:sz w:val="24"/>
          <w:szCs w:val="24"/>
        </w:rPr>
        <w:t xml:space="preserve"> Allan.</w:t>
      </w:r>
      <w:r w:rsidRPr="00EE6C57">
        <w:rPr>
          <w:rFonts w:ascii="Times New Roman" w:hAnsi="Times New Roman" w:cs="Times New Roman"/>
          <w:bCs/>
          <w:sz w:val="24"/>
          <w:szCs w:val="24"/>
        </w:rPr>
        <w:t xml:space="preserve"> “Aristotle On Equity, Law, and Justice</w:t>
      </w:r>
      <w:r>
        <w:rPr>
          <w:rFonts w:ascii="Times New Roman" w:hAnsi="Times New Roman" w:cs="Times New Roman"/>
          <w:bCs/>
          <w:sz w:val="24"/>
          <w:szCs w:val="24"/>
        </w:rPr>
        <w:t xml:space="preserve">.” </w:t>
      </w:r>
      <w:r w:rsidRPr="00EE6C57">
        <w:rPr>
          <w:rFonts w:ascii="Times New Roman" w:hAnsi="Times New Roman" w:cs="Times New Roman"/>
          <w:bCs/>
          <w:i/>
          <w:iCs/>
          <w:sz w:val="24"/>
          <w:szCs w:val="24"/>
        </w:rPr>
        <w:t>Legal Theo</w:t>
      </w:r>
      <w:r>
        <w:rPr>
          <w:rFonts w:ascii="Times New Roman" w:hAnsi="Times New Roman" w:cs="Times New Roman"/>
          <w:bCs/>
          <w:i/>
          <w:iCs/>
          <w:sz w:val="24"/>
          <w:szCs w:val="24"/>
        </w:rPr>
        <w:t xml:space="preserve">ry. </w:t>
      </w:r>
      <w:r w:rsidRPr="00EE6C57">
        <w:rPr>
          <w:rFonts w:ascii="Times New Roman" w:hAnsi="Times New Roman" w:cs="Times New Roman"/>
          <w:bCs/>
          <w:sz w:val="24"/>
          <w:szCs w:val="24"/>
        </w:rPr>
        <w:t>Vol. 10 (2004</w:t>
      </w:r>
      <w:r>
        <w:rPr>
          <w:rFonts w:ascii="Times New Roman" w:hAnsi="Times New Roman" w:cs="Times New Roman"/>
          <w:bCs/>
          <w:sz w:val="24"/>
          <w:szCs w:val="24"/>
        </w:rPr>
        <w:t>)</w:t>
      </w:r>
      <w:r w:rsidRPr="00EE6C57">
        <w:rPr>
          <w:rFonts w:ascii="Times New Roman" w:hAnsi="Times New Roman" w:cs="Times New Roman"/>
          <w:bCs/>
          <w:sz w:val="24"/>
          <w:szCs w:val="24"/>
        </w:rPr>
        <w:t xml:space="preserve">. </w:t>
      </w:r>
      <w:r>
        <w:rPr>
          <w:rFonts w:ascii="Times New Roman" w:hAnsi="Times New Roman" w:cs="Times New Roman"/>
          <w:bCs/>
          <w:sz w:val="24"/>
          <w:szCs w:val="24"/>
        </w:rPr>
        <w:t xml:space="preserve">Pg. </w:t>
      </w:r>
      <w:r w:rsidRPr="00EE6C57">
        <w:rPr>
          <w:rFonts w:ascii="Times New Roman" w:hAnsi="Times New Roman" w:cs="Times New Roman"/>
          <w:bCs/>
          <w:sz w:val="24"/>
          <w:szCs w:val="24"/>
        </w:rPr>
        <w:t>33–50</w:t>
      </w:r>
      <w:r>
        <w:rPr>
          <w:rFonts w:ascii="Times New Roman" w:hAnsi="Times New Roman" w:cs="Times New Roman"/>
          <w:bCs/>
          <w:sz w:val="24"/>
          <w:szCs w:val="24"/>
        </w:rPr>
        <w:t>.</w:t>
      </w:r>
    </w:p>
    <w:p w14:paraId="0EC4DBE4" w14:textId="387669FD" w:rsidR="004636D3" w:rsidRDefault="00BE4D55" w:rsidP="001F0ACD">
      <w:pPr>
        <w:spacing w:after="0" w:line="240" w:lineRule="auto"/>
        <w:ind w:left="720" w:hanging="720"/>
        <w:jc w:val="both"/>
        <w:rPr>
          <w:rFonts w:ascii="Times New Roman" w:hAnsi="Times New Roman" w:cs="Times New Roman"/>
          <w:bCs/>
          <w:sz w:val="24"/>
          <w:szCs w:val="24"/>
        </w:rPr>
      </w:pPr>
      <w:r w:rsidRPr="00BE4D55">
        <w:rPr>
          <w:rFonts w:ascii="Times New Roman" w:hAnsi="Times New Roman" w:cs="Times New Roman"/>
          <w:bCs/>
          <w:sz w:val="24"/>
          <w:szCs w:val="24"/>
        </w:rPr>
        <w:t>Cahyono, Bangkit</w:t>
      </w:r>
      <w:r>
        <w:rPr>
          <w:rFonts w:ascii="Times New Roman" w:hAnsi="Times New Roman" w:cs="Times New Roman"/>
          <w:bCs/>
          <w:sz w:val="24"/>
          <w:szCs w:val="24"/>
        </w:rPr>
        <w:t xml:space="preserve">. </w:t>
      </w:r>
      <w:r w:rsidRPr="00BE4D55">
        <w:rPr>
          <w:rFonts w:ascii="Times New Roman" w:hAnsi="Times New Roman" w:cs="Times New Roman"/>
          <w:bCs/>
          <w:sz w:val="24"/>
          <w:szCs w:val="24"/>
        </w:rPr>
        <w:t>“Principles of Tax Collection in Income Tax on Stock Transactions on the Stock Exchange</w:t>
      </w:r>
      <w:r>
        <w:rPr>
          <w:rFonts w:ascii="Times New Roman" w:hAnsi="Times New Roman" w:cs="Times New Roman"/>
          <w:bCs/>
          <w:sz w:val="24"/>
          <w:szCs w:val="24"/>
        </w:rPr>
        <w:t xml:space="preserve">.” </w:t>
      </w:r>
      <w:r w:rsidRPr="00BE4D55">
        <w:rPr>
          <w:rFonts w:ascii="Times New Roman" w:hAnsi="Times New Roman" w:cs="Times New Roman"/>
          <w:bCs/>
          <w:i/>
          <w:iCs/>
          <w:sz w:val="24"/>
          <w:szCs w:val="24"/>
        </w:rPr>
        <w:t>Jurnal Pajak dan Bisnis</w:t>
      </w:r>
      <w:r>
        <w:rPr>
          <w:rFonts w:ascii="Times New Roman" w:hAnsi="Times New Roman" w:cs="Times New Roman"/>
          <w:bCs/>
          <w:sz w:val="24"/>
          <w:szCs w:val="24"/>
        </w:rPr>
        <w:t xml:space="preserve">. </w:t>
      </w:r>
      <w:r w:rsidRPr="00BE4D55">
        <w:rPr>
          <w:rFonts w:ascii="Times New Roman" w:hAnsi="Times New Roman" w:cs="Times New Roman"/>
          <w:bCs/>
          <w:sz w:val="24"/>
          <w:szCs w:val="24"/>
        </w:rPr>
        <w:t>Vol. 2, No. 2 (2021</w:t>
      </w:r>
      <w:r>
        <w:rPr>
          <w:rFonts w:ascii="Times New Roman" w:hAnsi="Times New Roman" w:cs="Times New Roman"/>
          <w:bCs/>
          <w:sz w:val="24"/>
          <w:szCs w:val="24"/>
        </w:rPr>
        <w:t>)</w:t>
      </w:r>
      <w:r w:rsidRPr="00BE4D55">
        <w:rPr>
          <w:rFonts w:ascii="Times New Roman" w:hAnsi="Times New Roman" w:cs="Times New Roman"/>
          <w:bCs/>
          <w:sz w:val="24"/>
          <w:szCs w:val="24"/>
        </w:rPr>
        <w:t xml:space="preserve">. </w:t>
      </w:r>
      <w:r>
        <w:rPr>
          <w:rFonts w:ascii="Times New Roman" w:hAnsi="Times New Roman" w:cs="Times New Roman"/>
          <w:bCs/>
          <w:sz w:val="24"/>
          <w:szCs w:val="24"/>
        </w:rPr>
        <w:t xml:space="preserve">Pg. </w:t>
      </w:r>
      <w:r w:rsidRPr="00BE4D55">
        <w:rPr>
          <w:rFonts w:ascii="Times New Roman" w:hAnsi="Times New Roman" w:cs="Times New Roman"/>
          <w:bCs/>
          <w:sz w:val="24"/>
          <w:szCs w:val="24"/>
        </w:rPr>
        <w:t>75-83</w:t>
      </w:r>
      <w:r>
        <w:rPr>
          <w:rFonts w:ascii="Times New Roman" w:hAnsi="Times New Roman" w:cs="Times New Roman"/>
          <w:bCs/>
          <w:sz w:val="24"/>
          <w:szCs w:val="24"/>
        </w:rPr>
        <w:t>.</w:t>
      </w:r>
    </w:p>
    <w:p w14:paraId="1B91505E" w14:textId="4E76F6B0" w:rsidR="00E27C74" w:rsidRDefault="00E27C74"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Chroust, </w:t>
      </w:r>
      <w:r w:rsidRPr="00E27C74">
        <w:rPr>
          <w:rFonts w:ascii="Times New Roman" w:hAnsi="Times New Roman" w:cs="Times New Roman"/>
          <w:bCs/>
          <w:sz w:val="24"/>
          <w:szCs w:val="24"/>
        </w:rPr>
        <w:t>Anton-Hermann and David L. Osborn</w:t>
      </w:r>
      <w:r>
        <w:rPr>
          <w:rFonts w:ascii="Times New Roman" w:hAnsi="Times New Roman" w:cs="Times New Roman"/>
          <w:bCs/>
          <w:sz w:val="24"/>
          <w:szCs w:val="24"/>
        </w:rPr>
        <w:t xml:space="preserve">. </w:t>
      </w:r>
      <w:r w:rsidRPr="00E27C74">
        <w:rPr>
          <w:rFonts w:ascii="Times New Roman" w:hAnsi="Times New Roman" w:cs="Times New Roman"/>
          <w:bCs/>
          <w:sz w:val="24"/>
          <w:szCs w:val="24"/>
        </w:rPr>
        <w:t>“Aristotle's Conception of Justice</w:t>
      </w:r>
      <w:r>
        <w:rPr>
          <w:rFonts w:ascii="Times New Roman" w:hAnsi="Times New Roman" w:cs="Times New Roman"/>
          <w:bCs/>
          <w:sz w:val="24"/>
          <w:szCs w:val="24"/>
        </w:rPr>
        <w:t xml:space="preserve">.” </w:t>
      </w:r>
      <w:r w:rsidRPr="00E27C74">
        <w:rPr>
          <w:rFonts w:ascii="Times New Roman" w:hAnsi="Times New Roman" w:cs="Times New Roman"/>
          <w:bCs/>
          <w:i/>
          <w:iCs/>
          <w:sz w:val="24"/>
          <w:szCs w:val="24"/>
        </w:rPr>
        <w:t>Notre</w:t>
      </w:r>
      <w:r w:rsidRPr="00E27C74">
        <w:rPr>
          <w:rFonts w:ascii="Times New Roman" w:hAnsi="Times New Roman" w:cs="Times New Roman"/>
          <w:bCs/>
          <w:sz w:val="24"/>
          <w:szCs w:val="24"/>
        </w:rPr>
        <w:t xml:space="preserve"> </w:t>
      </w:r>
      <w:r w:rsidRPr="00E27C74">
        <w:rPr>
          <w:rFonts w:ascii="Times New Roman" w:hAnsi="Times New Roman" w:cs="Times New Roman"/>
          <w:bCs/>
          <w:i/>
          <w:iCs/>
          <w:sz w:val="24"/>
          <w:szCs w:val="24"/>
        </w:rPr>
        <w:t>Dame Law Review</w:t>
      </w:r>
      <w:r>
        <w:rPr>
          <w:rFonts w:ascii="Times New Roman" w:hAnsi="Times New Roman" w:cs="Times New Roman"/>
          <w:bCs/>
          <w:sz w:val="24"/>
          <w:szCs w:val="24"/>
        </w:rPr>
        <w:t xml:space="preserve">. </w:t>
      </w:r>
      <w:r w:rsidRPr="00E27C74">
        <w:rPr>
          <w:rFonts w:ascii="Times New Roman" w:hAnsi="Times New Roman" w:cs="Times New Roman"/>
          <w:bCs/>
          <w:sz w:val="24"/>
          <w:szCs w:val="24"/>
        </w:rPr>
        <w:t xml:space="preserve">Vol. 17, Issue 2 (1942). </w:t>
      </w:r>
      <w:r w:rsidR="00B6774A">
        <w:rPr>
          <w:rFonts w:ascii="Times New Roman" w:hAnsi="Times New Roman" w:cs="Times New Roman"/>
          <w:bCs/>
          <w:sz w:val="24"/>
          <w:szCs w:val="24"/>
        </w:rPr>
        <w:t xml:space="preserve">Pg. </w:t>
      </w:r>
      <w:r w:rsidRPr="00E27C74">
        <w:rPr>
          <w:rFonts w:ascii="Times New Roman" w:hAnsi="Times New Roman" w:cs="Times New Roman"/>
          <w:bCs/>
          <w:sz w:val="24"/>
          <w:szCs w:val="24"/>
        </w:rPr>
        <w:t>129-143</w:t>
      </w:r>
      <w:r w:rsidR="00B6774A">
        <w:rPr>
          <w:rFonts w:ascii="Times New Roman" w:hAnsi="Times New Roman" w:cs="Times New Roman"/>
          <w:bCs/>
          <w:sz w:val="24"/>
          <w:szCs w:val="24"/>
        </w:rPr>
        <w:t>.</w:t>
      </w:r>
    </w:p>
    <w:p w14:paraId="2890A2A1" w14:textId="4E3CA73D" w:rsidR="003708F2" w:rsidRDefault="003708F2"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Daud, </w:t>
      </w:r>
      <w:r w:rsidRPr="003708F2">
        <w:rPr>
          <w:rFonts w:ascii="Times New Roman" w:hAnsi="Times New Roman" w:cs="Times New Roman"/>
          <w:bCs/>
          <w:sz w:val="24"/>
          <w:szCs w:val="24"/>
        </w:rPr>
        <w:t>Tiara Oktavia Namira, Erman I. Rahim, and Suwitno Yutye Imran</w:t>
      </w:r>
      <w:r>
        <w:rPr>
          <w:rFonts w:ascii="Times New Roman" w:hAnsi="Times New Roman" w:cs="Times New Roman"/>
          <w:bCs/>
          <w:sz w:val="24"/>
          <w:szCs w:val="24"/>
        </w:rPr>
        <w:t>. “</w:t>
      </w:r>
      <w:r w:rsidRPr="003708F2">
        <w:rPr>
          <w:rFonts w:ascii="Times New Roman" w:hAnsi="Times New Roman" w:cs="Times New Roman"/>
          <w:bCs/>
          <w:sz w:val="24"/>
          <w:szCs w:val="24"/>
        </w:rPr>
        <w:t>Reconstruction of Regional Government Authority in Mining Management Post Law No. 23 of 2014: Legal Review Based on Hans Kelsen's Theory</w:t>
      </w:r>
      <w:r>
        <w:rPr>
          <w:rFonts w:ascii="Times New Roman" w:hAnsi="Times New Roman" w:cs="Times New Roman"/>
          <w:bCs/>
          <w:sz w:val="24"/>
          <w:szCs w:val="24"/>
        </w:rPr>
        <w:t xml:space="preserve">.” </w:t>
      </w:r>
      <w:r w:rsidRPr="003708F2">
        <w:rPr>
          <w:rFonts w:ascii="Times New Roman" w:hAnsi="Times New Roman" w:cs="Times New Roman"/>
          <w:bCs/>
          <w:i/>
          <w:iCs/>
          <w:sz w:val="24"/>
          <w:szCs w:val="24"/>
        </w:rPr>
        <w:t>International Journal of Law, Crime and Justice</w:t>
      </w:r>
      <w:r>
        <w:rPr>
          <w:rFonts w:ascii="Times New Roman" w:hAnsi="Times New Roman" w:cs="Times New Roman"/>
          <w:bCs/>
          <w:sz w:val="24"/>
          <w:szCs w:val="24"/>
        </w:rPr>
        <w:t xml:space="preserve">. </w:t>
      </w:r>
      <w:r w:rsidRPr="003708F2">
        <w:rPr>
          <w:rFonts w:ascii="Times New Roman" w:hAnsi="Times New Roman" w:cs="Times New Roman"/>
          <w:bCs/>
          <w:sz w:val="24"/>
          <w:szCs w:val="24"/>
        </w:rPr>
        <w:t xml:space="preserve">Vol. 2, No. 2 (2025). </w:t>
      </w:r>
      <w:r>
        <w:rPr>
          <w:rFonts w:ascii="Times New Roman" w:hAnsi="Times New Roman" w:cs="Times New Roman"/>
          <w:bCs/>
          <w:sz w:val="24"/>
          <w:szCs w:val="24"/>
        </w:rPr>
        <w:t xml:space="preserve">Pg. </w:t>
      </w:r>
      <w:r w:rsidRPr="003708F2">
        <w:rPr>
          <w:rFonts w:ascii="Times New Roman" w:hAnsi="Times New Roman" w:cs="Times New Roman"/>
          <w:bCs/>
          <w:sz w:val="24"/>
          <w:szCs w:val="24"/>
        </w:rPr>
        <w:t>197-206</w:t>
      </w:r>
      <w:r>
        <w:rPr>
          <w:rFonts w:ascii="Times New Roman" w:hAnsi="Times New Roman" w:cs="Times New Roman"/>
          <w:bCs/>
          <w:sz w:val="24"/>
          <w:szCs w:val="24"/>
        </w:rPr>
        <w:t>.</w:t>
      </w:r>
    </w:p>
    <w:p w14:paraId="0759AA1D" w14:textId="4715073C"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Dewi, Putri Maha</w:t>
      </w:r>
      <w:r>
        <w:rPr>
          <w:rFonts w:ascii="Times New Roman" w:hAnsi="Times New Roman" w:cs="Times New Roman"/>
          <w:bCs/>
          <w:sz w:val="24"/>
          <w:szCs w:val="24"/>
        </w:rPr>
        <w:t>.</w:t>
      </w:r>
      <w:r w:rsidRPr="001F0ACD">
        <w:rPr>
          <w:rFonts w:ascii="Times New Roman" w:hAnsi="Times New Roman" w:cs="Times New Roman"/>
          <w:bCs/>
          <w:sz w:val="24"/>
          <w:szCs w:val="24"/>
        </w:rPr>
        <w:t xml:space="preserve"> "Utilizing the Implementation of Tax Laws for the Welfare of the People Based on the Principle of Equality</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Acceleration: Multidisciplinary Research Journal</w:t>
      </w:r>
      <w:r>
        <w:rPr>
          <w:rFonts w:ascii="Times New Roman" w:hAnsi="Times New Roman" w:cs="Times New Roman"/>
          <w:bCs/>
          <w:sz w:val="24"/>
          <w:szCs w:val="24"/>
        </w:rPr>
        <w:t>.</w:t>
      </w:r>
      <w:r w:rsidRPr="001F0ACD">
        <w:rPr>
          <w:rFonts w:ascii="Times New Roman" w:hAnsi="Times New Roman" w:cs="Times New Roman"/>
          <w:bCs/>
          <w:sz w:val="24"/>
          <w:szCs w:val="24"/>
        </w:rPr>
        <w:t xml:space="preserve"> Vol. 1 No. 02 (2023).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88-92</w:t>
      </w:r>
      <w:r>
        <w:rPr>
          <w:rFonts w:ascii="Times New Roman" w:hAnsi="Times New Roman" w:cs="Times New Roman"/>
          <w:bCs/>
          <w:sz w:val="24"/>
          <w:szCs w:val="24"/>
        </w:rPr>
        <w:t>.</w:t>
      </w:r>
    </w:p>
    <w:p w14:paraId="665D7939" w14:textId="01F889D4" w:rsidR="00052514" w:rsidRDefault="004155DE"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Endyka, </w:t>
      </w:r>
      <w:r w:rsidR="00052514" w:rsidRPr="00052514">
        <w:rPr>
          <w:rFonts w:ascii="Times New Roman" w:hAnsi="Times New Roman" w:cs="Times New Roman"/>
          <w:bCs/>
          <w:sz w:val="24"/>
          <w:szCs w:val="24"/>
        </w:rPr>
        <w:t>Yovi Cajapa, Muhamad Muhdar, and Abdul Kadir Sabaruddin</w:t>
      </w:r>
      <w:r>
        <w:rPr>
          <w:rFonts w:ascii="Times New Roman" w:hAnsi="Times New Roman" w:cs="Times New Roman"/>
          <w:bCs/>
          <w:sz w:val="24"/>
          <w:szCs w:val="24"/>
        </w:rPr>
        <w:t xml:space="preserve">. </w:t>
      </w:r>
      <w:r w:rsidR="00052514" w:rsidRPr="00052514">
        <w:rPr>
          <w:rFonts w:ascii="Times New Roman" w:hAnsi="Times New Roman" w:cs="Times New Roman"/>
          <w:bCs/>
          <w:sz w:val="24"/>
          <w:szCs w:val="24"/>
        </w:rPr>
        <w:t>“Environmental Justice in Intra Generations: An Overview of Aristotle's Distributive Justice to Coal Mining</w:t>
      </w:r>
      <w:r>
        <w:rPr>
          <w:rFonts w:ascii="Times New Roman" w:hAnsi="Times New Roman" w:cs="Times New Roman"/>
          <w:bCs/>
          <w:sz w:val="24"/>
          <w:szCs w:val="24"/>
        </w:rPr>
        <w:t xml:space="preserve">.” </w:t>
      </w:r>
      <w:r w:rsidR="00052514" w:rsidRPr="004155DE">
        <w:rPr>
          <w:rFonts w:ascii="Times New Roman" w:hAnsi="Times New Roman" w:cs="Times New Roman"/>
          <w:bCs/>
          <w:i/>
          <w:iCs/>
          <w:sz w:val="24"/>
          <w:szCs w:val="24"/>
        </w:rPr>
        <w:t>Indonesian Comparative Law Review</w:t>
      </w:r>
      <w:r>
        <w:rPr>
          <w:rFonts w:ascii="Times New Roman" w:hAnsi="Times New Roman" w:cs="Times New Roman"/>
          <w:bCs/>
          <w:i/>
          <w:iCs/>
          <w:sz w:val="24"/>
          <w:szCs w:val="24"/>
        </w:rPr>
        <w:t xml:space="preserve">. </w:t>
      </w:r>
      <w:r w:rsidR="00052514" w:rsidRPr="00052514">
        <w:rPr>
          <w:rFonts w:ascii="Times New Roman" w:hAnsi="Times New Roman" w:cs="Times New Roman"/>
          <w:bCs/>
          <w:sz w:val="24"/>
          <w:szCs w:val="24"/>
        </w:rPr>
        <w:t xml:space="preserve">Vol. 3, No. 1 (2020). </w:t>
      </w:r>
      <w:r>
        <w:rPr>
          <w:rFonts w:ascii="Times New Roman" w:hAnsi="Times New Roman" w:cs="Times New Roman"/>
          <w:bCs/>
          <w:sz w:val="24"/>
          <w:szCs w:val="24"/>
        </w:rPr>
        <w:t xml:space="preserve">Pg. </w:t>
      </w:r>
      <w:r w:rsidR="00052514" w:rsidRPr="00052514">
        <w:rPr>
          <w:rFonts w:ascii="Times New Roman" w:hAnsi="Times New Roman" w:cs="Times New Roman"/>
          <w:bCs/>
          <w:sz w:val="24"/>
          <w:szCs w:val="24"/>
        </w:rPr>
        <w:t>25-34</w:t>
      </w:r>
      <w:r>
        <w:rPr>
          <w:rFonts w:ascii="Times New Roman" w:hAnsi="Times New Roman" w:cs="Times New Roman"/>
          <w:bCs/>
          <w:sz w:val="24"/>
          <w:szCs w:val="24"/>
        </w:rPr>
        <w:t>.</w:t>
      </w:r>
    </w:p>
    <w:p w14:paraId="2D1A80EA" w14:textId="3A0F0A69"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Herman</w:t>
      </w:r>
      <w:r>
        <w:rPr>
          <w:rFonts w:ascii="Times New Roman" w:hAnsi="Times New Roman" w:cs="Times New Roman"/>
          <w:bCs/>
          <w:sz w:val="24"/>
          <w:szCs w:val="24"/>
        </w:rPr>
        <w:t>,</w:t>
      </w:r>
      <w:r w:rsidRPr="001F0ACD">
        <w:rPr>
          <w:rFonts w:ascii="Times New Roman" w:hAnsi="Times New Roman" w:cs="Times New Roman"/>
          <w:bCs/>
          <w:sz w:val="24"/>
          <w:szCs w:val="24"/>
        </w:rPr>
        <w:t xml:space="preserve"> Ronaldo Heinrich dan Ratih Lestarini</w:t>
      </w:r>
      <w:r>
        <w:rPr>
          <w:rFonts w:ascii="Times New Roman" w:hAnsi="Times New Roman" w:cs="Times New Roman"/>
          <w:bCs/>
          <w:sz w:val="24"/>
          <w:szCs w:val="24"/>
        </w:rPr>
        <w:t>.</w:t>
      </w:r>
      <w:r w:rsidRPr="001F0ACD">
        <w:rPr>
          <w:rFonts w:ascii="Times New Roman" w:hAnsi="Times New Roman" w:cs="Times New Roman"/>
          <w:bCs/>
          <w:sz w:val="24"/>
          <w:szCs w:val="24"/>
        </w:rPr>
        <w:t xml:space="preserve"> "Gemstone Certification: The Need for Regulation to Protect the Rights of Gemstone Consumers in Indonesia</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Jurnal Ilmu Sosial dan Pendidikan (JISIP)</w:t>
      </w:r>
      <w:r>
        <w:rPr>
          <w:rFonts w:ascii="Times New Roman" w:hAnsi="Times New Roman" w:cs="Times New Roman"/>
          <w:bCs/>
          <w:i/>
          <w:iCs/>
          <w:sz w:val="24"/>
          <w:szCs w:val="24"/>
        </w:rPr>
        <w:t>.</w:t>
      </w:r>
      <w:r w:rsidRPr="001F0ACD">
        <w:rPr>
          <w:rFonts w:ascii="Times New Roman" w:hAnsi="Times New Roman" w:cs="Times New Roman"/>
          <w:bCs/>
          <w:sz w:val="24"/>
          <w:szCs w:val="24"/>
        </w:rPr>
        <w:t xml:space="preserve"> Vol. 7 No. 1 (2023.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353-367.</w:t>
      </w:r>
    </w:p>
    <w:p w14:paraId="2D70E74E" w14:textId="4E7D2603" w:rsidR="007D4829" w:rsidRDefault="007D4829" w:rsidP="001F0ACD">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Hingide, Stefandry, George M. V. Kawung, and Mauna Th. B. Maramis. “Analysis of the Contribution of Local Taxes and Levies to Local Original Income in Tomohon City.” </w:t>
      </w:r>
      <w:r w:rsidRPr="00A96BA2">
        <w:rPr>
          <w:rFonts w:ascii="Times New Roman" w:hAnsi="Times New Roman" w:cs="Times New Roman"/>
          <w:bCs/>
          <w:i/>
          <w:iCs/>
          <w:sz w:val="24"/>
          <w:szCs w:val="24"/>
        </w:rPr>
        <w:t>Jurnal Berkala Ilmiah Efisiensi</w:t>
      </w:r>
      <w:r w:rsidRPr="00A96BA2">
        <w:rPr>
          <w:rFonts w:ascii="Times New Roman" w:hAnsi="Times New Roman" w:cs="Times New Roman"/>
          <w:bCs/>
          <w:sz w:val="24"/>
          <w:szCs w:val="24"/>
        </w:rPr>
        <w:t>. Vol. 23, No. 9 (2023). Pg. 145-156.</w:t>
      </w:r>
    </w:p>
    <w:p w14:paraId="07D709F4" w14:textId="1BEBB87F" w:rsidR="00C9004B" w:rsidRDefault="00C9004B" w:rsidP="001F0ACD">
      <w:pPr>
        <w:spacing w:after="0" w:line="240" w:lineRule="auto"/>
        <w:ind w:left="720" w:hanging="720"/>
        <w:jc w:val="both"/>
        <w:rPr>
          <w:rFonts w:ascii="Times New Roman" w:hAnsi="Times New Roman" w:cs="Times New Roman"/>
          <w:bCs/>
          <w:sz w:val="24"/>
          <w:szCs w:val="24"/>
        </w:rPr>
      </w:pPr>
      <w:r w:rsidRPr="00C9004B">
        <w:rPr>
          <w:rFonts w:ascii="Times New Roman" w:hAnsi="Times New Roman" w:cs="Times New Roman"/>
          <w:bCs/>
          <w:sz w:val="24"/>
          <w:szCs w:val="24"/>
        </w:rPr>
        <w:t xml:space="preserve">Huda, Ni'matuI. “The Position of Regional Regulations in the Hierarchy of Legislation.” </w:t>
      </w:r>
      <w:r w:rsidRPr="00C9004B">
        <w:rPr>
          <w:rFonts w:ascii="Times New Roman" w:hAnsi="Times New Roman" w:cs="Times New Roman"/>
          <w:bCs/>
          <w:i/>
          <w:iCs/>
          <w:sz w:val="24"/>
          <w:szCs w:val="24"/>
        </w:rPr>
        <w:t>Jurnal</w:t>
      </w:r>
      <w:r w:rsidRPr="00C9004B">
        <w:rPr>
          <w:rFonts w:ascii="Times New Roman" w:hAnsi="Times New Roman" w:cs="Times New Roman"/>
          <w:bCs/>
          <w:sz w:val="24"/>
          <w:szCs w:val="24"/>
        </w:rPr>
        <w:t xml:space="preserve"> </w:t>
      </w:r>
      <w:r w:rsidRPr="00C9004B">
        <w:rPr>
          <w:rFonts w:ascii="Times New Roman" w:hAnsi="Times New Roman" w:cs="Times New Roman"/>
          <w:bCs/>
          <w:i/>
          <w:iCs/>
          <w:sz w:val="24"/>
          <w:szCs w:val="24"/>
        </w:rPr>
        <w:t>Hukum UII.</w:t>
      </w:r>
      <w:r w:rsidRPr="00C9004B">
        <w:rPr>
          <w:rFonts w:ascii="Times New Roman" w:hAnsi="Times New Roman" w:cs="Times New Roman"/>
          <w:bCs/>
          <w:sz w:val="24"/>
          <w:szCs w:val="24"/>
        </w:rPr>
        <w:t xml:space="preserve"> Vol. 13, No. 1 (2006). Pg. 27-37.</w:t>
      </w:r>
    </w:p>
    <w:p w14:paraId="4D933F04" w14:textId="739A607C" w:rsidR="00CE5049" w:rsidRDefault="00CE5049" w:rsidP="001F0ACD">
      <w:pPr>
        <w:spacing w:after="0" w:line="240" w:lineRule="auto"/>
        <w:ind w:left="720" w:hanging="720"/>
        <w:jc w:val="both"/>
        <w:rPr>
          <w:rFonts w:ascii="Times New Roman" w:hAnsi="Times New Roman" w:cs="Times New Roman"/>
          <w:bCs/>
          <w:sz w:val="24"/>
          <w:szCs w:val="24"/>
        </w:rPr>
      </w:pPr>
      <w:r w:rsidRPr="00CE5049">
        <w:rPr>
          <w:rFonts w:ascii="Times New Roman" w:hAnsi="Times New Roman" w:cs="Times New Roman"/>
          <w:bCs/>
          <w:sz w:val="24"/>
          <w:szCs w:val="24"/>
        </w:rPr>
        <w:t xml:space="preserve">Iskandar, </w:t>
      </w:r>
      <w:r>
        <w:rPr>
          <w:rFonts w:ascii="Times New Roman" w:hAnsi="Times New Roman" w:cs="Times New Roman"/>
          <w:bCs/>
          <w:sz w:val="24"/>
          <w:szCs w:val="24"/>
        </w:rPr>
        <w:t xml:space="preserve">Agus. </w:t>
      </w:r>
      <w:r w:rsidRPr="00CE5049">
        <w:rPr>
          <w:rFonts w:ascii="Times New Roman" w:hAnsi="Times New Roman" w:cs="Times New Roman"/>
          <w:bCs/>
          <w:sz w:val="24"/>
          <w:szCs w:val="24"/>
        </w:rPr>
        <w:t>“Legal Analysis of Tax Collection Policy in Indonesia</w:t>
      </w:r>
      <w:r>
        <w:rPr>
          <w:rFonts w:ascii="Times New Roman" w:hAnsi="Times New Roman" w:cs="Times New Roman"/>
          <w:bCs/>
          <w:sz w:val="24"/>
          <w:szCs w:val="24"/>
        </w:rPr>
        <w:t xml:space="preserve">.” </w:t>
      </w:r>
      <w:r w:rsidRPr="00CE5049">
        <w:rPr>
          <w:rFonts w:ascii="Times New Roman" w:hAnsi="Times New Roman" w:cs="Times New Roman"/>
          <w:bCs/>
          <w:i/>
          <w:iCs/>
          <w:sz w:val="24"/>
          <w:szCs w:val="24"/>
        </w:rPr>
        <w:t>Jurnal Keadilan Progresif</w:t>
      </w:r>
      <w:r>
        <w:rPr>
          <w:rFonts w:ascii="Times New Roman" w:hAnsi="Times New Roman" w:cs="Times New Roman"/>
          <w:bCs/>
          <w:sz w:val="24"/>
          <w:szCs w:val="24"/>
        </w:rPr>
        <w:t xml:space="preserve">. </w:t>
      </w:r>
      <w:r w:rsidRPr="00CE5049">
        <w:rPr>
          <w:rFonts w:ascii="Times New Roman" w:hAnsi="Times New Roman" w:cs="Times New Roman"/>
          <w:bCs/>
          <w:sz w:val="24"/>
          <w:szCs w:val="24"/>
        </w:rPr>
        <w:t xml:space="preserve">Vol. 11, No. 2 (2021). </w:t>
      </w:r>
      <w:r>
        <w:rPr>
          <w:rFonts w:ascii="Times New Roman" w:hAnsi="Times New Roman" w:cs="Times New Roman"/>
          <w:bCs/>
          <w:sz w:val="24"/>
          <w:szCs w:val="24"/>
        </w:rPr>
        <w:t xml:space="preserve">Pg. </w:t>
      </w:r>
      <w:r w:rsidRPr="00CE5049">
        <w:rPr>
          <w:rFonts w:ascii="Times New Roman" w:hAnsi="Times New Roman" w:cs="Times New Roman"/>
          <w:bCs/>
          <w:sz w:val="24"/>
          <w:szCs w:val="24"/>
        </w:rPr>
        <w:t>110-125</w:t>
      </w:r>
      <w:r>
        <w:rPr>
          <w:rFonts w:ascii="Times New Roman" w:hAnsi="Times New Roman" w:cs="Times New Roman"/>
          <w:bCs/>
          <w:sz w:val="24"/>
          <w:szCs w:val="24"/>
        </w:rPr>
        <w:t>.</w:t>
      </w:r>
    </w:p>
    <w:p w14:paraId="723BBCE3" w14:textId="2870E83F" w:rsidR="00A026B8" w:rsidRDefault="00A026B8" w:rsidP="001F0ACD">
      <w:pPr>
        <w:spacing w:after="0" w:line="240" w:lineRule="auto"/>
        <w:ind w:left="720" w:hanging="720"/>
        <w:jc w:val="both"/>
        <w:rPr>
          <w:rFonts w:ascii="Times New Roman" w:hAnsi="Times New Roman" w:cs="Times New Roman"/>
          <w:bCs/>
          <w:sz w:val="24"/>
          <w:szCs w:val="24"/>
        </w:rPr>
      </w:pPr>
      <w:r w:rsidRPr="00A026B8">
        <w:rPr>
          <w:rFonts w:ascii="Times New Roman" w:hAnsi="Times New Roman" w:cs="Times New Roman"/>
          <w:bCs/>
          <w:sz w:val="24"/>
          <w:szCs w:val="24"/>
        </w:rPr>
        <w:t>Jarczok-Guzy, Magdalena</w:t>
      </w:r>
      <w:r>
        <w:rPr>
          <w:rFonts w:ascii="Times New Roman" w:hAnsi="Times New Roman" w:cs="Times New Roman"/>
          <w:bCs/>
          <w:sz w:val="24"/>
          <w:szCs w:val="24"/>
        </w:rPr>
        <w:t xml:space="preserve">. </w:t>
      </w:r>
      <w:r w:rsidRPr="00A026B8">
        <w:rPr>
          <w:rFonts w:ascii="Times New Roman" w:hAnsi="Times New Roman" w:cs="Times New Roman"/>
          <w:bCs/>
          <w:sz w:val="24"/>
          <w:szCs w:val="24"/>
        </w:rPr>
        <w:t>“The principles of tax law equality in the context of direct taxation</w:t>
      </w:r>
      <w:r>
        <w:rPr>
          <w:rFonts w:ascii="Times New Roman" w:hAnsi="Times New Roman" w:cs="Times New Roman"/>
          <w:bCs/>
          <w:sz w:val="24"/>
          <w:szCs w:val="24"/>
        </w:rPr>
        <w:t xml:space="preserve">.” </w:t>
      </w:r>
      <w:r w:rsidRPr="00A026B8">
        <w:rPr>
          <w:rFonts w:ascii="Times New Roman" w:hAnsi="Times New Roman" w:cs="Times New Roman"/>
          <w:bCs/>
          <w:i/>
          <w:iCs/>
          <w:sz w:val="24"/>
          <w:szCs w:val="24"/>
        </w:rPr>
        <w:t>Journal of Economics and Management</w:t>
      </w:r>
      <w:r>
        <w:rPr>
          <w:rFonts w:ascii="Times New Roman" w:hAnsi="Times New Roman" w:cs="Times New Roman"/>
          <w:bCs/>
          <w:sz w:val="24"/>
          <w:szCs w:val="24"/>
        </w:rPr>
        <w:t xml:space="preserve">. </w:t>
      </w:r>
      <w:r w:rsidRPr="00A026B8">
        <w:rPr>
          <w:rFonts w:ascii="Times New Roman" w:hAnsi="Times New Roman" w:cs="Times New Roman"/>
          <w:bCs/>
          <w:sz w:val="24"/>
          <w:szCs w:val="24"/>
        </w:rPr>
        <w:t xml:space="preserve">Vol. 30, No. 4 (2017). </w:t>
      </w:r>
      <w:r>
        <w:rPr>
          <w:rFonts w:ascii="Times New Roman" w:hAnsi="Times New Roman" w:cs="Times New Roman"/>
          <w:bCs/>
          <w:sz w:val="24"/>
          <w:szCs w:val="24"/>
        </w:rPr>
        <w:t xml:space="preserve">Pg. </w:t>
      </w:r>
      <w:r w:rsidRPr="00A026B8">
        <w:rPr>
          <w:rFonts w:ascii="Times New Roman" w:hAnsi="Times New Roman" w:cs="Times New Roman"/>
          <w:bCs/>
          <w:sz w:val="24"/>
          <w:szCs w:val="24"/>
        </w:rPr>
        <w:t>70-84</w:t>
      </w:r>
      <w:r>
        <w:rPr>
          <w:rFonts w:ascii="Times New Roman" w:hAnsi="Times New Roman" w:cs="Times New Roman"/>
          <w:bCs/>
          <w:sz w:val="24"/>
          <w:szCs w:val="24"/>
        </w:rPr>
        <w:t>.</w:t>
      </w:r>
    </w:p>
    <w:p w14:paraId="15789FCC" w14:textId="1168711A" w:rsidR="001F0ACD" w:rsidRDefault="001F0ACD" w:rsidP="001F0ACD">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Johan, Arvie</w:t>
      </w:r>
      <w:r>
        <w:rPr>
          <w:rFonts w:ascii="Times New Roman" w:hAnsi="Times New Roman" w:cs="Times New Roman"/>
          <w:bCs/>
          <w:sz w:val="24"/>
          <w:szCs w:val="24"/>
        </w:rPr>
        <w:t>,</w:t>
      </w:r>
      <w:r w:rsidRPr="001F0ACD">
        <w:rPr>
          <w:rFonts w:ascii="Times New Roman" w:hAnsi="Times New Roman" w:cs="Times New Roman"/>
          <w:bCs/>
          <w:sz w:val="24"/>
          <w:szCs w:val="24"/>
        </w:rPr>
        <w:t xml:space="preserve"> Fadhilatul Hikmah, and Anugrah Anditya</w:t>
      </w:r>
      <w:r>
        <w:rPr>
          <w:rFonts w:ascii="Times New Roman" w:hAnsi="Times New Roman" w:cs="Times New Roman"/>
          <w:bCs/>
          <w:sz w:val="24"/>
          <w:szCs w:val="24"/>
        </w:rPr>
        <w:t>.</w:t>
      </w:r>
      <w:r w:rsidRPr="001F0ACD">
        <w:rPr>
          <w:rFonts w:ascii="Times New Roman" w:hAnsi="Times New Roman" w:cs="Times New Roman"/>
          <w:bCs/>
          <w:sz w:val="24"/>
          <w:szCs w:val="24"/>
        </w:rPr>
        <w:t xml:space="preserve"> "Optimal Taxation in the Perspective of Tax Law Philosophizing Pancasila</w:t>
      </w:r>
      <w:r>
        <w:rPr>
          <w:rFonts w:ascii="Times New Roman" w:hAnsi="Times New Roman" w:cs="Times New Roman"/>
          <w:bCs/>
          <w:sz w:val="24"/>
          <w:szCs w:val="24"/>
        </w:rPr>
        <w:t>.</w:t>
      </w:r>
      <w:r w:rsidRPr="001F0ACD">
        <w:rPr>
          <w:rFonts w:ascii="Times New Roman" w:hAnsi="Times New Roman" w:cs="Times New Roman"/>
          <w:bCs/>
          <w:sz w:val="24"/>
          <w:szCs w:val="24"/>
        </w:rPr>
        <w:t>"</w:t>
      </w:r>
      <w:r>
        <w:rPr>
          <w:rFonts w:ascii="Times New Roman" w:hAnsi="Times New Roman" w:cs="Times New Roman"/>
          <w:bCs/>
          <w:sz w:val="24"/>
          <w:szCs w:val="24"/>
        </w:rPr>
        <w:t xml:space="preserve"> </w:t>
      </w:r>
      <w:r w:rsidRPr="001F0ACD">
        <w:rPr>
          <w:rFonts w:ascii="Times New Roman" w:hAnsi="Times New Roman" w:cs="Times New Roman"/>
          <w:bCs/>
          <w:i/>
          <w:iCs/>
          <w:sz w:val="24"/>
          <w:szCs w:val="24"/>
        </w:rPr>
        <w:t>Udayana Magister Law Journal</w:t>
      </w:r>
      <w:r>
        <w:rPr>
          <w:rFonts w:ascii="Times New Roman" w:hAnsi="Times New Roman" w:cs="Times New Roman"/>
          <w:bCs/>
          <w:sz w:val="24"/>
          <w:szCs w:val="24"/>
        </w:rPr>
        <w:t xml:space="preserve">. </w:t>
      </w:r>
      <w:r w:rsidRPr="001F0ACD">
        <w:rPr>
          <w:rFonts w:ascii="Times New Roman" w:hAnsi="Times New Roman" w:cs="Times New Roman"/>
          <w:bCs/>
          <w:sz w:val="24"/>
          <w:szCs w:val="24"/>
        </w:rPr>
        <w:t>Vol. 8, No. 3 (2019)</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 317-337.</w:t>
      </w:r>
    </w:p>
    <w:p w14:paraId="7C09B29F" w14:textId="2D586B0B" w:rsidR="00B224EA" w:rsidRDefault="00B224EA" w:rsidP="001F0ACD">
      <w:pPr>
        <w:spacing w:after="0" w:line="240" w:lineRule="auto"/>
        <w:ind w:left="720" w:hanging="720"/>
        <w:jc w:val="both"/>
        <w:rPr>
          <w:rFonts w:ascii="Times New Roman" w:hAnsi="Times New Roman" w:cs="Times New Roman"/>
          <w:bCs/>
          <w:sz w:val="24"/>
          <w:szCs w:val="24"/>
        </w:rPr>
      </w:pPr>
      <w:r w:rsidRPr="00B224EA">
        <w:rPr>
          <w:rFonts w:ascii="Times New Roman" w:hAnsi="Times New Roman" w:cs="Times New Roman"/>
          <w:bCs/>
          <w:sz w:val="24"/>
          <w:szCs w:val="24"/>
        </w:rPr>
        <w:t xml:space="preserve">Mangoting, </w:t>
      </w:r>
      <w:r>
        <w:rPr>
          <w:rFonts w:ascii="Times New Roman" w:hAnsi="Times New Roman" w:cs="Times New Roman"/>
          <w:bCs/>
          <w:sz w:val="24"/>
          <w:szCs w:val="24"/>
        </w:rPr>
        <w:t xml:space="preserve">Yenni. </w:t>
      </w:r>
      <w:r w:rsidRPr="00B224EA">
        <w:rPr>
          <w:rFonts w:ascii="Times New Roman" w:hAnsi="Times New Roman" w:cs="Times New Roman"/>
          <w:bCs/>
          <w:sz w:val="24"/>
          <w:szCs w:val="24"/>
        </w:rPr>
        <w:t>“Income Tax in a Policy</w:t>
      </w:r>
      <w:r>
        <w:rPr>
          <w:rFonts w:ascii="Times New Roman" w:hAnsi="Times New Roman" w:cs="Times New Roman"/>
          <w:bCs/>
          <w:sz w:val="24"/>
          <w:szCs w:val="24"/>
        </w:rPr>
        <w:t xml:space="preserve">.” </w:t>
      </w:r>
      <w:r w:rsidRPr="00B224EA">
        <w:rPr>
          <w:rFonts w:ascii="Times New Roman" w:hAnsi="Times New Roman" w:cs="Times New Roman"/>
          <w:bCs/>
          <w:i/>
          <w:iCs/>
          <w:sz w:val="24"/>
          <w:szCs w:val="24"/>
        </w:rPr>
        <w:t>Jurnal Akuntansi dan Keuang</w:t>
      </w:r>
      <w:r>
        <w:rPr>
          <w:rFonts w:ascii="Times New Roman" w:hAnsi="Times New Roman" w:cs="Times New Roman"/>
          <w:bCs/>
          <w:i/>
          <w:iCs/>
          <w:sz w:val="24"/>
          <w:szCs w:val="24"/>
        </w:rPr>
        <w:t>an</w:t>
      </w:r>
      <w:r>
        <w:rPr>
          <w:rFonts w:ascii="Times New Roman" w:hAnsi="Times New Roman" w:cs="Times New Roman"/>
          <w:bCs/>
          <w:sz w:val="24"/>
          <w:szCs w:val="24"/>
        </w:rPr>
        <w:t xml:space="preserve">. </w:t>
      </w:r>
      <w:r w:rsidRPr="00B224EA">
        <w:rPr>
          <w:rFonts w:ascii="Times New Roman" w:hAnsi="Times New Roman" w:cs="Times New Roman"/>
          <w:bCs/>
          <w:sz w:val="24"/>
          <w:szCs w:val="24"/>
        </w:rPr>
        <w:t>Vol. 3, No. 2 (2001)</w:t>
      </w:r>
      <w:r>
        <w:rPr>
          <w:rFonts w:ascii="Times New Roman" w:hAnsi="Times New Roman" w:cs="Times New Roman"/>
          <w:bCs/>
          <w:sz w:val="24"/>
          <w:szCs w:val="24"/>
        </w:rPr>
        <w:t>. Pg.</w:t>
      </w:r>
      <w:r w:rsidRPr="00B224EA">
        <w:rPr>
          <w:rFonts w:ascii="Times New Roman" w:hAnsi="Times New Roman" w:cs="Times New Roman"/>
          <w:bCs/>
          <w:sz w:val="24"/>
          <w:szCs w:val="24"/>
        </w:rPr>
        <w:t xml:space="preserve"> 142-156</w:t>
      </w:r>
      <w:r>
        <w:rPr>
          <w:rFonts w:ascii="Times New Roman" w:hAnsi="Times New Roman" w:cs="Times New Roman"/>
          <w:bCs/>
          <w:sz w:val="24"/>
          <w:szCs w:val="24"/>
        </w:rPr>
        <w:t>.</w:t>
      </w:r>
    </w:p>
    <w:p w14:paraId="482F9D88" w14:textId="437CF1C3" w:rsidR="00381FC4" w:rsidRDefault="00381FC4"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Marzuki, </w:t>
      </w:r>
      <w:r w:rsidRPr="00381FC4">
        <w:rPr>
          <w:rFonts w:ascii="Times New Roman" w:hAnsi="Times New Roman" w:cs="Times New Roman"/>
          <w:bCs/>
          <w:sz w:val="24"/>
          <w:szCs w:val="24"/>
        </w:rPr>
        <w:t>Peter Mahmud</w:t>
      </w:r>
      <w:r>
        <w:rPr>
          <w:rFonts w:ascii="Times New Roman" w:hAnsi="Times New Roman" w:cs="Times New Roman"/>
          <w:bCs/>
          <w:sz w:val="24"/>
          <w:szCs w:val="24"/>
        </w:rPr>
        <w:t xml:space="preserve">. </w:t>
      </w:r>
      <w:r w:rsidRPr="00381FC4">
        <w:rPr>
          <w:rFonts w:ascii="Times New Roman" w:hAnsi="Times New Roman" w:cs="Times New Roman"/>
          <w:bCs/>
          <w:sz w:val="24"/>
          <w:szCs w:val="24"/>
        </w:rPr>
        <w:t>"The Essence of Legal Research is to Resolve Legal Problems</w:t>
      </w:r>
      <w:r>
        <w:rPr>
          <w:rFonts w:ascii="Times New Roman" w:hAnsi="Times New Roman" w:cs="Times New Roman"/>
          <w:bCs/>
          <w:sz w:val="24"/>
          <w:szCs w:val="24"/>
        </w:rPr>
        <w:t xml:space="preserve">.” </w:t>
      </w:r>
      <w:r w:rsidRPr="007016AF">
        <w:rPr>
          <w:rFonts w:ascii="Times New Roman" w:hAnsi="Times New Roman" w:cs="Times New Roman"/>
          <w:bCs/>
          <w:i/>
          <w:iCs/>
          <w:sz w:val="24"/>
          <w:szCs w:val="24"/>
        </w:rPr>
        <w:t>Yuridika</w:t>
      </w:r>
      <w:r w:rsidR="007016AF">
        <w:rPr>
          <w:rFonts w:ascii="Times New Roman" w:hAnsi="Times New Roman" w:cs="Times New Roman"/>
          <w:bCs/>
          <w:sz w:val="24"/>
          <w:szCs w:val="24"/>
        </w:rPr>
        <w:t xml:space="preserve">. </w:t>
      </w:r>
      <w:r w:rsidRPr="00381FC4">
        <w:rPr>
          <w:rFonts w:ascii="Times New Roman" w:hAnsi="Times New Roman" w:cs="Times New Roman"/>
          <w:bCs/>
          <w:sz w:val="24"/>
          <w:szCs w:val="24"/>
        </w:rPr>
        <w:t>Vol. 37 No 1 (2022).</w:t>
      </w:r>
      <w:r w:rsidR="007016AF">
        <w:rPr>
          <w:rFonts w:ascii="Times New Roman" w:hAnsi="Times New Roman" w:cs="Times New Roman"/>
          <w:bCs/>
          <w:sz w:val="24"/>
          <w:szCs w:val="24"/>
        </w:rPr>
        <w:t xml:space="preserve"> Pg. </w:t>
      </w:r>
      <w:r w:rsidRPr="00381FC4">
        <w:rPr>
          <w:rFonts w:ascii="Times New Roman" w:hAnsi="Times New Roman" w:cs="Times New Roman"/>
          <w:bCs/>
          <w:sz w:val="24"/>
          <w:szCs w:val="24"/>
        </w:rPr>
        <w:t xml:space="preserve"> 37-58.</w:t>
      </w:r>
    </w:p>
    <w:p w14:paraId="5DDD7E5F" w14:textId="38AFEA8A" w:rsidR="00121EA2" w:rsidRDefault="00121EA2" w:rsidP="001F0ACD">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Maurya, </w:t>
      </w:r>
      <w:r w:rsidRPr="00121EA2">
        <w:rPr>
          <w:rFonts w:ascii="Times New Roman" w:hAnsi="Times New Roman" w:cs="Times New Roman"/>
          <w:bCs/>
          <w:sz w:val="24"/>
          <w:szCs w:val="24"/>
        </w:rPr>
        <w:t>Sooraj Kumar</w:t>
      </w:r>
      <w:r>
        <w:rPr>
          <w:rFonts w:ascii="Times New Roman" w:hAnsi="Times New Roman" w:cs="Times New Roman"/>
          <w:bCs/>
          <w:sz w:val="24"/>
          <w:szCs w:val="24"/>
        </w:rPr>
        <w:t>. “</w:t>
      </w:r>
      <w:r w:rsidRPr="00121EA2">
        <w:rPr>
          <w:rFonts w:ascii="Times New Roman" w:hAnsi="Times New Roman" w:cs="Times New Roman"/>
          <w:bCs/>
          <w:sz w:val="24"/>
          <w:szCs w:val="24"/>
        </w:rPr>
        <w:t>On Just, Justice and Distributive Justice: A Critical and Comparative Discourse</w:t>
      </w:r>
      <w:r>
        <w:rPr>
          <w:rFonts w:ascii="Times New Roman" w:hAnsi="Times New Roman" w:cs="Times New Roman"/>
          <w:bCs/>
          <w:sz w:val="24"/>
          <w:szCs w:val="24"/>
        </w:rPr>
        <w:t xml:space="preserve">.” </w:t>
      </w:r>
      <w:r w:rsidRPr="00121EA2">
        <w:rPr>
          <w:rFonts w:ascii="Times New Roman" w:hAnsi="Times New Roman" w:cs="Times New Roman"/>
          <w:bCs/>
          <w:i/>
          <w:iCs/>
          <w:sz w:val="24"/>
          <w:szCs w:val="24"/>
        </w:rPr>
        <w:t>Journal of Liberty and International Affairs</w:t>
      </w:r>
      <w:r>
        <w:rPr>
          <w:rFonts w:ascii="Times New Roman" w:hAnsi="Times New Roman" w:cs="Times New Roman"/>
          <w:bCs/>
          <w:sz w:val="24"/>
          <w:szCs w:val="24"/>
        </w:rPr>
        <w:t xml:space="preserve">. </w:t>
      </w:r>
      <w:r w:rsidRPr="00121EA2">
        <w:rPr>
          <w:rFonts w:ascii="Times New Roman" w:hAnsi="Times New Roman" w:cs="Times New Roman"/>
          <w:bCs/>
          <w:sz w:val="24"/>
          <w:szCs w:val="24"/>
        </w:rPr>
        <w:t xml:space="preserve">Vol. 8, No. 2 (2022). </w:t>
      </w:r>
      <w:r>
        <w:rPr>
          <w:rFonts w:ascii="Times New Roman" w:hAnsi="Times New Roman" w:cs="Times New Roman"/>
          <w:bCs/>
          <w:sz w:val="24"/>
          <w:szCs w:val="24"/>
        </w:rPr>
        <w:t>Pg.</w:t>
      </w:r>
      <w:r w:rsidRPr="00121EA2">
        <w:rPr>
          <w:rFonts w:ascii="Times New Roman" w:hAnsi="Times New Roman" w:cs="Times New Roman"/>
          <w:bCs/>
          <w:sz w:val="24"/>
          <w:szCs w:val="24"/>
        </w:rPr>
        <w:t xml:space="preserve"> 240-254</w:t>
      </w:r>
      <w:r>
        <w:rPr>
          <w:rFonts w:ascii="Times New Roman" w:hAnsi="Times New Roman" w:cs="Times New Roman"/>
          <w:bCs/>
          <w:sz w:val="24"/>
          <w:szCs w:val="24"/>
        </w:rPr>
        <w:t>.</w:t>
      </w:r>
    </w:p>
    <w:p w14:paraId="0F2CE7EE" w14:textId="4B596794" w:rsidR="004C0733" w:rsidRDefault="004C0733" w:rsidP="001F0ACD">
      <w:pPr>
        <w:spacing w:after="0" w:line="240" w:lineRule="auto"/>
        <w:ind w:left="720" w:hanging="720"/>
        <w:jc w:val="both"/>
        <w:rPr>
          <w:rFonts w:ascii="Times New Roman" w:hAnsi="Times New Roman" w:cs="Times New Roman"/>
          <w:bCs/>
          <w:sz w:val="24"/>
          <w:szCs w:val="24"/>
        </w:rPr>
      </w:pPr>
      <w:r w:rsidRPr="004C0733">
        <w:rPr>
          <w:rFonts w:ascii="Times New Roman" w:hAnsi="Times New Roman" w:cs="Times New Roman"/>
          <w:bCs/>
          <w:sz w:val="24"/>
          <w:szCs w:val="24"/>
        </w:rPr>
        <w:t>Milton</w:t>
      </w:r>
      <w:r>
        <w:rPr>
          <w:rFonts w:ascii="Times New Roman" w:hAnsi="Times New Roman" w:cs="Times New Roman"/>
          <w:bCs/>
          <w:sz w:val="24"/>
          <w:szCs w:val="24"/>
        </w:rPr>
        <w:t>,</w:t>
      </w:r>
      <w:r w:rsidRPr="004C0733">
        <w:rPr>
          <w:rFonts w:ascii="Times New Roman" w:hAnsi="Times New Roman" w:cs="Times New Roman"/>
          <w:bCs/>
          <w:sz w:val="24"/>
          <w:szCs w:val="24"/>
        </w:rPr>
        <w:t xml:space="preserve"> George F. and G. T. Milton</w:t>
      </w:r>
      <w:r>
        <w:rPr>
          <w:rFonts w:ascii="Times New Roman" w:hAnsi="Times New Roman" w:cs="Times New Roman"/>
          <w:bCs/>
          <w:sz w:val="24"/>
          <w:szCs w:val="24"/>
        </w:rPr>
        <w:t>.</w:t>
      </w:r>
      <w:r w:rsidRPr="004C0733">
        <w:rPr>
          <w:rFonts w:ascii="Times New Roman" w:hAnsi="Times New Roman" w:cs="Times New Roman"/>
          <w:bCs/>
          <w:sz w:val="24"/>
          <w:szCs w:val="24"/>
        </w:rPr>
        <w:t xml:space="preserve"> “The Problem of Direct Taxation</w:t>
      </w:r>
      <w:r>
        <w:rPr>
          <w:rFonts w:ascii="Times New Roman" w:hAnsi="Times New Roman" w:cs="Times New Roman"/>
          <w:bCs/>
          <w:sz w:val="24"/>
          <w:szCs w:val="24"/>
        </w:rPr>
        <w:t xml:space="preserve">.” </w:t>
      </w:r>
      <w:r w:rsidRPr="004C0733">
        <w:rPr>
          <w:rFonts w:ascii="Times New Roman" w:hAnsi="Times New Roman" w:cs="Times New Roman"/>
          <w:bCs/>
          <w:i/>
          <w:iCs/>
          <w:sz w:val="24"/>
          <w:szCs w:val="24"/>
        </w:rPr>
        <w:t>The Sewanee Review.</w:t>
      </w:r>
      <w:r w:rsidRPr="004C0733">
        <w:rPr>
          <w:rFonts w:ascii="Times New Roman" w:hAnsi="Times New Roman" w:cs="Times New Roman"/>
          <w:bCs/>
          <w:sz w:val="24"/>
          <w:szCs w:val="24"/>
        </w:rPr>
        <w:t xml:space="preserve"> Vol. 1, No. 4 (1983). </w:t>
      </w:r>
      <w:r>
        <w:rPr>
          <w:rFonts w:ascii="Times New Roman" w:hAnsi="Times New Roman" w:cs="Times New Roman"/>
          <w:bCs/>
          <w:sz w:val="24"/>
          <w:szCs w:val="24"/>
        </w:rPr>
        <w:t xml:space="preserve">Pg. </w:t>
      </w:r>
      <w:r w:rsidRPr="004C0733">
        <w:rPr>
          <w:rFonts w:ascii="Times New Roman" w:hAnsi="Times New Roman" w:cs="Times New Roman"/>
          <w:bCs/>
          <w:sz w:val="24"/>
          <w:szCs w:val="24"/>
        </w:rPr>
        <w:t>458-473.</w:t>
      </w:r>
    </w:p>
    <w:p w14:paraId="6BDA362C" w14:textId="422BA7AE" w:rsidR="004A05AD" w:rsidRPr="00A96BA2" w:rsidRDefault="004A05AD" w:rsidP="001F0ACD">
      <w:pPr>
        <w:spacing w:after="0" w:line="240" w:lineRule="auto"/>
        <w:ind w:left="720" w:hanging="720"/>
        <w:jc w:val="both"/>
        <w:rPr>
          <w:rFonts w:ascii="Times New Roman" w:hAnsi="Times New Roman" w:cs="Times New Roman"/>
          <w:bCs/>
          <w:sz w:val="24"/>
          <w:szCs w:val="24"/>
        </w:rPr>
      </w:pPr>
      <w:r w:rsidRPr="004A05AD">
        <w:rPr>
          <w:rFonts w:ascii="Times New Roman" w:hAnsi="Times New Roman" w:cs="Times New Roman"/>
          <w:bCs/>
          <w:sz w:val="24"/>
          <w:szCs w:val="24"/>
        </w:rPr>
        <w:t xml:space="preserve">Mo’o, Sitti Rachmi Nadya. "Procedures for the Extension and Renewal of Building Use Rights Based on Government Regulation Number 24 of 1997 concerning Land Registration.” </w:t>
      </w:r>
      <w:r w:rsidRPr="00F93500">
        <w:rPr>
          <w:rFonts w:ascii="Times New Roman" w:hAnsi="Times New Roman" w:cs="Times New Roman"/>
          <w:bCs/>
          <w:i/>
          <w:iCs/>
          <w:sz w:val="24"/>
          <w:szCs w:val="24"/>
        </w:rPr>
        <w:t>Lex et Societatis.</w:t>
      </w:r>
      <w:r w:rsidRPr="004A05AD">
        <w:rPr>
          <w:rFonts w:ascii="Times New Roman" w:hAnsi="Times New Roman" w:cs="Times New Roman"/>
          <w:bCs/>
          <w:sz w:val="24"/>
          <w:szCs w:val="24"/>
        </w:rPr>
        <w:t xml:space="preserve"> Vol. 5, No. 7 (2017). Hlm. 85-92.</w:t>
      </w:r>
    </w:p>
    <w:p w14:paraId="5F66692F" w14:textId="7BF19D22" w:rsidR="007D4829"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Montolalu, Johny. “Analysis of Locally-Owned Revenue and Its Contribution to the Revenue and Expenditure Budget of South Minahasa Regency.” </w:t>
      </w:r>
      <w:r w:rsidRPr="00A96BA2">
        <w:rPr>
          <w:rFonts w:ascii="Times New Roman" w:hAnsi="Times New Roman" w:cs="Times New Roman"/>
          <w:bCs/>
          <w:i/>
          <w:iCs/>
          <w:sz w:val="24"/>
          <w:szCs w:val="24"/>
        </w:rPr>
        <w:t>Jurnal</w:t>
      </w:r>
      <w:r w:rsidRPr="00A96BA2">
        <w:rPr>
          <w:rFonts w:ascii="Times New Roman" w:hAnsi="Times New Roman" w:cs="Times New Roman"/>
          <w:bCs/>
          <w:sz w:val="24"/>
          <w:szCs w:val="24"/>
        </w:rPr>
        <w:t xml:space="preserve"> </w:t>
      </w:r>
      <w:r w:rsidRPr="00A96BA2">
        <w:rPr>
          <w:rFonts w:ascii="Times New Roman" w:hAnsi="Times New Roman" w:cs="Times New Roman"/>
          <w:bCs/>
          <w:i/>
          <w:iCs/>
          <w:sz w:val="24"/>
          <w:szCs w:val="24"/>
        </w:rPr>
        <w:t>Administrasi Bisnis Unsrat</w:t>
      </w:r>
      <w:r w:rsidRPr="00A96BA2">
        <w:rPr>
          <w:rFonts w:ascii="Times New Roman" w:hAnsi="Times New Roman" w:cs="Times New Roman"/>
          <w:bCs/>
          <w:sz w:val="24"/>
          <w:szCs w:val="24"/>
        </w:rPr>
        <w:t>. Vol. 5, No. 6 (2017). Pg. 1-7</w:t>
      </w:r>
      <w:r w:rsidR="001F0ACD">
        <w:rPr>
          <w:rFonts w:ascii="Times New Roman" w:hAnsi="Times New Roman" w:cs="Times New Roman"/>
          <w:bCs/>
          <w:sz w:val="24"/>
          <w:szCs w:val="24"/>
        </w:rPr>
        <w:t>.</w:t>
      </w:r>
    </w:p>
    <w:p w14:paraId="759A0E0E" w14:textId="6493C161" w:rsidR="001F0ACD" w:rsidRDefault="001F0ACD" w:rsidP="00A96BA2">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lastRenderedPageBreak/>
        <w:t>Mubarak, Naufal Ramadhan</w:t>
      </w:r>
      <w:r w:rsidRPr="001F0ACD">
        <w:rPr>
          <w:rFonts w:ascii="Times New Roman" w:hAnsi="Times New Roman" w:cs="Times New Roman"/>
          <w:bCs/>
          <w:i/>
          <w:iCs/>
          <w:sz w:val="24"/>
          <w:szCs w:val="24"/>
        </w:rPr>
        <w:t>. Et. Al. "</w:t>
      </w:r>
      <w:r w:rsidRPr="001F0ACD">
        <w:rPr>
          <w:rFonts w:ascii="Times New Roman" w:hAnsi="Times New Roman" w:cs="Times New Roman"/>
          <w:bCs/>
          <w:sz w:val="24"/>
          <w:szCs w:val="24"/>
        </w:rPr>
        <w:t>The Problematic Implementation of the Principles of Tax Equality and Certainty According to Adam Smith in the Motor Vehicle Tax Amnesty Program in West Java</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Jurnal Krisna Law</w:t>
      </w:r>
      <w:r>
        <w:rPr>
          <w:rFonts w:ascii="Times New Roman" w:hAnsi="Times New Roman" w:cs="Times New Roman"/>
          <w:bCs/>
          <w:sz w:val="24"/>
          <w:szCs w:val="24"/>
        </w:rPr>
        <w:t xml:space="preserve">. </w:t>
      </w:r>
      <w:r w:rsidRPr="001F0ACD">
        <w:rPr>
          <w:rFonts w:ascii="Times New Roman" w:hAnsi="Times New Roman" w:cs="Times New Roman"/>
          <w:bCs/>
          <w:sz w:val="24"/>
          <w:szCs w:val="24"/>
        </w:rPr>
        <w:t>Vol. 7, No. 3 (2025)</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w:t>
      </w:r>
      <w:r>
        <w:rPr>
          <w:rFonts w:ascii="Times New Roman" w:hAnsi="Times New Roman" w:cs="Times New Roman"/>
          <w:bCs/>
          <w:sz w:val="24"/>
          <w:szCs w:val="24"/>
        </w:rPr>
        <w:t xml:space="preserve"> </w:t>
      </w:r>
      <w:r w:rsidRPr="001F0ACD">
        <w:rPr>
          <w:rFonts w:ascii="Times New Roman" w:hAnsi="Times New Roman" w:cs="Times New Roman"/>
          <w:bCs/>
          <w:sz w:val="24"/>
          <w:szCs w:val="24"/>
        </w:rPr>
        <w:t>1-14.</w:t>
      </w:r>
    </w:p>
    <w:p w14:paraId="3B8168DE" w14:textId="7B4E3DBB" w:rsidR="00E703B1" w:rsidRDefault="00E703B1" w:rsidP="00A96BA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Nozick, </w:t>
      </w:r>
      <w:r w:rsidRPr="00E703B1">
        <w:rPr>
          <w:rFonts w:ascii="Times New Roman" w:hAnsi="Times New Roman" w:cs="Times New Roman"/>
          <w:bCs/>
          <w:sz w:val="24"/>
          <w:szCs w:val="24"/>
        </w:rPr>
        <w:t>Robert</w:t>
      </w:r>
      <w:r>
        <w:rPr>
          <w:rFonts w:ascii="Times New Roman" w:hAnsi="Times New Roman" w:cs="Times New Roman"/>
          <w:bCs/>
          <w:sz w:val="24"/>
          <w:szCs w:val="24"/>
        </w:rPr>
        <w:t>.</w:t>
      </w:r>
      <w:r w:rsidRPr="00E703B1">
        <w:rPr>
          <w:rFonts w:ascii="Times New Roman" w:hAnsi="Times New Roman" w:cs="Times New Roman"/>
          <w:bCs/>
          <w:sz w:val="24"/>
          <w:szCs w:val="24"/>
        </w:rPr>
        <w:t xml:space="preserve"> "Distributive Justice</w:t>
      </w:r>
      <w:r>
        <w:rPr>
          <w:rFonts w:ascii="Times New Roman" w:hAnsi="Times New Roman" w:cs="Times New Roman"/>
          <w:bCs/>
          <w:sz w:val="24"/>
          <w:szCs w:val="24"/>
        </w:rPr>
        <w:t xml:space="preserve">.” </w:t>
      </w:r>
      <w:r w:rsidRPr="00E703B1">
        <w:rPr>
          <w:rFonts w:ascii="Times New Roman" w:hAnsi="Times New Roman" w:cs="Times New Roman"/>
          <w:bCs/>
          <w:i/>
          <w:iCs/>
          <w:sz w:val="24"/>
          <w:szCs w:val="24"/>
        </w:rPr>
        <w:t>Philosophy &amp; Public Affairs</w:t>
      </w:r>
      <w:r>
        <w:rPr>
          <w:rFonts w:ascii="Times New Roman" w:hAnsi="Times New Roman" w:cs="Times New Roman"/>
          <w:bCs/>
          <w:sz w:val="24"/>
          <w:szCs w:val="24"/>
        </w:rPr>
        <w:t xml:space="preserve">. </w:t>
      </w:r>
      <w:r w:rsidRPr="00E703B1">
        <w:rPr>
          <w:rFonts w:ascii="Times New Roman" w:hAnsi="Times New Roman" w:cs="Times New Roman"/>
          <w:bCs/>
          <w:sz w:val="24"/>
          <w:szCs w:val="24"/>
        </w:rPr>
        <w:t xml:space="preserve">Vol. 3, No. 1 (1973). </w:t>
      </w:r>
      <w:r>
        <w:rPr>
          <w:rFonts w:ascii="Times New Roman" w:hAnsi="Times New Roman" w:cs="Times New Roman"/>
          <w:bCs/>
          <w:sz w:val="24"/>
          <w:szCs w:val="24"/>
        </w:rPr>
        <w:t>Pg.</w:t>
      </w:r>
      <w:r w:rsidRPr="00E703B1">
        <w:rPr>
          <w:rFonts w:ascii="Times New Roman" w:hAnsi="Times New Roman" w:cs="Times New Roman"/>
          <w:bCs/>
          <w:sz w:val="24"/>
          <w:szCs w:val="24"/>
        </w:rPr>
        <w:t xml:space="preserve"> 45-126</w:t>
      </w:r>
      <w:r>
        <w:rPr>
          <w:rFonts w:ascii="Times New Roman" w:hAnsi="Times New Roman" w:cs="Times New Roman"/>
          <w:bCs/>
          <w:sz w:val="24"/>
          <w:szCs w:val="24"/>
        </w:rPr>
        <w:t>.</w:t>
      </w:r>
    </w:p>
    <w:p w14:paraId="5ED96958" w14:textId="3644BACD" w:rsidR="002128C8" w:rsidRDefault="002128C8" w:rsidP="002128C8">
      <w:pPr>
        <w:spacing w:after="0" w:line="240" w:lineRule="auto"/>
        <w:ind w:left="720" w:hanging="720"/>
        <w:jc w:val="both"/>
        <w:rPr>
          <w:rFonts w:ascii="Times New Roman" w:hAnsi="Times New Roman" w:cs="Times New Roman"/>
          <w:bCs/>
          <w:sz w:val="24"/>
          <w:szCs w:val="24"/>
        </w:rPr>
      </w:pPr>
      <w:r w:rsidRPr="002128C8">
        <w:rPr>
          <w:rFonts w:ascii="Times New Roman" w:hAnsi="Times New Roman" w:cs="Times New Roman"/>
          <w:bCs/>
          <w:sz w:val="24"/>
          <w:szCs w:val="24"/>
        </w:rPr>
        <w:t xml:space="preserve">Pamungkas, </w:t>
      </w:r>
      <w:r>
        <w:rPr>
          <w:rFonts w:ascii="Times New Roman" w:hAnsi="Times New Roman" w:cs="Times New Roman"/>
          <w:bCs/>
          <w:sz w:val="24"/>
          <w:szCs w:val="24"/>
        </w:rPr>
        <w:t xml:space="preserve">Ery. </w:t>
      </w:r>
      <w:r w:rsidRPr="002128C8">
        <w:rPr>
          <w:rFonts w:ascii="Times New Roman" w:hAnsi="Times New Roman" w:cs="Times New Roman"/>
          <w:bCs/>
          <w:i/>
          <w:iCs/>
          <w:sz w:val="24"/>
          <w:szCs w:val="24"/>
        </w:rPr>
        <w:t>Et. Al.</w:t>
      </w:r>
      <w:r>
        <w:rPr>
          <w:rFonts w:ascii="Times New Roman" w:hAnsi="Times New Roman" w:cs="Times New Roman"/>
          <w:bCs/>
          <w:sz w:val="24"/>
          <w:szCs w:val="24"/>
        </w:rPr>
        <w:t xml:space="preserve"> “</w:t>
      </w:r>
      <w:r w:rsidRPr="002128C8">
        <w:rPr>
          <w:rFonts w:ascii="Times New Roman" w:hAnsi="Times New Roman" w:cs="Times New Roman"/>
          <w:bCs/>
          <w:sz w:val="24"/>
          <w:szCs w:val="24"/>
        </w:rPr>
        <w:t>Reconstruction of Indonesian Tax Law Based on The Principle of</w:t>
      </w:r>
      <w:r>
        <w:rPr>
          <w:rFonts w:ascii="Times New Roman" w:hAnsi="Times New Roman" w:cs="Times New Roman"/>
          <w:bCs/>
          <w:sz w:val="24"/>
          <w:szCs w:val="24"/>
        </w:rPr>
        <w:t xml:space="preserve"> </w:t>
      </w:r>
      <w:r w:rsidRPr="002128C8">
        <w:rPr>
          <w:rFonts w:ascii="Times New Roman" w:hAnsi="Times New Roman" w:cs="Times New Roman"/>
          <w:bCs/>
          <w:sz w:val="24"/>
          <w:szCs w:val="24"/>
        </w:rPr>
        <w:t>Distributive Justice To Establish A Welfare State In The Framework of The Rule of Law</w:t>
      </w:r>
      <w:r>
        <w:rPr>
          <w:rFonts w:ascii="Times New Roman" w:hAnsi="Times New Roman" w:cs="Times New Roman"/>
          <w:bCs/>
          <w:sz w:val="24"/>
          <w:szCs w:val="24"/>
        </w:rPr>
        <w:t xml:space="preserve">.” </w:t>
      </w:r>
      <w:r w:rsidRPr="002128C8">
        <w:rPr>
          <w:rFonts w:ascii="Times New Roman" w:hAnsi="Times New Roman" w:cs="Times New Roman"/>
          <w:bCs/>
          <w:i/>
          <w:iCs/>
          <w:sz w:val="24"/>
          <w:szCs w:val="24"/>
        </w:rPr>
        <w:t>Journal of Law, Politics, and Humanities</w:t>
      </w:r>
      <w:r>
        <w:rPr>
          <w:rFonts w:ascii="Times New Roman" w:hAnsi="Times New Roman" w:cs="Times New Roman"/>
          <w:bCs/>
          <w:sz w:val="24"/>
          <w:szCs w:val="24"/>
        </w:rPr>
        <w:t xml:space="preserve">. </w:t>
      </w:r>
      <w:r w:rsidRPr="002128C8">
        <w:rPr>
          <w:rFonts w:ascii="Times New Roman" w:hAnsi="Times New Roman" w:cs="Times New Roman"/>
          <w:bCs/>
          <w:sz w:val="24"/>
          <w:szCs w:val="24"/>
        </w:rPr>
        <w:t xml:space="preserve">Vol. 6, No. 2 (2025). </w:t>
      </w:r>
      <w:r>
        <w:rPr>
          <w:rFonts w:ascii="Times New Roman" w:hAnsi="Times New Roman" w:cs="Times New Roman"/>
          <w:bCs/>
          <w:sz w:val="24"/>
          <w:szCs w:val="24"/>
        </w:rPr>
        <w:t xml:space="preserve">Pg. </w:t>
      </w:r>
      <w:r w:rsidRPr="002128C8">
        <w:rPr>
          <w:rFonts w:ascii="Times New Roman" w:hAnsi="Times New Roman" w:cs="Times New Roman"/>
          <w:bCs/>
          <w:sz w:val="24"/>
          <w:szCs w:val="24"/>
        </w:rPr>
        <w:t>1023-1038</w:t>
      </w:r>
      <w:r>
        <w:rPr>
          <w:rFonts w:ascii="Times New Roman" w:hAnsi="Times New Roman" w:cs="Times New Roman"/>
          <w:bCs/>
          <w:sz w:val="24"/>
          <w:szCs w:val="24"/>
        </w:rPr>
        <w:t>.</w:t>
      </w:r>
    </w:p>
    <w:p w14:paraId="6AB88565" w14:textId="77777777" w:rsidR="00D235A9" w:rsidRDefault="001F0ACD" w:rsidP="00D235A9">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Palsari, Cahya</w:t>
      </w:r>
      <w:r>
        <w:rPr>
          <w:rFonts w:ascii="Times New Roman" w:hAnsi="Times New Roman" w:cs="Times New Roman"/>
          <w:bCs/>
          <w:sz w:val="24"/>
          <w:szCs w:val="24"/>
        </w:rPr>
        <w:t>.</w:t>
      </w:r>
      <w:r w:rsidRPr="001F0ACD">
        <w:rPr>
          <w:rFonts w:ascii="Times New Roman" w:hAnsi="Times New Roman" w:cs="Times New Roman"/>
          <w:bCs/>
          <w:sz w:val="24"/>
          <w:szCs w:val="24"/>
        </w:rPr>
        <w:t xml:space="preserve"> “Introduction to the Study of Legal Science: The Purpose and Function of Legal Science as a Fundamental Basis in Court Decision</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e-Journal Komunitas Yustisia Universitas Pendidikan Ganesha</w:t>
      </w:r>
      <w:r>
        <w:rPr>
          <w:rFonts w:ascii="Times New Roman" w:hAnsi="Times New Roman" w:cs="Times New Roman"/>
          <w:bCs/>
          <w:sz w:val="24"/>
          <w:szCs w:val="24"/>
        </w:rPr>
        <w:t>.</w:t>
      </w:r>
      <w:r w:rsidRPr="001F0ACD">
        <w:rPr>
          <w:rFonts w:ascii="Times New Roman" w:hAnsi="Times New Roman" w:cs="Times New Roman"/>
          <w:bCs/>
          <w:sz w:val="24"/>
          <w:szCs w:val="24"/>
        </w:rPr>
        <w:t xml:space="preserve"> Vol. 4, No. 3 (2021). </w:t>
      </w:r>
      <w:r>
        <w:rPr>
          <w:rFonts w:ascii="Times New Roman" w:hAnsi="Times New Roman" w:cs="Times New Roman"/>
          <w:bCs/>
          <w:sz w:val="24"/>
          <w:szCs w:val="24"/>
        </w:rPr>
        <w:t xml:space="preserve">Pg. </w:t>
      </w:r>
      <w:r w:rsidRPr="001F0ACD">
        <w:rPr>
          <w:rFonts w:ascii="Times New Roman" w:hAnsi="Times New Roman" w:cs="Times New Roman"/>
          <w:bCs/>
          <w:sz w:val="24"/>
          <w:szCs w:val="24"/>
        </w:rPr>
        <w:t>940-950.</w:t>
      </w:r>
    </w:p>
    <w:p w14:paraId="49870225" w14:textId="5E767857" w:rsidR="003C4584" w:rsidRDefault="003C4584" w:rsidP="00D235A9">
      <w:pPr>
        <w:spacing w:after="0" w:line="240" w:lineRule="auto"/>
        <w:ind w:left="720" w:hanging="720"/>
        <w:jc w:val="both"/>
        <w:rPr>
          <w:rFonts w:ascii="Times New Roman" w:hAnsi="Times New Roman" w:cs="Times New Roman"/>
          <w:bCs/>
          <w:sz w:val="24"/>
          <w:szCs w:val="24"/>
        </w:rPr>
      </w:pPr>
      <w:r w:rsidRPr="003C4584">
        <w:rPr>
          <w:rFonts w:ascii="Times New Roman" w:hAnsi="Times New Roman" w:cs="Times New Roman"/>
          <w:bCs/>
          <w:sz w:val="24"/>
          <w:szCs w:val="24"/>
        </w:rPr>
        <w:t>Parid, Sandya Mahendra, and Nur Milla</w:t>
      </w:r>
      <w:r>
        <w:rPr>
          <w:rFonts w:ascii="Times New Roman" w:hAnsi="Times New Roman" w:cs="Times New Roman"/>
          <w:bCs/>
          <w:sz w:val="24"/>
          <w:szCs w:val="24"/>
        </w:rPr>
        <w:t>. “</w:t>
      </w:r>
      <w:r w:rsidRPr="003C4584">
        <w:rPr>
          <w:rFonts w:ascii="Times New Roman" w:hAnsi="Times New Roman" w:cs="Times New Roman"/>
          <w:bCs/>
          <w:sz w:val="24"/>
          <w:szCs w:val="24"/>
        </w:rPr>
        <w:t>An Analysis of The Perspectives of Aristotle and Imam Al Shatibi on Legal Justice</w:t>
      </w:r>
      <w:r>
        <w:rPr>
          <w:rFonts w:ascii="Times New Roman" w:hAnsi="Times New Roman" w:cs="Times New Roman"/>
          <w:bCs/>
          <w:sz w:val="24"/>
          <w:szCs w:val="24"/>
        </w:rPr>
        <w:t>.”</w:t>
      </w:r>
      <w:r w:rsidRPr="003C4584">
        <w:rPr>
          <w:rFonts w:ascii="Times New Roman" w:hAnsi="Times New Roman" w:cs="Times New Roman"/>
          <w:bCs/>
          <w:sz w:val="24"/>
          <w:szCs w:val="24"/>
        </w:rPr>
        <w:t xml:space="preserve"> </w:t>
      </w:r>
      <w:r w:rsidRPr="003C4584">
        <w:rPr>
          <w:rFonts w:ascii="Times New Roman" w:hAnsi="Times New Roman" w:cs="Times New Roman"/>
          <w:bCs/>
          <w:i/>
          <w:iCs/>
          <w:sz w:val="24"/>
          <w:szCs w:val="24"/>
        </w:rPr>
        <w:t>Journal of Transcendental Law</w:t>
      </w:r>
      <w:r>
        <w:rPr>
          <w:rFonts w:ascii="Times New Roman" w:hAnsi="Times New Roman" w:cs="Times New Roman"/>
          <w:bCs/>
          <w:sz w:val="24"/>
          <w:szCs w:val="24"/>
        </w:rPr>
        <w:t xml:space="preserve">. </w:t>
      </w:r>
      <w:r w:rsidRPr="003C4584">
        <w:rPr>
          <w:rFonts w:ascii="Times New Roman" w:hAnsi="Times New Roman" w:cs="Times New Roman"/>
          <w:bCs/>
          <w:sz w:val="24"/>
          <w:szCs w:val="24"/>
        </w:rPr>
        <w:t>Vol. 6, No. 2 (2024)</w:t>
      </w:r>
      <w:r>
        <w:rPr>
          <w:rFonts w:ascii="Times New Roman" w:hAnsi="Times New Roman" w:cs="Times New Roman"/>
          <w:bCs/>
          <w:sz w:val="24"/>
          <w:szCs w:val="24"/>
        </w:rPr>
        <w:t>. Pg</w:t>
      </w:r>
      <w:r w:rsidRPr="003C4584">
        <w:rPr>
          <w:rFonts w:ascii="Times New Roman" w:hAnsi="Times New Roman" w:cs="Times New Roman"/>
          <w:bCs/>
          <w:sz w:val="24"/>
          <w:szCs w:val="24"/>
        </w:rPr>
        <w:t>. 132-149</w:t>
      </w:r>
      <w:r>
        <w:rPr>
          <w:rFonts w:ascii="Times New Roman" w:hAnsi="Times New Roman" w:cs="Times New Roman"/>
          <w:bCs/>
          <w:sz w:val="24"/>
          <w:szCs w:val="24"/>
        </w:rPr>
        <w:t>.</w:t>
      </w:r>
    </w:p>
    <w:p w14:paraId="42249BBF" w14:textId="02225C92" w:rsidR="00581407" w:rsidRDefault="0094505D" w:rsidP="00D235A9">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Pratama, </w:t>
      </w:r>
      <w:r w:rsidR="00581407" w:rsidRPr="00581407">
        <w:rPr>
          <w:rFonts w:ascii="Times New Roman" w:hAnsi="Times New Roman" w:cs="Times New Roman"/>
          <w:bCs/>
          <w:sz w:val="24"/>
          <w:szCs w:val="24"/>
        </w:rPr>
        <w:t>Juwita Putri and Lita Tyesta ALW</w:t>
      </w:r>
      <w:r>
        <w:rPr>
          <w:rFonts w:ascii="Times New Roman" w:hAnsi="Times New Roman" w:cs="Times New Roman"/>
          <w:bCs/>
          <w:sz w:val="24"/>
          <w:szCs w:val="24"/>
        </w:rPr>
        <w:t>.</w:t>
      </w:r>
      <w:r w:rsidR="00581407" w:rsidRPr="00581407">
        <w:rPr>
          <w:rFonts w:ascii="Times New Roman" w:hAnsi="Times New Roman" w:cs="Times New Roman"/>
          <w:bCs/>
          <w:sz w:val="24"/>
          <w:szCs w:val="24"/>
        </w:rPr>
        <w:t xml:space="preserve"> "The Existence of the Position of Ministerial Regulations Against Regional Regulations in the Hierarchy of Legislative Regulations</w:t>
      </w:r>
      <w:r>
        <w:rPr>
          <w:rFonts w:ascii="Times New Roman" w:hAnsi="Times New Roman" w:cs="Times New Roman"/>
          <w:bCs/>
          <w:sz w:val="24"/>
          <w:szCs w:val="24"/>
        </w:rPr>
        <w:t xml:space="preserve">.” </w:t>
      </w:r>
      <w:r w:rsidR="00581407" w:rsidRPr="0094505D">
        <w:rPr>
          <w:rFonts w:ascii="Times New Roman" w:hAnsi="Times New Roman" w:cs="Times New Roman"/>
          <w:bCs/>
          <w:i/>
          <w:iCs/>
          <w:sz w:val="24"/>
          <w:szCs w:val="24"/>
        </w:rPr>
        <w:t>Jurnal Konstitusi</w:t>
      </w:r>
      <w:r>
        <w:rPr>
          <w:rFonts w:ascii="Times New Roman" w:hAnsi="Times New Roman" w:cs="Times New Roman"/>
          <w:bCs/>
          <w:sz w:val="24"/>
          <w:szCs w:val="24"/>
        </w:rPr>
        <w:t xml:space="preserve">. </w:t>
      </w:r>
      <w:r w:rsidR="00581407" w:rsidRPr="00581407">
        <w:rPr>
          <w:rFonts w:ascii="Times New Roman" w:hAnsi="Times New Roman" w:cs="Times New Roman"/>
          <w:bCs/>
          <w:sz w:val="24"/>
          <w:szCs w:val="24"/>
        </w:rPr>
        <w:t xml:space="preserve">Vol. 19, No. 4 (2022). </w:t>
      </w:r>
      <w:r>
        <w:rPr>
          <w:rFonts w:ascii="Times New Roman" w:hAnsi="Times New Roman" w:cs="Times New Roman"/>
          <w:bCs/>
          <w:sz w:val="24"/>
          <w:szCs w:val="24"/>
        </w:rPr>
        <w:t xml:space="preserve">Pg. </w:t>
      </w:r>
      <w:r w:rsidR="00581407" w:rsidRPr="00581407">
        <w:rPr>
          <w:rFonts w:ascii="Times New Roman" w:hAnsi="Times New Roman" w:cs="Times New Roman"/>
          <w:bCs/>
          <w:sz w:val="24"/>
          <w:szCs w:val="24"/>
        </w:rPr>
        <w:t>865-885</w:t>
      </w:r>
      <w:r>
        <w:rPr>
          <w:rFonts w:ascii="Times New Roman" w:hAnsi="Times New Roman" w:cs="Times New Roman"/>
          <w:bCs/>
          <w:sz w:val="24"/>
          <w:szCs w:val="24"/>
        </w:rPr>
        <w:t>.</w:t>
      </w:r>
    </w:p>
    <w:p w14:paraId="7FD0D00E" w14:textId="737321F7" w:rsidR="00D235A9" w:rsidRDefault="00D235A9" w:rsidP="00D235A9">
      <w:pPr>
        <w:spacing w:after="0" w:line="240" w:lineRule="auto"/>
        <w:ind w:left="720" w:hanging="720"/>
        <w:jc w:val="both"/>
        <w:rPr>
          <w:rFonts w:ascii="Times New Roman" w:hAnsi="Times New Roman" w:cs="Times New Roman"/>
          <w:bCs/>
          <w:sz w:val="24"/>
          <w:szCs w:val="24"/>
        </w:rPr>
      </w:pPr>
      <w:r w:rsidRPr="00D235A9">
        <w:rPr>
          <w:rFonts w:ascii="Times New Roman" w:hAnsi="Times New Roman" w:cs="Times New Roman"/>
          <w:bCs/>
          <w:sz w:val="24"/>
          <w:szCs w:val="24"/>
        </w:rPr>
        <w:t xml:space="preserve">Purwadi, </w:t>
      </w:r>
      <w:r>
        <w:rPr>
          <w:rFonts w:ascii="Times New Roman" w:hAnsi="Times New Roman" w:cs="Times New Roman"/>
          <w:bCs/>
          <w:sz w:val="24"/>
          <w:szCs w:val="24"/>
        </w:rPr>
        <w:t xml:space="preserve">Wira. </w:t>
      </w:r>
      <w:r w:rsidRPr="00D235A9">
        <w:rPr>
          <w:rFonts w:ascii="Times New Roman" w:hAnsi="Times New Roman" w:cs="Times New Roman"/>
          <w:bCs/>
          <w:i/>
          <w:iCs/>
          <w:sz w:val="24"/>
          <w:szCs w:val="24"/>
        </w:rPr>
        <w:t>Et. Al.</w:t>
      </w:r>
      <w:r w:rsidRPr="00D235A9">
        <w:rPr>
          <w:rFonts w:ascii="Times New Roman" w:hAnsi="Times New Roman" w:cs="Times New Roman"/>
          <w:bCs/>
          <w:sz w:val="24"/>
          <w:szCs w:val="24"/>
        </w:rPr>
        <w:t xml:space="preserve"> “Application of the Principle of Equality Before</w:t>
      </w:r>
      <w:r>
        <w:rPr>
          <w:rFonts w:ascii="Times New Roman" w:hAnsi="Times New Roman" w:cs="Times New Roman"/>
          <w:bCs/>
          <w:sz w:val="24"/>
          <w:szCs w:val="24"/>
        </w:rPr>
        <w:t xml:space="preserve"> </w:t>
      </w:r>
      <w:r w:rsidRPr="00D235A9">
        <w:rPr>
          <w:rFonts w:ascii="Times New Roman" w:hAnsi="Times New Roman" w:cs="Times New Roman"/>
          <w:bCs/>
          <w:sz w:val="24"/>
          <w:szCs w:val="24"/>
        </w:rPr>
        <w:t>the Law to Law Enforcement for the Realization of Justice in Society</w:t>
      </w:r>
      <w:r>
        <w:rPr>
          <w:rFonts w:ascii="Times New Roman" w:hAnsi="Times New Roman" w:cs="Times New Roman"/>
          <w:bCs/>
          <w:sz w:val="24"/>
          <w:szCs w:val="24"/>
        </w:rPr>
        <w:t xml:space="preserve">.” </w:t>
      </w:r>
      <w:r w:rsidRPr="00D235A9">
        <w:rPr>
          <w:rFonts w:ascii="Times New Roman" w:hAnsi="Times New Roman" w:cs="Times New Roman"/>
          <w:bCs/>
          <w:i/>
          <w:iCs/>
          <w:sz w:val="24"/>
          <w:szCs w:val="24"/>
        </w:rPr>
        <w:t>Jurnal Legalit</w:t>
      </w:r>
      <w:r>
        <w:rPr>
          <w:rFonts w:ascii="Times New Roman" w:hAnsi="Times New Roman" w:cs="Times New Roman"/>
          <w:bCs/>
          <w:i/>
          <w:iCs/>
          <w:sz w:val="24"/>
          <w:szCs w:val="24"/>
        </w:rPr>
        <w:t xml:space="preserve">as. </w:t>
      </w:r>
      <w:r w:rsidRPr="00D235A9">
        <w:rPr>
          <w:rFonts w:ascii="Times New Roman" w:hAnsi="Times New Roman" w:cs="Times New Roman"/>
          <w:bCs/>
          <w:sz w:val="24"/>
          <w:szCs w:val="24"/>
        </w:rPr>
        <w:t xml:space="preserve">Vol. 15, No. 1 (2022). </w:t>
      </w:r>
      <w:r>
        <w:rPr>
          <w:rFonts w:ascii="Times New Roman" w:hAnsi="Times New Roman" w:cs="Times New Roman"/>
          <w:bCs/>
          <w:sz w:val="24"/>
          <w:szCs w:val="24"/>
        </w:rPr>
        <w:t xml:space="preserve">Pg. </w:t>
      </w:r>
      <w:r w:rsidRPr="00D235A9">
        <w:rPr>
          <w:rFonts w:ascii="Times New Roman" w:hAnsi="Times New Roman" w:cs="Times New Roman"/>
          <w:bCs/>
          <w:sz w:val="24"/>
          <w:szCs w:val="24"/>
        </w:rPr>
        <w:t>59-75</w:t>
      </w:r>
      <w:r>
        <w:rPr>
          <w:rFonts w:ascii="Times New Roman" w:hAnsi="Times New Roman" w:cs="Times New Roman"/>
          <w:bCs/>
          <w:sz w:val="24"/>
          <w:szCs w:val="24"/>
        </w:rPr>
        <w:t>.</w:t>
      </w:r>
    </w:p>
    <w:p w14:paraId="7473A29A" w14:textId="66B2792D" w:rsidR="001F0ACD" w:rsidRDefault="001F0ACD" w:rsidP="00A96BA2">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 xml:space="preserve">Putra, Alif Arhandra. "The Authority of Pawnshops in Issuing Gemstone Certificates in Indonesia." </w:t>
      </w:r>
      <w:r w:rsidRPr="001F0ACD">
        <w:rPr>
          <w:rFonts w:ascii="Times New Roman" w:hAnsi="Times New Roman" w:cs="Times New Roman"/>
          <w:bCs/>
          <w:i/>
          <w:iCs/>
          <w:sz w:val="24"/>
          <w:szCs w:val="24"/>
        </w:rPr>
        <w:t>Jurnal Akta Yudisia</w:t>
      </w:r>
      <w:r w:rsidRPr="001F0ACD">
        <w:rPr>
          <w:rFonts w:ascii="Times New Roman" w:hAnsi="Times New Roman" w:cs="Times New Roman"/>
          <w:bCs/>
          <w:sz w:val="24"/>
          <w:szCs w:val="24"/>
        </w:rPr>
        <w:t>. Vol. 4, No. 2 (2020). Pg. 75-81.</w:t>
      </w:r>
    </w:p>
    <w:p w14:paraId="5FCDD191" w14:textId="4C934C12" w:rsidR="00851D55" w:rsidRDefault="00851D55" w:rsidP="00A96BA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Putro, </w:t>
      </w:r>
      <w:r w:rsidRPr="00851D55">
        <w:rPr>
          <w:rFonts w:ascii="Times New Roman" w:hAnsi="Times New Roman" w:cs="Times New Roman"/>
          <w:bCs/>
          <w:sz w:val="24"/>
          <w:szCs w:val="24"/>
        </w:rPr>
        <w:t>Catur Anggoro, Helmi Rizal, and Sekar Mayangsari</w:t>
      </w:r>
      <w:r>
        <w:rPr>
          <w:rFonts w:ascii="Times New Roman" w:hAnsi="Times New Roman" w:cs="Times New Roman"/>
          <w:bCs/>
          <w:sz w:val="24"/>
          <w:szCs w:val="24"/>
        </w:rPr>
        <w:t xml:space="preserve">. </w:t>
      </w:r>
      <w:r w:rsidRPr="00851D55">
        <w:rPr>
          <w:rFonts w:ascii="Times New Roman" w:hAnsi="Times New Roman" w:cs="Times New Roman"/>
          <w:bCs/>
          <w:sz w:val="24"/>
          <w:szCs w:val="24"/>
        </w:rPr>
        <w:t>“Fulfilling the Principles of Fairness and Equity in the Implementation of OECD Pillar One (Unified Approach) in Indonesia</w:t>
      </w:r>
      <w:r>
        <w:rPr>
          <w:rFonts w:ascii="Times New Roman" w:hAnsi="Times New Roman" w:cs="Times New Roman"/>
          <w:bCs/>
          <w:sz w:val="24"/>
          <w:szCs w:val="24"/>
        </w:rPr>
        <w:t>.”</w:t>
      </w:r>
      <w:r w:rsidRPr="00851D55">
        <w:rPr>
          <w:rFonts w:ascii="Times New Roman" w:hAnsi="Times New Roman" w:cs="Times New Roman"/>
          <w:bCs/>
          <w:sz w:val="24"/>
          <w:szCs w:val="24"/>
        </w:rPr>
        <w:t xml:space="preserve"> </w:t>
      </w:r>
      <w:r w:rsidRPr="00851D55">
        <w:rPr>
          <w:rFonts w:ascii="Times New Roman" w:hAnsi="Times New Roman" w:cs="Times New Roman"/>
          <w:bCs/>
          <w:i/>
          <w:iCs/>
          <w:sz w:val="24"/>
          <w:szCs w:val="24"/>
        </w:rPr>
        <w:t>Indonesian Interdisciplinary Journal of Sharia Economics (IIJSE)</w:t>
      </w:r>
      <w:r>
        <w:rPr>
          <w:rFonts w:ascii="Times New Roman" w:hAnsi="Times New Roman" w:cs="Times New Roman"/>
          <w:bCs/>
          <w:sz w:val="24"/>
          <w:szCs w:val="24"/>
        </w:rPr>
        <w:t xml:space="preserve">. </w:t>
      </w:r>
      <w:r w:rsidRPr="00851D55">
        <w:rPr>
          <w:rFonts w:ascii="Times New Roman" w:hAnsi="Times New Roman" w:cs="Times New Roman"/>
          <w:bCs/>
          <w:sz w:val="24"/>
          <w:szCs w:val="24"/>
        </w:rPr>
        <w:t xml:space="preserve">Vol. 7. No. 1 (2024). </w:t>
      </w:r>
      <w:r>
        <w:rPr>
          <w:rFonts w:ascii="Times New Roman" w:hAnsi="Times New Roman" w:cs="Times New Roman"/>
          <w:bCs/>
          <w:sz w:val="24"/>
          <w:szCs w:val="24"/>
        </w:rPr>
        <w:t xml:space="preserve">Pg. </w:t>
      </w:r>
      <w:r w:rsidRPr="00851D55">
        <w:rPr>
          <w:rFonts w:ascii="Times New Roman" w:hAnsi="Times New Roman" w:cs="Times New Roman"/>
          <w:bCs/>
          <w:sz w:val="24"/>
          <w:szCs w:val="24"/>
        </w:rPr>
        <w:t>562-580</w:t>
      </w:r>
      <w:r>
        <w:rPr>
          <w:rFonts w:ascii="Times New Roman" w:hAnsi="Times New Roman" w:cs="Times New Roman"/>
          <w:bCs/>
          <w:sz w:val="24"/>
          <w:szCs w:val="24"/>
        </w:rPr>
        <w:t>.</w:t>
      </w:r>
    </w:p>
    <w:p w14:paraId="302ED36A" w14:textId="09465A6F" w:rsidR="001F0ACD" w:rsidRPr="00A96BA2" w:rsidRDefault="001F0ACD" w:rsidP="00A96BA2">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Rasji and Farell David Trawocoadji</w:t>
      </w:r>
      <w:r>
        <w:rPr>
          <w:rFonts w:ascii="Times New Roman" w:hAnsi="Times New Roman" w:cs="Times New Roman"/>
          <w:bCs/>
          <w:sz w:val="24"/>
          <w:szCs w:val="24"/>
        </w:rPr>
        <w:t xml:space="preserve">. </w:t>
      </w:r>
      <w:r w:rsidRPr="001F0ACD">
        <w:rPr>
          <w:rFonts w:ascii="Times New Roman" w:hAnsi="Times New Roman" w:cs="Times New Roman"/>
          <w:bCs/>
          <w:sz w:val="24"/>
          <w:szCs w:val="24"/>
        </w:rPr>
        <w:t>"Settlement of Tax Disputes Through the Application of the Principle of Equity</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Journal Indonesia Law and Policy Review</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JILPR</w:t>
      </w:r>
      <w:r w:rsidRPr="001F0ACD">
        <w:rPr>
          <w:rFonts w:ascii="Times New Roman" w:hAnsi="Times New Roman" w:cs="Times New Roman"/>
          <w:bCs/>
          <w:sz w:val="24"/>
          <w:szCs w:val="24"/>
        </w:rPr>
        <w:t>)</w:t>
      </w:r>
      <w:r>
        <w:rPr>
          <w:rFonts w:ascii="Times New Roman" w:hAnsi="Times New Roman" w:cs="Times New Roman"/>
          <w:bCs/>
          <w:sz w:val="24"/>
          <w:szCs w:val="24"/>
        </w:rPr>
        <w:t>.</w:t>
      </w:r>
      <w:r w:rsidRPr="001F0ACD">
        <w:rPr>
          <w:rFonts w:ascii="Times New Roman" w:hAnsi="Times New Roman" w:cs="Times New Roman"/>
          <w:bCs/>
          <w:sz w:val="24"/>
          <w:szCs w:val="24"/>
        </w:rPr>
        <w:t xml:space="preserve"> Vol. 5, No. 1 (2023)</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 254-264.</w:t>
      </w:r>
    </w:p>
    <w:p w14:paraId="76DE25B5" w14:textId="2AE300EB" w:rsidR="007D4829" w:rsidRPr="00A96BA2" w:rsidRDefault="007D4829" w:rsidP="00A96BA2">
      <w:pPr>
        <w:spacing w:after="0" w:line="240" w:lineRule="auto"/>
        <w:ind w:left="720" w:hanging="720"/>
        <w:jc w:val="both"/>
        <w:rPr>
          <w:rFonts w:ascii="Times New Roman" w:hAnsi="Times New Roman" w:cs="Times New Roman"/>
          <w:bCs/>
          <w:sz w:val="24"/>
          <w:szCs w:val="24"/>
          <w:lang w:val="de-DE"/>
        </w:rPr>
      </w:pPr>
      <w:r w:rsidRPr="00A96BA2">
        <w:rPr>
          <w:rFonts w:ascii="Times New Roman" w:hAnsi="Times New Roman" w:cs="Times New Roman"/>
          <w:bCs/>
          <w:sz w:val="24"/>
          <w:szCs w:val="24"/>
        </w:rPr>
        <w:t>Sardanah, Nor Mila Ayu, Nazaruddin Malik, and Zainal Arifin. “</w:t>
      </w:r>
      <w:r w:rsidR="001F0ACD" w:rsidRPr="001F0ACD">
        <w:rPr>
          <w:rFonts w:ascii="Times New Roman" w:hAnsi="Times New Roman" w:cs="Times New Roman"/>
          <w:bCs/>
          <w:sz w:val="24"/>
          <w:szCs w:val="24"/>
        </w:rPr>
        <w:t>Analysis of Gem Traders' Income Before and During the Covid-19 Pandemic in Martapura</w:t>
      </w:r>
      <w:r w:rsidRPr="00A96BA2">
        <w:rPr>
          <w:rFonts w:ascii="Times New Roman" w:hAnsi="Times New Roman" w:cs="Times New Roman"/>
          <w:bCs/>
          <w:sz w:val="24"/>
          <w:szCs w:val="24"/>
        </w:rPr>
        <w:t xml:space="preserve">.”  </w:t>
      </w:r>
      <w:r w:rsidRPr="00A96BA2">
        <w:rPr>
          <w:rFonts w:ascii="Times New Roman" w:hAnsi="Times New Roman" w:cs="Times New Roman"/>
          <w:bCs/>
          <w:i/>
          <w:iCs/>
          <w:sz w:val="24"/>
          <w:szCs w:val="24"/>
          <w:lang w:val="de-DE"/>
        </w:rPr>
        <w:t>Jurnal Ilmu Ekonomi</w:t>
      </w:r>
      <w:r w:rsidRPr="00A96BA2">
        <w:rPr>
          <w:rFonts w:ascii="Times New Roman" w:hAnsi="Times New Roman" w:cs="Times New Roman"/>
          <w:bCs/>
          <w:sz w:val="24"/>
          <w:szCs w:val="24"/>
          <w:lang w:val="de-DE"/>
        </w:rPr>
        <w:t>. Vol. 6, No. 3 (2022). Pg. 421-431.</w:t>
      </w:r>
    </w:p>
    <w:p w14:paraId="435997B3" w14:textId="77777777" w:rsidR="007D4829"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lang w:val="de-DE"/>
        </w:rPr>
        <w:t xml:space="preserve">Schmetzer, Karl. </w:t>
      </w:r>
      <w:r w:rsidRPr="00A96BA2">
        <w:rPr>
          <w:rFonts w:ascii="Times New Roman" w:hAnsi="Times New Roman" w:cs="Times New Roman"/>
          <w:bCs/>
          <w:i/>
          <w:iCs/>
          <w:sz w:val="24"/>
          <w:szCs w:val="24"/>
          <w:lang w:val="de-DE"/>
        </w:rPr>
        <w:t>Et. Al</w:t>
      </w:r>
      <w:r w:rsidRPr="00A96BA2">
        <w:rPr>
          <w:rFonts w:ascii="Times New Roman" w:hAnsi="Times New Roman" w:cs="Times New Roman"/>
          <w:bCs/>
          <w:sz w:val="24"/>
          <w:szCs w:val="24"/>
          <w:lang w:val="de-DE"/>
        </w:rPr>
        <w:t xml:space="preserve">. </w:t>
      </w:r>
      <w:r w:rsidRPr="00A96BA2">
        <w:rPr>
          <w:rFonts w:ascii="Times New Roman" w:hAnsi="Times New Roman" w:cs="Times New Roman"/>
          <w:bCs/>
          <w:sz w:val="24"/>
          <w:szCs w:val="24"/>
        </w:rPr>
        <w:t xml:space="preserve">"Synthetic Alexandrites Grown by the HOC Method in Russia: Internal Features Related to the Growth Technique and Colorimetric Investigation.” </w:t>
      </w:r>
      <w:r w:rsidRPr="00A96BA2">
        <w:rPr>
          <w:rFonts w:ascii="Times New Roman" w:hAnsi="Times New Roman" w:cs="Times New Roman"/>
          <w:bCs/>
          <w:i/>
          <w:iCs/>
          <w:sz w:val="24"/>
          <w:szCs w:val="24"/>
        </w:rPr>
        <w:t>The</w:t>
      </w:r>
      <w:r w:rsidRPr="00A96BA2">
        <w:rPr>
          <w:rFonts w:ascii="Times New Roman" w:hAnsi="Times New Roman" w:cs="Times New Roman"/>
          <w:bCs/>
          <w:sz w:val="24"/>
          <w:szCs w:val="24"/>
        </w:rPr>
        <w:t xml:space="preserve"> </w:t>
      </w:r>
      <w:r w:rsidRPr="00A96BA2">
        <w:rPr>
          <w:rFonts w:ascii="Times New Roman" w:hAnsi="Times New Roman" w:cs="Times New Roman"/>
          <w:bCs/>
          <w:i/>
          <w:iCs/>
          <w:sz w:val="24"/>
          <w:szCs w:val="24"/>
        </w:rPr>
        <w:t>Journal of Gemmology.</w:t>
      </w:r>
      <w:r w:rsidRPr="00A96BA2">
        <w:rPr>
          <w:rFonts w:ascii="Times New Roman" w:hAnsi="Times New Roman" w:cs="Times New Roman"/>
          <w:bCs/>
          <w:sz w:val="24"/>
          <w:szCs w:val="24"/>
        </w:rPr>
        <w:t xml:space="preserve"> Vol. 33, No. 5-6 (2013). Pg. 113-129.</w:t>
      </w:r>
    </w:p>
    <w:p w14:paraId="3DD1CEFD" w14:textId="3B9748AB" w:rsidR="00306A50" w:rsidRPr="00A96BA2" w:rsidRDefault="00306A50" w:rsidP="00A96BA2">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Setiawan, </w:t>
      </w:r>
      <w:r w:rsidRPr="00306A50">
        <w:rPr>
          <w:rFonts w:ascii="Times New Roman" w:hAnsi="Times New Roman" w:cs="Times New Roman"/>
          <w:bCs/>
          <w:sz w:val="24"/>
          <w:szCs w:val="24"/>
        </w:rPr>
        <w:t>Dwi Heru</w:t>
      </w:r>
      <w:r>
        <w:rPr>
          <w:rFonts w:ascii="Times New Roman" w:hAnsi="Times New Roman" w:cs="Times New Roman"/>
          <w:bCs/>
          <w:sz w:val="24"/>
          <w:szCs w:val="24"/>
        </w:rPr>
        <w:t xml:space="preserve">. </w:t>
      </w:r>
      <w:r w:rsidRPr="00306A50">
        <w:rPr>
          <w:rFonts w:ascii="Times New Roman" w:hAnsi="Times New Roman" w:cs="Times New Roman"/>
          <w:bCs/>
          <w:sz w:val="24"/>
          <w:szCs w:val="24"/>
        </w:rPr>
        <w:t>“Analysis of the Jakarta Provincial Governments Tax Relaxation Policy on the Impact of the Covid-19 Pandemic from the Perspective of the Four Maxim Principles</w:t>
      </w:r>
      <w:r>
        <w:rPr>
          <w:rFonts w:ascii="Times New Roman" w:hAnsi="Times New Roman" w:cs="Times New Roman"/>
          <w:bCs/>
          <w:sz w:val="24"/>
          <w:szCs w:val="24"/>
        </w:rPr>
        <w:t xml:space="preserve">.” </w:t>
      </w:r>
      <w:r w:rsidRPr="00306A50">
        <w:rPr>
          <w:rFonts w:ascii="Times New Roman" w:hAnsi="Times New Roman" w:cs="Times New Roman"/>
          <w:bCs/>
          <w:i/>
          <w:iCs/>
          <w:sz w:val="24"/>
          <w:szCs w:val="24"/>
        </w:rPr>
        <w:t>Jurnal Kajian Hukum</w:t>
      </w:r>
      <w:r>
        <w:rPr>
          <w:rFonts w:ascii="Times New Roman" w:hAnsi="Times New Roman" w:cs="Times New Roman"/>
          <w:bCs/>
          <w:i/>
          <w:iCs/>
          <w:sz w:val="24"/>
          <w:szCs w:val="24"/>
        </w:rPr>
        <w:t xml:space="preserve">. </w:t>
      </w:r>
      <w:r w:rsidRPr="00306A50">
        <w:rPr>
          <w:rFonts w:ascii="Times New Roman" w:hAnsi="Times New Roman" w:cs="Times New Roman"/>
          <w:bCs/>
          <w:sz w:val="24"/>
          <w:szCs w:val="24"/>
        </w:rPr>
        <w:t xml:space="preserve">Vol. 5, No. 1, (2020). </w:t>
      </w:r>
      <w:r>
        <w:rPr>
          <w:rFonts w:ascii="Times New Roman" w:hAnsi="Times New Roman" w:cs="Times New Roman"/>
          <w:bCs/>
          <w:sz w:val="24"/>
          <w:szCs w:val="24"/>
        </w:rPr>
        <w:t xml:space="preserve">Pg. </w:t>
      </w:r>
      <w:r w:rsidRPr="00306A50">
        <w:rPr>
          <w:rFonts w:ascii="Times New Roman" w:hAnsi="Times New Roman" w:cs="Times New Roman"/>
          <w:bCs/>
          <w:sz w:val="24"/>
          <w:szCs w:val="24"/>
        </w:rPr>
        <w:t>1-16</w:t>
      </w:r>
      <w:r>
        <w:rPr>
          <w:rFonts w:ascii="Times New Roman" w:hAnsi="Times New Roman" w:cs="Times New Roman"/>
          <w:bCs/>
          <w:sz w:val="24"/>
          <w:szCs w:val="24"/>
        </w:rPr>
        <w:t>.</w:t>
      </w:r>
    </w:p>
    <w:p w14:paraId="5F1D8D1C" w14:textId="1E3CCD8C" w:rsidR="007D4829" w:rsidRDefault="007D4829" w:rsidP="00A96BA2">
      <w:pPr>
        <w:spacing w:after="0" w:line="240" w:lineRule="auto"/>
        <w:ind w:left="720" w:hanging="720"/>
        <w:jc w:val="both"/>
        <w:rPr>
          <w:rFonts w:ascii="Times New Roman" w:hAnsi="Times New Roman" w:cs="Times New Roman"/>
          <w:bCs/>
          <w:color w:val="000000" w:themeColor="text1"/>
          <w:sz w:val="24"/>
          <w:szCs w:val="24"/>
        </w:rPr>
      </w:pPr>
      <w:r w:rsidRPr="00A96BA2">
        <w:rPr>
          <w:rFonts w:ascii="Times New Roman" w:hAnsi="Times New Roman" w:cs="Times New Roman"/>
          <w:bCs/>
          <w:sz w:val="24"/>
          <w:szCs w:val="24"/>
        </w:rPr>
        <w:t xml:space="preserve">Sibuea, Elisabeth Margreta. “Regulation of Retribution in Law Number 28 of 2009 and Law Number 1 of 2022.” </w:t>
      </w:r>
      <w:r w:rsidRPr="00A96BA2">
        <w:rPr>
          <w:rFonts w:ascii="Times New Roman" w:hAnsi="Times New Roman" w:cs="Times New Roman"/>
          <w:bCs/>
          <w:i/>
          <w:iCs/>
          <w:sz w:val="24"/>
          <w:szCs w:val="24"/>
        </w:rPr>
        <w:t>Khatulistiwa: Jurnal Pendidikan dan Sosial Humaniora</w:t>
      </w:r>
      <w:r w:rsidRPr="00A96BA2">
        <w:rPr>
          <w:rFonts w:ascii="Times New Roman" w:hAnsi="Times New Roman" w:cs="Times New Roman"/>
          <w:bCs/>
          <w:sz w:val="24"/>
          <w:szCs w:val="24"/>
        </w:rPr>
        <w:t xml:space="preserve">. Vol. 5, No. 1 (2025). Pg. 733-746.  </w:t>
      </w:r>
      <w:r w:rsidRPr="00D303EC">
        <w:rPr>
          <w:rFonts w:ascii="Times New Roman" w:hAnsi="Times New Roman" w:cs="Times New Roman"/>
          <w:bCs/>
          <w:color w:val="000000" w:themeColor="text1"/>
          <w:sz w:val="24"/>
          <w:szCs w:val="24"/>
        </w:rPr>
        <w:t xml:space="preserve">DOI: </w:t>
      </w:r>
      <w:hyperlink r:id="rId9" w:history="1">
        <w:r w:rsidR="00751F0E" w:rsidRPr="00D303EC">
          <w:rPr>
            <w:rStyle w:val="Hyperlink"/>
            <w:rFonts w:ascii="Times New Roman" w:hAnsi="Times New Roman" w:cs="Times New Roman"/>
            <w:bCs/>
            <w:color w:val="000000" w:themeColor="text1"/>
            <w:sz w:val="24"/>
            <w:szCs w:val="24"/>
            <w:u w:val="none"/>
          </w:rPr>
          <w:t>https://doi.org/10.55606/khatulistiwa.v5i1.6268</w:t>
        </w:r>
      </w:hyperlink>
      <w:r w:rsidRPr="00D303EC">
        <w:rPr>
          <w:rFonts w:ascii="Times New Roman" w:hAnsi="Times New Roman" w:cs="Times New Roman"/>
          <w:bCs/>
          <w:color w:val="000000" w:themeColor="text1"/>
          <w:sz w:val="24"/>
          <w:szCs w:val="24"/>
        </w:rPr>
        <w:t>.</w:t>
      </w:r>
    </w:p>
    <w:p w14:paraId="2132BA17" w14:textId="5498BF78" w:rsidR="000A56B8" w:rsidRPr="00D303EC" w:rsidRDefault="000A56B8" w:rsidP="00A96BA2">
      <w:pPr>
        <w:spacing w:after="0" w:line="240" w:lineRule="auto"/>
        <w:ind w:left="720" w:hanging="720"/>
        <w:jc w:val="both"/>
        <w:rPr>
          <w:rFonts w:ascii="Times New Roman" w:hAnsi="Times New Roman" w:cs="Times New Roman"/>
          <w:bCs/>
          <w:color w:val="000000" w:themeColor="text1"/>
          <w:sz w:val="24"/>
          <w:szCs w:val="24"/>
        </w:rPr>
      </w:pPr>
      <w:r w:rsidRPr="000A56B8">
        <w:rPr>
          <w:rFonts w:ascii="Times New Roman" w:hAnsi="Times New Roman" w:cs="Times New Roman"/>
          <w:bCs/>
          <w:color w:val="000000" w:themeColor="text1"/>
          <w:sz w:val="24"/>
          <w:szCs w:val="24"/>
        </w:rPr>
        <w:t>Silalahi</w:t>
      </w:r>
      <w:r>
        <w:rPr>
          <w:rFonts w:ascii="Times New Roman" w:hAnsi="Times New Roman" w:cs="Times New Roman"/>
          <w:bCs/>
          <w:color w:val="000000" w:themeColor="text1"/>
          <w:sz w:val="24"/>
          <w:szCs w:val="24"/>
        </w:rPr>
        <w:t xml:space="preserve">, Wilma </w:t>
      </w:r>
      <w:r w:rsidRPr="000A56B8">
        <w:rPr>
          <w:rFonts w:ascii="Times New Roman" w:hAnsi="Times New Roman" w:cs="Times New Roman"/>
          <w:bCs/>
          <w:color w:val="000000" w:themeColor="text1"/>
          <w:sz w:val="24"/>
          <w:szCs w:val="24"/>
        </w:rPr>
        <w:t>and Gladwin Wijaya</w:t>
      </w:r>
      <w:r>
        <w:rPr>
          <w:rFonts w:ascii="Times New Roman" w:hAnsi="Times New Roman" w:cs="Times New Roman"/>
          <w:bCs/>
          <w:color w:val="000000" w:themeColor="text1"/>
          <w:sz w:val="24"/>
          <w:szCs w:val="24"/>
        </w:rPr>
        <w:t>. “</w:t>
      </w:r>
      <w:r w:rsidRPr="000A56B8">
        <w:rPr>
          <w:rFonts w:ascii="Times New Roman" w:hAnsi="Times New Roman" w:cs="Times New Roman"/>
          <w:bCs/>
          <w:color w:val="000000" w:themeColor="text1"/>
          <w:sz w:val="24"/>
          <w:szCs w:val="24"/>
        </w:rPr>
        <w:t>Optimization of Tax Utilization in the Perspective of State Financial Law: Between the Principles of Fiscal Justice and Public Accountability</w:t>
      </w:r>
      <w:r>
        <w:rPr>
          <w:rFonts w:ascii="Times New Roman" w:hAnsi="Times New Roman" w:cs="Times New Roman"/>
          <w:bCs/>
          <w:color w:val="000000" w:themeColor="text1"/>
          <w:sz w:val="24"/>
          <w:szCs w:val="24"/>
        </w:rPr>
        <w:t xml:space="preserve">.” </w:t>
      </w:r>
      <w:r w:rsidRPr="000A56B8">
        <w:rPr>
          <w:rFonts w:ascii="Times New Roman" w:hAnsi="Times New Roman" w:cs="Times New Roman"/>
          <w:bCs/>
          <w:i/>
          <w:iCs/>
          <w:color w:val="000000" w:themeColor="text1"/>
          <w:sz w:val="24"/>
          <w:szCs w:val="24"/>
        </w:rPr>
        <w:t>Jurnal Pustaka Cendekia Hukum dan Ilmu Sosial</w:t>
      </w:r>
      <w:r>
        <w:rPr>
          <w:rFonts w:ascii="Times New Roman" w:hAnsi="Times New Roman" w:cs="Times New Roman"/>
          <w:bCs/>
          <w:i/>
          <w:iCs/>
          <w:color w:val="000000" w:themeColor="text1"/>
          <w:sz w:val="24"/>
          <w:szCs w:val="24"/>
        </w:rPr>
        <w:t xml:space="preserve">. </w:t>
      </w:r>
      <w:r w:rsidRPr="000A56B8">
        <w:rPr>
          <w:rFonts w:ascii="Times New Roman" w:hAnsi="Times New Roman" w:cs="Times New Roman"/>
          <w:bCs/>
          <w:color w:val="000000" w:themeColor="text1"/>
          <w:sz w:val="24"/>
          <w:szCs w:val="24"/>
        </w:rPr>
        <w:t>Vol. 3, No. 3, (2025)</w:t>
      </w:r>
      <w:r>
        <w:rPr>
          <w:rFonts w:ascii="Times New Roman" w:hAnsi="Times New Roman" w:cs="Times New Roman"/>
          <w:bCs/>
          <w:color w:val="000000" w:themeColor="text1"/>
          <w:sz w:val="24"/>
          <w:szCs w:val="24"/>
        </w:rPr>
        <w:t>. Pg</w:t>
      </w:r>
      <w:r w:rsidRPr="000A56B8">
        <w:rPr>
          <w:rFonts w:ascii="Times New Roman" w:hAnsi="Times New Roman" w:cs="Times New Roman"/>
          <w:bCs/>
          <w:color w:val="000000" w:themeColor="text1"/>
          <w:sz w:val="24"/>
          <w:szCs w:val="24"/>
        </w:rPr>
        <w:t>. 218-228</w:t>
      </w:r>
      <w:r>
        <w:rPr>
          <w:rFonts w:ascii="Times New Roman" w:hAnsi="Times New Roman" w:cs="Times New Roman"/>
          <w:bCs/>
          <w:color w:val="000000" w:themeColor="text1"/>
          <w:sz w:val="24"/>
          <w:szCs w:val="24"/>
        </w:rPr>
        <w:t>.</w:t>
      </w:r>
    </w:p>
    <w:p w14:paraId="0D34BBEF" w14:textId="43F4CB8A" w:rsidR="00D303EC" w:rsidRDefault="00D303EC" w:rsidP="00A96BA2">
      <w:pPr>
        <w:spacing w:after="0" w:line="240" w:lineRule="auto"/>
        <w:ind w:left="720" w:hanging="720"/>
        <w:jc w:val="both"/>
        <w:rPr>
          <w:rFonts w:ascii="Times New Roman" w:hAnsi="Times New Roman" w:cs="Times New Roman"/>
          <w:bCs/>
          <w:sz w:val="24"/>
          <w:szCs w:val="24"/>
        </w:rPr>
      </w:pPr>
      <w:r w:rsidRPr="00D303EC">
        <w:rPr>
          <w:rFonts w:ascii="Times New Roman" w:hAnsi="Times New Roman" w:cs="Times New Roman"/>
          <w:bCs/>
          <w:sz w:val="24"/>
          <w:szCs w:val="24"/>
        </w:rPr>
        <w:t xml:space="preserve">Tite, Odilo Kelebit. “Analysis of Regional Regulations Viewed from the Techniques of Drafting Laws and Regulations (Study in West Kalimantan Province).” </w:t>
      </w:r>
      <w:r w:rsidRPr="00D303EC">
        <w:rPr>
          <w:rFonts w:ascii="Times New Roman" w:hAnsi="Times New Roman" w:cs="Times New Roman"/>
          <w:bCs/>
          <w:i/>
          <w:iCs/>
          <w:sz w:val="24"/>
          <w:szCs w:val="24"/>
        </w:rPr>
        <w:t xml:space="preserve">Jurnal Nestor Magister Hukum. </w:t>
      </w:r>
      <w:r w:rsidRPr="00D303EC">
        <w:rPr>
          <w:rFonts w:ascii="Times New Roman" w:hAnsi="Times New Roman" w:cs="Times New Roman"/>
          <w:bCs/>
          <w:sz w:val="24"/>
          <w:szCs w:val="24"/>
        </w:rPr>
        <w:t>Vol. 13, No. 2 (2017). Pg. 1-15.</w:t>
      </w:r>
    </w:p>
    <w:p w14:paraId="2C42783A" w14:textId="6FD6BE16" w:rsidR="00751F0E" w:rsidRDefault="00751F0E" w:rsidP="00751F0E">
      <w:pPr>
        <w:spacing w:after="0" w:line="240" w:lineRule="auto"/>
        <w:ind w:left="720" w:hanging="720"/>
        <w:jc w:val="both"/>
        <w:rPr>
          <w:rFonts w:ascii="Times New Roman" w:hAnsi="Times New Roman" w:cs="Times New Roman"/>
          <w:bCs/>
          <w:sz w:val="24"/>
          <w:szCs w:val="24"/>
        </w:rPr>
      </w:pPr>
      <w:r w:rsidRPr="00751F0E">
        <w:rPr>
          <w:rFonts w:ascii="Times New Roman" w:hAnsi="Times New Roman" w:cs="Times New Roman"/>
          <w:bCs/>
          <w:sz w:val="24"/>
          <w:szCs w:val="24"/>
        </w:rPr>
        <w:lastRenderedPageBreak/>
        <w:t xml:space="preserve">Tolibjonovich, </w:t>
      </w:r>
      <w:r w:rsidR="000E59B0" w:rsidRPr="00751F0E">
        <w:rPr>
          <w:rFonts w:ascii="Times New Roman" w:hAnsi="Times New Roman" w:cs="Times New Roman"/>
          <w:bCs/>
          <w:sz w:val="24"/>
          <w:szCs w:val="24"/>
        </w:rPr>
        <w:t>Madumarov Talantbek</w:t>
      </w:r>
      <w:r w:rsidR="000E59B0">
        <w:rPr>
          <w:rFonts w:ascii="Times New Roman" w:hAnsi="Times New Roman" w:cs="Times New Roman"/>
          <w:bCs/>
          <w:sz w:val="24"/>
          <w:szCs w:val="24"/>
        </w:rPr>
        <w:t xml:space="preserve">. </w:t>
      </w:r>
      <w:r w:rsidR="000E59B0" w:rsidRPr="00751F0E">
        <w:rPr>
          <w:rFonts w:ascii="Times New Roman" w:hAnsi="Times New Roman" w:cs="Times New Roman"/>
          <w:bCs/>
          <w:sz w:val="24"/>
          <w:szCs w:val="24"/>
        </w:rPr>
        <w:t xml:space="preserve"> </w:t>
      </w:r>
      <w:r w:rsidRPr="00751F0E">
        <w:rPr>
          <w:rFonts w:ascii="Times New Roman" w:hAnsi="Times New Roman" w:cs="Times New Roman"/>
          <w:bCs/>
          <w:sz w:val="24"/>
          <w:szCs w:val="24"/>
        </w:rPr>
        <w:t>“The Essence of the Concept of Equality and Justice in Law</w:t>
      </w:r>
      <w:r w:rsidR="000E59B0">
        <w:rPr>
          <w:rFonts w:ascii="Times New Roman" w:hAnsi="Times New Roman" w:cs="Times New Roman"/>
          <w:bCs/>
          <w:sz w:val="24"/>
          <w:szCs w:val="24"/>
        </w:rPr>
        <w:t xml:space="preserve">.” </w:t>
      </w:r>
      <w:r w:rsidRPr="000E59B0">
        <w:rPr>
          <w:rFonts w:ascii="Times New Roman" w:hAnsi="Times New Roman" w:cs="Times New Roman"/>
          <w:bCs/>
          <w:i/>
          <w:iCs/>
          <w:sz w:val="24"/>
          <w:szCs w:val="24"/>
        </w:rPr>
        <w:t>Novateur Publications Journal NX - A Multidisciplinary Peer Reviewed Journal</w:t>
      </w:r>
      <w:r w:rsidR="000E59B0">
        <w:rPr>
          <w:rFonts w:ascii="Times New Roman" w:hAnsi="Times New Roman" w:cs="Times New Roman"/>
          <w:bCs/>
          <w:sz w:val="24"/>
          <w:szCs w:val="24"/>
        </w:rPr>
        <w:t xml:space="preserve">. </w:t>
      </w:r>
      <w:r w:rsidRPr="00751F0E">
        <w:rPr>
          <w:rFonts w:ascii="Times New Roman" w:hAnsi="Times New Roman" w:cs="Times New Roman"/>
          <w:bCs/>
          <w:sz w:val="24"/>
          <w:szCs w:val="24"/>
        </w:rPr>
        <w:t xml:space="preserve">Vol. 7, Issue 3 (2021). </w:t>
      </w:r>
      <w:r w:rsidR="000E59B0">
        <w:rPr>
          <w:rFonts w:ascii="Times New Roman" w:hAnsi="Times New Roman" w:cs="Times New Roman"/>
          <w:bCs/>
          <w:sz w:val="24"/>
          <w:szCs w:val="24"/>
        </w:rPr>
        <w:t xml:space="preserve">Pg. </w:t>
      </w:r>
      <w:r w:rsidRPr="00751F0E">
        <w:rPr>
          <w:rFonts w:ascii="Times New Roman" w:hAnsi="Times New Roman" w:cs="Times New Roman"/>
          <w:bCs/>
          <w:sz w:val="24"/>
          <w:szCs w:val="24"/>
        </w:rPr>
        <w:t>17-19</w:t>
      </w:r>
      <w:r w:rsidR="000E59B0">
        <w:rPr>
          <w:rFonts w:ascii="Times New Roman" w:hAnsi="Times New Roman" w:cs="Times New Roman"/>
          <w:bCs/>
          <w:sz w:val="24"/>
          <w:szCs w:val="24"/>
        </w:rPr>
        <w:t>.</w:t>
      </w:r>
    </w:p>
    <w:p w14:paraId="26A3F08A" w14:textId="72441823" w:rsidR="001A2D63" w:rsidRDefault="001A2D63" w:rsidP="001A2D63">
      <w:pPr>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Triana, </w:t>
      </w:r>
      <w:r w:rsidRPr="001A2D63">
        <w:rPr>
          <w:rFonts w:ascii="Times New Roman" w:hAnsi="Times New Roman" w:cs="Times New Roman"/>
          <w:bCs/>
          <w:sz w:val="24"/>
          <w:szCs w:val="24"/>
        </w:rPr>
        <w:t>Neny</w:t>
      </w:r>
      <w:r>
        <w:rPr>
          <w:rFonts w:ascii="Times New Roman" w:hAnsi="Times New Roman" w:cs="Times New Roman"/>
          <w:bCs/>
          <w:sz w:val="24"/>
          <w:szCs w:val="24"/>
        </w:rPr>
        <w:t xml:space="preserve">. </w:t>
      </w:r>
      <w:r w:rsidRPr="001A2D63">
        <w:rPr>
          <w:rFonts w:ascii="Times New Roman" w:hAnsi="Times New Roman" w:cs="Times New Roman"/>
          <w:bCs/>
          <w:sz w:val="24"/>
          <w:szCs w:val="24"/>
        </w:rPr>
        <w:t>“The Theory of Justice (Aristotle) Against Imperfect Collateral Binding Bad Debt Case at State-Owned Bank</w:t>
      </w:r>
      <w:r>
        <w:rPr>
          <w:rFonts w:ascii="Times New Roman" w:hAnsi="Times New Roman" w:cs="Times New Roman"/>
          <w:bCs/>
          <w:sz w:val="24"/>
          <w:szCs w:val="24"/>
        </w:rPr>
        <w:t xml:space="preserve">.” </w:t>
      </w:r>
      <w:r w:rsidRPr="001A2D63">
        <w:rPr>
          <w:rFonts w:ascii="Times New Roman" w:hAnsi="Times New Roman" w:cs="Times New Roman"/>
          <w:bCs/>
          <w:i/>
          <w:iCs/>
          <w:sz w:val="24"/>
          <w:szCs w:val="24"/>
        </w:rPr>
        <w:t>Jurnal Akta</w:t>
      </w:r>
      <w:r>
        <w:rPr>
          <w:rFonts w:ascii="Times New Roman" w:hAnsi="Times New Roman" w:cs="Times New Roman"/>
          <w:bCs/>
          <w:sz w:val="24"/>
          <w:szCs w:val="24"/>
        </w:rPr>
        <w:t xml:space="preserve">. </w:t>
      </w:r>
      <w:r w:rsidRPr="001A2D63">
        <w:rPr>
          <w:rFonts w:ascii="Times New Roman" w:hAnsi="Times New Roman" w:cs="Times New Roman"/>
          <w:bCs/>
          <w:sz w:val="24"/>
          <w:szCs w:val="24"/>
        </w:rPr>
        <w:t xml:space="preserve">Vol. 12, No. 1 (2025). </w:t>
      </w:r>
      <w:r>
        <w:rPr>
          <w:rFonts w:ascii="Times New Roman" w:hAnsi="Times New Roman" w:cs="Times New Roman"/>
          <w:bCs/>
          <w:sz w:val="24"/>
          <w:szCs w:val="24"/>
        </w:rPr>
        <w:t xml:space="preserve">Pg. </w:t>
      </w:r>
      <w:r w:rsidRPr="001A2D63">
        <w:rPr>
          <w:rFonts w:ascii="Times New Roman" w:hAnsi="Times New Roman" w:cs="Times New Roman"/>
          <w:bCs/>
          <w:sz w:val="24"/>
          <w:szCs w:val="24"/>
        </w:rPr>
        <w:t>205-214</w:t>
      </w:r>
      <w:r>
        <w:rPr>
          <w:rFonts w:ascii="Times New Roman" w:hAnsi="Times New Roman" w:cs="Times New Roman"/>
          <w:bCs/>
          <w:sz w:val="24"/>
          <w:szCs w:val="24"/>
        </w:rPr>
        <w:t>.</w:t>
      </w:r>
    </w:p>
    <w:p w14:paraId="7DF0E9C7" w14:textId="64D5B08F" w:rsidR="005105F3" w:rsidRPr="005105F3" w:rsidRDefault="005105F3" w:rsidP="00751F0E">
      <w:pPr>
        <w:spacing w:after="0" w:line="240" w:lineRule="auto"/>
        <w:ind w:left="720" w:hanging="720"/>
        <w:jc w:val="both"/>
        <w:rPr>
          <w:rFonts w:ascii="Times New Roman" w:hAnsi="Times New Roman" w:cs="Times New Roman"/>
          <w:b/>
          <w:sz w:val="24"/>
          <w:szCs w:val="24"/>
        </w:rPr>
      </w:pPr>
      <w:r w:rsidRPr="005105F3">
        <w:rPr>
          <w:rFonts w:ascii="Times New Roman" w:hAnsi="Times New Roman" w:cs="Times New Roman"/>
          <w:b/>
          <w:sz w:val="24"/>
          <w:szCs w:val="24"/>
        </w:rPr>
        <w:t>Proceedings</w:t>
      </w:r>
    </w:p>
    <w:p w14:paraId="4DE57AC7" w14:textId="25B4EB68" w:rsidR="005105F3" w:rsidRPr="00A96BA2" w:rsidRDefault="005105F3" w:rsidP="005105F3">
      <w:pPr>
        <w:spacing w:after="0" w:line="240" w:lineRule="auto"/>
        <w:ind w:left="720" w:hanging="720"/>
        <w:jc w:val="both"/>
        <w:rPr>
          <w:rFonts w:ascii="Times New Roman" w:hAnsi="Times New Roman" w:cs="Times New Roman"/>
          <w:bCs/>
          <w:sz w:val="24"/>
          <w:szCs w:val="24"/>
        </w:rPr>
      </w:pPr>
      <w:r w:rsidRPr="001F0ACD">
        <w:rPr>
          <w:rFonts w:ascii="Times New Roman" w:hAnsi="Times New Roman" w:cs="Times New Roman"/>
          <w:bCs/>
          <w:sz w:val="24"/>
          <w:szCs w:val="24"/>
        </w:rPr>
        <w:t>Darmayasa, I Nyoman</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sidRPr="001F0ACD">
        <w:rPr>
          <w:rFonts w:ascii="Times New Roman" w:hAnsi="Times New Roman" w:cs="Times New Roman"/>
          <w:bCs/>
          <w:i/>
          <w:iCs/>
          <w:sz w:val="24"/>
          <w:szCs w:val="24"/>
        </w:rPr>
        <w:t>Et. Al.</w:t>
      </w:r>
      <w:r w:rsidRPr="001F0ACD">
        <w:rPr>
          <w:rFonts w:ascii="Times New Roman" w:hAnsi="Times New Roman" w:cs="Times New Roman"/>
          <w:bCs/>
          <w:sz w:val="24"/>
          <w:szCs w:val="24"/>
        </w:rPr>
        <w:t xml:space="preserve"> "Equality Principle in Designing Taxation International Digital Transactions: A Case Study of ASEAN</w:t>
      </w:r>
      <w:r>
        <w:rPr>
          <w:rFonts w:ascii="Times New Roman" w:hAnsi="Times New Roman" w:cs="Times New Roman"/>
          <w:bCs/>
          <w:sz w:val="24"/>
          <w:szCs w:val="24"/>
        </w:rPr>
        <w:t>.</w:t>
      </w:r>
      <w:r w:rsidRPr="001F0ACD">
        <w:rPr>
          <w:rFonts w:ascii="Times New Roman" w:hAnsi="Times New Roman" w:cs="Times New Roman"/>
          <w:bCs/>
          <w:sz w:val="24"/>
          <w:szCs w:val="24"/>
        </w:rPr>
        <w:t>" Proceedings of the International Conference on Sustainable Green Tourism Applied Science - Social Applied Science 2024 (ICoSTAS-SAS 2024)</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ublished by Atlantis Press, 2024</w:t>
      </w:r>
      <w:r>
        <w:rPr>
          <w:rFonts w:ascii="Times New Roman" w:hAnsi="Times New Roman" w:cs="Times New Roman"/>
          <w:bCs/>
          <w:sz w:val="24"/>
          <w:szCs w:val="24"/>
        </w:rPr>
        <w:t>.</w:t>
      </w:r>
      <w:r w:rsidRPr="001F0ACD">
        <w:rPr>
          <w:rFonts w:ascii="Times New Roman" w:hAnsi="Times New Roman" w:cs="Times New Roman"/>
          <w:bCs/>
          <w:sz w:val="24"/>
          <w:szCs w:val="24"/>
        </w:rPr>
        <w:t xml:space="preserve"> doi: 10.2991/978-94-6463-622-2_77</w:t>
      </w:r>
      <w:r>
        <w:rPr>
          <w:rFonts w:ascii="Times New Roman" w:hAnsi="Times New Roman" w:cs="Times New Roman"/>
          <w:bCs/>
          <w:sz w:val="24"/>
          <w:szCs w:val="24"/>
        </w:rPr>
        <w:t>.</w:t>
      </w:r>
      <w:r w:rsidRPr="001F0ACD">
        <w:rPr>
          <w:rFonts w:ascii="Times New Roman" w:hAnsi="Times New Roman" w:cs="Times New Roman"/>
          <w:bCs/>
          <w:sz w:val="24"/>
          <w:szCs w:val="24"/>
        </w:rPr>
        <w:t xml:space="preserve"> </w:t>
      </w:r>
      <w:r>
        <w:rPr>
          <w:rFonts w:ascii="Times New Roman" w:hAnsi="Times New Roman" w:cs="Times New Roman"/>
          <w:bCs/>
          <w:sz w:val="24"/>
          <w:szCs w:val="24"/>
        </w:rPr>
        <w:t>P</w:t>
      </w:r>
      <w:r w:rsidRPr="001F0ACD">
        <w:rPr>
          <w:rFonts w:ascii="Times New Roman" w:hAnsi="Times New Roman" w:cs="Times New Roman"/>
          <w:bCs/>
          <w:sz w:val="24"/>
          <w:szCs w:val="24"/>
        </w:rPr>
        <w:t>g. 697-705.</w:t>
      </w:r>
    </w:p>
    <w:p w14:paraId="0BBB5845"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Books</w:t>
      </w:r>
    </w:p>
    <w:p w14:paraId="0C032142" w14:textId="31800929" w:rsidR="001F0ACD" w:rsidRDefault="001F0ACD" w:rsidP="00A96BA2">
      <w:pPr>
        <w:spacing w:after="0" w:line="240" w:lineRule="auto"/>
        <w:jc w:val="both"/>
        <w:rPr>
          <w:rFonts w:ascii="Times New Roman" w:hAnsi="Times New Roman" w:cs="Times New Roman"/>
          <w:sz w:val="24"/>
          <w:szCs w:val="24"/>
        </w:rPr>
      </w:pPr>
      <w:r w:rsidRPr="00030F0E">
        <w:rPr>
          <w:rFonts w:ascii="Times New Roman" w:hAnsi="Times New Roman" w:cs="Times New Roman"/>
          <w:sz w:val="24"/>
          <w:szCs w:val="24"/>
        </w:rPr>
        <w:t>Arnio,</w:t>
      </w:r>
      <w:r w:rsidRPr="00030F0E">
        <w:rPr>
          <w:rFonts w:ascii="Times New Roman" w:hAnsi="Times New Roman" w:cs="Times New Roman"/>
          <w:i/>
          <w:iCs/>
          <w:sz w:val="24"/>
          <w:szCs w:val="24"/>
        </w:rPr>
        <w:t xml:space="preserve"> </w:t>
      </w:r>
      <w:r w:rsidRPr="00030F0E">
        <w:rPr>
          <w:rFonts w:ascii="Times New Roman" w:hAnsi="Times New Roman" w:cs="Times New Roman"/>
          <w:sz w:val="24"/>
          <w:szCs w:val="24"/>
        </w:rPr>
        <w:t>Aulis</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Essays on the Doctrinal Study of Law</w:t>
      </w:r>
      <w:r>
        <w:rPr>
          <w:rFonts w:ascii="Times New Roman" w:hAnsi="Times New Roman" w:cs="Times New Roman"/>
          <w:sz w:val="24"/>
          <w:szCs w:val="24"/>
        </w:rPr>
        <w:t>.</w:t>
      </w:r>
      <w:r w:rsidRPr="00030F0E">
        <w:rPr>
          <w:rFonts w:ascii="Times New Roman" w:hAnsi="Times New Roman" w:cs="Times New Roman"/>
          <w:sz w:val="24"/>
          <w:szCs w:val="24"/>
        </w:rPr>
        <w:t xml:space="preserve"> New York: Springer, 2011</w:t>
      </w:r>
      <w:r>
        <w:rPr>
          <w:rFonts w:ascii="Times New Roman" w:hAnsi="Times New Roman" w:cs="Times New Roman"/>
          <w:sz w:val="24"/>
          <w:szCs w:val="24"/>
        </w:rPr>
        <w:t>.</w:t>
      </w:r>
    </w:p>
    <w:p w14:paraId="05B54663" w14:textId="5686CA13" w:rsidR="001F0ACD" w:rsidRDefault="001F0ACD" w:rsidP="00A96BA2">
      <w:pPr>
        <w:spacing w:after="0" w:line="240" w:lineRule="auto"/>
        <w:jc w:val="both"/>
        <w:rPr>
          <w:rFonts w:ascii="Times New Roman" w:hAnsi="Times New Roman" w:cs="Times New Roman"/>
          <w:sz w:val="24"/>
          <w:szCs w:val="24"/>
        </w:rPr>
      </w:pPr>
      <w:r w:rsidRPr="00030F0E">
        <w:rPr>
          <w:rFonts w:ascii="Times New Roman" w:hAnsi="Times New Roman" w:cs="Times New Roman"/>
          <w:sz w:val="24"/>
          <w:szCs w:val="24"/>
        </w:rPr>
        <w:t>Ayza, Bustamar</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Indonesian Tax Laws</w:t>
      </w:r>
      <w:r>
        <w:rPr>
          <w:rFonts w:ascii="Times New Roman" w:hAnsi="Times New Roman" w:cs="Times New Roman"/>
          <w:sz w:val="24"/>
          <w:szCs w:val="24"/>
        </w:rPr>
        <w:t>.</w:t>
      </w:r>
      <w:r w:rsidRPr="00030F0E">
        <w:rPr>
          <w:rFonts w:ascii="Times New Roman" w:hAnsi="Times New Roman" w:cs="Times New Roman"/>
          <w:sz w:val="24"/>
          <w:szCs w:val="24"/>
        </w:rPr>
        <w:t xml:space="preserve"> Jakarta: Kencana, 2017</w:t>
      </w:r>
      <w:r>
        <w:rPr>
          <w:rFonts w:ascii="Times New Roman" w:hAnsi="Times New Roman" w:cs="Times New Roman"/>
          <w:sz w:val="24"/>
          <w:szCs w:val="24"/>
        </w:rPr>
        <w:t>.</w:t>
      </w:r>
    </w:p>
    <w:p w14:paraId="2D361487" w14:textId="6EB3E06A" w:rsidR="007D4829" w:rsidRDefault="001F0ACD" w:rsidP="00A96BA2">
      <w:pPr>
        <w:spacing w:after="0" w:line="240" w:lineRule="auto"/>
        <w:jc w:val="both"/>
        <w:rPr>
          <w:rFonts w:ascii="Times New Roman" w:hAnsi="Times New Roman" w:cs="Times New Roman"/>
          <w:sz w:val="24"/>
          <w:szCs w:val="24"/>
        </w:rPr>
      </w:pPr>
      <w:r w:rsidRPr="00030F0E">
        <w:rPr>
          <w:rFonts w:ascii="Times New Roman" w:hAnsi="Times New Roman" w:cs="Times New Roman"/>
          <w:sz w:val="24"/>
          <w:szCs w:val="24"/>
        </w:rPr>
        <w:t>Brotodihardjo, R. Santoso</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Introduction to Tax Laws</w:t>
      </w:r>
      <w:r>
        <w:rPr>
          <w:rFonts w:ascii="Times New Roman" w:hAnsi="Times New Roman" w:cs="Times New Roman"/>
          <w:sz w:val="24"/>
          <w:szCs w:val="24"/>
        </w:rPr>
        <w:t>.</w:t>
      </w:r>
      <w:r w:rsidRPr="00030F0E">
        <w:rPr>
          <w:rFonts w:ascii="Times New Roman" w:hAnsi="Times New Roman" w:cs="Times New Roman"/>
          <w:sz w:val="24"/>
          <w:szCs w:val="24"/>
        </w:rPr>
        <w:t xml:space="preserve"> Bandung: PT Refika Aditama, 1998</w:t>
      </w:r>
      <w:r>
        <w:rPr>
          <w:rFonts w:ascii="Times New Roman" w:hAnsi="Times New Roman" w:cs="Times New Roman"/>
          <w:sz w:val="24"/>
          <w:szCs w:val="24"/>
        </w:rPr>
        <w:t>.</w:t>
      </w:r>
    </w:p>
    <w:p w14:paraId="249DF640" w14:textId="19B802B6" w:rsidR="001068F9" w:rsidRDefault="001068F9" w:rsidP="003C2820">
      <w:pPr>
        <w:spacing w:after="0" w:line="240" w:lineRule="auto"/>
        <w:ind w:left="720" w:hanging="720"/>
        <w:jc w:val="both"/>
        <w:rPr>
          <w:rFonts w:ascii="Times New Roman" w:hAnsi="Times New Roman" w:cs="Times New Roman"/>
          <w:sz w:val="24"/>
          <w:szCs w:val="24"/>
        </w:rPr>
      </w:pPr>
      <w:r w:rsidRPr="001068F9">
        <w:rPr>
          <w:rFonts w:ascii="Times New Roman" w:hAnsi="Times New Roman" w:cs="Times New Roman"/>
          <w:sz w:val="24"/>
          <w:szCs w:val="24"/>
        </w:rPr>
        <w:t xml:space="preserve">Brotosusilo, Agus. </w:t>
      </w:r>
      <w:r w:rsidRPr="003C2820">
        <w:rPr>
          <w:rFonts w:ascii="Times New Roman" w:hAnsi="Times New Roman" w:cs="Times New Roman"/>
          <w:i/>
          <w:iCs/>
          <w:sz w:val="24"/>
          <w:szCs w:val="24"/>
        </w:rPr>
        <w:t>Et. Al. Legal Researchs: Lecturers Guidebook</w:t>
      </w:r>
      <w:r w:rsidRPr="001068F9">
        <w:rPr>
          <w:rFonts w:ascii="Times New Roman" w:hAnsi="Times New Roman" w:cs="Times New Roman"/>
          <w:sz w:val="24"/>
          <w:szCs w:val="24"/>
        </w:rPr>
        <w:t>. Jakarta: Asia Foundation - Konsorsium Ilmu Hukum, 1994.</w:t>
      </w:r>
    </w:p>
    <w:p w14:paraId="08A8B8D5" w14:textId="41EF951A" w:rsidR="00982ADB" w:rsidRPr="001769BB" w:rsidRDefault="00982ADB" w:rsidP="001769BB">
      <w:pPr>
        <w:spacing w:after="0" w:line="240" w:lineRule="auto"/>
        <w:ind w:left="720" w:hanging="720"/>
        <w:jc w:val="both"/>
        <w:rPr>
          <w:rFonts w:ascii="Times New Roman" w:eastAsiaTheme="minorEastAsia" w:hAnsi="Times New Roman" w:cs="Times New Roman"/>
          <w:sz w:val="24"/>
          <w:szCs w:val="24"/>
        </w:rPr>
      </w:pPr>
      <w:r w:rsidRPr="001769BB">
        <w:rPr>
          <w:rFonts w:ascii="Times New Roman" w:eastAsiaTheme="minorEastAsia" w:hAnsi="Times New Roman" w:cs="Times New Roman"/>
          <w:sz w:val="24"/>
          <w:szCs w:val="24"/>
        </w:rPr>
        <w:t xml:space="preserve">Mertokosumo, Sudikno. </w:t>
      </w:r>
      <w:r w:rsidRPr="001769BB">
        <w:rPr>
          <w:rFonts w:ascii="Times New Roman" w:eastAsiaTheme="minorEastAsia" w:hAnsi="Times New Roman" w:cs="Times New Roman"/>
          <w:i/>
          <w:iCs/>
          <w:sz w:val="24"/>
          <w:szCs w:val="24"/>
        </w:rPr>
        <w:t>Understanding Law: An Introduction</w:t>
      </w:r>
      <w:r w:rsidRPr="001769BB">
        <w:rPr>
          <w:rFonts w:ascii="Times New Roman" w:eastAsiaTheme="minorEastAsia" w:hAnsi="Times New Roman" w:cs="Times New Roman"/>
          <w:sz w:val="24"/>
          <w:szCs w:val="24"/>
        </w:rPr>
        <w:t>. Yogyakarta: Cahaya Atma Pustaka, 2016.</w:t>
      </w:r>
    </w:p>
    <w:p w14:paraId="0CCF4C66" w14:textId="3D653AF1" w:rsidR="004C0733" w:rsidRDefault="004C0733" w:rsidP="004C0733">
      <w:pPr>
        <w:spacing w:after="0" w:line="240" w:lineRule="auto"/>
        <w:ind w:left="720" w:hanging="720"/>
        <w:jc w:val="both"/>
        <w:rPr>
          <w:rFonts w:ascii="Times New Roman" w:hAnsi="Times New Roman" w:cs="Times New Roman"/>
          <w:sz w:val="24"/>
          <w:szCs w:val="24"/>
        </w:rPr>
      </w:pPr>
      <w:r w:rsidRPr="00030F0E">
        <w:rPr>
          <w:rFonts w:ascii="Times New Roman" w:hAnsi="Times New Roman" w:cs="Times New Roman"/>
          <w:sz w:val="24"/>
          <w:szCs w:val="24"/>
        </w:rPr>
        <w:t>Scalia</w:t>
      </w:r>
      <w:r>
        <w:rPr>
          <w:rFonts w:ascii="Times New Roman" w:hAnsi="Times New Roman" w:cs="Times New Roman"/>
          <w:sz w:val="24"/>
          <w:szCs w:val="24"/>
        </w:rPr>
        <w:t>,</w:t>
      </w:r>
      <w:r w:rsidRPr="00030F0E">
        <w:rPr>
          <w:rFonts w:ascii="Times New Roman" w:hAnsi="Times New Roman" w:cs="Times New Roman"/>
          <w:sz w:val="24"/>
          <w:szCs w:val="24"/>
        </w:rPr>
        <w:t xml:space="preserve"> Antonin and Bryan A. Garner</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Reading Law: The Interpretation of Legal Texts</w:t>
      </w:r>
      <w:r>
        <w:rPr>
          <w:rFonts w:ascii="Times New Roman" w:hAnsi="Times New Roman" w:cs="Times New Roman"/>
          <w:i/>
          <w:iCs/>
          <w:sz w:val="24"/>
          <w:szCs w:val="24"/>
        </w:rPr>
        <w:t>.</w:t>
      </w:r>
      <w:r w:rsidRPr="00030F0E">
        <w:rPr>
          <w:rFonts w:ascii="Times New Roman" w:hAnsi="Times New Roman" w:cs="Times New Roman"/>
          <w:sz w:val="24"/>
          <w:szCs w:val="24"/>
        </w:rPr>
        <w:t xml:space="preserve"> St Paul, MN: Thomas/West, 2012</w:t>
      </w:r>
      <w:r>
        <w:rPr>
          <w:rFonts w:ascii="Times New Roman" w:hAnsi="Times New Roman" w:cs="Times New Roman"/>
          <w:sz w:val="24"/>
          <w:szCs w:val="24"/>
        </w:rPr>
        <w:t>.</w:t>
      </w:r>
    </w:p>
    <w:p w14:paraId="0D6D4758" w14:textId="5E30AFA6" w:rsidR="001F0ACD" w:rsidRDefault="001F0ACD" w:rsidP="004C0733">
      <w:pPr>
        <w:spacing w:after="0" w:line="240" w:lineRule="auto"/>
        <w:ind w:left="720" w:hanging="720"/>
        <w:jc w:val="both"/>
        <w:rPr>
          <w:rFonts w:ascii="Times New Roman" w:hAnsi="Times New Roman" w:cs="Times New Roman"/>
          <w:sz w:val="24"/>
          <w:szCs w:val="24"/>
        </w:rPr>
      </w:pPr>
      <w:r w:rsidRPr="00030F0E">
        <w:rPr>
          <w:rFonts w:ascii="Times New Roman" w:hAnsi="Times New Roman" w:cs="Times New Roman"/>
          <w:sz w:val="24"/>
          <w:szCs w:val="24"/>
        </w:rPr>
        <w:t>Soekanto, Soerjono</w:t>
      </w:r>
      <w:r>
        <w:rPr>
          <w:rFonts w:ascii="Times New Roman" w:hAnsi="Times New Roman" w:cs="Times New Roman"/>
          <w:sz w:val="24"/>
          <w:szCs w:val="24"/>
        </w:rPr>
        <w:t>.</w:t>
      </w:r>
      <w:r w:rsidRPr="00030F0E">
        <w:rPr>
          <w:rFonts w:ascii="Times New Roman" w:hAnsi="Times New Roman" w:cs="Times New Roman"/>
          <w:sz w:val="24"/>
          <w:szCs w:val="24"/>
        </w:rPr>
        <w:t xml:space="preserve"> </w:t>
      </w:r>
      <w:r w:rsidRPr="00030F0E">
        <w:rPr>
          <w:rFonts w:ascii="Times New Roman" w:hAnsi="Times New Roman" w:cs="Times New Roman"/>
          <w:i/>
          <w:iCs/>
          <w:sz w:val="24"/>
          <w:szCs w:val="24"/>
        </w:rPr>
        <w:t>Introduction to Legal Research</w:t>
      </w:r>
      <w:r>
        <w:rPr>
          <w:rFonts w:ascii="Times New Roman" w:hAnsi="Times New Roman" w:cs="Times New Roman"/>
          <w:sz w:val="24"/>
          <w:szCs w:val="24"/>
        </w:rPr>
        <w:t xml:space="preserve">. </w:t>
      </w:r>
      <w:r w:rsidRPr="00030F0E">
        <w:rPr>
          <w:rFonts w:ascii="Times New Roman" w:hAnsi="Times New Roman" w:cs="Times New Roman"/>
          <w:sz w:val="24"/>
          <w:szCs w:val="24"/>
        </w:rPr>
        <w:t xml:space="preserve">Jakarta: </w:t>
      </w:r>
      <w:r>
        <w:rPr>
          <w:rFonts w:ascii="Times New Roman" w:hAnsi="Times New Roman" w:cs="Times New Roman"/>
          <w:sz w:val="24"/>
          <w:szCs w:val="24"/>
        </w:rPr>
        <w:t>University of Indonesia Press</w:t>
      </w:r>
      <w:r w:rsidRPr="00030F0E">
        <w:rPr>
          <w:rFonts w:ascii="Times New Roman" w:hAnsi="Times New Roman" w:cs="Times New Roman"/>
          <w:sz w:val="24"/>
          <w:szCs w:val="24"/>
        </w:rPr>
        <w:t>, 1986</w:t>
      </w:r>
      <w:r>
        <w:rPr>
          <w:rFonts w:ascii="Times New Roman" w:hAnsi="Times New Roman" w:cs="Times New Roman"/>
          <w:sz w:val="24"/>
          <w:szCs w:val="24"/>
        </w:rPr>
        <w:t>.</w:t>
      </w:r>
    </w:p>
    <w:p w14:paraId="063DA972" w14:textId="663BFB07" w:rsidR="004C0733" w:rsidRDefault="004C0733" w:rsidP="001F0ACD">
      <w:pPr>
        <w:spacing w:after="0" w:line="240" w:lineRule="auto"/>
        <w:ind w:left="720" w:hanging="720"/>
        <w:jc w:val="both"/>
        <w:rPr>
          <w:rFonts w:ascii="Times New Roman" w:hAnsi="Times New Roman" w:cs="Times New Roman"/>
          <w:sz w:val="24"/>
          <w:szCs w:val="24"/>
        </w:rPr>
      </w:pPr>
      <w:r w:rsidRPr="00030F0E">
        <w:rPr>
          <w:rFonts w:ascii="Times New Roman" w:hAnsi="Times New Roman" w:cs="Times New Roman"/>
          <w:sz w:val="24"/>
          <w:szCs w:val="24"/>
        </w:rPr>
        <w:t>Soekanto, Soerjono dan Sri Mamudji</w:t>
      </w:r>
      <w:r>
        <w:rPr>
          <w:rFonts w:ascii="Times New Roman" w:hAnsi="Times New Roman" w:cs="Times New Roman"/>
          <w:sz w:val="24"/>
          <w:szCs w:val="24"/>
        </w:rPr>
        <w:t>.</w:t>
      </w:r>
      <w:r w:rsidRPr="00030F0E">
        <w:rPr>
          <w:rFonts w:ascii="Times New Roman" w:hAnsi="Times New Roman" w:cs="Times New Roman"/>
          <w:i/>
          <w:iCs/>
          <w:sz w:val="24"/>
          <w:szCs w:val="24"/>
        </w:rPr>
        <w:t xml:space="preserve"> Normative Legal Research</w:t>
      </w:r>
      <w:r>
        <w:rPr>
          <w:rFonts w:ascii="Times New Roman" w:hAnsi="Times New Roman" w:cs="Times New Roman"/>
          <w:sz w:val="24"/>
          <w:szCs w:val="24"/>
        </w:rPr>
        <w:t>.</w:t>
      </w:r>
      <w:r w:rsidRPr="00030F0E">
        <w:rPr>
          <w:rFonts w:ascii="Times New Roman" w:hAnsi="Times New Roman" w:cs="Times New Roman"/>
          <w:sz w:val="24"/>
          <w:szCs w:val="24"/>
        </w:rPr>
        <w:t xml:space="preserve"> Jakarta: Raj</w:t>
      </w:r>
      <w:r>
        <w:rPr>
          <w:rFonts w:ascii="Times New Roman" w:hAnsi="Times New Roman" w:cs="Times New Roman"/>
          <w:sz w:val="24"/>
          <w:szCs w:val="24"/>
        </w:rPr>
        <w:t>a</w:t>
      </w:r>
      <w:r w:rsidRPr="00030F0E">
        <w:rPr>
          <w:rFonts w:ascii="Times New Roman" w:hAnsi="Times New Roman" w:cs="Times New Roman"/>
          <w:sz w:val="24"/>
          <w:szCs w:val="24"/>
        </w:rPr>
        <w:t>wali Pers, 2015</w:t>
      </w:r>
      <w:r>
        <w:rPr>
          <w:rFonts w:ascii="Times New Roman" w:hAnsi="Times New Roman" w:cs="Times New Roman"/>
          <w:sz w:val="24"/>
          <w:szCs w:val="24"/>
        </w:rPr>
        <w:t>.</w:t>
      </w:r>
    </w:p>
    <w:p w14:paraId="0146896B" w14:textId="56C6086A" w:rsidR="001F0ACD" w:rsidRPr="00A96BA2" w:rsidRDefault="001F0ACD" w:rsidP="001F0ACD">
      <w:pPr>
        <w:spacing w:after="0" w:line="240" w:lineRule="auto"/>
        <w:ind w:left="720" w:hanging="720"/>
        <w:jc w:val="both"/>
        <w:rPr>
          <w:rFonts w:ascii="Times New Roman" w:hAnsi="Times New Roman" w:cs="Times New Roman"/>
          <w:bCs/>
          <w:sz w:val="24"/>
          <w:szCs w:val="24"/>
        </w:rPr>
      </w:pPr>
      <w:r w:rsidRPr="00030F0E">
        <w:rPr>
          <w:rFonts w:ascii="Times New Roman" w:hAnsi="Times New Roman" w:cs="Times New Roman"/>
          <w:sz w:val="24"/>
          <w:szCs w:val="24"/>
        </w:rPr>
        <w:t>Wibisana, Andri Gunawan</w:t>
      </w:r>
      <w:r>
        <w:rPr>
          <w:rFonts w:ascii="Times New Roman" w:hAnsi="Times New Roman" w:cs="Times New Roman"/>
          <w:sz w:val="24"/>
          <w:szCs w:val="24"/>
        </w:rPr>
        <w:t>.</w:t>
      </w:r>
      <w:r w:rsidRPr="00030F0E">
        <w:rPr>
          <w:rFonts w:ascii="Times New Roman" w:hAnsi="Times New Roman" w:cs="Times New Roman"/>
          <w:sz w:val="24"/>
          <w:szCs w:val="24"/>
        </w:rPr>
        <w:t xml:space="preserve"> </w:t>
      </w:r>
      <w:r>
        <w:rPr>
          <w:rFonts w:ascii="Times New Roman" w:hAnsi="Times New Roman" w:cs="Times New Roman"/>
          <w:i/>
          <w:iCs/>
          <w:sz w:val="24"/>
          <w:szCs w:val="24"/>
        </w:rPr>
        <w:t>E</w:t>
      </w:r>
      <w:r w:rsidRPr="00030F0E">
        <w:rPr>
          <w:rFonts w:ascii="Times New Roman" w:hAnsi="Times New Roman" w:cs="Times New Roman"/>
          <w:i/>
          <w:iCs/>
          <w:sz w:val="24"/>
          <w:szCs w:val="24"/>
        </w:rPr>
        <w:t xml:space="preserve">t. </w:t>
      </w:r>
      <w:r>
        <w:rPr>
          <w:rFonts w:ascii="Times New Roman" w:hAnsi="Times New Roman" w:cs="Times New Roman"/>
          <w:i/>
          <w:iCs/>
          <w:sz w:val="24"/>
          <w:szCs w:val="24"/>
        </w:rPr>
        <w:t>A</w:t>
      </w:r>
      <w:r w:rsidRPr="00030F0E">
        <w:rPr>
          <w:rFonts w:ascii="Times New Roman" w:hAnsi="Times New Roman" w:cs="Times New Roman"/>
          <w:i/>
          <w:iCs/>
          <w:sz w:val="24"/>
          <w:szCs w:val="24"/>
        </w:rPr>
        <w:t>l. Scientific Paper Writing Guidebook</w:t>
      </w:r>
      <w:r>
        <w:rPr>
          <w:rFonts w:ascii="Times New Roman" w:hAnsi="Times New Roman" w:cs="Times New Roman"/>
          <w:sz w:val="24"/>
          <w:szCs w:val="24"/>
        </w:rPr>
        <w:t>.</w:t>
      </w:r>
      <w:r w:rsidRPr="00030F0E">
        <w:rPr>
          <w:rFonts w:ascii="Times New Roman" w:hAnsi="Times New Roman" w:cs="Times New Roman"/>
          <w:sz w:val="24"/>
          <w:szCs w:val="24"/>
        </w:rPr>
        <w:t xml:space="preserve"> Depok: Faculty of Law University of Indonesia Press, 2023</w:t>
      </w:r>
      <w:r>
        <w:rPr>
          <w:rFonts w:ascii="Times New Roman" w:hAnsi="Times New Roman" w:cs="Times New Roman"/>
          <w:sz w:val="24"/>
          <w:szCs w:val="24"/>
        </w:rPr>
        <w:t>.</w:t>
      </w:r>
    </w:p>
    <w:p w14:paraId="0EBE4122"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Thesis and Dissertations</w:t>
      </w:r>
    </w:p>
    <w:p w14:paraId="33D570C5" w14:textId="77777777" w:rsidR="007D4829" w:rsidRPr="00A96BA2"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sz w:val="24"/>
          <w:szCs w:val="24"/>
          <w:lang w:val="id-ID"/>
        </w:rPr>
        <w:t>Herman, Ronaldo Heinrich. “</w:t>
      </w:r>
      <w:r w:rsidRPr="00A96BA2">
        <w:rPr>
          <w:rStyle w:val="s1"/>
          <w:sz w:val="24"/>
          <w:szCs w:val="24"/>
        </w:rPr>
        <w:t>Gemmologist’s Accountability Study on Gemstone Certificates</w:t>
      </w:r>
      <w:r w:rsidRPr="00A96BA2">
        <w:rPr>
          <w:rFonts w:ascii="Times New Roman" w:hAnsi="Times New Roman" w:cs="Times New Roman"/>
          <w:sz w:val="24"/>
          <w:szCs w:val="24"/>
        </w:rPr>
        <w:t xml:space="preserve"> </w:t>
      </w:r>
      <w:r w:rsidRPr="00A96BA2">
        <w:rPr>
          <w:rStyle w:val="s1"/>
          <w:sz w:val="24"/>
          <w:szCs w:val="24"/>
        </w:rPr>
        <w:t>Issued as a Basis for Reviewing Cases of Buying and Selling</w:t>
      </w:r>
      <w:r w:rsidRPr="00A96BA2">
        <w:rPr>
          <w:rFonts w:ascii="Times New Roman" w:hAnsi="Times New Roman" w:cs="Times New Roman"/>
          <w:sz w:val="24"/>
          <w:szCs w:val="24"/>
        </w:rPr>
        <w:t xml:space="preserve"> </w:t>
      </w:r>
      <w:r w:rsidRPr="00A96BA2">
        <w:rPr>
          <w:rStyle w:val="s1"/>
          <w:sz w:val="24"/>
          <w:szCs w:val="24"/>
        </w:rPr>
        <w:t>Gemstones in Indonesia India and the United States.” Thesis of University of Indonesia, Jakarta, 2023.</w:t>
      </w:r>
    </w:p>
    <w:p w14:paraId="1E5410FB" w14:textId="77777777" w:rsidR="007D4829" w:rsidRPr="00A96BA2" w:rsidRDefault="007D4829" w:rsidP="00A96BA2">
      <w:pPr>
        <w:spacing w:after="0" w:line="240" w:lineRule="auto"/>
        <w:jc w:val="both"/>
        <w:rPr>
          <w:rFonts w:ascii="Times New Roman" w:hAnsi="Times New Roman" w:cs="Times New Roman"/>
          <w:b/>
          <w:sz w:val="24"/>
          <w:szCs w:val="24"/>
        </w:rPr>
      </w:pPr>
      <w:r w:rsidRPr="00A96BA2">
        <w:rPr>
          <w:rFonts w:ascii="Times New Roman" w:hAnsi="Times New Roman" w:cs="Times New Roman"/>
          <w:b/>
          <w:sz w:val="24"/>
          <w:szCs w:val="24"/>
        </w:rPr>
        <w:t>Internet Sources</w:t>
      </w:r>
    </w:p>
    <w:p w14:paraId="704D8750" w14:textId="1E272578" w:rsidR="00192D32" w:rsidRDefault="00192D32" w:rsidP="00A96BA2">
      <w:pPr>
        <w:spacing w:after="0" w:line="240" w:lineRule="auto"/>
        <w:ind w:left="720" w:hanging="720"/>
        <w:jc w:val="both"/>
        <w:rPr>
          <w:rFonts w:ascii="Times New Roman" w:hAnsi="Times New Roman" w:cs="Times New Roman"/>
          <w:bCs/>
          <w:sz w:val="24"/>
          <w:szCs w:val="24"/>
        </w:rPr>
      </w:pPr>
      <w:r w:rsidRPr="00192D32">
        <w:rPr>
          <w:rFonts w:ascii="Times New Roman" w:hAnsi="Times New Roman" w:cs="Times New Roman"/>
          <w:bCs/>
          <w:sz w:val="24"/>
          <w:szCs w:val="24"/>
        </w:rPr>
        <w:t>Detik News. “If someone has a crush on agate stones, no matter the price, they will definitely pay for them</w:t>
      </w:r>
      <w:r>
        <w:rPr>
          <w:rFonts w:ascii="Times New Roman" w:hAnsi="Times New Roman" w:cs="Times New Roman"/>
          <w:bCs/>
          <w:sz w:val="24"/>
          <w:szCs w:val="24"/>
        </w:rPr>
        <w:t xml:space="preserve">.” </w:t>
      </w:r>
      <w:r w:rsidRPr="00192D32">
        <w:rPr>
          <w:rFonts w:ascii="Times New Roman" w:hAnsi="Times New Roman" w:cs="Times New Roman"/>
          <w:bCs/>
          <w:i/>
          <w:iCs/>
          <w:sz w:val="24"/>
          <w:szCs w:val="24"/>
        </w:rPr>
        <w:t>Detik News</w:t>
      </w:r>
      <w:r w:rsidRPr="00192D32">
        <w:rPr>
          <w:rFonts w:ascii="Times New Roman" w:hAnsi="Times New Roman" w:cs="Times New Roman"/>
          <w:bCs/>
          <w:sz w:val="24"/>
          <w:szCs w:val="24"/>
        </w:rPr>
        <w:t>, 5 August 2014</w:t>
      </w:r>
      <w:r>
        <w:rPr>
          <w:rFonts w:ascii="Times New Roman" w:hAnsi="Times New Roman" w:cs="Times New Roman"/>
          <w:bCs/>
          <w:sz w:val="24"/>
          <w:szCs w:val="24"/>
        </w:rPr>
        <w:t>.</w:t>
      </w:r>
      <w:r w:rsidRPr="00192D32">
        <w:rPr>
          <w:rFonts w:ascii="Times New Roman" w:hAnsi="Times New Roman" w:cs="Times New Roman"/>
          <w:bCs/>
          <w:sz w:val="24"/>
          <w:szCs w:val="24"/>
        </w:rPr>
        <w:t xml:space="preserve"> </w:t>
      </w:r>
      <w:r>
        <w:rPr>
          <w:rFonts w:ascii="Times New Roman" w:hAnsi="Times New Roman" w:cs="Times New Roman"/>
          <w:bCs/>
          <w:sz w:val="24"/>
          <w:szCs w:val="24"/>
        </w:rPr>
        <w:t>P</w:t>
      </w:r>
      <w:r w:rsidRPr="00192D32">
        <w:rPr>
          <w:rFonts w:ascii="Times New Roman" w:hAnsi="Times New Roman" w:cs="Times New Roman"/>
          <w:bCs/>
          <w:sz w:val="24"/>
          <w:szCs w:val="24"/>
        </w:rPr>
        <w:t>rovided in https://news.detik.com/berita/d2653542/kalau-orang-sudah-naksir-batu-akik-berapa-pun-harganya-pasti-dibayarin, accessed on 1 April 2026</w:t>
      </w:r>
      <w:r>
        <w:rPr>
          <w:rFonts w:ascii="Times New Roman" w:hAnsi="Times New Roman" w:cs="Times New Roman"/>
          <w:bCs/>
          <w:sz w:val="24"/>
          <w:szCs w:val="24"/>
        </w:rPr>
        <w:t>.</w:t>
      </w:r>
    </w:p>
    <w:p w14:paraId="73BCA5CF" w14:textId="0EE7DE72" w:rsidR="00FC0702" w:rsidRDefault="00FC0702" w:rsidP="00A96BA2">
      <w:pPr>
        <w:spacing w:after="0" w:line="240" w:lineRule="auto"/>
        <w:ind w:left="720" w:hanging="720"/>
        <w:jc w:val="both"/>
        <w:rPr>
          <w:rFonts w:ascii="Times New Roman" w:hAnsi="Times New Roman" w:cs="Times New Roman"/>
          <w:bCs/>
          <w:sz w:val="24"/>
          <w:szCs w:val="24"/>
        </w:rPr>
      </w:pPr>
      <w:r w:rsidRPr="00FC0702">
        <w:rPr>
          <w:rFonts w:ascii="Times New Roman" w:hAnsi="Times New Roman" w:cs="Times New Roman"/>
          <w:bCs/>
          <w:sz w:val="24"/>
          <w:szCs w:val="24"/>
        </w:rPr>
        <w:t xml:space="preserve">Liputan 6. “Terrifying, Economic Crisis Due to the Covid-19 Pandemic Called the Worst in History.” </w:t>
      </w:r>
      <w:r w:rsidRPr="00FC0702">
        <w:rPr>
          <w:rFonts w:ascii="Times New Roman" w:hAnsi="Times New Roman" w:cs="Times New Roman"/>
          <w:bCs/>
          <w:i/>
          <w:iCs/>
          <w:sz w:val="24"/>
          <w:szCs w:val="24"/>
        </w:rPr>
        <w:t>Liputan 6</w:t>
      </w:r>
      <w:r w:rsidRPr="00FC0702">
        <w:rPr>
          <w:rFonts w:ascii="Times New Roman" w:hAnsi="Times New Roman" w:cs="Times New Roman"/>
          <w:bCs/>
          <w:sz w:val="24"/>
          <w:szCs w:val="24"/>
        </w:rPr>
        <w:t>, 2 September 2021. Provided in https://www.liputan6.com/bisnis/read/4647601/ngeri-krisis-ekonomi-akibat-pandemi-covid-19-disebut-terburuk-dalam-sejarah, accessed on 1 April 2026.</w:t>
      </w:r>
    </w:p>
    <w:p w14:paraId="1A1C37BD" w14:textId="179CC19F" w:rsidR="007D4829" w:rsidRDefault="007D4829" w:rsidP="00A96BA2">
      <w:pPr>
        <w:spacing w:after="0" w:line="240" w:lineRule="auto"/>
        <w:ind w:left="720" w:hanging="720"/>
        <w:jc w:val="both"/>
        <w:rPr>
          <w:rFonts w:ascii="Times New Roman" w:hAnsi="Times New Roman" w:cs="Times New Roman"/>
          <w:bCs/>
          <w:sz w:val="24"/>
          <w:szCs w:val="24"/>
        </w:rPr>
      </w:pPr>
      <w:r w:rsidRPr="00A96BA2">
        <w:rPr>
          <w:rFonts w:ascii="Times New Roman" w:hAnsi="Times New Roman" w:cs="Times New Roman"/>
          <w:bCs/>
          <w:sz w:val="24"/>
          <w:szCs w:val="24"/>
        </w:rPr>
        <w:t xml:space="preserve">Republic of Indonesia Ministry of Industry. “Ministry of Industry Encouraging the Development of Precious Stones and Jewelry Industry.” </w:t>
      </w:r>
      <w:r w:rsidRPr="00A96BA2">
        <w:rPr>
          <w:rFonts w:ascii="Times New Roman" w:hAnsi="Times New Roman" w:cs="Times New Roman"/>
          <w:bCs/>
          <w:i/>
          <w:iCs/>
          <w:sz w:val="24"/>
          <w:szCs w:val="24"/>
        </w:rPr>
        <w:t>Kemenperin</w:t>
      </w:r>
      <w:r w:rsidRPr="00A96BA2">
        <w:rPr>
          <w:rFonts w:ascii="Times New Roman" w:hAnsi="Times New Roman" w:cs="Times New Roman"/>
          <w:bCs/>
          <w:sz w:val="24"/>
          <w:szCs w:val="24"/>
        </w:rPr>
        <w:t>, 20 June 2016. Provided in the https://kemenperin.go.id/artikel/15615/Kemenperin-Pacu-Pengembangan-Industri-Batu-Mulia-danPerhiasan, accessed on 1 April 2026.</w:t>
      </w:r>
    </w:p>
    <w:p w14:paraId="17B69CD3" w14:textId="142D825C" w:rsidR="00945AF4" w:rsidRPr="00A96BA2" w:rsidRDefault="00945AF4" w:rsidP="00A96BA2">
      <w:pPr>
        <w:spacing w:after="0" w:line="240" w:lineRule="auto"/>
        <w:ind w:left="720" w:hanging="720"/>
        <w:jc w:val="both"/>
        <w:rPr>
          <w:rFonts w:ascii="Times New Roman" w:hAnsi="Times New Roman" w:cs="Times New Roman"/>
          <w:bCs/>
          <w:sz w:val="24"/>
          <w:szCs w:val="24"/>
        </w:rPr>
      </w:pPr>
      <w:r w:rsidRPr="00945AF4">
        <w:rPr>
          <w:rFonts w:ascii="Times New Roman" w:hAnsi="Times New Roman" w:cs="Times New Roman"/>
          <w:bCs/>
          <w:sz w:val="24"/>
          <w:szCs w:val="24"/>
        </w:rPr>
        <w:t xml:space="preserve">Setiawan, Sakina Rakhma Diah. “War and Energy: How the Middle East Crisis Shakes the Global Economy.” </w:t>
      </w:r>
      <w:r w:rsidRPr="00945AF4">
        <w:rPr>
          <w:rFonts w:ascii="Times New Roman" w:hAnsi="Times New Roman" w:cs="Times New Roman"/>
          <w:bCs/>
          <w:i/>
          <w:iCs/>
          <w:sz w:val="24"/>
          <w:szCs w:val="24"/>
        </w:rPr>
        <w:t>Kompas.com,</w:t>
      </w:r>
      <w:r w:rsidRPr="00945AF4">
        <w:rPr>
          <w:rFonts w:ascii="Times New Roman" w:hAnsi="Times New Roman" w:cs="Times New Roman"/>
          <w:bCs/>
          <w:sz w:val="24"/>
          <w:szCs w:val="24"/>
        </w:rPr>
        <w:t xml:space="preserve"> 15 April 2026. Provided in https://money.kompas.com/read/2026/04/15/142422626/perang-dan-energi-bagaimana-krisis-timur-tengah-guncang-ekonomi-dunia, accessed on 1 April 2026.</w:t>
      </w:r>
    </w:p>
    <w:p w14:paraId="666484B1" w14:textId="77777777" w:rsidR="007D4829" w:rsidRPr="00A96BA2" w:rsidRDefault="007D4829" w:rsidP="00A96BA2">
      <w:pPr>
        <w:spacing w:after="0" w:line="240" w:lineRule="auto"/>
        <w:jc w:val="both"/>
        <w:rPr>
          <w:rFonts w:ascii="Times New Roman" w:hAnsi="Times New Roman" w:cs="Times New Roman"/>
          <w:sz w:val="24"/>
          <w:szCs w:val="24"/>
        </w:rPr>
      </w:pPr>
    </w:p>
    <w:sectPr w:rsidR="007D4829" w:rsidRPr="00A96BA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D131" w14:textId="77777777" w:rsidR="0060710B" w:rsidRDefault="0060710B" w:rsidP="007D4829">
      <w:pPr>
        <w:spacing w:after="0" w:line="240" w:lineRule="auto"/>
      </w:pPr>
      <w:r>
        <w:separator/>
      </w:r>
    </w:p>
  </w:endnote>
  <w:endnote w:type="continuationSeparator" w:id="0">
    <w:p w14:paraId="44968012" w14:textId="77777777" w:rsidR="0060710B" w:rsidRDefault="0060710B" w:rsidP="007D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UICTFontTextStyleItalicBody">
    <w:altName w:val="Cambri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1272053981"/>
      <w:docPartObj>
        <w:docPartGallery w:val="Page Numbers (Bottom of Page)"/>
        <w:docPartUnique/>
      </w:docPartObj>
    </w:sdtPr>
    <w:sdtEndPr>
      <w:rPr>
        <w:noProof/>
      </w:rPr>
    </w:sdtEndPr>
    <w:sdtContent>
      <w:p w14:paraId="5AE37A3F" w14:textId="190C2DA7" w:rsidR="007D4829" w:rsidRPr="007D4829" w:rsidRDefault="007D4829">
        <w:pPr>
          <w:pStyle w:val="Footer"/>
          <w:jc w:val="center"/>
          <w:rPr>
            <w:rFonts w:ascii="Times New Roman" w:hAnsi="Times New Roman" w:cs="Times New Roman"/>
            <w:b/>
            <w:bCs/>
            <w:sz w:val="20"/>
            <w:szCs w:val="20"/>
          </w:rPr>
        </w:pPr>
        <w:r w:rsidRPr="007D4829">
          <w:rPr>
            <w:rFonts w:ascii="Times New Roman" w:hAnsi="Times New Roman" w:cs="Times New Roman"/>
            <w:b/>
            <w:bCs/>
            <w:sz w:val="20"/>
            <w:szCs w:val="20"/>
          </w:rPr>
          <w:fldChar w:fldCharType="begin"/>
        </w:r>
        <w:r w:rsidRPr="007D4829">
          <w:rPr>
            <w:rFonts w:ascii="Times New Roman" w:hAnsi="Times New Roman" w:cs="Times New Roman"/>
            <w:b/>
            <w:bCs/>
            <w:sz w:val="20"/>
            <w:szCs w:val="20"/>
          </w:rPr>
          <w:instrText xml:space="preserve"> PAGE   \* MERGEFORMAT </w:instrText>
        </w:r>
        <w:r w:rsidRPr="007D4829">
          <w:rPr>
            <w:rFonts w:ascii="Times New Roman" w:hAnsi="Times New Roman" w:cs="Times New Roman"/>
            <w:b/>
            <w:bCs/>
            <w:sz w:val="20"/>
            <w:szCs w:val="20"/>
          </w:rPr>
          <w:fldChar w:fldCharType="separate"/>
        </w:r>
        <w:r w:rsidRPr="007D4829">
          <w:rPr>
            <w:rFonts w:ascii="Times New Roman" w:hAnsi="Times New Roman" w:cs="Times New Roman"/>
            <w:b/>
            <w:bCs/>
            <w:noProof/>
            <w:sz w:val="20"/>
            <w:szCs w:val="20"/>
          </w:rPr>
          <w:t>2</w:t>
        </w:r>
        <w:r w:rsidRPr="007D4829">
          <w:rPr>
            <w:rFonts w:ascii="Times New Roman" w:hAnsi="Times New Roman" w:cs="Times New Roman"/>
            <w:b/>
            <w:bCs/>
            <w:noProof/>
            <w:sz w:val="20"/>
            <w:szCs w:val="20"/>
          </w:rPr>
          <w:fldChar w:fldCharType="end"/>
        </w:r>
      </w:p>
    </w:sdtContent>
  </w:sdt>
  <w:p w14:paraId="0B278371" w14:textId="77777777" w:rsidR="007D4829" w:rsidRPr="007D4829" w:rsidRDefault="007D4829">
    <w:pPr>
      <w:pStyle w:val="Footer"/>
      <w:rPr>
        <w:rFonts w:ascii="Times New Roman" w:hAnsi="Times New Roman" w:cs="Times New Roman"/>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0EFC" w14:textId="77777777" w:rsidR="0060710B" w:rsidRDefault="0060710B" w:rsidP="007D4829">
      <w:pPr>
        <w:spacing w:after="0" w:line="240" w:lineRule="auto"/>
      </w:pPr>
      <w:r>
        <w:separator/>
      </w:r>
    </w:p>
  </w:footnote>
  <w:footnote w:type="continuationSeparator" w:id="0">
    <w:p w14:paraId="330EA584" w14:textId="77777777" w:rsidR="0060710B" w:rsidRDefault="0060710B" w:rsidP="007D4829">
      <w:pPr>
        <w:spacing w:after="0" w:line="240" w:lineRule="auto"/>
      </w:pPr>
      <w:r>
        <w:continuationSeparator/>
      </w:r>
    </w:p>
  </w:footnote>
  <w:footnote w:id="1">
    <w:p w14:paraId="47931D3C" w14:textId="7805CEA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Nor Mila Ayu Sardanah, Nazaruddin Malik, and Zainal Arifin, “</w:t>
      </w:r>
      <w:r w:rsidR="001F0ACD" w:rsidRPr="001F0ACD">
        <w:rPr>
          <w:rFonts w:ascii="Times New Roman" w:hAnsi="Times New Roman" w:cs="Times New Roman"/>
        </w:rPr>
        <w:t>Analysis of Gem Traders' Income Before and During the Covid-19 Pandemic in Martapura</w:t>
      </w:r>
      <w:r w:rsidRPr="00A96BA2">
        <w:rPr>
          <w:rFonts w:ascii="Times New Roman" w:hAnsi="Times New Roman" w:cs="Times New Roman"/>
        </w:rPr>
        <w:t xml:space="preserve">,” </w:t>
      </w:r>
      <w:r w:rsidRPr="00A96BA2">
        <w:rPr>
          <w:rFonts w:ascii="Times New Roman" w:hAnsi="Times New Roman" w:cs="Times New Roman"/>
          <w:i/>
          <w:iCs/>
        </w:rPr>
        <w:t xml:space="preserve">Jurnal Ilmu Ekonomi, </w:t>
      </w:r>
      <w:r w:rsidRPr="00A96BA2">
        <w:rPr>
          <w:rFonts w:ascii="Times New Roman" w:hAnsi="Times New Roman" w:cs="Times New Roman"/>
        </w:rPr>
        <w:t>Vol. 6, No. 3 (2022), pg. 422.</w:t>
      </w:r>
    </w:p>
  </w:footnote>
  <w:footnote w:id="2">
    <w:p w14:paraId="71D55CE3" w14:textId="77777777" w:rsidR="007D4829" w:rsidRPr="00A96BA2" w:rsidRDefault="007D4829" w:rsidP="00A96BA2">
      <w:pPr>
        <w:pStyle w:val="p1"/>
        <w:ind w:firstLine="720"/>
        <w:jc w:val="both"/>
        <w:rPr>
          <w:color w:val="auto"/>
          <w:sz w:val="20"/>
          <w:szCs w:val="20"/>
        </w:rPr>
      </w:pPr>
      <w:r w:rsidRPr="00A96BA2">
        <w:rPr>
          <w:rStyle w:val="FootnoteReference"/>
          <w:color w:val="auto"/>
          <w:sz w:val="20"/>
          <w:szCs w:val="20"/>
        </w:rPr>
        <w:footnoteRef/>
      </w:r>
      <w:r w:rsidRPr="00A96BA2">
        <w:rPr>
          <w:color w:val="auto"/>
          <w:sz w:val="20"/>
          <w:szCs w:val="20"/>
        </w:rPr>
        <w:t xml:space="preserve"> </w:t>
      </w:r>
      <w:r w:rsidRPr="00A96BA2">
        <w:rPr>
          <w:color w:val="auto"/>
          <w:sz w:val="20"/>
          <w:szCs w:val="20"/>
          <w:lang w:val="id-ID"/>
        </w:rPr>
        <w:t>Ronaldo Heinrich Herman, “</w:t>
      </w:r>
      <w:r w:rsidRPr="00A96BA2">
        <w:rPr>
          <w:rStyle w:val="s1"/>
          <w:color w:val="auto"/>
          <w:sz w:val="20"/>
          <w:szCs w:val="20"/>
        </w:rPr>
        <w:t>Gemmologist’s Accountability Study on Gemstone Certificates</w:t>
      </w:r>
      <w:r w:rsidRPr="00A96BA2">
        <w:rPr>
          <w:color w:val="auto"/>
          <w:sz w:val="20"/>
          <w:szCs w:val="20"/>
        </w:rPr>
        <w:t xml:space="preserve"> </w:t>
      </w:r>
      <w:r w:rsidRPr="00A96BA2">
        <w:rPr>
          <w:rStyle w:val="s1"/>
          <w:color w:val="auto"/>
          <w:sz w:val="20"/>
          <w:szCs w:val="20"/>
        </w:rPr>
        <w:t>Issued as a Basis for Reviewing Cases of Buying and Selling</w:t>
      </w:r>
      <w:r w:rsidRPr="00A96BA2">
        <w:rPr>
          <w:color w:val="auto"/>
          <w:sz w:val="20"/>
          <w:szCs w:val="20"/>
        </w:rPr>
        <w:t xml:space="preserve"> </w:t>
      </w:r>
      <w:r w:rsidRPr="00A96BA2">
        <w:rPr>
          <w:rStyle w:val="s1"/>
          <w:color w:val="auto"/>
          <w:sz w:val="20"/>
          <w:szCs w:val="20"/>
        </w:rPr>
        <w:t>Gemstones in Indonesia India and the United States,” (Thesis of University of Indonesia, Jakarta, 2023), pg. 38.</w:t>
      </w:r>
    </w:p>
  </w:footnote>
  <w:footnote w:id="3">
    <w:p w14:paraId="2159655B"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Karl Schmetzer, </w:t>
      </w:r>
      <w:r w:rsidRPr="00A96BA2">
        <w:rPr>
          <w:rFonts w:ascii="Times New Roman" w:hAnsi="Times New Roman" w:cs="Times New Roman"/>
          <w:i/>
          <w:iCs/>
        </w:rPr>
        <w:t>et. al.</w:t>
      </w:r>
      <w:r w:rsidRPr="00A96BA2">
        <w:rPr>
          <w:rFonts w:ascii="Times New Roman" w:hAnsi="Times New Roman" w:cs="Times New Roman"/>
        </w:rPr>
        <w:t xml:space="preserve"> "Synthetic Alexandrites Grown by the HOC Method in Russia: Internal Features Related to the Growth Technique and Colorimetric Investigation,” </w:t>
      </w:r>
      <w:r w:rsidRPr="00A96BA2">
        <w:rPr>
          <w:rFonts w:ascii="Times New Roman" w:hAnsi="Times New Roman" w:cs="Times New Roman"/>
          <w:i/>
          <w:iCs/>
        </w:rPr>
        <w:t>The Journal of Gemmology</w:t>
      </w:r>
      <w:r w:rsidRPr="00A96BA2">
        <w:rPr>
          <w:rFonts w:ascii="Times New Roman" w:hAnsi="Times New Roman" w:cs="Times New Roman"/>
        </w:rPr>
        <w:t xml:space="preserve"> Vol. 33, No. 5-6 (2013), pg. 115.</w:t>
      </w:r>
    </w:p>
  </w:footnote>
  <w:footnote w:id="4">
    <w:p w14:paraId="7D921551"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Republic of Indonesia Ministry of Industry, “Ministry of Industry Encouraging the Development of Precious Stones and Jewelry Industry,” </w:t>
      </w:r>
      <w:r w:rsidRPr="00A96BA2">
        <w:rPr>
          <w:rFonts w:ascii="Times New Roman" w:hAnsi="Times New Roman" w:cs="Times New Roman"/>
          <w:i/>
          <w:iCs/>
        </w:rPr>
        <w:t>Kemenperin</w:t>
      </w:r>
      <w:r w:rsidRPr="00A96BA2">
        <w:rPr>
          <w:rFonts w:ascii="Times New Roman" w:hAnsi="Times New Roman" w:cs="Times New Roman"/>
        </w:rPr>
        <w:t>, 20 June 2016, provided in the https://kemenperin.go.id/artikel/15615/Kemenperin-Pacu-Pengembangan-Industri-Batu-Mulia-danPerhiasan, accessed on 1 April 2026.</w:t>
      </w:r>
    </w:p>
  </w:footnote>
  <w:footnote w:id="5">
    <w:p w14:paraId="6848CCA5" w14:textId="77777777" w:rsidR="007D4829" w:rsidRPr="00A96BA2" w:rsidRDefault="007D4829"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p>
  </w:footnote>
  <w:footnote w:id="6">
    <w:p w14:paraId="4BDFB879"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lang w:val="id-ID"/>
        </w:rPr>
        <w:t xml:space="preserve">Stefandry Hingide, George M. V. Kawung, and Mauna Th. B. Maramis, “Analysis of the Contribution of Local Taxes and Levies to Local Original Income in Tomohon City,” </w:t>
      </w:r>
      <w:r w:rsidRPr="00A96BA2">
        <w:rPr>
          <w:rFonts w:ascii="Times New Roman" w:hAnsi="Times New Roman" w:cs="Times New Roman"/>
          <w:i/>
          <w:iCs/>
          <w:lang w:val="id-ID"/>
        </w:rPr>
        <w:t xml:space="preserve">Jurnal Berkala Ilmiah Efisiensi, </w:t>
      </w:r>
      <w:r w:rsidRPr="00A96BA2">
        <w:rPr>
          <w:rFonts w:ascii="Times New Roman" w:hAnsi="Times New Roman" w:cs="Times New Roman"/>
          <w:lang w:val="id-ID"/>
        </w:rPr>
        <w:t>Vol. 23, No. 9 (2023), pg. 145.</w:t>
      </w:r>
    </w:p>
  </w:footnote>
  <w:footnote w:id="7">
    <w:p w14:paraId="60B4CE53" w14:textId="77777777" w:rsidR="007D4829" w:rsidRPr="00A96BA2" w:rsidRDefault="007D4829"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Elisabeth Margreta Sibuea, “Regulation of Retribution in Law Number 28 of 2009 and Law Number 1 of 2022,” </w:t>
      </w:r>
      <w:r w:rsidRPr="00A96BA2">
        <w:rPr>
          <w:rFonts w:ascii="Times New Roman" w:hAnsi="Times New Roman" w:cs="Times New Roman"/>
          <w:i/>
          <w:iCs/>
        </w:rPr>
        <w:t>Khatulistiwa: Jurnal Pendidikan dan Sosial Humaniora</w:t>
      </w:r>
      <w:r w:rsidRPr="00A96BA2">
        <w:rPr>
          <w:rFonts w:ascii="Times New Roman" w:hAnsi="Times New Roman" w:cs="Times New Roman"/>
        </w:rPr>
        <w:t>, Vol. 5, No. 1 (2025), pg. 734, DOI: https://doi.org/10.55606/khatulistiwa.v5i1.6268.</w:t>
      </w:r>
    </w:p>
  </w:footnote>
  <w:footnote w:id="8">
    <w:p w14:paraId="135C343A" w14:textId="77777777" w:rsidR="007D4829" w:rsidRPr="00A96BA2" w:rsidRDefault="007D4829"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lang w:val="id-ID"/>
        </w:rPr>
        <w:t>Ibid.</w:t>
      </w:r>
    </w:p>
  </w:footnote>
  <w:footnote w:id="9">
    <w:p w14:paraId="534C4207"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Johny Montolalu, “Analysis of Locally-Owned Revenue and Its Contribution to the Revenue and Expenditure Budget of South Minahasa Regency,” </w:t>
      </w:r>
      <w:r w:rsidRPr="00A96BA2">
        <w:rPr>
          <w:rFonts w:ascii="Times New Roman" w:hAnsi="Times New Roman" w:cs="Times New Roman"/>
          <w:i/>
          <w:iCs/>
        </w:rPr>
        <w:t>Jurnal Administrasi Bisnis Unsrat</w:t>
      </w:r>
      <w:r w:rsidRPr="00A96BA2">
        <w:rPr>
          <w:rFonts w:ascii="Times New Roman" w:hAnsi="Times New Roman" w:cs="Times New Roman"/>
        </w:rPr>
        <w:t>, Vol. 5, No. 6 (2017), pg. 2.</w:t>
      </w:r>
    </w:p>
  </w:footnote>
  <w:footnote w:id="10">
    <w:p w14:paraId="2F8DDFC9"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R. Santoso Brotodihardjo, </w:t>
      </w:r>
      <w:r w:rsidRPr="00A96BA2">
        <w:rPr>
          <w:rFonts w:ascii="Times New Roman" w:hAnsi="Times New Roman" w:cs="Times New Roman"/>
          <w:i/>
          <w:iCs/>
        </w:rPr>
        <w:t>Introduction to Tax Laws</w:t>
      </w:r>
      <w:r w:rsidRPr="00A96BA2">
        <w:rPr>
          <w:rFonts w:ascii="Times New Roman" w:hAnsi="Times New Roman" w:cs="Times New Roman"/>
        </w:rPr>
        <w:t>, (Bandung: PT Refika Aditama, 1998), pg. 29.</w:t>
      </w:r>
    </w:p>
  </w:footnote>
  <w:footnote w:id="11">
    <w:p w14:paraId="70CEE24E" w14:textId="77777777" w:rsidR="007D4829" w:rsidRPr="00A96BA2" w:rsidRDefault="007D4829"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Bustamar Ayza, </w:t>
      </w:r>
      <w:r w:rsidRPr="00A96BA2">
        <w:rPr>
          <w:rFonts w:ascii="Times New Roman" w:hAnsi="Times New Roman" w:cs="Times New Roman"/>
          <w:i/>
          <w:iCs/>
        </w:rPr>
        <w:t>Indonesian Tax Laws</w:t>
      </w:r>
      <w:r w:rsidRPr="00A96BA2">
        <w:rPr>
          <w:rFonts w:ascii="Times New Roman" w:hAnsi="Times New Roman" w:cs="Times New Roman"/>
        </w:rPr>
        <w:t>, (Jakarta: Kencana, 2017), pg. 56.</w:t>
      </w:r>
    </w:p>
  </w:footnote>
  <w:footnote w:id="12">
    <w:p w14:paraId="4BCCC4B2" w14:textId="77777777" w:rsidR="007D4829" w:rsidRPr="00A96BA2" w:rsidRDefault="007D4829"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Damas Dwi Anggoro, “Deficiency of the Principle of Fairness in the Implementation of E-Tax in Malang City Based on the Principles of Good Tax Policy,” </w:t>
      </w:r>
      <w:r w:rsidRPr="00A96BA2">
        <w:rPr>
          <w:rFonts w:ascii="Times New Roman" w:hAnsi="Times New Roman" w:cs="Times New Roman"/>
          <w:i/>
          <w:iCs/>
        </w:rPr>
        <w:t>Indonesian Tax Journal</w:t>
      </w:r>
      <w:r w:rsidRPr="00A96BA2">
        <w:rPr>
          <w:rFonts w:ascii="Times New Roman" w:hAnsi="Times New Roman" w:cs="Times New Roman"/>
        </w:rPr>
        <w:t>, Vol. 3, No. 1 (2019), pg. 12.</w:t>
      </w:r>
    </w:p>
  </w:footnote>
  <w:footnote w:id="13">
    <w:p w14:paraId="09A2ABF8" w14:textId="77777777" w:rsidR="007D4829" w:rsidRPr="00A96BA2" w:rsidRDefault="007D4829"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lang w:val="id-ID"/>
        </w:rPr>
        <w:t xml:space="preserve">Cahya Palsari, “Introduction to the Study of Legal Science: The Purpose and Function of Legal Science as a Fundamental Basis in Court Decision,” </w:t>
      </w:r>
      <w:r w:rsidRPr="00A96BA2">
        <w:rPr>
          <w:rFonts w:ascii="Times New Roman" w:hAnsi="Times New Roman" w:cs="Times New Roman"/>
          <w:i/>
          <w:iCs/>
          <w:lang w:val="id-ID"/>
        </w:rPr>
        <w:t>e-Journal Komunitas Yustisia Universitas Pendidikan Ganesha,</w:t>
      </w:r>
      <w:r w:rsidRPr="00A96BA2">
        <w:rPr>
          <w:rFonts w:ascii="Times New Roman" w:hAnsi="Times New Roman" w:cs="Times New Roman"/>
          <w:lang w:val="id-ID"/>
        </w:rPr>
        <w:t xml:space="preserve"> Vol. 4, No. 3 (2021), pg. 941.</w:t>
      </w:r>
    </w:p>
  </w:footnote>
  <w:footnote w:id="14">
    <w:p w14:paraId="1873D731" w14:textId="366199B8" w:rsidR="007D4829" w:rsidRPr="00A96BA2" w:rsidRDefault="007D4829"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00875F15" w:rsidRPr="00A96BA2">
        <w:rPr>
          <w:rFonts w:ascii="Times New Roman" w:hAnsi="Times New Roman" w:cs="Times New Roman"/>
        </w:rPr>
        <w:t xml:space="preserve"> Naufal Ramadhan Mubarak</w:t>
      </w:r>
      <w:r w:rsidR="00875F15" w:rsidRPr="00A96BA2">
        <w:rPr>
          <w:rFonts w:ascii="Times New Roman" w:hAnsi="Times New Roman" w:cs="Times New Roman"/>
          <w:i/>
          <w:iCs/>
        </w:rPr>
        <w:t>, et. al.,</w:t>
      </w:r>
      <w:r w:rsidR="00875F15" w:rsidRPr="00A96BA2">
        <w:rPr>
          <w:rFonts w:ascii="Times New Roman" w:hAnsi="Times New Roman" w:cs="Times New Roman"/>
        </w:rPr>
        <w:t xml:space="preserve"> "The Problematic Implementation of the Principles of Tax Equality and Certainty According to Adam Smith in the Motor Vehicle Tax Amnesty Program in West Java," </w:t>
      </w:r>
      <w:r w:rsidR="00875F15" w:rsidRPr="00A96BA2">
        <w:rPr>
          <w:rFonts w:ascii="Times New Roman" w:hAnsi="Times New Roman" w:cs="Times New Roman"/>
          <w:i/>
          <w:iCs/>
        </w:rPr>
        <w:t>Jurnal Krisna Law</w:t>
      </w:r>
      <w:r w:rsidR="00875F15" w:rsidRPr="00A96BA2">
        <w:rPr>
          <w:rFonts w:ascii="Times New Roman" w:hAnsi="Times New Roman" w:cs="Times New Roman"/>
        </w:rPr>
        <w:t>, Vol. 7, No. 3 (2025), pg. 7.</w:t>
      </w:r>
      <w:r w:rsidRPr="00A96BA2">
        <w:rPr>
          <w:rFonts w:ascii="Times New Roman" w:hAnsi="Times New Roman" w:cs="Times New Roman"/>
        </w:rPr>
        <w:t xml:space="preserve"> </w:t>
      </w:r>
    </w:p>
  </w:footnote>
  <w:footnote w:id="15">
    <w:p w14:paraId="63B5B2DF" w14:textId="2298E034" w:rsidR="00875F15" w:rsidRPr="00A96BA2" w:rsidRDefault="00875F15"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Arvie Johan, Fadhilatul Hikmah, and Anugrah Anditya, "Optimal Taxation in the Perspective of Tax Law Philosophizing Pancasila," </w:t>
      </w:r>
      <w:r w:rsidRPr="00A96BA2">
        <w:rPr>
          <w:rFonts w:ascii="Times New Roman" w:hAnsi="Times New Roman" w:cs="Times New Roman"/>
          <w:i/>
          <w:iCs/>
        </w:rPr>
        <w:t>Udayana Magister Law Journal</w:t>
      </w:r>
      <w:r w:rsidRPr="00A96BA2">
        <w:rPr>
          <w:rFonts w:ascii="Times New Roman" w:hAnsi="Times New Roman" w:cs="Times New Roman"/>
        </w:rPr>
        <w:t>, Vol. 8, No. 3 (2019), pg. 321.</w:t>
      </w:r>
    </w:p>
  </w:footnote>
  <w:footnote w:id="16">
    <w:p w14:paraId="1339C01C" w14:textId="7D85A89B" w:rsidR="00353435" w:rsidRPr="00A96BA2" w:rsidRDefault="0035343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Putri Maha Dewi, "Utilizing the Implementation of Tax Laws for the Welfare of the People Based on the Principle of Equality," </w:t>
      </w:r>
      <w:r w:rsidRPr="00A96BA2">
        <w:rPr>
          <w:rFonts w:ascii="Times New Roman" w:hAnsi="Times New Roman" w:cs="Times New Roman"/>
          <w:i/>
          <w:iCs/>
        </w:rPr>
        <w:t>Acceleration: Multidisciplinary Research Journal</w:t>
      </w:r>
      <w:r w:rsidRPr="00A96BA2">
        <w:rPr>
          <w:rFonts w:ascii="Times New Roman" w:hAnsi="Times New Roman" w:cs="Times New Roman"/>
        </w:rPr>
        <w:t xml:space="preserve">, Vol. 1 No. 02 (2023), pg. 89. </w:t>
      </w:r>
    </w:p>
  </w:footnote>
  <w:footnote w:id="17">
    <w:p w14:paraId="2E8E2F02" w14:textId="2D0D1DC6" w:rsidR="00353435" w:rsidRPr="00A96BA2" w:rsidRDefault="0035343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I Nyoman Darmayasa, </w:t>
      </w:r>
      <w:r w:rsidRPr="00A96BA2">
        <w:rPr>
          <w:rFonts w:ascii="Times New Roman" w:hAnsi="Times New Roman" w:cs="Times New Roman"/>
          <w:i/>
          <w:iCs/>
        </w:rPr>
        <w:t>et. al.,</w:t>
      </w:r>
      <w:r w:rsidRPr="00A96BA2">
        <w:rPr>
          <w:rFonts w:ascii="Times New Roman" w:hAnsi="Times New Roman" w:cs="Times New Roman"/>
        </w:rPr>
        <w:t xml:space="preserve"> "Equality Principle in Designing Taxation International Digital Transactions: A Case Study of ASEAN," Proceedings of the International Conference on Sustainable Green Tourism Applied Science - Social Applied Science 2024 (ICoSTAS-SAS 2024), published by Atlantis Press, 2024, doi: 10.2991/978-94-6463-622-2_77, pg. 702. </w:t>
      </w:r>
    </w:p>
  </w:footnote>
  <w:footnote w:id="18">
    <w:p w14:paraId="2F101638" w14:textId="3B05344A" w:rsidR="00353435" w:rsidRPr="00A96BA2" w:rsidRDefault="0035343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007D1AFC" w:rsidRPr="00A96BA2">
        <w:rPr>
          <w:rFonts w:ascii="Times New Roman" w:hAnsi="Times New Roman" w:cs="Times New Roman"/>
        </w:rPr>
        <w:t xml:space="preserve"> Rasji and Farell David Trawocoadji, "Settlement of Tax Disputes Through the Application of the Principle of Equity," </w:t>
      </w:r>
      <w:r w:rsidR="007D1AFC" w:rsidRPr="00A96BA2">
        <w:rPr>
          <w:rFonts w:ascii="Times New Roman" w:hAnsi="Times New Roman" w:cs="Times New Roman"/>
          <w:i/>
          <w:iCs/>
        </w:rPr>
        <w:t>Journal Indonesia Law and Policy Review (JILPR),</w:t>
      </w:r>
      <w:r w:rsidR="007D1AFC" w:rsidRPr="00A96BA2">
        <w:rPr>
          <w:rFonts w:ascii="Times New Roman" w:hAnsi="Times New Roman" w:cs="Times New Roman"/>
        </w:rPr>
        <w:t xml:space="preserve"> Vol. 5, No. 1 (2023), pg. 256.</w:t>
      </w:r>
      <w:r w:rsidRPr="00A96BA2">
        <w:rPr>
          <w:rFonts w:ascii="Times New Roman" w:hAnsi="Times New Roman" w:cs="Times New Roman"/>
        </w:rPr>
        <w:t xml:space="preserve"> </w:t>
      </w:r>
    </w:p>
  </w:footnote>
  <w:footnote w:id="19">
    <w:p w14:paraId="42B37BEA" w14:textId="5DDD26F9"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w:t>
      </w:r>
      <w:r w:rsidRPr="00A96BA2">
        <w:rPr>
          <w:rFonts w:ascii="Times New Roman" w:hAnsi="Times New Roman" w:cs="Times New Roman"/>
        </w:rPr>
        <w:t xml:space="preserve">Ronaldo Heinrich Herman dan Ratih Lestarini, "Gemstone Certification: The Need for Regulation to Protect the Rights of Gemstone Consumers in Indonesia," </w:t>
      </w:r>
      <w:r w:rsidRPr="00A96BA2">
        <w:rPr>
          <w:rFonts w:ascii="Times New Roman" w:hAnsi="Times New Roman" w:cs="Times New Roman"/>
          <w:i/>
          <w:iCs/>
        </w:rPr>
        <w:t>Jurnal Ilmu Sosial dan Pendidikan (JISIP),</w:t>
      </w:r>
      <w:r w:rsidRPr="00A96BA2">
        <w:rPr>
          <w:rFonts w:ascii="Times New Roman" w:hAnsi="Times New Roman" w:cs="Times New Roman"/>
        </w:rPr>
        <w:t xml:space="preserve"> Vol. 7 No. 1 (2023), pg. 362</w:t>
      </w:r>
      <w:r w:rsidRPr="00A96BA2">
        <w:rPr>
          <w:rFonts w:ascii="Times New Roman" w:hAnsi="Times New Roman" w:cs="Times New Roman"/>
          <w:lang w:val="id-ID"/>
        </w:rPr>
        <w:t>.</w:t>
      </w:r>
    </w:p>
  </w:footnote>
  <w:footnote w:id="20">
    <w:p w14:paraId="7AA593C6" w14:textId="40C43C4D"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Herman, “</w:t>
      </w:r>
      <w:r w:rsidRPr="00A96BA2">
        <w:rPr>
          <w:rStyle w:val="s1"/>
          <w:sz w:val="20"/>
          <w:szCs w:val="20"/>
        </w:rPr>
        <w:t xml:space="preserve">Gemmologist’s Accountability Study…,” </w:t>
      </w:r>
      <w:r w:rsidRPr="00A96BA2">
        <w:rPr>
          <w:rFonts w:ascii="Times New Roman" w:hAnsi="Times New Roman" w:cs="Times New Roman"/>
          <w:lang w:val="id-ID"/>
        </w:rPr>
        <w:t xml:space="preserve">pg.149. </w:t>
      </w:r>
    </w:p>
  </w:footnote>
  <w:footnote w:id="21">
    <w:p w14:paraId="3D2315FB" w14:textId="32948C15"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w:t>
      </w:r>
      <w:r w:rsidRPr="00A96BA2">
        <w:rPr>
          <w:rFonts w:ascii="Times New Roman" w:hAnsi="Times New Roman" w:cs="Times New Roman"/>
          <w:i/>
          <w:iCs/>
          <w:lang w:val="id-ID"/>
        </w:rPr>
        <w:t>Ibid</w:t>
      </w:r>
      <w:r w:rsidRPr="00A96BA2">
        <w:rPr>
          <w:rFonts w:ascii="Times New Roman" w:hAnsi="Times New Roman" w:cs="Times New Roman"/>
          <w:lang w:val="id-ID"/>
        </w:rPr>
        <w:t xml:space="preserve">, pg. 150. </w:t>
      </w:r>
    </w:p>
  </w:footnote>
  <w:footnote w:id="22">
    <w:p w14:paraId="060F0C30" w14:textId="260DFBA3" w:rsidR="007D1AFC" w:rsidRPr="00A96BA2" w:rsidRDefault="007D1AF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Alif Arhandra Putra, "</w:t>
      </w:r>
      <w:r w:rsidRPr="00A96BA2">
        <w:rPr>
          <w:rFonts w:ascii="Times New Roman" w:hAnsi="Times New Roman" w:cs="Times New Roman"/>
        </w:rPr>
        <w:t xml:space="preserve"> The Authority of Pawnshops in Issuing Gemstone Certificates in Indonesia</w:t>
      </w:r>
      <w:r w:rsidRPr="00A96BA2">
        <w:rPr>
          <w:rFonts w:ascii="Times New Roman" w:hAnsi="Times New Roman" w:cs="Times New Roman"/>
          <w:lang w:val="id-ID"/>
        </w:rPr>
        <w:t xml:space="preserve">," </w:t>
      </w:r>
      <w:r w:rsidRPr="00A96BA2">
        <w:rPr>
          <w:rFonts w:ascii="Times New Roman" w:hAnsi="Times New Roman" w:cs="Times New Roman"/>
          <w:i/>
          <w:iCs/>
          <w:lang w:val="id-ID"/>
        </w:rPr>
        <w:t>Jurnal Akta Yudisia</w:t>
      </w:r>
      <w:r w:rsidRPr="00A96BA2">
        <w:rPr>
          <w:rFonts w:ascii="Times New Roman" w:hAnsi="Times New Roman" w:cs="Times New Roman"/>
          <w:lang w:val="id-ID"/>
        </w:rPr>
        <w:t xml:space="preserve">, Vol. 4, No. 2 (2020), pg. 78. </w:t>
      </w:r>
    </w:p>
  </w:footnote>
  <w:footnote w:id="23">
    <w:p w14:paraId="0A53444A" w14:textId="77777777" w:rsidR="007D1AFC" w:rsidRPr="00A96BA2" w:rsidRDefault="007D1AFC"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24">
    <w:p w14:paraId="18496D92" w14:textId="1E8D58CF" w:rsidR="007D1AFC" w:rsidRPr="00A96BA2" w:rsidRDefault="007D1AFC"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Andri Gunawan Wibisana, </w:t>
      </w:r>
      <w:r w:rsidRPr="00A96BA2">
        <w:rPr>
          <w:rFonts w:ascii="Times New Roman" w:hAnsi="Times New Roman" w:cs="Times New Roman"/>
          <w:i/>
          <w:iCs/>
        </w:rPr>
        <w:t>et. al., Scientific Paper Writing Guidebook</w:t>
      </w:r>
      <w:r w:rsidRPr="00A96BA2">
        <w:rPr>
          <w:rFonts w:ascii="Times New Roman" w:hAnsi="Times New Roman" w:cs="Times New Roman"/>
        </w:rPr>
        <w:t xml:space="preserve">, (Depok: Faculty of Law University of Indonesia Press, 2023), pg. 17. </w:t>
      </w:r>
    </w:p>
  </w:footnote>
  <w:footnote w:id="25">
    <w:p w14:paraId="4D498D30" w14:textId="77777777"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Aulis Arnio,</w:t>
      </w:r>
      <w:r w:rsidRPr="00A96BA2">
        <w:rPr>
          <w:rFonts w:ascii="Times New Roman" w:hAnsi="Times New Roman" w:cs="Times New Roman"/>
          <w:i/>
          <w:iCs/>
        </w:rPr>
        <w:t xml:space="preserve"> Essays on the Doctrinal Study of Law</w:t>
      </w:r>
      <w:r w:rsidRPr="00A96BA2">
        <w:rPr>
          <w:rFonts w:ascii="Times New Roman" w:hAnsi="Times New Roman" w:cs="Times New Roman"/>
        </w:rPr>
        <w:t>, (New York: Springer, 2011), pg. 19.</w:t>
      </w:r>
    </w:p>
  </w:footnote>
  <w:footnote w:id="26">
    <w:p w14:paraId="19BA409C" w14:textId="1A64F176"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Soerjono Soekanto, </w:t>
      </w:r>
      <w:r w:rsidRPr="00A96BA2">
        <w:rPr>
          <w:rFonts w:ascii="Times New Roman" w:hAnsi="Times New Roman" w:cs="Times New Roman"/>
          <w:i/>
          <w:iCs/>
        </w:rPr>
        <w:t>Introduction to Legal Research</w:t>
      </w:r>
      <w:r w:rsidRPr="00A96BA2">
        <w:rPr>
          <w:rFonts w:ascii="Times New Roman" w:hAnsi="Times New Roman" w:cs="Times New Roman"/>
        </w:rPr>
        <w:t>, (Jakarta: Universit</w:t>
      </w:r>
      <w:r w:rsidR="0032174F">
        <w:rPr>
          <w:rFonts w:ascii="Times New Roman" w:hAnsi="Times New Roman" w:cs="Times New Roman"/>
        </w:rPr>
        <w:t>y of</w:t>
      </w:r>
      <w:r w:rsidRPr="00A96BA2">
        <w:rPr>
          <w:rFonts w:ascii="Times New Roman" w:hAnsi="Times New Roman" w:cs="Times New Roman"/>
        </w:rPr>
        <w:t xml:space="preserve"> Indonesia</w:t>
      </w:r>
      <w:r w:rsidR="0032174F">
        <w:rPr>
          <w:rFonts w:ascii="Times New Roman" w:hAnsi="Times New Roman" w:cs="Times New Roman"/>
        </w:rPr>
        <w:t xml:space="preserve"> Press</w:t>
      </w:r>
      <w:r w:rsidRPr="00A96BA2">
        <w:rPr>
          <w:rFonts w:ascii="Times New Roman" w:hAnsi="Times New Roman" w:cs="Times New Roman"/>
        </w:rPr>
        <w:t>, 1986), pg. 10.</w:t>
      </w:r>
    </w:p>
  </w:footnote>
  <w:footnote w:id="27">
    <w:p w14:paraId="240960DD" w14:textId="551B51F3"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 pg. 21.</w:t>
      </w:r>
    </w:p>
  </w:footnote>
  <w:footnote w:id="28">
    <w:p w14:paraId="16D5CFE3" w14:textId="4F3BC5F6"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Soerjono Soekanto dan Sri Mamudji,</w:t>
      </w:r>
      <w:r w:rsidRPr="00A96BA2">
        <w:rPr>
          <w:rFonts w:ascii="Times New Roman" w:hAnsi="Times New Roman" w:cs="Times New Roman"/>
          <w:i/>
          <w:iCs/>
        </w:rPr>
        <w:t xml:space="preserve"> Normative Legal Research</w:t>
      </w:r>
      <w:r w:rsidRPr="00A96BA2">
        <w:rPr>
          <w:rFonts w:ascii="Times New Roman" w:hAnsi="Times New Roman" w:cs="Times New Roman"/>
        </w:rPr>
        <w:t xml:space="preserve">, (Jakarta: </w:t>
      </w:r>
      <w:r w:rsidR="0032174F">
        <w:rPr>
          <w:rFonts w:ascii="Times New Roman" w:hAnsi="Times New Roman" w:cs="Times New Roman"/>
        </w:rPr>
        <w:t>Rajawali</w:t>
      </w:r>
      <w:r w:rsidRPr="00A96BA2">
        <w:rPr>
          <w:rFonts w:ascii="Times New Roman" w:hAnsi="Times New Roman" w:cs="Times New Roman"/>
        </w:rPr>
        <w:t xml:space="preserve"> Pers, 2015), pg. 13.</w:t>
      </w:r>
    </w:p>
  </w:footnote>
  <w:footnote w:id="29">
    <w:p w14:paraId="2394E386" w14:textId="77777777" w:rsidR="00016B6B" w:rsidRPr="00A96BA2" w:rsidRDefault="00016B6B"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30">
    <w:p w14:paraId="0FD5A957" w14:textId="77777777" w:rsidR="001706B8" w:rsidRPr="00A96BA2" w:rsidRDefault="001706B8"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Antonin Scalia and Bryan A. Garner, </w:t>
      </w:r>
      <w:r w:rsidRPr="00A96BA2">
        <w:rPr>
          <w:rFonts w:ascii="Times New Roman" w:hAnsi="Times New Roman" w:cs="Times New Roman"/>
          <w:i/>
          <w:iCs/>
        </w:rPr>
        <w:t>Reading Law: The Interpretation of Legal Texts,</w:t>
      </w:r>
      <w:r w:rsidRPr="00A96BA2">
        <w:rPr>
          <w:rFonts w:ascii="Times New Roman" w:hAnsi="Times New Roman" w:cs="Times New Roman"/>
        </w:rPr>
        <w:t xml:space="preserve"> (St Paul, MN: Thomas/West, 2012), pg. 36. </w:t>
      </w:r>
    </w:p>
  </w:footnote>
  <w:footnote w:id="31">
    <w:p w14:paraId="3A061135" w14:textId="4ED03F3D" w:rsidR="00FF13AB" w:rsidRPr="00A96BA2" w:rsidRDefault="00FF13AB"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415BA0" w:rsidRPr="00A96BA2">
        <w:rPr>
          <w:rFonts w:ascii="Times New Roman" w:hAnsi="Times New Roman" w:cs="Times New Roman"/>
        </w:rPr>
        <w:t xml:space="preserve">George F. Milton and G. T. Milton, “The Problem of Direct Taxation,” </w:t>
      </w:r>
      <w:r w:rsidR="00415BA0" w:rsidRPr="00A96BA2">
        <w:rPr>
          <w:rFonts w:ascii="Times New Roman" w:hAnsi="Times New Roman" w:cs="Times New Roman"/>
          <w:i/>
          <w:iCs/>
        </w:rPr>
        <w:t>The Sewanee Review,</w:t>
      </w:r>
      <w:r w:rsidR="00415BA0" w:rsidRPr="00A96BA2">
        <w:rPr>
          <w:rFonts w:ascii="Times New Roman" w:hAnsi="Times New Roman" w:cs="Times New Roman"/>
        </w:rPr>
        <w:t xml:space="preserve"> Vol. 1, No. 4 (1983), pg. 466.</w:t>
      </w:r>
    </w:p>
  </w:footnote>
  <w:footnote w:id="32">
    <w:p w14:paraId="1FC36555" w14:textId="44CBCE8D" w:rsidR="00FB6D27" w:rsidRPr="00A96BA2" w:rsidRDefault="00FB6D27"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A1777" w:rsidRPr="00A96BA2">
        <w:rPr>
          <w:rFonts w:ascii="Times New Roman" w:hAnsi="Times New Roman" w:cs="Times New Roman"/>
          <w:i/>
          <w:iCs/>
        </w:rPr>
        <w:t>Ibid</w:t>
      </w:r>
      <w:r w:rsidR="007A1777" w:rsidRPr="00A96BA2">
        <w:rPr>
          <w:rFonts w:ascii="Times New Roman" w:hAnsi="Times New Roman" w:cs="Times New Roman"/>
        </w:rPr>
        <w:t>.</w:t>
      </w:r>
    </w:p>
  </w:footnote>
  <w:footnote w:id="33">
    <w:p w14:paraId="6208D2C3" w14:textId="2FD24CC2" w:rsidR="00FB6D27" w:rsidRPr="00A96BA2" w:rsidRDefault="00FB6D27"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23D8C" w:rsidRPr="00A96BA2">
        <w:rPr>
          <w:rFonts w:ascii="Times New Roman" w:hAnsi="Times New Roman" w:cs="Times New Roman"/>
        </w:rPr>
        <w:t xml:space="preserve">Bangkit Cahyono, “Principles of Tax Collection in Income Tax on Stock Transactions on the Stock Exchange,” </w:t>
      </w:r>
      <w:r w:rsidR="00D23D8C" w:rsidRPr="00A96BA2">
        <w:rPr>
          <w:rFonts w:ascii="Times New Roman" w:hAnsi="Times New Roman" w:cs="Times New Roman"/>
          <w:i/>
          <w:iCs/>
        </w:rPr>
        <w:t>Jurnal Pajak dan Bisnis,</w:t>
      </w:r>
      <w:r w:rsidR="00D23D8C" w:rsidRPr="00A96BA2">
        <w:rPr>
          <w:rFonts w:ascii="Times New Roman" w:hAnsi="Times New Roman" w:cs="Times New Roman"/>
        </w:rPr>
        <w:t xml:space="preserve"> Vol. 2, No. 2 (2021), pg. 78</w:t>
      </w:r>
      <w:r w:rsidR="007A1777" w:rsidRPr="00A96BA2">
        <w:rPr>
          <w:rFonts w:ascii="Times New Roman" w:hAnsi="Times New Roman" w:cs="Times New Roman"/>
        </w:rPr>
        <w:t>.</w:t>
      </w:r>
    </w:p>
  </w:footnote>
  <w:footnote w:id="34">
    <w:p w14:paraId="4E29246B" w14:textId="593EE05A" w:rsidR="00FB6D27" w:rsidRPr="00A96BA2" w:rsidRDefault="00FB6D27"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A1777" w:rsidRPr="00A96BA2">
        <w:rPr>
          <w:rFonts w:ascii="Times New Roman" w:hAnsi="Times New Roman" w:cs="Times New Roman"/>
          <w:i/>
          <w:iCs/>
          <w:lang w:val="id-ID"/>
        </w:rPr>
        <w:t>Ibid</w:t>
      </w:r>
      <w:r w:rsidR="007A1777" w:rsidRPr="00A96BA2">
        <w:rPr>
          <w:rFonts w:ascii="Times New Roman" w:hAnsi="Times New Roman" w:cs="Times New Roman"/>
          <w:lang w:val="id-ID"/>
        </w:rPr>
        <w:t>.</w:t>
      </w:r>
    </w:p>
  </w:footnote>
  <w:footnote w:id="35">
    <w:p w14:paraId="3A81BED3" w14:textId="7D6D3BF0" w:rsidR="00586A08" w:rsidRPr="00A96BA2" w:rsidRDefault="00586A08"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lang w:val="id-ID"/>
        </w:rPr>
        <w:t xml:space="preserve">Dwi Heru Setiawan, “Analysis of the Jakarta Provincial Governments Tax Relaxation Policy on the Impact of the Covid-19 Pandemic from the Perspective of the Four Maxim Principles,” </w:t>
      </w:r>
      <w:r w:rsidRPr="00A96BA2">
        <w:rPr>
          <w:rFonts w:ascii="Times New Roman" w:hAnsi="Times New Roman" w:cs="Times New Roman"/>
          <w:i/>
          <w:iCs/>
          <w:lang w:val="id-ID"/>
        </w:rPr>
        <w:t>Jurnal Kajian Hukum</w:t>
      </w:r>
      <w:r w:rsidRPr="00A96BA2">
        <w:rPr>
          <w:rFonts w:ascii="Times New Roman" w:hAnsi="Times New Roman" w:cs="Times New Roman"/>
          <w:lang w:val="id-ID"/>
        </w:rPr>
        <w:t>, Vol. 5, No. 1, (2020), pg. 4.</w:t>
      </w:r>
    </w:p>
  </w:footnote>
  <w:footnote w:id="36">
    <w:p w14:paraId="2EC5B591" w14:textId="18B134CC" w:rsidR="006913DD" w:rsidRPr="00A96BA2" w:rsidRDefault="006913DD"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B64362" w:rsidRPr="00A96BA2">
        <w:rPr>
          <w:rFonts w:ascii="Times New Roman" w:hAnsi="Times New Roman" w:cs="Times New Roman"/>
        </w:rPr>
        <w:t xml:space="preserve">Magdalena Jarczok-Guzy, “The principles of tax law equality in the context of direct taxation,” </w:t>
      </w:r>
      <w:r w:rsidR="00B64362" w:rsidRPr="00A96BA2">
        <w:rPr>
          <w:rFonts w:ascii="Times New Roman" w:hAnsi="Times New Roman" w:cs="Times New Roman"/>
          <w:i/>
          <w:iCs/>
        </w:rPr>
        <w:t>Journal of Economics and Management,</w:t>
      </w:r>
      <w:r w:rsidR="00B64362" w:rsidRPr="00A96BA2">
        <w:rPr>
          <w:rFonts w:ascii="Times New Roman" w:hAnsi="Times New Roman" w:cs="Times New Roman"/>
        </w:rPr>
        <w:t xml:space="preserve"> Vol. 30, No. 4 (2017), pg. 73 (70-84).</w:t>
      </w:r>
    </w:p>
  </w:footnote>
  <w:footnote w:id="37">
    <w:p w14:paraId="56D0F6C5" w14:textId="1691F970" w:rsidR="00F8569F" w:rsidRPr="00A96BA2" w:rsidRDefault="00F8569F"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B64362" w:rsidRPr="00A96BA2">
        <w:rPr>
          <w:rFonts w:ascii="Times New Roman" w:hAnsi="Times New Roman" w:cs="Times New Roman"/>
          <w:i/>
          <w:iCs/>
          <w:lang w:val="id-ID"/>
        </w:rPr>
        <w:t>Ibid.</w:t>
      </w:r>
    </w:p>
  </w:footnote>
  <w:footnote w:id="38">
    <w:p w14:paraId="43533727" w14:textId="77777777" w:rsidR="003964CD" w:rsidRPr="00A96BA2" w:rsidRDefault="003964CD"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Catur Anggoro Putro, Helmi Rizal, and Sekar Mayangsari, “Fulfilling the Principles of Fairness and Equity in the Implementation of OECD Pillar One (Unified Approach) in Indonesia,” </w:t>
      </w:r>
      <w:r w:rsidRPr="00A96BA2">
        <w:rPr>
          <w:rFonts w:ascii="Times New Roman" w:hAnsi="Times New Roman" w:cs="Times New Roman"/>
          <w:i/>
          <w:iCs/>
        </w:rPr>
        <w:t xml:space="preserve">Indonesian Interdisciplinary Journal of Sharia Economics (IIJSE), </w:t>
      </w:r>
      <w:r w:rsidRPr="00A96BA2">
        <w:rPr>
          <w:rFonts w:ascii="Times New Roman" w:hAnsi="Times New Roman" w:cs="Times New Roman"/>
        </w:rPr>
        <w:t>Vol. 7. No. 1 (2024), pg. 570.</w:t>
      </w:r>
    </w:p>
  </w:footnote>
  <w:footnote w:id="39">
    <w:p w14:paraId="6A77A1D7" w14:textId="77777777" w:rsidR="003964CD" w:rsidRPr="00A96BA2" w:rsidRDefault="003964CD"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40">
    <w:p w14:paraId="7628C490" w14:textId="588A3653" w:rsidR="00FD0245" w:rsidRPr="00A96BA2" w:rsidRDefault="00FD0245"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CF23B6" w:rsidRPr="00A96BA2">
        <w:rPr>
          <w:rFonts w:ascii="Times New Roman" w:hAnsi="Times New Roman" w:cs="Times New Roman"/>
          <w:lang w:val="id-ID"/>
        </w:rPr>
        <w:t xml:space="preserve">Wira Purwadi, </w:t>
      </w:r>
      <w:r w:rsidR="00CF23B6" w:rsidRPr="00A96BA2">
        <w:rPr>
          <w:rFonts w:ascii="Times New Roman" w:hAnsi="Times New Roman" w:cs="Times New Roman"/>
          <w:i/>
          <w:iCs/>
          <w:lang w:val="id-ID"/>
        </w:rPr>
        <w:t>et. al., “</w:t>
      </w:r>
      <w:r w:rsidR="00CF23B6" w:rsidRPr="00A96BA2">
        <w:rPr>
          <w:rFonts w:ascii="Times New Roman" w:hAnsi="Times New Roman" w:cs="Times New Roman"/>
          <w:lang w:val="id-ID"/>
        </w:rPr>
        <w:t xml:space="preserve">Application of the Principle of Equality Before the Law to Law Enforcement for the Realization of Justice in Society,” </w:t>
      </w:r>
      <w:r w:rsidR="00CF23B6" w:rsidRPr="00A96BA2">
        <w:rPr>
          <w:rFonts w:ascii="Times New Roman" w:hAnsi="Times New Roman" w:cs="Times New Roman"/>
          <w:i/>
          <w:iCs/>
          <w:lang w:val="id-ID"/>
        </w:rPr>
        <w:t>Jurnal Legalitas,</w:t>
      </w:r>
      <w:r w:rsidR="00CF23B6" w:rsidRPr="00A96BA2">
        <w:rPr>
          <w:rFonts w:ascii="Times New Roman" w:hAnsi="Times New Roman" w:cs="Times New Roman"/>
          <w:lang w:val="id-ID"/>
        </w:rPr>
        <w:t xml:space="preserve"> Vol. 15, No. 1 (2022), pg. 59</w:t>
      </w:r>
      <w:r w:rsidR="00193CB9" w:rsidRPr="00A96BA2">
        <w:rPr>
          <w:rFonts w:ascii="Times New Roman" w:hAnsi="Times New Roman" w:cs="Times New Roman"/>
          <w:lang w:val="id-ID"/>
        </w:rPr>
        <w:t>.</w:t>
      </w:r>
    </w:p>
  </w:footnote>
  <w:footnote w:id="41">
    <w:p w14:paraId="2AFDCAE7" w14:textId="6FF5FB3D" w:rsidR="007E2A1A" w:rsidRPr="00A96BA2" w:rsidRDefault="007E2A1A"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E4E59" w:rsidRPr="00A96BA2">
        <w:rPr>
          <w:rFonts w:ascii="Times New Roman" w:hAnsi="Times New Roman" w:cs="Times New Roman"/>
        </w:rPr>
        <w:t xml:space="preserve">Rosalie Silberman Abella, “Equality, Human Rights, Women and the Justice System,” </w:t>
      </w:r>
      <w:r w:rsidR="007E4E59" w:rsidRPr="00A96BA2">
        <w:rPr>
          <w:rFonts w:ascii="Times New Roman" w:hAnsi="Times New Roman" w:cs="Times New Roman"/>
          <w:i/>
          <w:iCs/>
        </w:rPr>
        <w:t>McGill Law Journal</w:t>
      </w:r>
      <w:r w:rsidR="007E4E59" w:rsidRPr="00A96BA2">
        <w:rPr>
          <w:rFonts w:ascii="Times New Roman" w:hAnsi="Times New Roman" w:cs="Times New Roman"/>
        </w:rPr>
        <w:t>, Vol. 39, No. 3 (1994), pg. 491.</w:t>
      </w:r>
    </w:p>
  </w:footnote>
  <w:footnote w:id="42">
    <w:p w14:paraId="743D00FF" w14:textId="2C7B7D06" w:rsidR="007E2A1A" w:rsidRPr="00A96BA2" w:rsidRDefault="007E2A1A" w:rsidP="00A96BA2">
      <w:pPr>
        <w:pStyle w:val="FootnoteText"/>
        <w:ind w:firstLine="720"/>
        <w:jc w:val="both"/>
        <w:rPr>
          <w:rFonts w:ascii="Times New Roman" w:hAnsi="Times New Roman" w:cs="Times New Roman"/>
          <w:i/>
          <w:iCs/>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7E4E59" w:rsidRPr="00A96BA2">
        <w:rPr>
          <w:rFonts w:ascii="Times New Roman" w:hAnsi="Times New Roman" w:cs="Times New Roman"/>
          <w:i/>
          <w:iCs/>
        </w:rPr>
        <w:t>Ibid.</w:t>
      </w:r>
    </w:p>
  </w:footnote>
  <w:footnote w:id="43">
    <w:p w14:paraId="5B7F64DB" w14:textId="26B1F6AB" w:rsidR="00475F38" w:rsidRPr="00A96BA2" w:rsidRDefault="00475F38"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8A4CBE" w:rsidRPr="00A96BA2">
        <w:rPr>
          <w:rFonts w:ascii="Times New Roman" w:hAnsi="Times New Roman" w:cs="Times New Roman"/>
        </w:rPr>
        <w:t xml:space="preserve">Madumarov Talantbek Tolibjonovich, “The Essence of the Concept of Equality and Justice in Law,” </w:t>
      </w:r>
      <w:r w:rsidR="008A4CBE" w:rsidRPr="00A96BA2">
        <w:rPr>
          <w:rFonts w:ascii="Times New Roman" w:hAnsi="Times New Roman" w:cs="Times New Roman"/>
          <w:i/>
          <w:iCs/>
        </w:rPr>
        <w:t>Novateur Publications Journal NX - A Multidisciplinary Peer Reviewed Journal</w:t>
      </w:r>
      <w:r w:rsidR="008A4CBE" w:rsidRPr="00A96BA2">
        <w:rPr>
          <w:rFonts w:ascii="Times New Roman" w:hAnsi="Times New Roman" w:cs="Times New Roman"/>
        </w:rPr>
        <w:t>, Vol. 7, Issue 3 (2021), pg.</w:t>
      </w:r>
      <w:r w:rsidR="000C4B3E" w:rsidRPr="00A96BA2">
        <w:rPr>
          <w:rFonts w:ascii="Times New Roman" w:hAnsi="Times New Roman" w:cs="Times New Roman"/>
        </w:rPr>
        <w:t xml:space="preserve"> 17.</w:t>
      </w:r>
    </w:p>
  </w:footnote>
  <w:footnote w:id="44">
    <w:p w14:paraId="6C0DF53E" w14:textId="7068C6F7" w:rsidR="008A12AC" w:rsidRPr="00A96BA2" w:rsidRDefault="008A12A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F7289" w:rsidRPr="00A96BA2">
        <w:rPr>
          <w:rFonts w:ascii="Times New Roman" w:hAnsi="Times New Roman" w:cs="Times New Roman"/>
        </w:rPr>
        <w:t xml:space="preserve">Cahya Intan Ayuningsekar, Abdul Kadir Jaelani, and Sapto Hermawan, “Legitimacy Principle of Equality in Collection of Rural and Urban Land Tax,” </w:t>
      </w:r>
      <w:r w:rsidR="00DF7289" w:rsidRPr="00A96BA2">
        <w:rPr>
          <w:rFonts w:ascii="Times New Roman" w:hAnsi="Times New Roman" w:cs="Times New Roman"/>
          <w:i/>
          <w:iCs/>
        </w:rPr>
        <w:t>Journal of Sustainable Development and Regulatory Issues,</w:t>
      </w:r>
      <w:r w:rsidR="00DF7289" w:rsidRPr="00A96BA2">
        <w:rPr>
          <w:rFonts w:ascii="Times New Roman" w:hAnsi="Times New Roman" w:cs="Times New Roman"/>
        </w:rPr>
        <w:t xml:space="preserve"> Vol.1, No.3 (2023), pg. 159.</w:t>
      </w:r>
    </w:p>
  </w:footnote>
  <w:footnote w:id="45">
    <w:p w14:paraId="767A8CAA" w14:textId="2E9BD7AC" w:rsidR="008A12AC" w:rsidRPr="00A96BA2" w:rsidRDefault="008A12A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lang w:val="id-ID"/>
        </w:rPr>
        <w:t>Ibid</w:t>
      </w:r>
      <w:r w:rsidRPr="00A96BA2">
        <w:rPr>
          <w:rFonts w:ascii="Times New Roman" w:hAnsi="Times New Roman" w:cs="Times New Roman"/>
          <w:lang w:val="id-ID"/>
        </w:rPr>
        <w:t>.</w:t>
      </w:r>
    </w:p>
  </w:footnote>
  <w:footnote w:id="46">
    <w:p w14:paraId="79C244E1" w14:textId="786328F1" w:rsidR="00D8735C" w:rsidRPr="00A96BA2" w:rsidRDefault="00D8735C"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2A1EE9" w:rsidRPr="00A96BA2">
        <w:rPr>
          <w:rFonts w:ascii="Times New Roman" w:hAnsi="Times New Roman" w:cs="Times New Roman"/>
          <w:lang w:val="id-ID"/>
        </w:rPr>
        <w:t xml:space="preserve">Ery Pamungkas, </w:t>
      </w:r>
      <w:r w:rsidR="002A1EE9" w:rsidRPr="00A96BA2">
        <w:rPr>
          <w:rFonts w:ascii="Times New Roman" w:hAnsi="Times New Roman" w:cs="Times New Roman"/>
          <w:i/>
          <w:iCs/>
          <w:lang w:val="id-ID"/>
        </w:rPr>
        <w:t xml:space="preserve">et. al., </w:t>
      </w:r>
      <w:r w:rsidR="002A1EE9" w:rsidRPr="00A96BA2">
        <w:rPr>
          <w:rFonts w:ascii="Times New Roman" w:hAnsi="Times New Roman" w:cs="Times New Roman"/>
          <w:lang w:val="id-ID"/>
        </w:rPr>
        <w:t xml:space="preserve">“Reconstruction of Indonesian Tax Law Based on The Principle of Distributive Justice To Establish A Welfare State In The Framework of The Rule of Law,” </w:t>
      </w:r>
      <w:r w:rsidR="002A1EE9" w:rsidRPr="00A96BA2">
        <w:rPr>
          <w:rFonts w:ascii="Times New Roman" w:hAnsi="Times New Roman" w:cs="Times New Roman"/>
          <w:i/>
          <w:iCs/>
          <w:lang w:val="id-ID"/>
        </w:rPr>
        <w:t>Journal of Law, Politics, and Humanities</w:t>
      </w:r>
      <w:r w:rsidR="002A1EE9" w:rsidRPr="00A96BA2">
        <w:rPr>
          <w:rFonts w:ascii="Times New Roman" w:hAnsi="Times New Roman" w:cs="Times New Roman"/>
          <w:lang w:val="id-ID"/>
        </w:rPr>
        <w:t>, Vol. 6, No. 2 (2025), pg. 1028.</w:t>
      </w:r>
    </w:p>
  </w:footnote>
  <w:footnote w:id="47">
    <w:p w14:paraId="76CD9B85" w14:textId="3A24462A" w:rsidR="004B54B0" w:rsidRPr="00A96BA2" w:rsidRDefault="004B54B0"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86676" w:rsidRPr="00A96BA2">
        <w:rPr>
          <w:rFonts w:ascii="Times New Roman" w:hAnsi="Times New Roman" w:cs="Times New Roman"/>
        </w:rPr>
        <w:t xml:space="preserve">Yenni Mangoting, “Income Tax in a Policy,” </w:t>
      </w:r>
      <w:r w:rsidR="00D86676" w:rsidRPr="00A96BA2">
        <w:rPr>
          <w:rFonts w:ascii="Times New Roman" w:hAnsi="Times New Roman" w:cs="Times New Roman"/>
          <w:i/>
          <w:iCs/>
        </w:rPr>
        <w:t>Jurnal Akuntansi dan Keuangan</w:t>
      </w:r>
      <w:r w:rsidR="00D86676" w:rsidRPr="00A96BA2">
        <w:rPr>
          <w:rFonts w:ascii="Times New Roman" w:hAnsi="Times New Roman" w:cs="Times New Roman"/>
        </w:rPr>
        <w:t>, Vol. 3, No. 2 (2001) pg. 144.</w:t>
      </w:r>
    </w:p>
  </w:footnote>
  <w:footnote w:id="48">
    <w:p w14:paraId="17518D42" w14:textId="0CE384B3" w:rsidR="004B3A80" w:rsidRPr="00A96BA2" w:rsidRDefault="004B3A80"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0165E8" w:rsidRPr="00A96BA2">
        <w:rPr>
          <w:rFonts w:ascii="Times New Roman" w:hAnsi="Times New Roman" w:cs="Times New Roman"/>
          <w:lang w:val="id-ID"/>
        </w:rPr>
        <w:t xml:space="preserve">Agus Iskandar, “Legal Analysis of Tax Collection Policy in Indonesia,” </w:t>
      </w:r>
      <w:r w:rsidR="000165E8" w:rsidRPr="00A96BA2">
        <w:rPr>
          <w:rFonts w:ascii="Times New Roman" w:hAnsi="Times New Roman" w:cs="Times New Roman"/>
          <w:i/>
          <w:iCs/>
          <w:lang w:val="id-ID"/>
        </w:rPr>
        <w:t>Jurnal Keadilan Progresif</w:t>
      </w:r>
      <w:r w:rsidR="000165E8" w:rsidRPr="00A96BA2">
        <w:rPr>
          <w:rFonts w:ascii="Times New Roman" w:hAnsi="Times New Roman" w:cs="Times New Roman"/>
          <w:lang w:val="id-ID"/>
        </w:rPr>
        <w:t>, Vol. 11, No. 2 (2021), pg. 111.</w:t>
      </w:r>
    </w:p>
  </w:footnote>
  <w:footnote w:id="49">
    <w:p w14:paraId="0011A2B2"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Cahya Iradi Arimba, "Hans Kelsen’s Nomostatics and Nomodinamics Legal Theory," </w:t>
      </w:r>
      <w:r w:rsidRPr="00A96BA2">
        <w:rPr>
          <w:rFonts w:ascii="Times New Roman" w:hAnsi="Times New Roman" w:cs="Times New Roman"/>
          <w:i/>
          <w:iCs/>
        </w:rPr>
        <w:t>Justice Voice</w:t>
      </w:r>
      <w:r w:rsidRPr="00A96BA2">
        <w:rPr>
          <w:rFonts w:ascii="Times New Roman" w:hAnsi="Times New Roman" w:cs="Times New Roman"/>
        </w:rPr>
        <w:t xml:space="preserve">, Vol. 2, No. 2 (2023), pg. 62. </w:t>
      </w:r>
    </w:p>
  </w:footnote>
  <w:footnote w:id="50">
    <w:p w14:paraId="3F9B45FB" w14:textId="77777777" w:rsidR="0050664E" w:rsidRPr="00A96BA2" w:rsidRDefault="0050664E"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Tiara Oktavia Namira Daud, Erman I. Rahim, and Suwitno Yutye Imran, “Reconstruction of Regional Government Authority in Mining Management Post Law No. 23 of 2014: Legal Review Based on Hans Kelsen's Theory, </w:t>
      </w:r>
      <w:r w:rsidRPr="00A96BA2">
        <w:rPr>
          <w:rFonts w:ascii="Times New Roman" w:hAnsi="Times New Roman" w:cs="Times New Roman"/>
          <w:i/>
          <w:iCs/>
        </w:rPr>
        <w:t>International Journal of Law, Crime and Justice</w:t>
      </w:r>
      <w:r w:rsidRPr="00A96BA2">
        <w:rPr>
          <w:rFonts w:ascii="Times New Roman" w:hAnsi="Times New Roman" w:cs="Times New Roman"/>
        </w:rPr>
        <w:t>, Vol. 2, No. 2 (2025), pg. 199.</w:t>
      </w:r>
    </w:p>
  </w:footnote>
  <w:footnote w:id="51">
    <w:p w14:paraId="42D87451" w14:textId="3190A8D8" w:rsidR="0050664E" w:rsidRPr="00A96BA2" w:rsidRDefault="0050664E"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lang w:val="id-ID"/>
        </w:rPr>
        <w:t xml:space="preserve"> Sofyan Apendi, "</w:t>
      </w:r>
      <w:r w:rsidRPr="00A96BA2">
        <w:rPr>
          <w:rFonts w:ascii="Times New Roman" w:hAnsi="Times New Roman" w:cs="Times New Roman"/>
        </w:rPr>
        <w:t>The Absence of Ministerial Regulations in the Hierarchy of National Legislation and Its Implications for Regulatory Structuring in the National Legal System</w:t>
      </w:r>
      <w:r w:rsidRPr="00A96BA2">
        <w:rPr>
          <w:rFonts w:ascii="Times New Roman" w:hAnsi="Times New Roman" w:cs="Times New Roman"/>
          <w:lang w:val="id-ID"/>
        </w:rPr>
        <w:t>,"</w:t>
      </w:r>
      <w:r w:rsidRPr="00A96BA2">
        <w:rPr>
          <w:rFonts w:ascii="Times New Roman" w:hAnsi="Times New Roman" w:cs="Times New Roman"/>
          <w:i/>
          <w:iCs/>
          <w:lang w:val="id-ID"/>
        </w:rPr>
        <w:t xml:space="preserve"> PALAR (Pakuan Law Review),</w:t>
      </w:r>
      <w:r w:rsidRPr="00A96BA2">
        <w:rPr>
          <w:rFonts w:ascii="Times New Roman" w:hAnsi="Times New Roman" w:cs="Times New Roman"/>
          <w:lang w:val="id-ID"/>
        </w:rPr>
        <w:t xml:space="preserve"> Vol. 07, No. 01 (2021), pg. 114.</w:t>
      </w:r>
    </w:p>
  </w:footnote>
  <w:footnote w:id="52">
    <w:p w14:paraId="04F32F81"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Juwita Putri Pratama and Lita Tyesta ALW, "The Existence of the Position of Ministerial Regulations Against Regional Regulations in the Hierarchy of Legislative Regulations," </w:t>
      </w:r>
      <w:r w:rsidRPr="00A96BA2">
        <w:rPr>
          <w:rFonts w:ascii="Times New Roman" w:hAnsi="Times New Roman" w:cs="Times New Roman"/>
          <w:i/>
          <w:iCs/>
        </w:rPr>
        <w:t>Jurnal Konstitusi</w:t>
      </w:r>
      <w:r w:rsidRPr="00A96BA2">
        <w:rPr>
          <w:rFonts w:ascii="Times New Roman" w:hAnsi="Times New Roman" w:cs="Times New Roman"/>
        </w:rPr>
        <w:t xml:space="preserve">, Vol. 19, No. 4 (2022), pg. 879. </w:t>
      </w:r>
    </w:p>
  </w:footnote>
  <w:footnote w:id="53">
    <w:p w14:paraId="007226CF"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 xml:space="preserve">. </w:t>
      </w:r>
    </w:p>
  </w:footnote>
  <w:footnote w:id="54">
    <w:p w14:paraId="3647767E" w14:textId="2868ACDA" w:rsidR="0050664E" w:rsidRPr="00A96BA2" w:rsidRDefault="0050664E"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Regulation of the Minister of Industry Number 161/M-Ind/Per/12/2012 concerning the Guideline Map for Core Industry Competency Development in Banjar Regency</w:t>
      </w:r>
      <w:r w:rsidRPr="00A96BA2">
        <w:rPr>
          <w:rFonts w:ascii="Times New Roman" w:hAnsi="Times New Roman" w:cs="Times New Roman"/>
        </w:rPr>
        <w:t xml:space="preserve">, Article 2. </w:t>
      </w:r>
    </w:p>
  </w:footnote>
  <w:footnote w:id="55">
    <w:p w14:paraId="6E998874" w14:textId="610249DF"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Odilo Kelebit Tite, " Analysis of Regional Regulations Viewed from the Techniques of Drafting Laws and Regulations (Study in West Kalimantan Province)," </w:t>
      </w:r>
      <w:r w:rsidRPr="00A96BA2">
        <w:rPr>
          <w:rFonts w:ascii="Times New Roman" w:hAnsi="Times New Roman" w:cs="Times New Roman"/>
          <w:i/>
          <w:iCs/>
        </w:rPr>
        <w:t>Jurnal Nestor Magister Hukum</w:t>
      </w:r>
      <w:r w:rsidRPr="00A96BA2">
        <w:rPr>
          <w:rFonts w:ascii="Times New Roman" w:hAnsi="Times New Roman" w:cs="Times New Roman"/>
        </w:rPr>
        <w:t xml:space="preserve">, Vol. 13, No. 2 (2017), pg. 5. </w:t>
      </w:r>
    </w:p>
  </w:footnote>
  <w:footnote w:id="56">
    <w:p w14:paraId="1314B6CA" w14:textId="22B5019C"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Ni'matuI Huda, " The Position of Regional Regulations in the Hierarchy of Legislation," </w:t>
      </w:r>
      <w:r w:rsidRPr="00A96BA2">
        <w:rPr>
          <w:rFonts w:ascii="Times New Roman" w:hAnsi="Times New Roman" w:cs="Times New Roman"/>
          <w:i/>
          <w:iCs/>
        </w:rPr>
        <w:t>Jurnal Hukum UII</w:t>
      </w:r>
      <w:r w:rsidRPr="00A96BA2">
        <w:rPr>
          <w:rFonts w:ascii="Times New Roman" w:hAnsi="Times New Roman" w:cs="Times New Roman"/>
        </w:rPr>
        <w:t xml:space="preserve">, Vol. 13, No. 1 (2006), pg. 34. </w:t>
      </w:r>
    </w:p>
  </w:footnote>
  <w:footnote w:id="57">
    <w:p w14:paraId="1CB5258C" w14:textId="7084FB75"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Andi Muhammad Akkas, </w:t>
      </w:r>
      <w:r w:rsidRPr="00A96BA2">
        <w:rPr>
          <w:rFonts w:ascii="Times New Roman" w:hAnsi="Times New Roman" w:cs="Times New Roman"/>
          <w:i/>
          <w:iCs/>
        </w:rPr>
        <w:t>et. al</w:t>
      </w:r>
      <w:r w:rsidRPr="00A96BA2">
        <w:rPr>
          <w:rFonts w:ascii="Times New Roman" w:hAnsi="Times New Roman" w:cs="Times New Roman"/>
        </w:rPr>
        <w:t xml:space="preserve">., " Inventory of the Availability of Minerals and Rocks for Gemstone Raw Materials," </w:t>
      </w:r>
      <w:r w:rsidRPr="00A96BA2">
        <w:rPr>
          <w:rFonts w:ascii="Times New Roman" w:hAnsi="Times New Roman" w:cs="Times New Roman"/>
          <w:i/>
          <w:iCs/>
        </w:rPr>
        <w:t>Jurnal Geosapta</w:t>
      </w:r>
      <w:r w:rsidRPr="00A96BA2">
        <w:rPr>
          <w:rFonts w:ascii="Times New Roman" w:hAnsi="Times New Roman" w:cs="Times New Roman"/>
        </w:rPr>
        <w:t>, Vol. 2, No. 2 (2016), pg. 94.</w:t>
      </w:r>
    </w:p>
  </w:footnote>
  <w:footnote w:id="58">
    <w:p w14:paraId="6C6E2E3E" w14:textId="3F774D79"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 xml:space="preserve">Regional Regulation of Banjar Regency Number 7 of 2011 on Business Service Retribution, </w:t>
      </w:r>
      <w:r w:rsidRPr="00A96BA2">
        <w:rPr>
          <w:rFonts w:ascii="Times New Roman" w:hAnsi="Times New Roman" w:cs="Times New Roman"/>
        </w:rPr>
        <w:t>Regional Gazette of Banjar Regency Number 7 of 2011, Supplement to the Regional Gazette of Banjar Regency Number 5, Article 1 (12).</w:t>
      </w:r>
    </w:p>
  </w:footnote>
  <w:footnote w:id="59">
    <w:p w14:paraId="59F0FE2D" w14:textId="58A27720"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lang w:val="en-US"/>
        </w:rPr>
        <w:t xml:space="preserve">Regional Regulation of Banjar Regency Number 8 of 2009 regarding Service Retribution for Gemstone Certification, </w:t>
      </w:r>
      <w:r w:rsidRPr="00A96BA2">
        <w:rPr>
          <w:rFonts w:ascii="Times New Roman" w:hAnsi="Times New Roman" w:cs="Times New Roman"/>
          <w:lang w:val="en-US"/>
        </w:rPr>
        <w:t>Banjar Regency Regional Gazette Number 8 of 2009, Supplement to the Banjar Regency Regional Gazette Number 8, Article. 1 (16).</w:t>
      </w:r>
      <w:r w:rsidRPr="00A96BA2">
        <w:rPr>
          <w:rFonts w:ascii="Times New Roman" w:hAnsi="Times New Roman" w:cs="Times New Roman"/>
        </w:rPr>
        <w:t xml:space="preserve"> </w:t>
      </w:r>
    </w:p>
  </w:footnote>
  <w:footnote w:id="60">
    <w:p w14:paraId="0D53F5B8" w14:textId="25CE45DE" w:rsidR="0050664E" w:rsidRPr="00A96BA2" w:rsidRDefault="0050664E"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 xml:space="preserve">, Articles 3 and 4. </w:t>
      </w:r>
    </w:p>
  </w:footnote>
  <w:footnote w:id="61">
    <w:p w14:paraId="69064080" w14:textId="77777777" w:rsidR="0050664E" w:rsidRPr="00A96BA2" w:rsidRDefault="0050664E" w:rsidP="00A96BA2">
      <w:pPr>
        <w:pStyle w:val="FootnoteText"/>
        <w:ind w:firstLine="720"/>
        <w:jc w:val="both"/>
        <w:rPr>
          <w:rFonts w:ascii="Times New Roman" w:hAnsi="Times New Roman" w:cs="Times New Roman"/>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62">
    <w:p w14:paraId="2FE5523B" w14:textId="63C7FC31"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Sitti Rachmi Nadya Mo’o, " Procedures for the Extension and Renewal of Building Use Rights Based on Government Regulation Number 24 of 1997 concerning Land Registration," </w:t>
      </w:r>
      <w:r w:rsidRPr="00A96BA2">
        <w:rPr>
          <w:rFonts w:ascii="Times New Roman" w:hAnsi="Times New Roman" w:cs="Times New Roman"/>
          <w:i/>
          <w:iCs/>
        </w:rPr>
        <w:t>Lex et Societatis</w:t>
      </w:r>
      <w:r w:rsidRPr="00A96BA2">
        <w:rPr>
          <w:rFonts w:ascii="Times New Roman" w:hAnsi="Times New Roman" w:cs="Times New Roman"/>
        </w:rPr>
        <w:t xml:space="preserve">, Vol. 5, No. 7 (2017), pg. 87. </w:t>
      </w:r>
    </w:p>
  </w:footnote>
  <w:footnote w:id="63">
    <w:p w14:paraId="0B907236" w14:textId="33A63E44"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Regional Regulation of Banjar Regency Number 7 of 2011</w:t>
      </w:r>
      <w:r w:rsidRPr="00A96BA2">
        <w:rPr>
          <w:rFonts w:ascii="Times New Roman" w:hAnsi="Times New Roman" w:cs="Times New Roman"/>
        </w:rPr>
        <w:t xml:space="preserve">, Appendix 1 (V) Number 1-5.  </w:t>
      </w:r>
    </w:p>
  </w:footnote>
  <w:footnote w:id="64">
    <w:p w14:paraId="3F7A2DC0" w14:textId="77777777" w:rsidR="0050664E" w:rsidRPr="00A96BA2" w:rsidRDefault="0050664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Pr="00A96BA2">
        <w:rPr>
          <w:rFonts w:ascii="Times New Roman" w:hAnsi="Times New Roman" w:cs="Times New Roman"/>
          <w:i/>
          <w:iCs/>
        </w:rPr>
        <w:t>Ibid</w:t>
      </w:r>
      <w:r w:rsidRPr="00A96BA2">
        <w:rPr>
          <w:rFonts w:ascii="Times New Roman" w:hAnsi="Times New Roman" w:cs="Times New Roman"/>
        </w:rPr>
        <w:t>.</w:t>
      </w:r>
    </w:p>
  </w:footnote>
  <w:footnote w:id="65">
    <w:p w14:paraId="53BF4284" w14:textId="1E9AFB1B" w:rsidR="002E457A" w:rsidRPr="00A96BA2" w:rsidRDefault="002E457A" w:rsidP="00A96BA2">
      <w:pPr>
        <w:spacing w:after="0" w:line="240" w:lineRule="auto"/>
        <w:ind w:firstLine="720"/>
        <w:jc w:val="both"/>
        <w:rPr>
          <w:rFonts w:ascii="Times New Roman" w:eastAsia="Arial" w:hAnsi="Times New Roman" w:cs="Times New Roman"/>
          <w:sz w:val="20"/>
          <w:szCs w:val="20"/>
          <w:lang w:val="id-ID"/>
        </w:rPr>
      </w:pPr>
      <w:r w:rsidRPr="00A96BA2">
        <w:rPr>
          <w:rStyle w:val="FootnoteReference"/>
          <w:rFonts w:ascii="Times New Roman" w:hAnsi="Times New Roman" w:cs="Times New Roman"/>
          <w:sz w:val="20"/>
          <w:szCs w:val="20"/>
        </w:rPr>
        <w:footnoteRef/>
      </w:r>
      <w:r w:rsidRPr="00A96BA2">
        <w:rPr>
          <w:rFonts w:ascii="Times New Roman" w:hAnsi="Times New Roman" w:cs="Times New Roman"/>
          <w:sz w:val="20"/>
          <w:szCs w:val="20"/>
          <w:lang w:val="id-ID"/>
        </w:rPr>
        <w:t xml:space="preserve"> </w:t>
      </w:r>
      <w:r w:rsidRPr="00A96BA2">
        <w:rPr>
          <w:rFonts w:ascii="Times New Roman" w:eastAsia="Times New Roman" w:hAnsi="Times New Roman" w:cs="Times New Roman"/>
          <w:sz w:val="20"/>
          <w:szCs w:val="20"/>
          <w:lang w:val="id-ID"/>
        </w:rPr>
        <w:t xml:space="preserve">Agus Brotosusilo, </w:t>
      </w:r>
      <w:r w:rsidRPr="00A96BA2">
        <w:rPr>
          <w:rFonts w:ascii="Times New Roman" w:eastAsia="Times New Roman" w:hAnsi="Times New Roman" w:cs="Times New Roman"/>
          <w:i/>
          <w:sz w:val="20"/>
          <w:szCs w:val="20"/>
          <w:lang w:val="id-ID"/>
        </w:rPr>
        <w:t xml:space="preserve">et. al., Legal Researchs: Lecturers Guidebook. </w:t>
      </w:r>
      <w:r w:rsidRPr="00A96BA2">
        <w:rPr>
          <w:rFonts w:ascii="Times New Roman" w:eastAsia="Times New Roman" w:hAnsi="Times New Roman" w:cs="Times New Roman"/>
          <w:sz w:val="20"/>
          <w:szCs w:val="20"/>
          <w:lang w:val="id-ID"/>
        </w:rPr>
        <w:t>(Jakarta: Asia Foundation - Konsorsium Ilmu Hukum, 1994), pg. 4.</w:t>
      </w:r>
    </w:p>
  </w:footnote>
  <w:footnote w:id="66">
    <w:p w14:paraId="6B67A994" w14:textId="77777777" w:rsidR="002E457A" w:rsidRPr="00A96BA2" w:rsidRDefault="002E457A" w:rsidP="00A96BA2">
      <w:pPr>
        <w:pStyle w:val="FootnoteText"/>
        <w:ind w:firstLine="720"/>
        <w:jc w:val="both"/>
        <w:rPr>
          <w:rFonts w:ascii="Times New Roman" w:hAnsi="Times New Roman" w:cs="Times New Roman"/>
          <w:lang w:val="id-ID"/>
        </w:rPr>
      </w:pPr>
      <w:r w:rsidRPr="00A96BA2">
        <w:rPr>
          <w:rStyle w:val="FootnoteReference"/>
          <w:rFonts w:ascii="Times New Roman" w:hAnsi="Times New Roman" w:cs="Times New Roman"/>
        </w:rPr>
        <w:footnoteRef/>
      </w:r>
      <w:r w:rsidRPr="00A96BA2">
        <w:rPr>
          <w:rFonts w:ascii="Times New Roman" w:hAnsi="Times New Roman" w:cs="Times New Roman"/>
        </w:rPr>
        <w:t xml:space="preserve"> Peter Mahmud Marzuki, "The Essence of Legal Research is to Resolve Legal Problems," </w:t>
      </w:r>
      <w:r w:rsidRPr="00A96BA2">
        <w:rPr>
          <w:rFonts w:ascii="Times New Roman" w:hAnsi="Times New Roman" w:cs="Times New Roman"/>
          <w:i/>
          <w:iCs/>
        </w:rPr>
        <w:t>Yuridika</w:t>
      </w:r>
      <w:r w:rsidRPr="00A96BA2">
        <w:rPr>
          <w:rFonts w:ascii="Times New Roman" w:hAnsi="Times New Roman" w:cs="Times New Roman"/>
        </w:rPr>
        <w:t>, Vol. 37 No 1 (2022), pg. 39.</w:t>
      </w:r>
    </w:p>
  </w:footnote>
  <w:footnote w:id="67">
    <w:p w14:paraId="011C2F44" w14:textId="76BFA7F3" w:rsidR="00807BAA" w:rsidRPr="00A96BA2" w:rsidRDefault="00807BAA"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C11935" w:rsidRPr="00A96BA2">
        <w:rPr>
          <w:rFonts w:ascii="Times New Roman" w:hAnsi="Times New Roman" w:cs="Times New Roman"/>
          <w:lang w:val="en-US"/>
        </w:rPr>
        <w:t xml:space="preserve">Anton-Hermann </w:t>
      </w:r>
      <w:proofErr w:type="spellStart"/>
      <w:r w:rsidR="00C11935" w:rsidRPr="00A96BA2">
        <w:rPr>
          <w:rFonts w:ascii="Times New Roman" w:hAnsi="Times New Roman" w:cs="Times New Roman"/>
          <w:lang w:val="en-US"/>
        </w:rPr>
        <w:t>Chroust</w:t>
      </w:r>
      <w:proofErr w:type="spellEnd"/>
      <w:r w:rsidR="00C11935" w:rsidRPr="00A96BA2">
        <w:rPr>
          <w:rFonts w:ascii="Times New Roman" w:hAnsi="Times New Roman" w:cs="Times New Roman"/>
          <w:lang w:val="en-US"/>
        </w:rPr>
        <w:t xml:space="preserve"> and David L. Osborn, “Aristotle's Conception of Justice,” </w:t>
      </w:r>
      <w:r w:rsidR="00C11935" w:rsidRPr="00A96BA2">
        <w:rPr>
          <w:rFonts w:ascii="Times New Roman" w:hAnsi="Times New Roman" w:cs="Times New Roman"/>
          <w:i/>
          <w:iCs/>
          <w:lang w:val="en-US"/>
        </w:rPr>
        <w:t>Notre Dame Law Review</w:t>
      </w:r>
      <w:r w:rsidR="00C11935" w:rsidRPr="00A96BA2">
        <w:rPr>
          <w:rFonts w:ascii="Times New Roman" w:hAnsi="Times New Roman" w:cs="Times New Roman"/>
          <w:lang w:val="en-US"/>
        </w:rPr>
        <w:t>, Vol. 17, Issue 2 (1942), pg. 131</w:t>
      </w:r>
      <w:r w:rsidR="00BB1710" w:rsidRPr="00A96BA2">
        <w:rPr>
          <w:rFonts w:ascii="Times New Roman" w:hAnsi="Times New Roman" w:cs="Times New Roman"/>
          <w:lang w:val="en-US"/>
        </w:rPr>
        <w:t>.</w:t>
      </w:r>
    </w:p>
  </w:footnote>
  <w:footnote w:id="68">
    <w:p w14:paraId="1FFBB89D" w14:textId="395A2B28" w:rsidR="00031024" w:rsidRPr="00A96BA2" w:rsidRDefault="00031024"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D7683E" w:rsidRPr="00A96BA2">
        <w:rPr>
          <w:rFonts w:ascii="Times New Roman" w:hAnsi="Times New Roman" w:cs="Times New Roman"/>
        </w:rPr>
        <w:t xml:space="preserve">Allan Beever, “Aristotle </w:t>
      </w:r>
      <w:r w:rsidR="005B6088" w:rsidRPr="00A96BA2">
        <w:rPr>
          <w:rFonts w:ascii="Times New Roman" w:hAnsi="Times New Roman" w:cs="Times New Roman"/>
        </w:rPr>
        <w:t>o</w:t>
      </w:r>
      <w:r w:rsidR="00D7683E" w:rsidRPr="00A96BA2">
        <w:rPr>
          <w:rFonts w:ascii="Times New Roman" w:hAnsi="Times New Roman" w:cs="Times New Roman"/>
        </w:rPr>
        <w:t xml:space="preserve">n Equity, Law, and Justice,” </w:t>
      </w:r>
      <w:r w:rsidR="00D7683E" w:rsidRPr="00A96BA2">
        <w:rPr>
          <w:rFonts w:ascii="Times New Roman" w:hAnsi="Times New Roman" w:cs="Times New Roman"/>
          <w:i/>
          <w:iCs/>
        </w:rPr>
        <w:t>Legal Theory</w:t>
      </w:r>
      <w:r w:rsidR="00D7683E" w:rsidRPr="00A96BA2">
        <w:rPr>
          <w:rFonts w:ascii="Times New Roman" w:hAnsi="Times New Roman" w:cs="Times New Roman"/>
        </w:rPr>
        <w:t>, Vol. 10 (2004), pg. 33</w:t>
      </w:r>
      <w:r w:rsidR="000D6840" w:rsidRPr="00A96BA2">
        <w:rPr>
          <w:rFonts w:ascii="Times New Roman" w:hAnsi="Times New Roman" w:cs="Times New Roman"/>
        </w:rPr>
        <w:t>.</w:t>
      </w:r>
    </w:p>
  </w:footnote>
  <w:footnote w:id="69">
    <w:p w14:paraId="41A213D6" w14:textId="5F6DA8D2" w:rsidR="00501D45" w:rsidRPr="00A96BA2" w:rsidRDefault="00501D4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9D7721" w:rsidRPr="00A96BA2">
        <w:rPr>
          <w:rFonts w:ascii="Times New Roman" w:hAnsi="Times New Roman" w:cs="Times New Roman"/>
        </w:rPr>
        <w:t xml:space="preserve">Neny Triana, “The Theory of Justice (Aristotle) Against Imperfect Collateral Binding Bad Debt Case at State-Owned Bank,” </w:t>
      </w:r>
      <w:r w:rsidR="009D7721" w:rsidRPr="00A96BA2">
        <w:rPr>
          <w:rFonts w:ascii="Times New Roman" w:hAnsi="Times New Roman" w:cs="Times New Roman"/>
          <w:i/>
          <w:iCs/>
        </w:rPr>
        <w:t xml:space="preserve">Jurnal Akta, </w:t>
      </w:r>
      <w:r w:rsidR="009D7721" w:rsidRPr="00A96BA2">
        <w:rPr>
          <w:rFonts w:ascii="Times New Roman" w:hAnsi="Times New Roman" w:cs="Times New Roman"/>
        </w:rPr>
        <w:t>Vol. 12, No. 1 (2025), pg. 206</w:t>
      </w:r>
      <w:r w:rsidR="00FA4077" w:rsidRPr="00A96BA2">
        <w:rPr>
          <w:rFonts w:ascii="Times New Roman" w:hAnsi="Times New Roman" w:cs="Times New Roman"/>
        </w:rPr>
        <w:t>.</w:t>
      </w:r>
    </w:p>
  </w:footnote>
  <w:footnote w:id="70">
    <w:p w14:paraId="4C6F2B4A" w14:textId="5B53A8C4" w:rsidR="00501D45" w:rsidRPr="00A96BA2" w:rsidRDefault="00501D4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AB3733" w:rsidRPr="00A96BA2">
        <w:rPr>
          <w:rFonts w:ascii="Times New Roman" w:hAnsi="Times New Roman" w:cs="Times New Roman"/>
        </w:rPr>
        <w:t xml:space="preserve">Yovi Cajapa Endyka, Muhamad Muhdar, and Abdul Kadir Sabaruddin, “Environmental Justice in Intra Generations: An Overview of Aristotle's Distributive Justice to Coal Mining,” </w:t>
      </w:r>
      <w:r w:rsidR="00AB3733" w:rsidRPr="00A96BA2">
        <w:rPr>
          <w:rFonts w:ascii="Times New Roman" w:hAnsi="Times New Roman" w:cs="Times New Roman"/>
          <w:i/>
          <w:iCs/>
        </w:rPr>
        <w:t>Indonesian Comparative Law Review</w:t>
      </w:r>
      <w:r w:rsidR="00AB3733" w:rsidRPr="00A96BA2">
        <w:rPr>
          <w:rFonts w:ascii="Times New Roman" w:hAnsi="Times New Roman" w:cs="Times New Roman"/>
        </w:rPr>
        <w:t>, Vol. 3, No. 1 (2020), pg. 28.</w:t>
      </w:r>
    </w:p>
  </w:footnote>
  <w:footnote w:id="71">
    <w:p w14:paraId="2B4FF3D0" w14:textId="2EDCCBBE" w:rsidR="00D77942" w:rsidRPr="00A96BA2" w:rsidRDefault="00D77942"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1C6F02" w:rsidRPr="00A96BA2">
        <w:rPr>
          <w:rFonts w:ascii="Times New Roman" w:hAnsi="Times New Roman" w:cs="Times New Roman"/>
          <w:lang w:val="en-US"/>
        </w:rPr>
        <w:t xml:space="preserve">Sooraj Kumar Maurya, “On Just, Justice and Distributive Justice: A Critical and Comparative Discourse,” </w:t>
      </w:r>
      <w:r w:rsidR="001C6F02" w:rsidRPr="00A96BA2">
        <w:rPr>
          <w:rFonts w:ascii="Times New Roman" w:hAnsi="Times New Roman" w:cs="Times New Roman"/>
          <w:i/>
          <w:iCs/>
          <w:lang w:val="en-US"/>
        </w:rPr>
        <w:t>Journal of Liberty and International Affairs,</w:t>
      </w:r>
      <w:r w:rsidR="001C6F02" w:rsidRPr="00A96BA2">
        <w:rPr>
          <w:rFonts w:ascii="Times New Roman" w:hAnsi="Times New Roman" w:cs="Times New Roman"/>
          <w:lang w:val="en-US"/>
        </w:rPr>
        <w:t xml:space="preserve"> Vol. 8, No. 2 (2022), pg. 244</w:t>
      </w:r>
      <w:r w:rsidR="009D609C" w:rsidRPr="00A96BA2">
        <w:rPr>
          <w:rFonts w:ascii="Times New Roman" w:hAnsi="Times New Roman" w:cs="Times New Roman"/>
          <w:lang w:val="en-US"/>
        </w:rPr>
        <w:t>.</w:t>
      </w:r>
    </w:p>
  </w:footnote>
  <w:footnote w:id="72">
    <w:p w14:paraId="1D5F8CF8" w14:textId="17A1C5F4" w:rsidR="00501D45" w:rsidRPr="00A96BA2" w:rsidRDefault="00501D45"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t>
      </w:r>
      <w:r w:rsidR="00E56D8A" w:rsidRPr="00A96BA2">
        <w:rPr>
          <w:rFonts w:ascii="Times New Roman" w:hAnsi="Times New Roman" w:cs="Times New Roman"/>
        </w:rPr>
        <w:t xml:space="preserve">Parid, Sandya Mahendra, and Nur Milla, “An Analysis of The Perspectives of Aristotle and Imam Al Shatibi on Legal Justice,” </w:t>
      </w:r>
      <w:r w:rsidR="00E56D8A" w:rsidRPr="00A96BA2">
        <w:rPr>
          <w:rFonts w:ascii="Times New Roman" w:hAnsi="Times New Roman" w:cs="Times New Roman"/>
          <w:i/>
          <w:iCs/>
        </w:rPr>
        <w:t>Journal of Transcendental Law</w:t>
      </w:r>
      <w:r w:rsidR="00E56D8A" w:rsidRPr="00A96BA2">
        <w:rPr>
          <w:rFonts w:ascii="Times New Roman" w:hAnsi="Times New Roman" w:cs="Times New Roman"/>
        </w:rPr>
        <w:t>, Vol. 6, No. 2 (2024), pp. 137</w:t>
      </w:r>
      <w:r w:rsidR="008B7C44" w:rsidRPr="00A96BA2">
        <w:rPr>
          <w:rFonts w:ascii="Times New Roman" w:hAnsi="Times New Roman" w:cs="Times New Roman"/>
        </w:rPr>
        <w:t>.</w:t>
      </w:r>
    </w:p>
  </w:footnote>
  <w:footnote w:id="73">
    <w:p w14:paraId="2C36A6A2" w14:textId="5CBCB90B" w:rsidR="00AB3733" w:rsidRPr="00A96BA2" w:rsidRDefault="00AB3733"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Endyka, Muhdar, and Sabaruddin, “Environmental Justice i</w:t>
      </w:r>
      <w:r w:rsidR="00EB7FC1" w:rsidRPr="00A96BA2">
        <w:rPr>
          <w:rFonts w:ascii="Times New Roman" w:hAnsi="Times New Roman" w:cs="Times New Roman"/>
        </w:rPr>
        <w:t>n…</w:t>
      </w:r>
      <w:r w:rsidRPr="00A96BA2">
        <w:rPr>
          <w:rFonts w:ascii="Times New Roman" w:hAnsi="Times New Roman" w:cs="Times New Roman"/>
        </w:rPr>
        <w:t xml:space="preserve">,” </w:t>
      </w:r>
      <w:r w:rsidR="00EB7FC1" w:rsidRPr="00A96BA2">
        <w:rPr>
          <w:rFonts w:ascii="Times New Roman" w:hAnsi="Times New Roman" w:cs="Times New Roman"/>
        </w:rPr>
        <w:t>pg. 28.</w:t>
      </w:r>
    </w:p>
  </w:footnote>
  <w:footnote w:id="74">
    <w:p w14:paraId="677B6EE9" w14:textId="1062D723" w:rsidR="00790587" w:rsidRPr="00A96BA2" w:rsidRDefault="00790587"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Wilma Silalahi and Gladwin Wijaya, "Optimization of Tax Utilization in the Perspective of State Financial Law: Between the Principles of Fiscal Justice and Public Accountability</w:t>
      </w:r>
      <w:r w:rsidRPr="00A96BA2">
        <w:rPr>
          <w:rFonts w:ascii="Times New Roman" w:hAnsi="Times New Roman" w:cs="Times New Roman"/>
          <w:i/>
          <w:iCs/>
        </w:rPr>
        <w:t>," Jurnal Pustaka Cendekia Hukum dan Ilmu Sosial</w:t>
      </w:r>
      <w:r w:rsidRPr="00A96BA2">
        <w:rPr>
          <w:rFonts w:ascii="Times New Roman" w:hAnsi="Times New Roman" w:cs="Times New Roman"/>
        </w:rPr>
        <w:t xml:space="preserve">, Vol. 3, No. 3, (2025), pp. 219. </w:t>
      </w:r>
    </w:p>
  </w:footnote>
  <w:footnote w:id="75">
    <w:p w14:paraId="72E92655" w14:textId="775CA0C4" w:rsidR="005B6088" w:rsidRPr="00A96BA2" w:rsidRDefault="005B6088"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Robert Nozick, "Distributive Justice," </w:t>
      </w:r>
      <w:r w:rsidRPr="00A96BA2">
        <w:rPr>
          <w:rFonts w:ascii="Times New Roman" w:hAnsi="Times New Roman" w:cs="Times New Roman"/>
          <w:i/>
          <w:iCs/>
        </w:rPr>
        <w:t>Philosophy &amp; Public Affairs,</w:t>
      </w:r>
      <w:r w:rsidRPr="00A96BA2">
        <w:rPr>
          <w:rFonts w:ascii="Times New Roman" w:hAnsi="Times New Roman" w:cs="Times New Roman"/>
        </w:rPr>
        <w:t xml:space="preserve"> Vol. 3, No. 1 (1973), pp. 68. </w:t>
      </w:r>
    </w:p>
  </w:footnote>
  <w:footnote w:id="76">
    <w:p w14:paraId="3458D18B" w14:textId="6ECB52D5" w:rsidR="00C74C1B" w:rsidRPr="00A96BA2" w:rsidRDefault="00C74C1B"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Detik News. “If someone has a crush on agate stones, no matter the price, they will definitely pay for them,” </w:t>
      </w:r>
      <w:r w:rsidRPr="00A96BA2">
        <w:rPr>
          <w:rFonts w:ascii="Times New Roman" w:hAnsi="Times New Roman" w:cs="Times New Roman"/>
          <w:i/>
          <w:iCs/>
        </w:rPr>
        <w:t>Detik News</w:t>
      </w:r>
      <w:r w:rsidRPr="00A96BA2">
        <w:rPr>
          <w:rFonts w:ascii="Times New Roman" w:hAnsi="Times New Roman" w:cs="Times New Roman"/>
        </w:rPr>
        <w:t>, 5 August 2014, provided in https://news.detik.com/berita/d2653542/kalau-orang-sudah-naksir-batu-akik-berapa-pun-harganya-pasti-dibayarin, accessed on 1 April 2026.</w:t>
      </w:r>
    </w:p>
  </w:footnote>
  <w:footnote w:id="77">
    <w:p w14:paraId="16B97927" w14:textId="6B7C8E32" w:rsidR="00BF228F" w:rsidRPr="00A96BA2" w:rsidRDefault="00BF228F"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Liputan 6, “</w:t>
      </w:r>
      <w:r w:rsidR="00CB15EE" w:rsidRPr="00A96BA2">
        <w:rPr>
          <w:rFonts w:ascii="Times New Roman" w:hAnsi="Times New Roman" w:cs="Times New Roman"/>
        </w:rPr>
        <w:t>Terrifying, Economic Crisis Due to the Covid-19 Pandemic Called the Worst in History</w:t>
      </w:r>
      <w:r w:rsidRPr="00A96BA2">
        <w:rPr>
          <w:rFonts w:ascii="Times New Roman" w:hAnsi="Times New Roman" w:cs="Times New Roman"/>
        </w:rPr>
        <w:t xml:space="preserve">,” </w:t>
      </w:r>
      <w:r w:rsidR="00CB15EE" w:rsidRPr="00A96BA2">
        <w:rPr>
          <w:rFonts w:ascii="Times New Roman" w:hAnsi="Times New Roman" w:cs="Times New Roman"/>
          <w:i/>
          <w:iCs/>
        </w:rPr>
        <w:t>Liputan 6</w:t>
      </w:r>
      <w:r w:rsidR="00CB15EE" w:rsidRPr="00A96BA2">
        <w:rPr>
          <w:rFonts w:ascii="Times New Roman" w:hAnsi="Times New Roman" w:cs="Times New Roman"/>
        </w:rPr>
        <w:t xml:space="preserve">, 2 September 2021, provided in </w:t>
      </w:r>
      <w:hyperlink r:id="rId1" w:history="1">
        <w:r w:rsidR="00CB15EE" w:rsidRPr="00A96BA2">
          <w:rPr>
            <w:rStyle w:val="Hyperlink"/>
            <w:rFonts w:ascii="Times New Roman" w:hAnsi="Times New Roman" w:cs="Times New Roman"/>
            <w:color w:val="auto"/>
            <w:u w:val="none"/>
          </w:rPr>
          <w:t>https://www.liputan6.com/bisnis/read/4647601/ngeri-krisis-ekonomi-akibat-pandemi-covid-19-disebut-terburuk-dalam-sejarah</w:t>
        </w:r>
      </w:hyperlink>
      <w:r w:rsidRPr="00A96BA2">
        <w:rPr>
          <w:rFonts w:ascii="Times New Roman" w:hAnsi="Times New Roman" w:cs="Times New Roman"/>
        </w:rPr>
        <w:t xml:space="preserve">, </w:t>
      </w:r>
      <w:r w:rsidR="00CB15EE" w:rsidRPr="00A96BA2">
        <w:rPr>
          <w:rFonts w:ascii="Times New Roman" w:hAnsi="Times New Roman" w:cs="Times New Roman"/>
        </w:rPr>
        <w:t>accessed on 1 April 2026</w:t>
      </w:r>
      <w:r w:rsidRPr="00A96BA2">
        <w:rPr>
          <w:rFonts w:ascii="Times New Roman" w:hAnsi="Times New Roman" w:cs="Times New Roman"/>
        </w:rPr>
        <w:t xml:space="preserve">. </w:t>
      </w:r>
    </w:p>
  </w:footnote>
  <w:footnote w:id="78">
    <w:p w14:paraId="7461FF90" w14:textId="066AED11" w:rsidR="00CB15EE" w:rsidRPr="00A96BA2" w:rsidRDefault="00CB15EE" w:rsidP="00A96BA2">
      <w:pPr>
        <w:pStyle w:val="FootnoteText"/>
        <w:ind w:firstLine="720"/>
        <w:jc w:val="both"/>
        <w:rPr>
          <w:rFonts w:ascii="Times New Roman" w:hAnsi="Times New Roman" w:cs="Times New Roman"/>
          <w:lang w:val="en-US"/>
        </w:rPr>
      </w:pPr>
      <w:r w:rsidRPr="00A96BA2">
        <w:rPr>
          <w:rStyle w:val="FootnoteReference"/>
          <w:rFonts w:ascii="Times New Roman" w:hAnsi="Times New Roman" w:cs="Times New Roman"/>
        </w:rPr>
        <w:footnoteRef/>
      </w:r>
      <w:r w:rsidRPr="00A96BA2">
        <w:rPr>
          <w:rFonts w:ascii="Times New Roman" w:hAnsi="Times New Roman" w:cs="Times New Roman"/>
        </w:rPr>
        <w:t xml:space="preserve"> Sakina Rakhma Diah Setiawan, "War and Energy: How the Middle East Crisis Shakes the Global Economy," </w:t>
      </w:r>
      <w:r w:rsidRPr="00A96BA2">
        <w:rPr>
          <w:rFonts w:ascii="Times New Roman" w:hAnsi="Times New Roman" w:cs="Times New Roman"/>
          <w:i/>
          <w:iCs/>
        </w:rPr>
        <w:t>Kompas.com</w:t>
      </w:r>
      <w:r w:rsidRPr="00A96BA2">
        <w:rPr>
          <w:rFonts w:ascii="Times New Roman" w:hAnsi="Times New Roman" w:cs="Times New Roman"/>
        </w:rPr>
        <w:t xml:space="preserve">, 15 April 2026, provided in https://money.kompas.com/read/2026/04/15/142422626/perang-dan-energi-bagaimana-krisis-timur-tengah-guncang-ekonomi-dunia, accessed on 1 April 2026. </w:t>
      </w:r>
    </w:p>
  </w:footnote>
  <w:footnote w:id="79">
    <w:p w14:paraId="3BD56C18" w14:textId="0D9A889A" w:rsidR="00CB15EE" w:rsidRPr="00A96BA2" w:rsidRDefault="00CB15EE" w:rsidP="00A96BA2">
      <w:pPr>
        <w:pStyle w:val="FootnoteText"/>
        <w:jc w:val="both"/>
        <w:rPr>
          <w:rFonts w:ascii="Times New Roman" w:hAnsi="Times New Roman" w:cs="Times New Roman"/>
          <w:lang w:val="en-US"/>
        </w:rPr>
      </w:pPr>
      <w:r w:rsidRPr="00A96BA2">
        <w:rPr>
          <w:rFonts w:ascii="Times New Roman" w:hAnsi="Times New Roman" w:cs="Times New Roman"/>
        </w:rPr>
        <w:tab/>
      </w:r>
      <w:r w:rsidRPr="00A96BA2">
        <w:rPr>
          <w:rStyle w:val="FootnoteReference"/>
          <w:rFonts w:ascii="Times New Roman" w:hAnsi="Times New Roman" w:cs="Times New Roman"/>
        </w:rPr>
        <w:footnoteRef/>
      </w:r>
      <w:r w:rsidRPr="00A96BA2">
        <w:rPr>
          <w:rFonts w:ascii="Times New Roman" w:hAnsi="Times New Roman" w:cs="Times New Roman"/>
        </w:rPr>
        <w:t xml:space="preserve"> Sudikno Mertokosumo, </w:t>
      </w:r>
      <w:r w:rsidRPr="00A96BA2">
        <w:rPr>
          <w:rFonts w:ascii="Times New Roman" w:hAnsi="Times New Roman" w:cs="Times New Roman"/>
          <w:i/>
          <w:iCs/>
        </w:rPr>
        <w:t>Understanding Law: An Introduction</w:t>
      </w:r>
      <w:r w:rsidRPr="00A96BA2">
        <w:rPr>
          <w:rFonts w:ascii="Times New Roman" w:hAnsi="Times New Roman" w:cs="Times New Roman"/>
        </w:rPr>
        <w:t xml:space="preserve">, (Yogyakarta: Cahaya Atma Pustaka, 2016), pg. 100.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2683"/>
    <w:multiLevelType w:val="hybridMultilevel"/>
    <w:tmpl w:val="BE52007E"/>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06D8E"/>
    <w:multiLevelType w:val="hybridMultilevel"/>
    <w:tmpl w:val="12407A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541016">
    <w:abstractNumId w:val="1"/>
  </w:num>
  <w:num w:numId="2" w16cid:durableId="66578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29"/>
    <w:rsid w:val="000165E8"/>
    <w:rsid w:val="00016B6B"/>
    <w:rsid w:val="00031024"/>
    <w:rsid w:val="00031687"/>
    <w:rsid w:val="000340BF"/>
    <w:rsid w:val="000465ED"/>
    <w:rsid w:val="00052514"/>
    <w:rsid w:val="000853BF"/>
    <w:rsid w:val="000A56B8"/>
    <w:rsid w:val="000A5F61"/>
    <w:rsid w:val="000B307E"/>
    <w:rsid w:val="000B50CB"/>
    <w:rsid w:val="000B6D2B"/>
    <w:rsid w:val="000C4B3E"/>
    <w:rsid w:val="000D6840"/>
    <w:rsid w:val="000E0637"/>
    <w:rsid w:val="000E32B7"/>
    <w:rsid w:val="000E59B0"/>
    <w:rsid w:val="000F09F9"/>
    <w:rsid w:val="000F1EA2"/>
    <w:rsid w:val="001068F9"/>
    <w:rsid w:val="001078FE"/>
    <w:rsid w:val="0011346D"/>
    <w:rsid w:val="00113DB2"/>
    <w:rsid w:val="00121EA2"/>
    <w:rsid w:val="001620C3"/>
    <w:rsid w:val="001706B8"/>
    <w:rsid w:val="001769BB"/>
    <w:rsid w:val="00177E61"/>
    <w:rsid w:val="00192D32"/>
    <w:rsid w:val="00193CB9"/>
    <w:rsid w:val="001A2D63"/>
    <w:rsid w:val="001C6F02"/>
    <w:rsid w:val="001D099E"/>
    <w:rsid w:val="001F0242"/>
    <w:rsid w:val="001F0ACD"/>
    <w:rsid w:val="00210FB0"/>
    <w:rsid w:val="002128C8"/>
    <w:rsid w:val="00237CA5"/>
    <w:rsid w:val="00245BA7"/>
    <w:rsid w:val="00254A5E"/>
    <w:rsid w:val="0026395A"/>
    <w:rsid w:val="002A1EE9"/>
    <w:rsid w:val="002A3606"/>
    <w:rsid w:val="002D0F2F"/>
    <w:rsid w:val="002E457A"/>
    <w:rsid w:val="00300AE1"/>
    <w:rsid w:val="00303DA4"/>
    <w:rsid w:val="00306A50"/>
    <w:rsid w:val="00317A4C"/>
    <w:rsid w:val="0032174F"/>
    <w:rsid w:val="003230F4"/>
    <w:rsid w:val="003261A4"/>
    <w:rsid w:val="003343F2"/>
    <w:rsid w:val="00342F3B"/>
    <w:rsid w:val="00353435"/>
    <w:rsid w:val="00365BBA"/>
    <w:rsid w:val="003708F2"/>
    <w:rsid w:val="00381FC4"/>
    <w:rsid w:val="00382914"/>
    <w:rsid w:val="003964CD"/>
    <w:rsid w:val="003B4EF6"/>
    <w:rsid w:val="003C2820"/>
    <w:rsid w:val="003C4584"/>
    <w:rsid w:val="003E5234"/>
    <w:rsid w:val="004075DB"/>
    <w:rsid w:val="00412860"/>
    <w:rsid w:val="004155DE"/>
    <w:rsid w:val="00415BA0"/>
    <w:rsid w:val="004577B9"/>
    <w:rsid w:val="004636D3"/>
    <w:rsid w:val="00472420"/>
    <w:rsid w:val="00475F38"/>
    <w:rsid w:val="00495287"/>
    <w:rsid w:val="004A05AD"/>
    <w:rsid w:val="004B3A80"/>
    <w:rsid w:val="004B3A81"/>
    <w:rsid w:val="004B54B0"/>
    <w:rsid w:val="004C0733"/>
    <w:rsid w:val="004C0F6B"/>
    <w:rsid w:val="004E319A"/>
    <w:rsid w:val="004E55A2"/>
    <w:rsid w:val="00501D45"/>
    <w:rsid w:val="0050664E"/>
    <w:rsid w:val="00507176"/>
    <w:rsid w:val="005105F3"/>
    <w:rsid w:val="00516296"/>
    <w:rsid w:val="005626C5"/>
    <w:rsid w:val="0057301A"/>
    <w:rsid w:val="005736FC"/>
    <w:rsid w:val="005747DB"/>
    <w:rsid w:val="00576D50"/>
    <w:rsid w:val="00581407"/>
    <w:rsid w:val="00586A08"/>
    <w:rsid w:val="005B6088"/>
    <w:rsid w:val="005C511C"/>
    <w:rsid w:val="005C5CBF"/>
    <w:rsid w:val="005E2A80"/>
    <w:rsid w:val="0060710B"/>
    <w:rsid w:val="0061623F"/>
    <w:rsid w:val="006358D8"/>
    <w:rsid w:val="00663955"/>
    <w:rsid w:val="006767A8"/>
    <w:rsid w:val="00690131"/>
    <w:rsid w:val="006913DD"/>
    <w:rsid w:val="00692DCE"/>
    <w:rsid w:val="006A5B6C"/>
    <w:rsid w:val="006B46C1"/>
    <w:rsid w:val="006D4D6E"/>
    <w:rsid w:val="006D58E9"/>
    <w:rsid w:val="006E1085"/>
    <w:rsid w:val="007016AF"/>
    <w:rsid w:val="00703385"/>
    <w:rsid w:val="00725AD8"/>
    <w:rsid w:val="00736FD6"/>
    <w:rsid w:val="00751F0E"/>
    <w:rsid w:val="0075722A"/>
    <w:rsid w:val="00766591"/>
    <w:rsid w:val="00780A46"/>
    <w:rsid w:val="00780BD4"/>
    <w:rsid w:val="007815FA"/>
    <w:rsid w:val="00790587"/>
    <w:rsid w:val="007A1777"/>
    <w:rsid w:val="007A36A8"/>
    <w:rsid w:val="007D1AFC"/>
    <w:rsid w:val="007D4829"/>
    <w:rsid w:val="007E2A1A"/>
    <w:rsid w:val="007E4829"/>
    <w:rsid w:val="007E4E59"/>
    <w:rsid w:val="00807BAA"/>
    <w:rsid w:val="008312C1"/>
    <w:rsid w:val="00840840"/>
    <w:rsid w:val="00851D55"/>
    <w:rsid w:val="008656D2"/>
    <w:rsid w:val="00867F3E"/>
    <w:rsid w:val="00870CF1"/>
    <w:rsid w:val="00871227"/>
    <w:rsid w:val="00875F15"/>
    <w:rsid w:val="00894A66"/>
    <w:rsid w:val="008A12AC"/>
    <w:rsid w:val="008A4CBE"/>
    <w:rsid w:val="008B7C44"/>
    <w:rsid w:val="008D0117"/>
    <w:rsid w:val="008D661F"/>
    <w:rsid w:val="008E71FB"/>
    <w:rsid w:val="008F2B6F"/>
    <w:rsid w:val="00902DB9"/>
    <w:rsid w:val="00930CF2"/>
    <w:rsid w:val="009402C2"/>
    <w:rsid w:val="0094185F"/>
    <w:rsid w:val="0094505D"/>
    <w:rsid w:val="00945AF4"/>
    <w:rsid w:val="00982ADB"/>
    <w:rsid w:val="0098318E"/>
    <w:rsid w:val="0099205D"/>
    <w:rsid w:val="009C3C4F"/>
    <w:rsid w:val="009D609C"/>
    <w:rsid w:val="009D7721"/>
    <w:rsid w:val="009E54AB"/>
    <w:rsid w:val="00A026B8"/>
    <w:rsid w:val="00A44908"/>
    <w:rsid w:val="00A510AF"/>
    <w:rsid w:val="00A54D61"/>
    <w:rsid w:val="00A83DCB"/>
    <w:rsid w:val="00A96BA2"/>
    <w:rsid w:val="00AA5D12"/>
    <w:rsid w:val="00AA6069"/>
    <w:rsid w:val="00AB049B"/>
    <w:rsid w:val="00AB171B"/>
    <w:rsid w:val="00AB3733"/>
    <w:rsid w:val="00B20859"/>
    <w:rsid w:val="00B224EA"/>
    <w:rsid w:val="00B25267"/>
    <w:rsid w:val="00B36E6E"/>
    <w:rsid w:val="00B57E51"/>
    <w:rsid w:val="00B64362"/>
    <w:rsid w:val="00B6774A"/>
    <w:rsid w:val="00B678D1"/>
    <w:rsid w:val="00B83162"/>
    <w:rsid w:val="00BA0E0D"/>
    <w:rsid w:val="00BB1710"/>
    <w:rsid w:val="00BD5591"/>
    <w:rsid w:val="00BE49F8"/>
    <w:rsid w:val="00BE4D55"/>
    <w:rsid w:val="00BF228F"/>
    <w:rsid w:val="00C11935"/>
    <w:rsid w:val="00C168CB"/>
    <w:rsid w:val="00C23B96"/>
    <w:rsid w:val="00C32313"/>
    <w:rsid w:val="00C337A6"/>
    <w:rsid w:val="00C71091"/>
    <w:rsid w:val="00C72863"/>
    <w:rsid w:val="00C74C1B"/>
    <w:rsid w:val="00C9004B"/>
    <w:rsid w:val="00C91DEB"/>
    <w:rsid w:val="00CA1B76"/>
    <w:rsid w:val="00CB15EE"/>
    <w:rsid w:val="00CB31F9"/>
    <w:rsid w:val="00CB7927"/>
    <w:rsid w:val="00CC16FC"/>
    <w:rsid w:val="00CD020A"/>
    <w:rsid w:val="00CE5049"/>
    <w:rsid w:val="00CE5B9A"/>
    <w:rsid w:val="00CF23B6"/>
    <w:rsid w:val="00CF6F03"/>
    <w:rsid w:val="00D01688"/>
    <w:rsid w:val="00D235A9"/>
    <w:rsid w:val="00D23D8C"/>
    <w:rsid w:val="00D303EC"/>
    <w:rsid w:val="00D3084F"/>
    <w:rsid w:val="00D31E6E"/>
    <w:rsid w:val="00D7683E"/>
    <w:rsid w:val="00D77942"/>
    <w:rsid w:val="00D86676"/>
    <w:rsid w:val="00D8735C"/>
    <w:rsid w:val="00D94CFA"/>
    <w:rsid w:val="00DA1FC3"/>
    <w:rsid w:val="00DA3A9C"/>
    <w:rsid w:val="00DA6101"/>
    <w:rsid w:val="00DA71F1"/>
    <w:rsid w:val="00DB672F"/>
    <w:rsid w:val="00DC54E6"/>
    <w:rsid w:val="00DC5710"/>
    <w:rsid w:val="00DF26EB"/>
    <w:rsid w:val="00DF7289"/>
    <w:rsid w:val="00E27C74"/>
    <w:rsid w:val="00E56D8A"/>
    <w:rsid w:val="00E57A40"/>
    <w:rsid w:val="00E57B80"/>
    <w:rsid w:val="00E703B1"/>
    <w:rsid w:val="00E755AD"/>
    <w:rsid w:val="00E80B24"/>
    <w:rsid w:val="00E824F5"/>
    <w:rsid w:val="00E85B3C"/>
    <w:rsid w:val="00EA28E7"/>
    <w:rsid w:val="00EB4894"/>
    <w:rsid w:val="00EB7FC1"/>
    <w:rsid w:val="00EE2863"/>
    <w:rsid w:val="00EE6C57"/>
    <w:rsid w:val="00EF1F56"/>
    <w:rsid w:val="00F26F37"/>
    <w:rsid w:val="00F338B2"/>
    <w:rsid w:val="00F451E0"/>
    <w:rsid w:val="00F52E33"/>
    <w:rsid w:val="00F65BFB"/>
    <w:rsid w:val="00F852A5"/>
    <w:rsid w:val="00F8569F"/>
    <w:rsid w:val="00F93500"/>
    <w:rsid w:val="00F9481C"/>
    <w:rsid w:val="00FA4077"/>
    <w:rsid w:val="00FA7AF7"/>
    <w:rsid w:val="00FB6D27"/>
    <w:rsid w:val="00FC0702"/>
    <w:rsid w:val="00FC4E59"/>
    <w:rsid w:val="00FD0245"/>
    <w:rsid w:val="00FD3F49"/>
    <w:rsid w:val="00FF13A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FAE"/>
  <w15:chartTrackingRefBased/>
  <w15:docId w15:val="{4C6A55FD-06BB-4EBB-AB55-B47DE841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29"/>
    <w:pPr>
      <w:spacing w:line="254"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7D4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4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4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4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4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4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4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4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4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4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4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829"/>
    <w:rPr>
      <w:rFonts w:eastAsiaTheme="majorEastAsia" w:cstheme="majorBidi"/>
      <w:color w:val="272727" w:themeColor="text1" w:themeTint="D8"/>
    </w:rPr>
  </w:style>
  <w:style w:type="paragraph" w:styleId="Title">
    <w:name w:val="Title"/>
    <w:basedOn w:val="Normal"/>
    <w:next w:val="Normal"/>
    <w:link w:val="TitleChar"/>
    <w:uiPriority w:val="10"/>
    <w:qFormat/>
    <w:rsid w:val="007D4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829"/>
    <w:pPr>
      <w:spacing w:before="160"/>
      <w:jc w:val="center"/>
    </w:pPr>
    <w:rPr>
      <w:i/>
      <w:iCs/>
      <w:color w:val="404040" w:themeColor="text1" w:themeTint="BF"/>
    </w:rPr>
  </w:style>
  <w:style w:type="character" w:customStyle="1" w:styleId="QuoteChar">
    <w:name w:val="Quote Char"/>
    <w:basedOn w:val="DefaultParagraphFont"/>
    <w:link w:val="Quote"/>
    <w:uiPriority w:val="29"/>
    <w:rsid w:val="007D4829"/>
    <w:rPr>
      <w:i/>
      <w:iCs/>
      <w:color w:val="404040" w:themeColor="text1" w:themeTint="BF"/>
    </w:rPr>
  </w:style>
  <w:style w:type="paragraph" w:styleId="ListParagraph">
    <w:name w:val="List Paragraph"/>
    <w:basedOn w:val="Normal"/>
    <w:uiPriority w:val="34"/>
    <w:qFormat/>
    <w:rsid w:val="007D4829"/>
    <w:pPr>
      <w:ind w:left="720"/>
      <w:contextualSpacing/>
    </w:pPr>
  </w:style>
  <w:style w:type="character" w:styleId="IntenseEmphasis">
    <w:name w:val="Intense Emphasis"/>
    <w:basedOn w:val="DefaultParagraphFont"/>
    <w:uiPriority w:val="21"/>
    <w:qFormat/>
    <w:rsid w:val="007D4829"/>
    <w:rPr>
      <w:i/>
      <w:iCs/>
      <w:color w:val="2F5496" w:themeColor="accent1" w:themeShade="BF"/>
    </w:rPr>
  </w:style>
  <w:style w:type="paragraph" w:styleId="IntenseQuote">
    <w:name w:val="Intense Quote"/>
    <w:basedOn w:val="Normal"/>
    <w:next w:val="Normal"/>
    <w:link w:val="IntenseQuoteChar"/>
    <w:uiPriority w:val="30"/>
    <w:qFormat/>
    <w:rsid w:val="007D4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4829"/>
    <w:rPr>
      <w:i/>
      <w:iCs/>
      <w:color w:val="2F5496" w:themeColor="accent1" w:themeShade="BF"/>
    </w:rPr>
  </w:style>
  <w:style w:type="character" w:styleId="IntenseReference">
    <w:name w:val="Intense Reference"/>
    <w:basedOn w:val="DefaultParagraphFont"/>
    <w:uiPriority w:val="32"/>
    <w:qFormat/>
    <w:rsid w:val="007D4829"/>
    <w:rPr>
      <w:b/>
      <w:bCs/>
      <w:smallCaps/>
      <w:color w:val="2F5496" w:themeColor="accent1" w:themeShade="BF"/>
      <w:spacing w:val="5"/>
    </w:rPr>
  </w:style>
  <w:style w:type="paragraph" w:styleId="FootnoteText">
    <w:name w:val="footnote text"/>
    <w:basedOn w:val="Normal"/>
    <w:link w:val="FootnoteTextChar"/>
    <w:uiPriority w:val="99"/>
    <w:unhideWhenUsed/>
    <w:rsid w:val="007D4829"/>
    <w:pPr>
      <w:spacing w:after="0" w:line="240" w:lineRule="auto"/>
    </w:pPr>
    <w:rPr>
      <w:sz w:val="20"/>
      <w:szCs w:val="20"/>
    </w:rPr>
  </w:style>
  <w:style w:type="character" w:customStyle="1" w:styleId="FootnoteTextChar">
    <w:name w:val="Footnote Text Char"/>
    <w:basedOn w:val="DefaultParagraphFont"/>
    <w:link w:val="FootnoteText"/>
    <w:uiPriority w:val="99"/>
    <w:rsid w:val="007D4829"/>
    <w:rPr>
      <w:rFonts w:eastAsiaTheme="minorHAnsi"/>
      <w:kern w:val="0"/>
      <w:sz w:val="20"/>
      <w:szCs w:val="20"/>
      <w:lang w:eastAsia="en-US"/>
      <w14:ligatures w14:val="none"/>
    </w:rPr>
  </w:style>
  <w:style w:type="character" w:styleId="FootnoteReference">
    <w:name w:val="footnote reference"/>
    <w:basedOn w:val="DefaultParagraphFont"/>
    <w:uiPriority w:val="99"/>
    <w:unhideWhenUsed/>
    <w:rsid w:val="007D4829"/>
    <w:rPr>
      <w:vertAlign w:val="superscript"/>
    </w:rPr>
  </w:style>
  <w:style w:type="character" w:styleId="Hyperlink">
    <w:name w:val="Hyperlink"/>
    <w:basedOn w:val="DefaultParagraphFont"/>
    <w:uiPriority w:val="99"/>
    <w:unhideWhenUsed/>
    <w:rsid w:val="007D4829"/>
    <w:rPr>
      <w:color w:val="0563C1" w:themeColor="hyperlink"/>
      <w:u w:val="single"/>
    </w:rPr>
  </w:style>
  <w:style w:type="paragraph" w:customStyle="1" w:styleId="p1">
    <w:name w:val="p1"/>
    <w:basedOn w:val="Normal"/>
    <w:rsid w:val="007D4829"/>
    <w:pPr>
      <w:spacing w:after="0" w:line="240" w:lineRule="auto"/>
    </w:pPr>
    <w:rPr>
      <w:rFonts w:ascii="Times New Roman" w:eastAsiaTheme="minorEastAsia" w:hAnsi="Times New Roman" w:cs="Times New Roman"/>
      <w:color w:val="000000"/>
      <w:sz w:val="18"/>
      <w:szCs w:val="18"/>
    </w:rPr>
  </w:style>
  <w:style w:type="character" w:customStyle="1" w:styleId="s1">
    <w:name w:val="s1"/>
    <w:basedOn w:val="DefaultParagraphFont"/>
    <w:rsid w:val="007D4829"/>
    <w:rPr>
      <w:rFonts w:ascii="Times New Roman" w:hAnsi="Times New Roman" w:cs="Times New Roman" w:hint="default"/>
      <w:b w:val="0"/>
      <w:bCs w:val="0"/>
      <w:i w:val="0"/>
      <w:iCs w:val="0"/>
      <w:sz w:val="18"/>
      <w:szCs w:val="18"/>
    </w:rPr>
  </w:style>
  <w:style w:type="paragraph" w:styleId="Header">
    <w:name w:val="header"/>
    <w:basedOn w:val="Normal"/>
    <w:link w:val="HeaderChar"/>
    <w:uiPriority w:val="99"/>
    <w:unhideWhenUsed/>
    <w:rsid w:val="007D4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829"/>
    <w:rPr>
      <w:rFonts w:eastAsiaTheme="minorHAnsi"/>
      <w:kern w:val="0"/>
      <w:sz w:val="22"/>
      <w:szCs w:val="22"/>
      <w:lang w:eastAsia="en-US"/>
      <w14:ligatures w14:val="none"/>
    </w:rPr>
  </w:style>
  <w:style w:type="paragraph" w:styleId="Footer">
    <w:name w:val="footer"/>
    <w:basedOn w:val="Normal"/>
    <w:link w:val="FooterChar"/>
    <w:uiPriority w:val="99"/>
    <w:unhideWhenUsed/>
    <w:rsid w:val="007D4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829"/>
    <w:rPr>
      <w:rFonts w:eastAsiaTheme="minorHAnsi"/>
      <w:kern w:val="0"/>
      <w:sz w:val="22"/>
      <w:szCs w:val="22"/>
      <w:lang w:eastAsia="en-US"/>
      <w14:ligatures w14:val="none"/>
    </w:rPr>
  </w:style>
  <w:style w:type="table" w:styleId="TableGrid">
    <w:name w:val="Table Grid"/>
    <w:basedOn w:val="TableNormal"/>
    <w:uiPriority w:val="39"/>
    <w:rsid w:val="0023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228F"/>
    <w:rPr>
      <w:color w:val="954F72" w:themeColor="followedHyperlink"/>
      <w:u w:val="single"/>
    </w:rPr>
  </w:style>
  <w:style w:type="character" w:styleId="UnresolvedMention">
    <w:name w:val="Unresolved Mention"/>
    <w:basedOn w:val="DefaultParagraphFont"/>
    <w:uiPriority w:val="99"/>
    <w:semiHidden/>
    <w:unhideWhenUsed/>
    <w:rsid w:val="00CB15EE"/>
    <w:rPr>
      <w:color w:val="605E5C"/>
      <w:shd w:val="clear" w:color="auto" w:fill="E1DFDD"/>
    </w:rPr>
  </w:style>
  <w:style w:type="character" w:customStyle="1" w:styleId="s2">
    <w:name w:val="s2"/>
    <w:basedOn w:val="DefaultParagraphFont"/>
    <w:rsid w:val="00982ADB"/>
    <w:rPr>
      <w:rFonts w:ascii="UICTFontTextStyleItalicBody" w:hAnsi="UICTFontTextStyleItalicBody" w:hint="default"/>
      <w:b w:val="0"/>
      <w:bCs w:val="0"/>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aldo21heinri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5606/khatulistiwa.v5i1.62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putan6.com/bisnis/read/4647601/ngeri-krisis-ekonomi-akibat-pandemi-covid-19-disebut-terburuk-dalam-seja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3577-7BBC-4ACD-8A37-63A69ACB7E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 Aldo</dc:creator>
  <cp:keywords/>
  <dc:description/>
  <cp:lastModifiedBy>ganteng sekai</cp:lastModifiedBy>
  <cp:revision>2</cp:revision>
  <dcterms:created xsi:type="dcterms:W3CDTF">2026-04-21T09:47:00Z</dcterms:created>
  <dcterms:modified xsi:type="dcterms:W3CDTF">2026-04-21T09:47:00Z</dcterms:modified>
</cp:coreProperties>
</file>