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06AB90" w14:textId="77777777" w:rsidR="009631D7" w:rsidRDefault="00C141E1">
      <w:pPr>
        <w:spacing w:after="80" w:line="277" w:lineRule="auto"/>
      </w:pPr>
      <w:r>
        <w:rPr>
          <w:rFonts w:ascii="Aptos Display" w:eastAsia="Aptos Display" w:hAnsi="Aptos Display" w:cs="Aptos Display"/>
          <w:b/>
          <w:color w:val="0F4761"/>
          <w:sz w:val="28"/>
        </w:rPr>
        <w:t xml:space="preserve">Siddha Medicine in the Public Health Landscape: A Systematic Review of Epidemiological Patterns and Clinical Efficacy </w:t>
      </w:r>
    </w:p>
    <w:p w14:paraId="4DF08608" w14:textId="77777777" w:rsidR="009631D7" w:rsidRDefault="00C141E1">
      <w:pPr>
        <w:spacing w:after="151"/>
      </w:pPr>
      <w:r>
        <w:rPr>
          <w:rFonts w:ascii="Aptos" w:eastAsia="Aptos" w:hAnsi="Aptos" w:cs="Aptos"/>
          <w:b/>
          <w:sz w:val="28"/>
        </w:rPr>
        <w:t xml:space="preserve"> </w:t>
      </w:r>
    </w:p>
    <w:p w14:paraId="1F52CF21" w14:textId="77777777" w:rsidR="009631D7" w:rsidRDefault="00C141E1">
      <w:pPr>
        <w:spacing w:after="181"/>
        <w:ind w:left="-5" w:hanging="10"/>
      </w:pPr>
      <w:r>
        <w:rPr>
          <w:rFonts w:ascii="Aptos" w:eastAsia="Aptos" w:hAnsi="Aptos" w:cs="Aptos"/>
          <w:sz w:val="24"/>
        </w:rPr>
        <w:t xml:space="preserve">          </w:t>
      </w:r>
      <w:r>
        <w:rPr>
          <w:rFonts w:ascii="Aptos" w:eastAsia="Aptos" w:hAnsi="Aptos" w:cs="Aptos"/>
          <w:b/>
          <w:sz w:val="24"/>
        </w:rPr>
        <w:t xml:space="preserve">KEERTHI.K¹ , AMUTHAPRIYA.G²,JAYABHARATHI.P³ ,JANANI.A.M⁴ </w:t>
      </w:r>
    </w:p>
    <w:p w14:paraId="46E0DFE2" w14:textId="77777777" w:rsidR="009631D7" w:rsidRDefault="00C141E1">
      <w:pPr>
        <w:spacing w:after="181"/>
        <w:ind w:left="-5" w:hanging="10"/>
      </w:pPr>
      <w:r>
        <w:rPr>
          <w:rFonts w:ascii="Aptos" w:eastAsia="Aptos" w:hAnsi="Aptos" w:cs="Aptos"/>
          <w:sz w:val="24"/>
        </w:rPr>
        <w:t xml:space="preserve">    </w:t>
      </w:r>
      <w:r>
        <w:rPr>
          <w:rFonts w:ascii="Aptos" w:eastAsia="Aptos" w:hAnsi="Aptos" w:cs="Aptos"/>
          <w:b/>
          <w:sz w:val="24"/>
        </w:rPr>
        <w:t xml:space="preserve">      1,2&amp;3.  – UG SCHOLAR NANDHA SIDDHA MEDICAL </w:t>
      </w:r>
    </w:p>
    <w:p w14:paraId="3BF9B21A" w14:textId="77777777" w:rsidR="009631D7" w:rsidRDefault="00C141E1">
      <w:pPr>
        <w:spacing w:after="181"/>
        <w:ind w:left="-5" w:hanging="10"/>
      </w:pPr>
      <w:r>
        <w:rPr>
          <w:rFonts w:ascii="Aptos" w:eastAsia="Aptos" w:hAnsi="Aptos" w:cs="Aptos"/>
          <w:b/>
          <w:sz w:val="24"/>
        </w:rPr>
        <w:t xml:space="preserve"> COLLEGE AND HOSPITAL-ERODE 52  </w:t>
      </w:r>
    </w:p>
    <w:p w14:paraId="7532507B" w14:textId="77777777" w:rsidR="009631D7" w:rsidRDefault="00C141E1">
      <w:pPr>
        <w:spacing w:after="181"/>
        <w:ind w:left="-5" w:hanging="10"/>
      </w:pPr>
      <w:r>
        <w:rPr>
          <w:rFonts w:ascii="Aptos" w:eastAsia="Aptos" w:hAnsi="Aptos" w:cs="Aptos"/>
          <w:b/>
          <w:sz w:val="24"/>
        </w:rPr>
        <w:t xml:space="preserve">       3- ASSISTANT PROFESSOR – DEPARTMENT OF GUNAPADAM -MARUNTHAKKAVIYAL </w:t>
      </w:r>
    </w:p>
    <w:p w14:paraId="26467200" w14:textId="77777777" w:rsidR="009631D7" w:rsidRDefault="00C141E1">
      <w:pPr>
        <w:spacing w:after="181"/>
        <w:ind w:left="-5" w:hanging="10"/>
      </w:pPr>
      <w:r>
        <w:rPr>
          <w:rFonts w:ascii="Aptos" w:eastAsia="Aptos" w:hAnsi="Aptos" w:cs="Aptos"/>
          <w:b/>
          <w:sz w:val="24"/>
        </w:rPr>
        <w:t xml:space="preserve">NANDHA SIDDHA MEDICAL COLLEGE AND HOSPITAL-ERODE 52  </w:t>
      </w:r>
    </w:p>
    <w:p w14:paraId="77903274" w14:textId="77777777" w:rsidR="009631D7" w:rsidRDefault="00C141E1">
      <w:pPr>
        <w:spacing w:after="181" w:line="329" w:lineRule="auto"/>
        <w:ind w:left="-5" w:hanging="10"/>
      </w:pPr>
      <w:r>
        <w:rPr>
          <w:rFonts w:ascii="Aptos" w:eastAsia="Aptos" w:hAnsi="Aptos" w:cs="Aptos"/>
          <w:b/>
          <w:color w:val="467886"/>
          <w:sz w:val="24"/>
          <w:u w:val="single" w:color="467886"/>
        </w:rPr>
        <w:t>Keerthuprincess05@gmail.com</w:t>
      </w:r>
      <w:r>
        <w:rPr>
          <w:rFonts w:ascii="Aptos" w:eastAsia="Aptos" w:hAnsi="Aptos" w:cs="Aptos"/>
          <w:sz w:val="24"/>
        </w:rPr>
        <w:t>¹,</w:t>
      </w:r>
      <w:r>
        <w:rPr>
          <w:rFonts w:ascii="Aptos" w:eastAsia="Aptos" w:hAnsi="Aptos" w:cs="Aptos"/>
          <w:b/>
          <w:sz w:val="24"/>
        </w:rPr>
        <w:t xml:space="preserve"> </w:t>
      </w:r>
      <w:r>
        <w:rPr>
          <w:rFonts w:ascii="Aptos" w:eastAsia="Aptos" w:hAnsi="Aptos" w:cs="Aptos"/>
          <w:b/>
          <w:sz w:val="24"/>
        </w:rPr>
        <w:tab/>
        <w:t xml:space="preserve">amuthapriya09112003@gmail.com², </w:t>
      </w:r>
      <w:r>
        <w:rPr>
          <w:rFonts w:ascii="Aptos" w:eastAsia="Aptos" w:hAnsi="Aptos" w:cs="Aptos"/>
          <w:b/>
          <w:color w:val="467886"/>
          <w:sz w:val="24"/>
          <w:u w:val="single" w:color="467886"/>
        </w:rPr>
        <w:t>jayabharathipalaniappan@gmail.com</w:t>
      </w:r>
      <w:r>
        <w:rPr>
          <w:rFonts w:ascii="Aptos" w:eastAsia="Aptos" w:hAnsi="Aptos" w:cs="Aptos"/>
          <w:b/>
          <w:sz w:val="24"/>
        </w:rPr>
        <w:t xml:space="preserve">³, janachandrvs123@gmail.com⁴. </w:t>
      </w:r>
      <w:r>
        <w:rPr>
          <w:rFonts w:ascii="Aptos Display" w:eastAsia="Aptos Display" w:hAnsi="Aptos Display" w:cs="Aptos Display"/>
          <w:b/>
          <w:color w:val="0F4761"/>
          <w:sz w:val="28"/>
        </w:rPr>
        <w:t xml:space="preserve">Abstract </w:t>
      </w:r>
    </w:p>
    <w:p w14:paraId="71EC7EC7" w14:textId="77777777" w:rsidR="009631D7" w:rsidRDefault="00C141E1">
      <w:pPr>
        <w:spacing w:after="272" w:line="249" w:lineRule="auto"/>
        <w:ind w:left="-5" w:right="10" w:hanging="10"/>
      </w:pPr>
      <w:r>
        <w:rPr>
          <w:rFonts w:ascii="Times New Roman" w:eastAsia="Times New Roman" w:hAnsi="Times New Roman"/>
          <w:b/>
          <w:sz w:val="24"/>
        </w:rPr>
        <w:t>Background:</w:t>
      </w:r>
      <w:r>
        <w:rPr>
          <w:rFonts w:ascii="Times New Roman" w:eastAsia="Times New Roman" w:hAnsi="Times New Roman"/>
          <w:sz w:val="24"/>
        </w:rPr>
        <w:t xml:space="preserve"> Originating in South India and deeply ingrained in Tamil Nadu's culture, Siddha medicine is a venerable healing tradition. As the global community increasingly examines the contribution of traditional medicine to public health, a structured synthesis of Siddha’s epidemiological impact and systemic growth is required. </w:t>
      </w:r>
    </w:p>
    <w:p w14:paraId="18C8950D" w14:textId="77777777" w:rsidR="009631D7" w:rsidRDefault="00C141E1">
      <w:pPr>
        <w:spacing w:after="272" w:line="249" w:lineRule="auto"/>
        <w:ind w:left="-5" w:right="10" w:hanging="10"/>
      </w:pPr>
      <w:r>
        <w:rPr>
          <w:rFonts w:ascii="Times New Roman" w:eastAsia="Times New Roman" w:hAnsi="Times New Roman"/>
          <w:b/>
          <w:sz w:val="24"/>
        </w:rPr>
        <w:t>Objective:</w:t>
      </w:r>
      <w:r>
        <w:rPr>
          <w:rFonts w:ascii="Times New Roman" w:eastAsia="Times New Roman" w:hAnsi="Times New Roman"/>
          <w:sz w:val="24"/>
        </w:rPr>
        <w:t xml:space="preserve"> This review systematically compiles existing research on Siddha epidemiology, emphasizing its therapeutic breadth, health outcomes, and contemporary public health relevance. </w:t>
      </w:r>
    </w:p>
    <w:p w14:paraId="620AD7D5" w14:textId="77777777" w:rsidR="009631D7" w:rsidRDefault="00C141E1">
      <w:pPr>
        <w:spacing w:after="272" w:line="249" w:lineRule="auto"/>
        <w:ind w:left="-5" w:right="10" w:hanging="10"/>
      </w:pPr>
      <w:r>
        <w:rPr>
          <w:rFonts w:ascii="Times New Roman" w:eastAsia="Times New Roman" w:hAnsi="Times New Roman"/>
          <w:b/>
          <w:sz w:val="24"/>
        </w:rPr>
        <w:t>Materials and Methods:</w:t>
      </w:r>
      <w:r>
        <w:rPr>
          <w:rFonts w:ascii="Times New Roman" w:eastAsia="Times New Roman" w:hAnsi="Times New Roman"/>
          <w:sz w:val="24"/>
        </w:rPr>
        <w:t xml:space="preserve"> A rigorous literature search was executed across global repositories, including PubMed and Scopus. A standardized protocol was applied to evaluate and synthesize data regarding therapeutic effectiveness and epidemiological significance. </w:t>
      </w:r>
    </w:p>
    <w:p w14:paraId="5506E47D" w14:textId="77777777" w:rsidR="009631D7" w:rsidRDefault="00C141E1">
      <w:pPr>
        <w:spacing w:after="272" w:line="249" w:lineRule="auto"/>
        <w:ind w:left="-5" w:right="10" w:hanging="10"/>
      </w:pPr>
      <w:r>
        <w:rPr>
          <w:rFonts w:ascii="Times New Roman" w:eastAsia="Times New Roman" w:hAnsi="Times New Roman"/>
          <w:b/>
          <w:sz w:val="24"/>
        </w:rPr>
        <w:t>Results:</w:t>
      </w:r>
      <w:r>
        <w:rPr>
          <w:rFonts w:ascii="Times New Roman" w:eastAsia="Times New Roman" w:hAnsi="Times New Roman"/>
          <w:sz w:val="24"/>
        </w:rPr>
        <w:t xml:space="preserve"> The synthesis reveals that Siddha medicine demonstrates potential in managing various ailments, particularly anemia, diabetes, and skin disorders. Conversely, the study identifies critical research gaps, specifically the absence of standardized medicinal formulations and the institutional barriers to integrating Siddha into conventional medical systems. </w:t>
      </w:r>
    </w:p>
    <w:p w14:paraId="04786EA6" w14:textId="77777777" w:rsidR="009631D7" w:rsidRDefault="00C141E1">
      <w:pPr>
        <w:spacing w:after="272" w:line="249" w:lineRule="auto"/>
        <w:ind w:left="-5" w:right="10" w:hanging="10"/>
      </w:pPr>
      <w:r>
        <w:rPr>
          <w:rFonts w:ascii="Times New Roman" w:eastAsia="Times New Roman" w:hAnsi="Times New Roman"/>
          <w:b/>
          <w:sz w:val="24"/>
        </w:rPr>
        <w:t>Conclusion:</w:t>
      </w:r>
      <w:r>
        <w:rPr>
          <w:rFonts w:ascii="Times New Roman" w:eastAsia="Times New Roman" w:hAnsi="Times New Roman"/>
          <w:sz w:val="24"/>
        </w:rPr>
        <w:t xml:space="preserve"> Siddha medicine provides important insights for public health, especially in the context of chronic and lifestyle diseases. To fully establish its epidemiological standing and facilitate global healthcare integration, further high-quality, standardized research is imperative. </w:t>
      </w:r>
    </w:p>
    <w:p w14:paraId="1B39849D" w14:textId="77777777" w:rsidR="009631D7" w:rsidRDefault="00C141E1">
      <w:pPr>
        <w:spacing w:after="181"/>
        <w:ind w:left="-5" w:hanging="10"/>
      </w:pPr>
      <w:r>
        <w:rPr>
          <w:rFonts w:ascii="Aptos" w:eastAsia="Aptos" w:hAnsi="Aptos" w:cs="Aptos"/>
          <w:b/>
          <w:sz w:val="24"/>
        </w:rPr>
        <w:t xml:space="preserve">Keywords : </w:t>
      </w:r>
    </w:p>
    <w:p w14:paraId="08A13841" w14:textId="77777777" w:rsidR="009631D7" w:rsidRDefault="00C141E1">
      <w:pPr>
        <w:spacing w:after="272" w:line="248" w:lineRule="auto"/>
        <w:ind w:left="-5" w:hanging="10"/>
      </w:pPr>
      <w:proofErr w:type="spellStart"/>
      <w:r>
        <w:rPr>
          <w:rFonts w:ascii="Times New Roman" w:eastAsia="Times New Roman" w:hAnsi="Times New Roman"/>
          <w:sz w:val="24"/>
        </w:rPr>
        <w:t>Kayakalpam</w:t>
      </w:r>
      <w:proofErr w:type="spellEnd"/>
      <w:r>
        <w:rPr>
          <w:rFonts w:ascii="Times New Roman" w:eastAsia="Times New Roman" w:hAnsi="Times New Roman"/>
          <w:sz w:val="24"/>
        </w:rPr>
        <w:t xml:space="preserve">, 96 </w:t>
      </w:r>
      <w:proofErr w:type="spellStart"/>
      <w:r>
        <w:rPr>
          <w:rFonts w:ascii="Times New Roman" w:eastAsia="Times New Roman" w:hAnsi="Times New Roman"/>
          <w:sz w:val="24"/>
        </w:rPr>
        <w:t>thathuvangal</w:t>
      </w:r>
      <w:proofErr w:type="spellEnd"/>
      <w:r>
        <w:rPr>
          <w:rFonts w:ascii="Times New Roman" w:eastAsia="Times New Roman" w:hAnsi="Times New Roman"/>
          <w:sz w:val="24"/>
        </w:rPr>
        <w:t xml:space="preserve">, </w:t>
      </w:r>
      <w:proofErr w:type="spellStart"/>
      <w:r>
        <w:rPr>
          <w:rFonts w:ascii="Times New Roman" w:eastAsia="Times New Roman" w:hAnsi="Times New Roman"/>
          <w:sz w:val="24"/>
        </w:rPr>
        <w:t>Nilavembu</w:t>
      </w:r>
      <w:proofErr w:type="spellEnd"/>
      <w:r>
        <w:rPr>
          <w:rFonts w:ascii="Times New Roman" w:eastAsia="Times New Roman" w:hAnsi="Times New Roman"/>
          <w:sz w:val="24"/>
        </w:rPr>
        <w:t xml:space="preserve"> </w:t>
      </w:r>
      <w:proofErr w:type="spellStart"/>
      <w:r>
        <w:rPr>
          <w:rFonts w:ascii="Times New Roman" w:eastAsia="Times New Roman" w:hAnsi="Times New Roman"/>
          <w:sz w:val="24"/>
        </w:rPr>
        <w:t>kudineer,Kabhasura</w:t>
      </w:r>
      <w:proofErr w:type="spellEnd"/>
      <w:r>
        <w:rPr>
          <w:rFonts w:ascii="Times New Roman" w:eastAsia="Times New Roman" w:hAnsi="Times New Roman"/>
          <w:sz w:val="24"/>
        </w:rPr>
        <w:t xml:space="preserve">  </w:t>
      </w:r>
      <w:proofErr w:type="spellStart"/>
      <w:r>
        <w:rPr>
          <w:rFonts w:ascii="Times New Roman" w:eastAsia="Times New Roman" w:hAnsi="Times New Roman"/>
          <w:sz w:val="24"/>
        </w:rPr>
        <w:t>kudineer</w:t>
      </w:r>
      <w:proofErr w:type="spellEnd"/>
      <w:r>
        <w:rPr>
          <w:rFonts w:ascii="Times New Roman" w:eastAsia="Times New Roman" w:hAnsi="Times New Roman"/>
          <w:sz w:val="24"/>
        </w:rPr>
        <w:t xml:space="preserve"> ,Fungal infections. </w:t>
      </w:r>
    </w:p>
    <w:p w14:paraId="2BF7D873" w14:textId="77777777" w:rsidR="009631D7" w:rsidRDefault="00C141E1">
      <w:pPr>
        <w:pStyle w:val="Heading1"/>
        <w:numPr>
          <w:ilvl w:val="0"/>
          <w:numId w:val="0"/>
        </w:numPr>
        <w:spacing w:after="267"/>
        <w:ind w:left="-5" w:hanging="10"/>
      </w:pPr>
      <w:r>
        <w:rPr>
          <w:color w:val="0F4761"/>
          <w:sz w:val="28"/>
        </w:rPr>
        <w:t>The Ontological and Historical Foundation</w:t>
      </w:r>
      <w:r>
        <w:rPr>
          <w:color w:val="0F4761"/>
          <w:sz w:val="27"/>
        </w:rPr>
        <w:t xml:space="preserve"> </w:t>
      </w:r>
    </w:p>
    <w:p w14:paraId="5E378E84" w14:textId="77777777" w:rsidR="009631D7" w:rsidRDefault="00C141E1">
      <w:pPr>
        <w:spacing w:after="344" w:line="249" w:lineRule="auto"/>
        <w:ind w:left="-5" w:right="10" w:hanging="10"/>
      </w:pPr>
      <w:r>
        <w:rPr>
          <w:rFonts w:ascii="Times New Roman" w:eastAsia="Times New Roman" w:hAnsi="Times New Roman"/>
          <w:sz w:val="24"/>
        </w:rPr>
        <w:t xml:space="preserve">The Siddha system is unique in its goal of </w:t>
      </w:r>
      <w:r>
        <w:rPr>
          <w:rFonts w:ascii="Times New Roman" w:eastAsia="Times New Roman" w:hAnsi="Times New Roman"/>
          <w:b/>
          <w:sz w:val="24"/>
        </w:rPr>
        <w:t xml:space="preserve">Kaya </w:t>
      </w:r>
      <w:proofErr w:type="spellStart"/>
      <w:r>
        <w:rPr>
          <w:rFonts w:ascii="Times New Roman" w:eastAsia="Times New Roman" w:hAnsi="Times New Roman"/>
          <w:b/>
          <w:sz w:val="24"/>
        </w:rPr>
        <w:t>Kalpa</w:t>
      </w:r>
      <w:proofErr w:type="spellEnd"/>
      <w:r>
        <w:rPr>
          <w:rFonts w:ascii="Times New Roman" w:eastAsia="Times New Roman" w:hAnsi="Times New Roman"/>
          <w:sz w:val="24"/>
        </w:rPr>
        <w:t xml:space="preserve"> (rejuvenation and immortality). It maps the human experience through 96 </w:t>
      </w:r>
      <w:proofErr w:type="spellStart"/>
      <w:r>
        <w:rPr>
          <w:rFonts w:ascii="Times New Roman" w:eastAsia="Times New Roman" w:hAnsi="Times New Roman"/>
          <w:b/>
          <w:sz w:val="24"/>
        </w:rPr>
        <w:t>Thathuvangal</w:t>
      </w:r>
      <w:proofErr w:type="spellEnd"/>
      <w:r>
        <w:rPr>
          <w:rFonts w:ascii="Times New Roman" w:eastAsia="Times New Roman" w:hAnsi="Times New Roman"/>
          <w:sz w:val="24"/>
        </w:rPr>
        <w:t xml:space="preserve"> and a humoral theory that mirrors the elemental composition of the universe [1]. </w:t>
      </w:r>
    </w:p>
    <w:p w14:paraId="14633685" w14:textId="77777777" w:rsidR="009631D7" w:rsidRDefault="00C141E1">
      <w:pPr>
        <w:pStyle w:val="Heading1"/>
        <w:ind w:left="331" w:hanging="331"/>
      </w:pPr>
      <w:r>
        <w:t>Clinical Burden and Patient Demographics</w:t>
      </w:r>
      <w:r>
        <w:rPr>
          <w:color w:val="0F4761"/>
          <w:sz w:val="28"/>
        </w:rPr>
        <w:t xml:space="preserve"> </w:t>
      </w:r>
    </w:p>
    <w:p w14:paraId="3D2F5A9E" w14:textId="77777777" w:rsidR="009631D7" w:rsidRDefault="00C141E1">
      <w:pPr>
        <w:spacing w:after="352" w:line="249" w:lineRule="auto"/>
        <w:ind w:left="-5" w:right="10" w:hanging="10"/>
      </w:pPr>
      <w:r>
        <w:rPr>
          <w:rFonts w:ascii="Times New Roman" w:eastAsia="Times New Roman" w:hAnsi="Times New Roman"/>
          <w:sz w:val="24"/>
        </w:rPr>
        <w:t xml:space="preserve">Data from the </w:t>
      </w:r>
      <w:r>
        <w:rPr>
          <w:rFonts w:ascii="Times New Roman" w:eastAsia="Times New Roman" w:hAnsi="Times New Roman"/>
          <w:b/>
          <w:sz w:val="24"/>
        </w:rPr>
        <w:t>Siddha Regional Research Institute (SRRI)</w:t>
      </w:r>
      <w:r>
        <w:rPr>
          <w:rFonts w:ascii="Times New Roman" w:eastAsia="Times New Roman" w:hAnsi="Times New Roman"/>
          <w:sz w:val="24"/>
        </w:rPr>
        <w:t xml:space="preserve"> involving 48,204 patients highlights the system's strength in chronic and inflammatory conditions [3]. </w:t>
      </w:r>
    </w:p>
    <w:p w14:paraId="5CB4321E" w14:textId="77777777" w:rsidR="009631D7" w:rsidRDefault="00C141E1">
      <w:pPr>
        <w:tabs>
          <w:tab w:val="center" w:pos="787"/>
          <w:tab w:val="center" w:pos="2194"/>
          <w:tab w:val="center" w:pos="4528"/>
        </w:tabs>
        <w:spacing w:after="71"/>
      </w:pPr>
      <w:r>
        <w:tab/>
      </w:r>
      <w:r>
        <w:rPr>
          <w:rFonts w:ascii="Times New Roman" w:eastAsia="Times New Roman" w:hAnsi="Times New Roman"/>
          <w:b/>
          <w:sz w:val="24"/>
        </w:rPr>
        <w:t xml:space="preserve">Category </w:t>
      </w:r>
      <w:r>
        <w:rPr>
          <w:rFonts w:ascii="Times New Roman" w:eastAsia="Times New Roman" w:hAnsi="Times New Roman"/>
          <w:b/>
          <w:sz w:val="24"/>
        </w:rPr>
        <w:tab/>
        <w:t xml:space="preserve">Prevalence </w:t>
      </w:r>
      <w:r>
        <w:rPr>
          <w:rFonts w:ascii="Times New Roman" w:eastAsia="Times New Roman" w:hAnsi="Times New Roman"/>
          <w:b/>
          <w:sz w:val="24"/>
        </w:rPr>
        <w:tab/>
        <w:t xml:space="preserve">Leading Conditions </w:t>
      </w:r>
    </w:p>
    <w:p w14:paraId="07F3971F" w14:textId="77777777" w:rsidR="009631D7" w:rsidRDefault="00C141E1">
      <w:pPr>
        <w:tabs>
          <w:tab w:val="center" w:pos="4522"/>
        </w:tabs>
        <w:spacing w:after="82" w:line="249" w:lineRule="auto"/>
        <w:ind w:left="-15"/>
      </w:pPr>
      <w:r>
        <w:rPr>
          <w:rFonts w:ascii="Times New Roman" w:eastAsia="Times New Roman" w:hAnsi="Times New Roman"/>
          <w:sz w:val="24"/>
        </w:rPr>
        <w:t xml:space="preserve">Musculoskeletal 27.3% </w:t>
      </w:r>
      <w:r>
        <w:rPr>
          <w:rFonts w:ascii="Times New Roman" w:eastAsia="Times New Roman" w:hAnsi="Times New Roman"/>
          <w:sz w:val="24"/>
        </w:rPr>
        <w:tab/>
        <w:t xml:space="preserve">Osteoarthritis, Lumbar Spondylosis </w:t>
      </w:r>
    </w:p>
    <w:p w14:paraId="26F93B28" w14:textId="77777777" w:rsidR="009631D7" w:rsidRDefault="00C141E1">
      <w:pPr>
        <w:spacing w:after="236" w:line="320" w:lineRule="auto"/>
        <w:ind w:left="-5" w:right="3639" w:hanging="10"/>
      </w:pPr>
      <w:r>
        <w:rPr>
          <w:rFonts w:ascii="Times New Roman" w:eastAsia="Times New Roman" w:hAnsi="Times New Roman"/>
          <w:sz w:val="24"/>
        </w:rPr>
        <w:t xml:space="preserve">Skin Disorders 18.0% </w:t>
      </w:r>
      <w:r>
        <w:rPr>
          <w:rFonts w:ascii="Times New Roman" w:eastAsia="Times New Roman" w:hAnsi="Times New Roman"/>
          <w:sz w:val="24"/>
        </w:rPr>
        <w:tab/>
        <w:t xml:space="preserve">Psoriasis, Eczema Respiratory </w:t>
      </w:r>
      <w:r>
        <w:rPr>
          <w:rFonts w:ascii="Times New Roman" w:eastAsia="Times New Roman" w:hAnsi="Times New Roman"/>
          <w:sz w:val="24"/>
        </w:rPr>
        <w:tab/>
        <w:t xml:space="preserve">9.7% </w:t>
      </w:r>
      <w:r>
        <w:rPr>
          <w:rFonts w:ascii="Times New Roman" w:eastAsia="Times New Roman" w:hAnsi="Times New Roman"/>
          <w:sz w:val="24"/>
        </w:rPr>
        <w:tab/>
        <w:t xml:space="preserve">Sinusitis </w:t>
      </w:r>
    </w:p>
    <w:p w14:paraId="425F3E87" w14:textId="77777777" w:rsidR="009631D7" w:rsidRDefault="00C141E1">
      <w:pPr>
        <w:spacing w:after="308" w:line="249" w:lineRule="auto"/>
        <w:ind w:left="-5" w:right="10" w:hanging="10"/>
      </w:pPr>
      <w:r>
        <w:rPr>
          <w:rFonts w:ascii="Times New Roman" w:eastAsia="Times New Roman" w:hAnsi="Times New Roman"/>
          <w:b/>
          <w:sz w:val="24"/>
        </w:rPr>
        <w:t>Pediatric Focus:</w:t>
      </w:r>
      <w:r>
        <w:rPr>
          <w:rFonts w:ascii="Times New Roman" w:eastAsia="Times New Roman" w:hAnsi="Times New Roman"/>
          <w:sz w:val="24"/>
        </w:rPr>
        <w:t xml:space="preserve"> Interestingly, in children (\le 15 years), the profile shifts significantly toward </w:t>
      </w:r>
      <w:r>
        <w:rPr>
          <w:rFonts w:ascii="Times New Roman" w:eastAsia="Times New Roman" w:hAnsi="Times New Roman"/>
          <w:b/>
          <w:sz w:val="24"/>
        </w:rPr>
        <w:t>Respiratory Illnesses (52%)</w:t>
      </w:r>
      <w:r>
        <w:rPr>
          <w:rFonts w:ascii="Times New Roman" w:eastAsia="Times New Roman" w:hAnsi="Times New Roman"/>
          <w:sz w:val="24"/>
        </w:rPr>
        <w:t xml:space="preserve"> and </w:t>
      </w:r>
      <w:r>
        <w:rPr>
          <w:rFonts w:ascii="Times New Roman" w:eastAsia="Times New Roman" w:hAnsi="Times New Roman"/>
          <w:b/>
          <w:sz w:val="24"/>
        </w:rPr>
        <w:t>Fungal Infections (24.2%)</w:t>
      </w:r>
      <w:r>
        <w:rPr>
          <w:rFonts w:ascii="Times New Roman" w:eastAsia="Times New Roman" w:hAnsi="Times New Roman"/>
          <w:sz w:val="24"/>
        </w:rPr>
        <w:t xml:space="preserve"> [3]. </w:t>
      </w:r>
    </w:p>
    <w:p w14:paraId="5AEEA871" w14:textId="77777777" w:rsidR="009631D7" w:rsidRDefault="00C141E1">
      <w:pPr>
        <w:numPr>
          <w:ilvl w:val="0"/>
          <w:numId w:val="1"/>
        </w:numPr>
        <w:spacing w:after="266"/>
        <w:ind w:hanging="305"/>
      </w:pPr>
      <w:r>
        <w:rPr>
          <w:rFonts w:ascii="Aptos" w:eastAsia="Aptos" w:hAnsi="Aptos" w:cs="Aptos"/>
          <w:b/>
          <w:color w:val="0070C0"/>
          <w:sz w:val="28"/>
        </w:rPr>
        <w:t>Public Health Impact: Viral Outbreaks</w:t>
      </w:r>
      <w:r>
        <w:rPr>
          <w:rFonts w:ascii="Aptos" w:eastAsia="Aptos" w:hAnsi="Aptos" w:cs="Aptos"/>
          <w:b/>
          <w:color w:val="0F4761"/>
          <w:sz w:val="28"/>
        </w:rPr>
        <w:t xml:space="preserve"> </w:t>
      </w:r>
    </w:p>
    <w:p w14:paraId="10C0EA5E" w14:textId="77777777" w:rsidR="009631D7" w:rsidRDefault="00C141E1">
      <w:pPr>
        <w:spacing w:after="272" w:line="249" w:lineRule="auto"/>
        <w:ind w:left="-5" w:right="10" w:hanging="10"/>
      </w:pPr>
      <w:r>
        <w:rPr>
          <w:rFonts w:ascii="Times New Roman" w:eastAsia="Times New Roman" w:hAnsi="Times New Roman"/>
          <w:sz w:val="24"/>
        </w:rPr>
        <w:t xml:space="preserve">Siddha medicine gained massive public visibility during the COVID-19 pandemic and previous Dengue outbreaks through standardized herbal decoctions [6, 7]. </w:t>
      </w:r>
    </w:p>
    <w:p w14:paraId="53EBE087" w14:textId="77777777" w:rsidR="009631D7" w:rsidRDefault="00C141E1">
      <w:pPr>
        <w:numPr>
          <w:ilvl w:val="1"/>
          <w:numId w:val="1"/>
        </w:numPr>
        <w:spacing w:after="3" w:line="248" w:lineRule="auto"/>
        <w:ind w:right="4" w:hanging="360"/>
      </w:pPr>
      <w:proofErr w:type="spellStart"/>
      <w:r>
        <w:rPr>
          <w:rFonts w:ascii="Aptos" w:eastAsia="Aptos" w:hAnsi="Aptos" w:cs="Aptos"/>
          <w:b/>
          <w:sz w:val="24"/>
        </w:rPr>
        <w:t>Nilavembu</w:t>
      </w:r>
      <w:proofErr w:type="spellEnd"/>
      <w:r>
        <w:rPr>
          <w:rFonts w:ascii="Aptos" w:eastAsia="Aptos" w:hAnsi="Aptos" w:cs="Aptos"/>
          <w:b/>
          <w:sz w:val="24"/>
        </w:rPr>
        <w:t xml:space="preserve"> </w:t>
      </w:r>
      <w:proofErr w:type="spellStart"/>
      <w:r>
        <w:rPr>
          <w:rFonts w:ascii="Aptos" w:eastAsia="Aptos" w:hAnsi="Aptos" w:cs="Aptos"/>
          <w:b/>
          <w:sz w:val="24"/>
        </w:rPr>
        <w:t>Kudineer</w:t>
      </w:r>
      <w:proofErr w:type="spellEnd"/>
      <w:r>
        <w:rPr>
          <w:rFonts w:ascii="Aptos" w:eastAsia="Aptos" w:hAnsi="Aptos" w:cs="Aptos"/>
          <w:b/>
          <w:sz w:val="24"/>
        </w:rPr>
        <w:t xml:space="preserve"> (NVK):</w:t>
      </w:r>
      <w:r>
        <w:rPr>
          <w:rFonts w:ascii="Aptos" w:eastAsia="Aptos" w:hAnsi="Aptos" w:cs="Aptos"/>
          <w:sz w:val="24"/>
        </w:rPr>
        <w:t xml:space="preserve"> Demonstrated a </w:t>
      </w:r>
      <w:r>
        <w:rPr>
          <w:rFonts w:ascii="Aptos" w:eastAsia="Aptos" w:hAnsi="Aptos" w:cs="Aptos"/>
          <w:b/>
          <w:sz w:val="24"/>
        </w:rPr>
        <w:t>76% reduction</w:t>
      </w:r>
      <w:r>
        <w:rPr>
          <w:rFonts w:ascii="Aptos" w:eastAsia="Aptos" w:hAnsi="Aptos" w:cs="Aptos"/>
          <w:sz w:val="24"/>
        </w:rPr>
        <w:t xml:space="preserve"> in viral fever risk (Odds Ratio 0.24) [6]. </w:t>
      </w:r>
    </w:p>
    <w:p w14:paraId="1B1186B8" w14:textId="77777777" w:rsidR="009631D7" w:rsidRDefault="00C141E1">
      <w:pPr>
        <w:numPr>
          <w:ilvl w:val="1"/>
          <w:numId w:val="1"/>
        </w:numPr>
        <w:spacing w:after="316" w:line="248" w:lineRule="auto"/>
        <w:ind w:right="4" w:hanging="360"/>
      </w:pPr>
      <w:proofErr w:type="spellStart"/>
      <w:r>
        <w:rPr>
          <w:rFonts w:ascii="Aptos" w:eastAsia="Aptos" w:hAnsi="Aptos" w:cs="Aptos"/>
          <w:b/>
          <w:sz w:val="24"/>
        </w:rPr>
        <w:t>Kabasura</w:t>
      </w:r>
      <w:proofErr w:type="spellEnd"/>
      <w:r>
        <w:rPr>
          <w:rFonts w:ascii="Aptos" w:eastAsia="Aptos" w:hAnsi="Aptos" w:cs="Aptos"/>
          <w:b/>
          <w:sz w:val="24"/>
        </w:rPr>
        <w:t xml:space="preserve"> </w:t>
      </w:r>
      <w:proofErr w:type="spellStart"/>
      <w:r>
        <w:rPr>
          <w:rFonts w:ascii="Aptos" w:eastAsia="Aptos" w:hAnsi="Aptos" w:cs="Aptos"/>
          <w:b/>
          <w:sz w:val="24"/>
        </w:rPr>
        <w:t>Kudineer</w:t>
      </w:r>
      <w:proofErr w:type="spellEnd"/>
      <w:r>
        <w:rPr>
          <w:rFonts w:ascii="Aptos" w:eastAsia="Aptos" w:hAnsi="Aptos" w:cs="Aptos"/>
          <w:b/>
          <w:sz w:val="24"/>
        </w:rPr>
        <w:t xml:space="preserve"> (KSK):</w:t>
      </w:r>
      <w:r>
        <w:rPr>
          <w:rFonts w:ascii="Aptos" w:eastAsia="Aptos" w:hAnsi="Aptos" w:cs="Aptos"/>
          <w:sz w:val="24"/>
        </w:rPr>
        <w:t xml:space="preserve"> Facilitated </w:t>
      </w:r>
      <w:proofErr w:type="spellStart"/>
      <w:r>
        <w:rPr>
          <w:rFonts w:ascii="Aptos" w:eastAsia="Aptos" w:hAnsi="Aptos" w:cs="Aptos"/>
          <w:sz w:val="24"/>
        </w:rPr>
        <w:t>virologic</w:t>
      </w:r>
      <w:proofErr w:type="spellEnd"/>
      <w:r>
        <w:rPr>
          <w:rFonts w:ascii="Aptos" w:eastAsia="Aptos" w:hAnsi="Aptos" w:cs="Aptos"/>
          <w:sz w:val="24"/>
        </w:rPr>
        <w:t xml:space="preserve"> clearance in </w:t>
      </w:r>
      <w:r>
        <w:rPr>
          <w:rFonts w:ascii="Aptos" w:eastAsia="Aptos" w:hAnsi="Aptos" w:cs="Aptos"/>
          <w:b/>
          <w:sz w:val="24"/>
        </w:rPr>
        <w:t>74% of asymptomatic patients</w:t>
      </w:r>
      <w:r>
        <w:rPr>
          <w:rFonts w:ascii="Aptos" w:eastAsia="Aptos" w:hAnsi="Aptos" w:cs="Aptos"/>
          <w:sz w:val="24"/>
        </w:rPr>
        <w:t xml:space="preserve"> within a week when used in integrated care settings [7]. </w:t>
      </w:r>
    </w:p>
    <w:p w14:paraId="0A69F4FF" w14:textId="77777777" w:rsidR="009631D7" w:rsidRDefault="00C141E1">
      <w:pPr>
        <w:numPr>
          <w:ilvl w:val="0"/>
          <w:numId w:val="1"/>
        </w:numPr>
        <w:spacing w:after="268"/>
        <w:ind w:hanging="305"/>
      </w:pPr>
      <w:r>
        <w:rPr>
          <w:rFonts w:ascii="Aptos" w:eastAsia="Aptos" w:hAnsi="Aptos" w:cs="Aptos"/>
          <w:b/>
          <w:color w:val="0070C0"/>
          <w:sz w:val="28"/>
        </w:rPr>
        <w:t xml:space="preserve">Safety and Global Integration </w:t>
      </w:r>
    </w:p>
    <w:p w14:paraId="1DE89E4D" w14:textId="77777777" w:rsidR="009631D7" w:rsidRDefault="00C141E1">
      <w:pPr>
        <w:spacing w:after="272" w:line="249" w:lineRule="auto"/>
        <w:ind w:left="-5" w:right="10" w:hanging="10"/>
      </w:pPr>
      <w:r>
        <w:rPr>
          <w:rFonts w:ascii="Times New Roman" w:eastAsia="Times New Roman" w:hAnsi="Times New Roman"/>
          <w:sz w:val="24"/>
        </w:rPr>
        <w:t xml:space="preserve">While usage is surging in urban areas (driven by an </w:t>
      </w:r>
      <w:r>
        <w:rPr>
          <w:rFonts w:ascii="Times New Roman" w:eastAsia="Times New Roman" w:hAnsi="Times New Roman"/>
          <w:b/>
          <w:sz w:val="24"/>
        </w:rPr>
        <w:t>awareness odds ratio of 24.17</w:t>
      </w:r>
      <w:r>
        <w:rPr>
          <w:rFonts w:ascii="Times New Roman" w:eastAsia="Times New Roman" w:hAnsi="Times New Roman"/>
          <w:sz w:val="24"/>
        </w:rPr>
        <w:t xml:space="preserve">), challenges remain regarding unregulated </w:t>
      </w:r>
      <w:proofErr w:type="spellStart"/>
      <w:r>
        <w:rPr>
          <w:rFonts w:ascii="Times New Roman" w:eastAsia="Times New Roman" w:hAnsi="Times New Roman"/>
          <w:sz w:val="24"/>
        </w:rPr>
        <w:t>herbo</w:t>
      </w:r>
      <w:proofErr w:type="spellEnd"/>
      <w:r>
        <w:rPr>
          <w:rFonts w:ascii="Times New Roman" w:eastAsia="Times New Roman" w:hAnsi="Times New Roman"/>
          <w:sz w:val="24"/>
        </w:rPr>
        <w:t xml:space="preserve">-mineral preparations [8, 9]. </w:t>
      </w:r>
    </w:p>
    <w:p w14:paraId="000DA447" w14:textId="77777777" w:rsidR="009631D7" w:rsidRDefault="00C141E1">
      <w:pPr>
        <w:numPr>
          <w:ilvl w:val="1"/>
          <w:numId w:val="1"/>
        </w:numPr>
        <w:spacing w:after="3" w:line="248" w:lineRule="auto"/>
        <w:ind w:right="4" w:hanging="360"/>
      </w:pPr>
      <w:r>
        <w:rPr>
          <w:rFonts w:ascii="Aptos" w:eastAsia="Aptos" w:hAnsi="Aptos" w:cs="Aptos"/>
          <w:b/>
          <w:sz w:val="24"/>
        </w:rPr>
        <w:t>Toxicology:</w:t>
      </w:r>
      <w:r>
        <w:rPr>
          <w:rFonts w:ascii="Aptos" w:eastAsia="Aptos" w:hAnsi="Aptos" w:cs="Aptos"/>
          <w:sz w:val="24"/>
        </w:rPr>
        <w:t xml:space="preserve"> Improperly processed minerals have been linked to </w:t>
      </w:r>
      <w:proofErr w:type="spellStart"/>
      <w:r>
        <w:rPr>
          <w:rFonts w:ascii="Aptos" w:eastAsia="Aptos" w:hAnsi="Aptos" w:cs="Aptos"/>
          <w:sz w:val="24"/>
        </w:rPr>
        <w:t>subacute</w:t>
      </w:r>
      <w:proofErr w:type="spellEnd"/>
      <w:r>
        <w:rPr>
          <w:rFonts w:ascii="Aptos" w:eastAsia="Aptos" w:hAnsi="Aptos" w:cs="Aptos"/>
          <w:sz w:val="24"/>
        </w:rPr>
        <w:t xml:space="preserve"> neuropathy and elevated mercury levels [9]. </w:t>
      </w:r>
    </w:p>
    <w:p w14:paraId="2663E307" w14:textId="77777777" w:rsidR="009631D7" w:rsidRDefault="00C141E1">
      <w:pPr>
        <w:numPr>
          <w:ilvl w:val="1"/>
          <w:numId w:val="1"/>
        </w:numPr>
        <w:spacing w:after="3" w:line="248" w:lineRule="auto"/>
        <w:ind w:right="4" w:hanging="360"/>
      </w:pPr>
      <w:r>
        <w:rPr>
          <w:rFonts w:ascii="Aptos" w:eastAsia="Aptos" w:hAnsi="Aptos" w:cs="Aptos"/>
          <w:b/>
          <w:sz w:val="24"/>
        </w:rPr>
        <w:t>Standardization:</w:t>
      </w:r>
      <w:r>
        <w:rPr>
          <w:rFonts w:ascii="Aptos" w:eastAsia="Aptos" w:hAnsi="Aptos" w:cs="Aptos"/>
          <w:sz w:val="24"/>
        </w:rPr>
        <w:t xml:space="preserve"> The 2025–2034 WHO strategy and the inclusion of Siddha in </w:t>
      </w:r>
      <w:r>
        <w:rPr>
          <w:rFonts w:ascii="Aptos" w:eastAsia="Aptos" w:hAnsi="Aptos" w:cs="Aptos"/>
          <w:b/>
          <w:sz w:val="24"/>
        </w:rPr>
        <w:t>ICD-</w:t>
      </w:r>
    </w:p>
    <w:p w14:paraId="610955F7" w14:textId="77777777" w:rsidR="009631D7" w:rsidRDefault="00C141E1">
      <w:pPr>
        <w:spacing w:after="58" w:line="248" w:lineRule="auto"/>
        <w:ind w:left="731" w:right="4" w:hanging="10"/>
      </w:pPr>
      <w:r>
        <w:rPr>
          <w:rFonts w:ascii="Aptos" w:eastAsia="Aptos" w:hAnsi="Aptos" w:cs="Aptos"/>
          <w:b/>
          <w:sz w:val="24"/>
        </w:rPr>
        <w:t>11 Chapter 26</w:t>
      </w:r>
      <w:r>
        <w:rPr>
          <w:rFonts w:ascii="Aptos" w:eastAsia="Aptos" w:hAnsi="Aptos" w:cs="Aptos"/>
          <w:sz w:val="24"/>
        </w:rPr>
        <w:t xml:space="preserve"> are critical steps toward dual-coding and global clinical credibility [11]. </w:t>
      </w:r>
    </w:p>
    <w:p w14:paraId="3E33C4B7" w14:textId="77777777" w:rsidR="009631D7" w:rsidRDefault="00C141E1">
      <w:pPr>
        <w:tabs>
          <w:tab w:val="center" w:pos="407"/>
          <w:tab w:val="center" w:pos="721"/>
        </w:tabs>
        <w:spacing w:after="0"/>
      </w:pPr>
      <w:r>
        <w:tab/>
      </w:r>
      <w:r>
        <w:rPr>
          <w:rFonts w:ascii="Segoe UI Symbol" w:eastAsia="Segoe UI Symbol" w:hAnsi="Segoe UI Symbol" w:cs="Segoe UI Symbol"/>
          <w:sz w:val="20"/>
        </w:rPr>
        <w:t>•</w:t>
      </w:r>
      <w:r>
        <w:rPr>
          <w:rFonts w:ascii="Arial" w:eastAsia="Arial" w:hAnsi="Arial" w:cs="Arial"/>
          <w:sz w:val="20"/>
        </w:rPr>
        <w:t xml:space="preserve"> </w:t>
      </w:r>
      <w:r>
        <w:rPr>
          <w:rFonts w:ascii="Arial" w:eastAsia="Arial" w:hAnsi="Arial" w:cs="Arial"/>
          <w:sz w:val="20"/>
        </w:rPr>
        <w:tab/>
      </w:r>
      <w:r>
        <w:rPr>
          <w:rFonts w:ascii="Aptos" w:eastAsia="Aptos" w:hAnsi="Aptos" w:cs="Aptos"/>
          <w:sz w:val="24"/>
        </w:rPr>
        <w:t xml:space="preserve"> </w:t>
      </w:r>
    </w:p>
    <w:p w14:paraId="630E6E1B" w14:textId="77777777" w:rsidR="009631D7" w:rsidRDefault="00C141E1">
      <w:pPr>
        <w:numPr>
          <w:ilvl w:val="1"/>
          <w:numId w:val="1"/>
        </w:numPr>
        <w:spacing w:after="0" w:line="253" w:lineRule="auto"/>
        <w:ind w:right="4" w:hanging="360"/>
      </w:pPr>
      <w:r>
        <w:rPr>
          <w:rFonts w:ascii="Arial" w:eastAsia="Arial" w:hAnsi="Arial" w:cs="Arial"/>
          <w:sz w:val="24"/>
        </w:rPr>
        <w:t xml:space="preserve">Recent </w:t>
      </w:r>
      <w:proofErr w:type="spellStart"/>
      <w:r>
        <w:rPr>
          <w:rFonts w:ascii="Arial" w:eastAsia="Arial" w:hAnsi="Arial" w:cs="Arial"/>
          <w:sz w:val="24"/>
        </w:rPr>
        <w:t>bibliometric</w:t>
      </w:r>
      <w:proofErr w:type="spellEnd"/>
      <w:r>
        <w:rPr>
          <w:rFonts w:ascii="Arial" w:eastAsia="Arial" w:hAnsi="Arial" w:cs="Arial"/>
          <w:sz w:val="24"/>
        </w:rPr>
        <w:t xml:space="preserve"> analyses indicate that academic interest in Siddha is accelerating globally. Between 1972 and 2024, the average annual growth rate of Siddha literature reached 16.67% [12]</w:t>
      </w:r>
      <w:r>
        <w:rPr>
          <w:rFonts w:ascii="Aptos" w:eastAsia="Aptos" w:hAnsi="Aptos" w:cs="Aptos"/>
          <w:sz w:val="24"/>
        </w:rPr>
        <w:t xml:space="preserve"> </w:t>
      </w:r>
    </w:p>
    <w:p w14:paraId="3BA2E28B" w14:textId="77777777" w:rsidR="009631D7" w:rsidRDefault="00C141E1">
      <w:pPr>
        <w:numPr>
          <w:ilvl w:val="1"/>
          <w:numId w:val="1"/>
        </w:numPr>
        <w:spacing w:after="3" w:line="248" w:lineRule="auto"/>
        <w:ind w:right="4" w:hanging="360"/>
      </w:pPr>
      <w:r>
        <w:rPr>
          <w:rFonts w:ascii="Aptos" w:eastAsia="Aptos" w:hAnsi="Aptos" w:cs="Aptos"/>
          <w:sz w:val="24"/>
        </w:rPr>
        <w:t xml:space="preserve">2.1 Publication Surge and Institutional Contributions </w:t>
      </w:r>
    </w:p>
    <w:p w14:paraId="72D9B513" w14:textId="77777777" w:rsidR="009631D7" w:rsidRDefault="00C141E1">
      <w:pPr>
        <w:numPr>
          <w:ilvl w:val="1"/>
          <w:numId w:val="1"/>
        </w:numPr>
        <w:spacing w:after="3" w:line="248" w:lineRule="auto"/>
        <w:ind w:right="4" w:hanging="360"/>
      </w:pPr>
      <w:r>
        <w:rPr>
          <w:rFonts w:ascii="Aptos" w:eastAsia="Aptos" w:hAnsi="Aptos" w:cs="Aptos"/>
          <w:sz w:val="24"/>
        </w:rPr>
        <w:t xml:space="preserve">Temporal Growth: The most significant surge occurred between 2022 and 2024, accounting for 27.34% of all indexed literature [13] </w:t>
      </w:r>
    </w:p>
    <w:p w14:paraId="25049E27" w14:textId="77777777" w:rsidR="009631D7" w:rsidRDefault="00C141E1">
      <w:pPr>
        <w:numPr>
          <w:ilvl w:val="1"/>
          <w:numId w:val="1"/>
        </w:numPr>
        <w:spacing w:after="3" w:line="248" w:lineRule="auto"/>
        <w:ind w:right="4" w:hanging="360"/>
      </w:pPr>
      <w:r>
        <w:rPr>
          <w:rFonts w:ascii="Aptos" w:eastAsia="Aptos" w:hAnsi="Aptos" w:cs="Aptos"/>
          <w:sz w:val="24"/>
        </w:rPr>
        <w:t xml:space="preserve">Geographic Concentration: India remains the primary contributor, producing 88% of all SSM publications [2]. </w:t>
      </w:r>
    </w:p>
    <w:p w14:paraId="3D340892" w14:textId="77777777" w:rsidR="009631D7" w:rsidRDefault="00C141E1">
      <w:pPr>
        <w:numPr>
          <w:ilvl w:val="1"/>
          <w:numId w:val="1"/>
        </w:numPr>
        <w:spacing w:after="3" w:line="248" w:lineRule="auto"/>
        <w:ind w:right="4" w:hanging="360"/>
      </w:pPr>
      <w:r>
        <w:rPr>
          <w:rFonts w:ascii="Aptos" w:eastAsia="Aptos" w:hAnsi="Aptos" w:cs="Aptos"/>
          <w:sz w:val="24"/>
        </w:rPr>
        <w:t xml:space="preserve">Indexing Gaps: Despite the volume of research, only 1.7% of publications originating from dedicated Siddha institutions are indexed in high-impact databases like PubMed [12] </w:t>
      </w:r>
    </w:p>
    <w:p w14:paraId="1039B10B" w14:textId="77777777" w:rsidR="009631D7" w:rsidRDefault="00C141E1">
      <w:pPr>
        <w:numPr>
          <w:ilvl w:val="1"/>
          <w:numId w:val="1"/>
        </w:numPr>
        <w:spacing w:after="3" w:line="248" w:lineRule="auto"/>
        <w:ind w:right="4" w:hanging="360"/>
      </w:pPr>
      <w:r>
        <w:rPr>
          <w:rFonts w:ascii="Aptos" w:eastAsia="Aptos" w:hAnsi="Aptos" w:cs="Aptos"/>
          <w:sz w:val="24"/>
        </w:rPr>
        <w:t xml:space="preserve">Specialized Morbidity: Oncology and Maternal Health </w:t>
      </w:r>
    </w:p>
    <w:p w14:paraId="1049AAF9" w14:textId="77777777" w:rsidR="009631D7" w:rsidRDefault="00C141E1">
      <w:pPr>
        <w:numPr>
          <w:ilvl w:val="1"/>
          <w:numId w:val="1"/>
        </w:numPr>
        <w:spacing w:after="3" w:line="248" w:lineRule="auto"/>
        <w:ind w:right="4" w:hanging="360"/>
      </w:pPr>
      <w:r>
        <w:rPr>
          <w:rFonts w:ascii="Aptos" w:eastAsia="Aptos" w:hAnsi="Aptos" w:cs="Aptos"/>
          <w:sz w:val="24"/>
        </w:rPr>
        <w:t xml:space="preserve">Siddha has recently expanded into specialized outpatient care, particularly in the management of complex NCDs. </w:t>
      </w:r>
    </w:p>
    <w:p w14:paraId="7530B9DE" w14:textId="77777777" w:rsidR="009631D7" w:rsidRDefault="00C141E1">
      <w:pPr>
        <w:numPr>
          <w:ilvl w:val="1"/>
          <w:numId w:val="1"/>
        </w:numPr>
        <w:spacing w:after="3" w:line="248" w:lineRule="auto"/>
        <w:ind w:right="4" w:hanging="360"/>
      </w:pPr>
      <w:r>
        <w:rPr>
          <w:rFonts w:ascii="Aptos" w:eastAsia="Aptos" w:hAnsi="Aptos" w:cs="Aptos"/>
          <w:sz w:val="24"/>
        </w:rPr>
        <w:t xml:space="preserve">4.1 Oncology Morbidity Profile </w:t>
      </w:r>
    </w:p>
    <w:p w14:paraId="69576851" w14:textId="77777777" w:rsidR="009631D7" w:rsidRDefault="00C141E1">
      <w:pPr>
        <w:numPr>
          <w:ilvl w:val="1"/>
          <w:numId w:val="1"/>
        </w:numPr>
        <w:spacing w:after="3" w:line="248" w:lineRule="auto"/>
        <w:ind w:right="4" w:hanging="360"/>
      </w:pPr>
      <w:r>
        <w:rPr>
          <w:rFonts w:ascii="Aptos" w:eastAsia="Aptos" w:hAnsi="Aptos" w:cs="Aptos"/>
          <w:sz w:val="24"/>
        </w:rPr>
        <w:t xml:space="preserve">Retrospective studies from the Siddha Cancer Special Outpatient Department (SCS-OPD) in Chennai highlight the system’s role in palliative care and management after metastasis [14] </w:t>
      </w:r>
    </w:p>
    <w:p w14:paraId="5949D034" w14:textId="77777777" w:rsidR="009631D7" w:rsidRDefault="00C141E1">
      <w:pPr>
        <w:numPr>
          <w:ilvl w:val="1"/>
          <w:numId w:val="1"/>
        </w:numPr>
        <w:spacing w:after="3" w:line="248" w:lineRule="auto"/>
        <w:ind w:right="4" w:hanging="360"/>
      </w:pPr>
      <w:r>
        <w:rPr>
          <w:rFonts w:ascii="Aptos" w:eastAsia="Aptos" w:hAnsi="Aptos" w:cs="Aptos"/>
          <w:sz w:val="24"/>
        </w:rPr>
        <w:t xml:space="preserve">Leading Sites: Breast cancer (21.9%), mouth (9.52%), and lung cancer (9.52%) [14] </w:t>
      </w:r>
    </w:p>
    <w:p w14:paraId="7FC5407D" w14:textId="77777777" w:rsidR="009631D7" w:rsidRDefault="00C141E1">
      <w:pPr>
        <w:numPr>
          <w:ilvl w:val="1"/>
          <w:numId w:val="1"/>
        </w:numPr>
        <w:spacing w:after="3" w:line="248" w:lineRule="auto"/>
        <w:ind w:right="4" w:hanging="360"/>
      </w:pPr>
      <w:r>
        <w:rPr>
          <w:rFonts w:ascii="Aptos" w:eastAsia="Aptos" w:hAnsi="Aptos" w:cs="Aptos"/>
          <w:sz w:val="24"/>
        </w:rPr>
        <w:t xml:space="preserve">Patient Goals: Approximately 24.7% of patients seek Siddha specifically for palliative care [14] </w:t>
      </w:r>
    </w:p>
    <w:p w14:paraId="4D48074D" w14:textId="77777777" w:rsidR="009631D7" w:rsidRDefault="00C141E1">
      <w:pPr>
        <w:numPr>
          <w:ilvl w:val="1"/>
          <w:numId w:val="1"/>
        </w:numPr>
        <w:spacing w:after="3" w:line="248" w:lineRule="auto"/>
        <w:ind w:right="4" w:hanging="360"/>
      </w:pPr>
      <w:r>
        <w:rPr>
          <w:rFonts w:ascii="Aptos" w:eastAsia="Aptos" w:hAnsi="Aptos" w:cs="Aptos"/>
          <w:sz w:val="24"/>
        </w:rPr>
        <w:t xml:space="preserve">4.2 Maternal and Hematological Care </w:t>
      </w:r>
    </w:p>
    <w:p w14:paraId="5F4CF39B" w14:textId="77777777" w:rsidR="009631D7" w:rsidRDefault="00C141E1">
      <w:pPr>
        <w:numPr>
          <w:ilvl w:val="1"/>
          <w:numId w:val="1"/>
        </w:numPr>
        <w:spacing w:after="57" w:line="248" w:lineRule="auto"/>
        <w:ind w:right="4" w:hanging="360"/>
      </w:pPr>
      <w:r>
        <w:rPr>
          <w:rFonts w:ascii="Aptos" w:eastAsia="Aptos" w:hAnsi="Aptos" w:cs="Aptos"/>
          <w:sz w:val="24"/>
        </w:rPr>
        <w:t>Siddha medicinal preparations for anemia (</w:t>
      </w:r>
      <w:proofErr w:type="spellStart"/>
      <w:r>
        <w:rPr>
          <w:rFonts w:ascii="Aptos" w:eastAsia="Aptos" w:hAnsi="Aptos" w:cs="Aptos"/>
          <w:sz w:val="24"/>
        </w:rPr>
        <w:t>Veluppu</w:t>
      </w:r>
      <w:proofErr w:type="spellEnd"/>
      <w:r>
        <w:rPr>
          <w:rFonts w:ascii="Aptos" w:eastAsia="Aptos" w:hAnsi="Aptos" w:cs="Aptos"/>
          <w:sz w:val="24"/>
        </w:rPr>
        <w:t xml:space="preserve"> </w:t>
      </w:r>
      <w:proofErr w:type="spellStart"/>
      <w:r>
        <w:rPr>
          <w:rFonts w:ascii="Aptos" w:eastAsia="Aptos" w:hAnsi="Aptos" w:cs="Aptos"/>
          <w:sz w:val="24"/>
        </w:rPr>
        <w:t>Noi</w:t>
      </w:r>
      <w:proofErr w:type="spellEnd"/>
      <w:r>
        <w:rPr>
          <w:rFonts w:ascii="Aptos" w:eastAsia="Aptos" w:hAnsi="Aptos" w:cs="Aptos"/>
          <w:sz w:val="24"/>
        </w:rPr>
        <w:t>) have been extensively documented. Meta-analyses of pre-clinical trials show significant increases in hemoglobin (</w:t>
      </w:r>
      <w:proofErr w:type="spellStart"/>
      <w:r>
        <w:rPr>
          <w:rFonts w:ascii="Aptos" w:eastAsia="Aptos" w:hAnsi="Aptos" w:cs="Aptos"/>
          <w:sz w:val="24"/>
        </w:rPr>
        <w:t>Hb</w:t>
      </w:r>
      <w:proofErr w:type="spellEnd"/>
      <w:r>
        <w:rPr>
          <w:rFonts w:ascii="Aptos" w:eastAsia="Aptos" w:hAnsi="Aptos" w:cs="Aptos"/>
          <w:sz w:val="24"/>
        </w:rPr>
        <w:t xml:space="preserve">) and total red blood cell counts with formulations like </w:t>
      </w:r>
      <w:proofErr w:type="spellStart"/>
      <w:r>
        <w:rPr>
          <w:rFonts w:ascii="Aptos" w:eastAsia="Aptos" w:hAnsi="Aptos" w:cs="Aptos"/>
          <w:sz w:val="24"/>
        </w:rPr>
        <w:t>Annapavizha</w:t>
      </w:r>
      <w:proofErr w:type="spellEnd"/>
      <w:r>
        <w:rPr>
          <w:rFonts w:ascii="Aptos" w:eastAsia="Aptos" w:hAnsi="Aptos" w:cs="Aptos"/>
          <w:sz w:val="24"/>
        </w:rPr>
        <w:t xml:space="preserve"> </w:t>
      </w:r>
      <w:proofErr w:type="spellStart"/>
      <w:r>
        <w:rPr>
          <w:rFonts w:ascii="Aptos" w:eastAsia="Aptos" w:hAnsi="Aptos" w:cs="Aptos"/>
          <w:sz w:val="24"/>
        </w:rPr>
        <w:t>Chenduram</w:t>
      </w:r>
      <w:proofErr w:type="spellEnd"/>
      <w:r>
        <w:rPr>
          <w:rFonts w:ascii="Aptos" w:eastAsia="Aptos" w:hAnsi="Aptos" w:cs="Aptos"/>
          <w:sz w:val="24"/>
        </w:rPr>
        <w:t xml:space="preserve"> [15] </w:t>
      </w:r>
    </w:p>
    <w:p w14:paraId="262A6AF6" w14:textId="77777777" w:rsidR="009631D7" w:rsidRDefault="00C141E1">
      <w:pPr>
        <w:tabs>
          <w:tab w:val="center" w:pos="407"/>
          <w:tab w:val="center" w:pos="721"/>
        </w:tabs>
        <w:spacing w:after="407"/>
      </w:pPr>
      <w:r>
        <w:tab/>
      </w:r>
      <w:r>
        <w:rPr>
          <w:rFonts w:ascii="Segoe UI Symbol" w:eastAsia="Segoe UI Symbol" w:hAnsi="Segoe UI Symbol" w:cs="Segoe UI Symbol"/>
          <w:sz w:val="20"/>
        </w:rPr>
        <w:t>•</w:t>
      </w:r>
      <w:r>
        <w:rPr>
          <w:rFonts w:ascii="Arial" w:eastAsia="Arial" w:hAnsi="Arial" w:cs="Arial"/>
          <w:sz w:val="20"/>
        </w:rPr>
        <w:t xml:space="preserve"> </w:t>
      </w:r>
      <w:r>
        <w:rPr>
          <w:rFonts w:ascii="Arial" w:eastAsia="Arial" w:hAnsi="Arial" w:cs="Arial"/>
          <w:sz w:val="20"/>
        </w:rPr>
        <w:tab/>
      </w:r>
      <w:r>
        <w:rPr>
          <w:rFonts w:ascii="Aptos" w:eastAsia="Aptos" w:hAnsi="Aptos" w:cs="Aptos"/>
          <w:sz w:val="24"/>
        </w:rPr>
        <w:t xml:space="preserve"> </w:t>
      </w:r>
    </w:p>
    <w:p w14:paraId="44561730" w14:textId="77777777" w:rsidR="009631D7" w:rsidRDefault="00C141E1">
      <w:pPr>
        <w:numPr>
          <w:ilvl w:val="0"/>
          <w:numId w:val="1"/>
        </w:numPr>
        <w:spacing w:after="203" w:line="248" w:lineRule="auto"/>
        <w:ind w:hanging="305"/>
      </w:pPr>
      <w:r>
        <w:rPr>
          <w:rFonts w:ascii="Aptos" w:eastAsia="Aptos" w:hAnsi="Aptos" w:cs="Aptos"/>
          <w:b/>
          <w:color w:val="0070C0"/>
          <w:sz w:val="28"/>
        </w:rPr>
        <w:t>Pediatric Epidemiology</w:t>
      </w:r>
      <w:r>
        <w:rPr>
          <w:rFonts w:ascii="Aptos" w:eastAsia="Aptos" w:hAnsi="Aptos" w:cs="Aptos"/>
          <w:color w:val="0070C0"/>
          <w:sz w:val="32"/>
        </w:rPr>
        <w:t>:</w:t>
      </w:r>
      <w:r>
        <w:rPr>
          <w:rFonts w:ascii="Aptos" w:eastAsia="Aptos" w:hAnsi="Aptos" w:cs="Aptos"/>
          <w:color w:val="0070C0"/>
        </w:rPr>
        <w:t xml:space="preserve"> </w:t>
      </w:r>
      <w:r>
        <w:rPr>
          <w:rFonts w:ascii="Aptos" w:eastAsia="Aptos" w:hAnsi="Aptos" w:cs="Aptos"/>
        </w:rPr>
        <w:t>Focus</w:t>
      </w:r>
      <w:r>
        <w:rPr>
          <w:rFonts w:ascii="Aptos" w:eastAsia="Aptos" w:hAnsi="Aptos" w:cs="Aptos"/>
          <w:sz w:val="24"/>
        </w:rPr>
        <w:t xml:space="preserve"> on Infections and Respiratory Health </w:t>
      </w:r>
    </w:p>
    <w:p w14:paraId="35C472A4" w14:textId="77777777" w:rsidR="009631D7" w:rsidRDefault="00C141E1">
      <w:pPr>
        <w:numPr>
          <w:ilvl w:val="1"/>
          <w:numId w:val="1"/>
        </w:numPr>
        <w:spacing w:after="3" w:line="248" w:lineRule="auto"/>
        <w:ind w:right="4" w:hanging="360"/>
      </w:pPr>
      <w:r>
        <w:rPr>
          <w:rFonts w:ascii="Aptos" w:eastAsia="Aptos" w:hAnsi="Aptos" w:cs="Aptos"/>
          <w:sz w:val="24"/>
        </w:rPr>
        <w:t xml:space="preserve">Utilization patterns in pediatric populations (age \le 15) show a distinct preference for Siddha in treating respiratory and dermatological conditions. </w:t>
      </w:r>
    </w:p>
    <w:p w14:paraId="4C6ECE20" w14:textId="77777777" w:rsidR="009631D7" w:rsidRDefault="00C141E1">
      <w:pPr>
        <w:numPr>
          <w:ilvl w:val="1"/>
          <w:numId w:val="1"/>
        </w:numPr>
        <w:spacing w:after="3" w:line="248" w:lineRule="auto"/>
        <w:ind w:right="4" w:hanging="360"/>
      </w:pPr>
      <w:r>
        <w:rPr>
          <w:rFonts w:ascii="Aptos" w:eastAsia="Aptos" w:hAnsi="Aptos" w:cs="Aptos"/>
          <w:sz w:val="24"/>
        </w:rPr>
        <w:t xml:space="preserve">Top Morbidities: Fungal infections (24.2%), primary complex/respiratory screening (21.6%), and bronchitis (10.1%) [16] </w:t>
      </w:r>
    </w:p>
    <w:p w14:paraId="51E68594" w14:textId="77777777" w:rsidR="009631D7" w:rsidRDefault="00C141E1">
      <w:pPr>
        <w:numPr>
          <w:ilvl w:val="1"/>
          <w:numId w:val="1"/>
        </w:numPr>
        <w:spacing w:after="385" w:line="248" w:lineRule="auto"/>
        <w:ind w:right="4" w:hanging="360"/>
      </w:pPr>
      <w:r>
        <w:rPr>
          <w:rFonts w:ascii="Aptos" w:eastAsia="Aptos" w:hAnsi="Aptos" w:cs="Aptos"/>
          <w:sz w:val="24"/>
        </w:rPr>
        <w:t xml:space="preserve">Clinical Settings: At the Siddha Regional Research Institute (SRRI), respiratory diseases accounted for 52% of all pediatric cases, a trend consistent with general pediatric clinics [16] </w:t>
      </w:r>
    </w:p>
    <w:p w14:paraId="139F6472" w14:textId="77777777" w:rsidR="009631D7" w:rsidRDefault="00C141E1">
      <w:pPr>
        <w:numPr>
          <w:ilvl w:val="0"/>
          <w:numId w:val="1"/>
        </w:numPr>
        <w:spacing w:after="181"/>
        <w:ind w:hanging="305"/>
      </w:pPr>
      <w:r>
        <w:rPr>
          <w:rFonts w:ascii="Aptos" w:eastAsia="Aptos" w:hAnsi="Aptos" w:cs="Aptos"/>
          <w:b/>
          <w:color w:val="0070C0"/>
          <w:sz w:val="28"/>
        </w:rPr>
        <w:t>Epidemiological Impact During Viral Outbreaks</w:t>
      </w:r>
      <w:r>
        <w:rPr>
          <w:rFonts w:ascii="Aptos" w:eastAsia="Aptos" w:hAnsi="Aptos" w:cs="Aptos"/>
          <w:color w:val="4C94D8"/>
          <w:sz w:val="32"/>
        </w:rPr>
        <w:t xml:space="preserve">: </w:t>
      </w:r>
    </w:p>
    <w:p w14:paraId="64DD2F8C" w14:textId="77777777" w:rsidR="009631D7" w:rsidRDefault="00C141E1">
      <w:pPr>
        <w:numPr>
          <w:ilvl w:val="1"/>
          <w:numId w:val="1"/>
        </w:numPr>
        <w:spacing w:after="3" w:line="248" w:lineRule="auto"/>
        <w:ind w:right="4" w:hanging="360"/>
      </w:pPr>
      <w:r>
        <w:rPr>
          <w:rFonts w:ascii="Aptos" w:eastAsia="Aptos" w:hAnsi="Aptos" w:cs="Aptos"/>
          <w:sz w:val="24"/>
        </w:rPr>
        <w:t xml:space="preserve">Siddha medicine played a significant role in managing public health crises in South India, specifically for Dengue and COVID-19. </w:t>
      </w:r>
    </w:p>
    <w:p w14:paraId="1475E84D" w14:textId="77777777" w:rsidR="009631D7" w:rsidRDefault="00C141E1">
      <w:pPr>
        <w:numPr>
          <w:ilvl w:val="1"/>
          <w:numId w:val="1"/>
        </w:numPr>
        <w:spacing w:after="3" w:line="248" w:lineRule="auto"/>
        <w:ind w:right="4" w:hanging="360"/>
      </w:pPr>
      <w:r>
        <w:rPr>
          <w:rFonts w:ascii="Aptos" w:eastAsia="Aptos" w:hAnsi="Aptos" w:cs="Aptos"/>
          <w:sz w:val="24"/>
        </w:rPr>
        <w:t xml:space="preserve">6.1 Prophylactic Efficacy of </w:t>
      </w:r>
      <w:proofErr w:type="spellStart"/>
      <w:r>
        <w:rPr>
          <w:rFonts w:ascii="Aptos" w:eastAsia="Aptos" w:hAnsi="Aptos" w:cs="Aptos"/>
          <w:sz w:val="24"/>
        </w:rPr>
        <w:t>Nilavembu</w:t>
      </w:r>
      <w:proofErr w:type="spellEnd"/>
      <w:r>
        <w:rPr>
          <w:rFonts w:ascii="Aptos" w:eastAsia="Aptos" w:hAnsi="Aptos" w:cs="Aptos"/>
          <w:sz w:val="24"/>
        </w:rPr>
        <w:t xml:space="preserve"> </w:t>
      </w:r>
      <w:proofErr w:type="spellStart"/>
      <w:r>
        <w:rPr>
          <w:rFonts w:ascii="Aptos" w:eastAsia="Aptos" w:hAnsi="Aptos" w:cs="Aptos"/>
          <w:sz w:val="24"/>
        </w:rPr>
        <w:t>Kudineer</w:t>
      </w:r>
      <w:proofErr w:type="spellEnd"/>
      <w:r>
        <w:rPr>
          <w:rFonts w:ascii="Aptos" w:eastAsia="Aptos" w:hAnsi="Aptos" w:cs="Aptos"/>
          <w:sz w:val="24"/>
        </w:rPr>
        <w:t xml:space="preserve"> (NVK) </w:t>
      </w:r>
    </w:p>
    <w:p w14:paraId="0A5D8EAB" w14:textId="77777777" w:rsidR="009631D7" w:rsidRDefault="00C141E1">
      <w:pPr>
        <w:numPr>
          <w:ilvl w:val="1"/>
          <w:numId w:val="1"/>
        </w:numPr>
        <w:spacing w:after="3" w:line="248" w:lineRule="auto"/>
        <w:ind w:right="4" w:hanging="360"/>
      </w:pPr>
      <w:r>
        <w:rPr>
          <w:rFonts w:ascii="Aptos" w:eastAsia="Aptos" w:hAnsi="Aptos" w:cs="Aptos"/>
          <w:sz w:val="24"/>
        </w:rPr>
        <w:t xml:space="preserve">A prospective case-control study demonstrated that regular consumption of NVK (at least five days) resulted in an odds ratio of 0.24 for developing viral fever. This indicates a 76% reduction in risk compared to non-users (Ahmad et al., 2021). </w:t>
      </w:r>
    </w:p>
    <w:p w14:paraId="4236EE8B" w14:textId="77777777" w:rsidR="009631D7" w:rsidRDefault="00C141E1">
      <w:pPr>
        <w:numPr>
          <w:ilvl w:val="1"/>
          <w:numId w:val="1"/>
        </w:numPr>
        <w:spacing w:after="3" w:line="248" w:lineRule="auto"/>
        <w:ind w:right="4" w:hanging="360"/>
      </w:pPr>
      <w:r>
        <w:rPr>
          <w:rFonts w:ascii="Aptos" w:eastAsia="Aptos" w:hAnsi="Aptos" w:cs="Aptos"/>
          <w:sz w:val="24"/>
        </w:rPr>
        <w:t xml:space="preserve">6.2 COVID-19 Response and </w:t>
      </w:r>
      <w:proofErr w:type="spellStart"/>
      <w:r>
        <w:rPr>
          <w:rFonts w:ascii="Aptos" w:eastAsia="Aptos" w:hAnsi="Aptos" w:cs="Aptos"/>
          <w:sz w:val="24"/>
        </w:rPr>
        <w:t>Virologic</w:t>
      </w:r>
      <w:proofErr w:type="spellEnd"/>
      <w:r>
        <w:rPr>
          <w:rFonts w:ascii="Aptos" w:eastAsia="Aptos" w:hAnsi="Aptos" w:cs="Aptos"/>
          <w:sz w:val="24"/>
        </w:rPr>
        <w:t xml:space="preserve"> Clearance </w:t>
      </w:r>
    </w:p>
    <w:p w14:paraId="506A1BB8" w14:textId="77777777" w:rsidR="009631D7" w:rsidRDefault="00C141E1">
      <w:pPr>
        <w:numPr>
          <w:ilvl w:val="1"/>
          <w:numId w:val="1"/>
        </w:numPr>
        <w:spacing w:after="3" w:line="248" w:lineRule="auto"/>
        <w:ind w:right="4" w:hanging="360"/>
      </w:pPr>
      <w:r>
        <w:rPr>
          <w:rFonts w:ascii="Aptos" w:eastAsia="Aptos" w:hAnsi="Aptos" w:cs="Aptos"/>
          <w:sz w:val="24"/>
        </w:rPr>
        <w:t xml:space="preserve">Siddha COVID Care Centers (SCCCs) treated 15,744 patients by June 2021. Research into integrated therapies showed that </w:t>
      </w:r>
      <w:proofErr w:type="spellStart"/>
      <w:r>
        <w:rPr>
          <w:rFonts w:ascii="Aptos" w:eastAsia="Aptos" w:hAnsi="Aptos" w:cs="Aptos"/>
          <w:sz w:val="24"/>
        </w:rPr>
        <w:t>Kabasura</w:t>
      </w:r>
      <w:proofErr w:type="spellEnd"/>
      <w:r>
        <w:rPr>
          <w:rFonts w:ascii="Aptos" w:eastAsia="Aptos" w:hAnsi="Aptos" w:cs="Aptos"/>
          <w:sz w:val="24"/>
        </w:rPr>
        <w:t xml:space="preserve"> </w:t>
      </w:r>
      <w:proofErr w:type="spellStart"/>
      <w:r>
        <w:rPr>
          <w:rFonts w:ascii="Aptos" w:eastAsia="Aptos" w:hAnsi="Aptos" w:cs="Aptos"/>
          <w:sz w:val="24"/>
        </w:rPr>
        <w:t>Kudineer</w:t>
      </w:r>
      <w:proofErr w:type="spellEnd"/>
      <w:r>
        <w:rPr>
          <w:rFonts w:ascii="Aptos" w:eastAsia="Aptos" w:hAnsi="Aptos" w:cs="Aptos"/>
          <w:sz w:val="24"/>
        </w:rPr>
        <w:t xml:space="preserve"> (KSK), when used alongside standard care, significantly reduced viral load: </w:t>
      </w:r>
    </w:p>
    <w:p w14:paraId="11B637CA" w14:textId="77777777" w:rsidR="009631D7" w:rsidRDefault="00C141E1">
      <w:pPr>
        <w:numPr>
          <w:ilvl w:val="1"/>
          <w:numId w:val="1"/>
        </w:numPr>
        <w:spacing w:after="3" w:line="248" w:lineRule="auto"/>
        <w:ind w:right="4" w:hanging="360"/>
      </w:pPr>
      <w:r>
        <w:rPr>
          <w:rFonts w:ascii="Aptos" w:eastAsia="Aptos" w:hAnsi="Aptos" w:cs="Aptos"/>
          <w:sz w:val="24"/>
        </w:rPr>
        <w:t xml:space="preserve">74% </w:t>
      </w:r>
      <w:proofErr w:type="spellStart"/>
      <w:r>
        <w:rPr>
          <w:rFonts w:ascii="Aptos" w:eastAsia="Aptos" w:hAnsi="Aptos" w:cs="Aptos"/>
          <w:sz w:val="24"/>
        </w:rPr>
        <w:t>virologic</w:t>
      </w:r>
      <w:proofErr w:type="spellEnd"/>
      <w:r>
        <w:rPr>
          <w:rFonts w:ascii="Aptos" w:eastAsia="Aptos" w:hAnsi="Aptos" w:cs="Aptos"/>
          <w:sz w:val="24"/>
        </w:rPr>
        <w:t xml:space="preserve"> clearance in asymptomatic patients within 4–7 days (Natarajan et al., 2021). </w:t>
      </w:r>
    </w:p>
    <w:p w14:paraId="168700F9" w14:textId="77777777" w:rsidR="009631D7" w:rsidRDefault="00C141E1">
      <w:pPr>
        <w:numPr>
          <w:ilvl w:val="1"/>
          <w:numId w:val="1"/>
        </w:numPr>
        <w:spacing w:after="314" w:line="248" w:lineRule="auto"/>
        <w:ind w:right="4" w:hanging="360"/>
      </w:pPr>
      <w:r>
        <w:rPr>
          <w:rFonts w:ascii="Aptos" w:eastAsia="Aptos" w:hAnsi="Aptos" w:cs="Aptos"/>
          <w:sz w:val="24"/>
        </w:rPr>
        <w:t xml:space="preserve">65% </w:t>
      </w:r>
      <w:proofErr w:type="spellStart"/>
      <w:r>
        <w:rPr>
          <w:rFonts w:ascii="Aptos" w:eastAsia="Aptos" w:hAnsi="Aptos" w:cs="Aptos"/>
          <w:sz w:val="24"/>
        </w:rPr>
        <w:t>virologic</w:t>
      </w:r>
      <w:proofErr w:type="spellEnd"/>
      <w:r>
        <w:rPr>
          <w:rFonts w:ascii="Aptos" w:eastAsia="Aptos" w:hAnsi="Aptos" w:cs="Aptos"/>
          <w:sz w:val="24"/>
        </w:rPr>
        <w:t xml:space="preserve"> clearance in mild symptomatic patients within the same timeframe (Natarajan et al., 2021). </w:t>
      </w:r>
    </w:p>
    <w:p w14:paraId="543D19F6" w14:textId="77777777" w:rsidR="009631D7" w:rsidRDefault="00C141E1">
      <w:pPr>
        <w:numPr>
          <w:ilvl w:val="0"/>
          <w:numId w:val="1"/>
        </w:numPr>
        <w:spacing w:after="212"/>
        <w:ind w:hanging="305"/>
      </w:pPr>
      <w:r>
        <w:rPr>
          <w:rFonts w:ascii="Aptos" w:eastAsia="Aptos" w:hAnsi="Aptos" w:cs="Aptos"/>
          <w:b/>
          <w:color w:val="0070C0"/>
          <w:sz w:val="28"/>
        </w:rPr>
        <w:t xml:space="preserve">Consumer Behavior: Socio-Demographic Patterns: </w:t>
      </w:r>
    </w:p>
    <w:p w14:paraId="4719D379" w14:textId="77777777" w:rsidR="009631D7" w:rsidRDefault="00C141E1">
      <w:pPr>
        <w:numPr>
          <w:ilvl w:val="1"/>
          <w:numId w:val="1"/>
        </w:numPr>
        <w:spacing w:after="3" w:line="248" w:lineRule="auto"/>
        <w:ind w:right="4" w:hanging="360"/>
      </w:pPr>
      <w:r>
        <w:rPr>
          <w:rFonts w:ascii="Aptos" w:eastAsia="Aptos" w:hAnsi="Aptos" w:cs="Aptos"/>
          <w:sz w:val="24"/>
        </w:rPr>
        <w:t xml:space="preserve">There has been a notable shift from rural traditional use to urban adoption. </w:t>
      </w:r>
    </w:p>
    <w:p w14:paraId="44D2B262" w14:textId="77777777" w:rsidR="009631D7" w:rsidRDefault="00C141E1">
      <w:pPr>
        <w:numPr>
          <w:ilvl w:val="1"/>
          <w:numId w:val="1"/>
        </w:numPr>
        <w:spacing w:after="3" w:line="248" w:lineRule="auto"/>
        <w:ind w:right="4" w:hanging="360"/>
      </w:pPr>
      <w:r>
        <w:rPr>
          <w:rFonts w:ascii="Aptos" w:eastAsia="Aptos" w:hAnsi="Aptos" w:cs="Aptos"/>
          <w:sz w:val="24"/>
        </w:rPr>
        <w:t xml:space="preserve">7.1 Predictors of Utilization </w:t>
      </w:r>
    </w:p>
    <w:p w14:paraId="621222E1" w14:textId="77777777" w:rsidR="009631D7" w:rsidRDefault="00C141E1">
      <w:pPr>
        <w:numPr>
          <w:ilvl w:val="1"/>
          <w:numId w:val="1"/>
        </w:numPr>
        <w:spacing w:after="3" w:line="248" w:lineRule="auto"/>
        <w:ind w:right="4" w:hanging="360"/>
      </w:pPr>
      <w:r>
        <w:rPr>
          <w:rFonts w:ascii="Aptos" w:eastAsia="Aptos" w:hAnsi="Aptos" w:cs="Aptos"/>
          <w:sz w:val="24"/>
        </w:rPr>
        <w:t xml:space="preserve">According to the 2022-23 National Sample Survey (NSSO) data, awareness is the single most influential factor in choosing Siddha/AYUSH treatments: </w:t>
      </w:r>
    </w:p>
    <w:p w14:paraId="6CD1044D" w14:textId="77777777" w:rsidR="009631D7" w:rsidRDefault="00C141E1">
      <w:pPr>
        <w:numPr>
          <w:ilvl w:val="1"/>
          <w:numId w:val="1"/>
        </w:numPr>
        <w:spacing w:after="3" w:line="248" w:lineRule="auto"/>
        <w:ind w:right="4" w:hanging="360"/>
      </w:pPr>
      <w:r>
        <w:rPr>
          <w:rFonts w:ascii="Aptos" w:eastAsia="Aptos" w:hAnsi="Aptos" w:cs="Aptos"/>
          <w:sz w:val="24"/>
        </w:rPr>
        <w:t xml:space="preserve">Awareness Impact: Strongest predictor of usage with an odds ratio of 24.17 [17] </w:t>
      </w:r>
    </w:p>
    <w:p w14:paraId="299EF3C3" w14:textId="77777777" w:rsidR="009631D7" w:rsidRDefault="00C141E1">
      <w:pPr>
        <w:numPr>
          <w:ilvl w:val="1"/>
          <w:numId w:val="1"/>
        </w:numPr>
        <w:spacing w:after="3" w:line="248" w:lineRule="auto"/>
        <w:ind w:right="4" w:hanging="360"/>
      </w:pPr>
      <w:r>
        <w:rPr>
          <w:rFonts w:ascii="Aptos" w:eastAsia="Aptos" w:hAnsi="Aptos" w:cs="Aptos"/>
          <w:sz w:val="24"/>
        </w:rPr>
        <w:t xml:space="preserve">Urban Shift: Usage is highest among educated, middle-aged urban residents (mean age 48.5 years) [2]. </w:t>
      </w:r>
    </w:p>
    <w:p w14:paraId="51FA47FF" w14:textId="77777777" w:rsidR="009631D7" w:rsidRDefault="00C141E1">
      <w:pPr>
        <w:numPr>
          <w:ilvl w:val="1"/>
          <w:numId w:val="1"/>
        </w:numPr>
        <w:spacing w:after="314" w:line="248" w:lineRule="auto"/>
        <w:ind w:right="4" w:hanging="360"/>
      </w:pPr>
      <w:r>
        <w:rPr>
          <w:rFonts w:ascii="Aptos" w:eastAsia="Aptos" w:hAnsi="Aptos" w:cs="Aptos"/>
          <w:sz w:val="24"/>
        </w:rPr>
        <w:t xml:space="preserve">Switching Trends: In cities like Coimbatore, 34.5% of users transitioned from allopathy to Siddha, primarily due to perceived safety or dissatisfaction with modern medicine [16] </w:t>
      </w:r>
    </w:p>
    <w:p w14:paraId="09A8D868" w14:textId="77777777" w:rsidR="009631D7" w:rsidRDefault="00C141E1">
      <w:pPr>
        <w:numPr>
          <w:ilvl w:val="0"/>
          <w:numId w:val="1"/>
        </w:numPr>
        <w:spacing w:after="212"/>
        <w:ind w:hanging="305"/>
      </w:pPr>
      <w:r>
        <w:rPr>
          <w:rFonts w:ascii="Aptos" w:eastAsia="Aptos" w:hAnsi="Aptos" w:cs="Aptos"/>
          <w:b/>
          <w:color w:val="0070C0"/>
          <w:sz w:val="28"/>
        </w:rPr>
        <w:t>Pharmacovigilance: Safety and Toxicological Risks</w:t>
      </w:r>
      <w:r>
        <w:rPr>
          <w:rFonts w:ascii="Aptos" w:eastAsia="Aptos" w:hAnsi="Aptos" w:cs="Aptos"/>
          <w:b/>
          <w:color w:val="45B0E1"/>
          <w:sz w:val="28"/>
        </w:rPr>
        <w:t xml:space="preserve">: </w:t>
      </w:r>
    </w:p>
    <w:p w14:paraId="2D82CE4C" w14:textId="77777777" w:rsidR="009631D7" w:rsidRDefault="00C141E1">
      <w:pPr>
        <w:spacing w:after="273" w:line="248" w:lineRule="auto"/>
        <w:ind w:left="10" w:right="4" w:hanging="10"/>
      </w:pPr>
      <w:r>
        <w:rPr>
          <w:rFonts w:ascii="Aptos" w:eastAsia="Aptos" w:hAnsi="Aptos" w:cs="Aptos"/>
          <w:sz w:val="24"/>
        </w:rPr>
        <w:t xml:space="preserve">A critical challenge for the system is the “natural is safe” misconception, which can lead to unsupervised use of potent </w:t>
      </w:r>
      <w:proofErr w:type="spellStart"/>
      <w:r>
        <w:rPr>
          <w:rFonts w:ascii="Aptos" w:eastAsia="Aptos" w:hAnsi="Aptos" w:cs="Aptos"/>
          <w:sz w:val="24"/>
        </w:rPr>
        <w:t>herbo</w:t>
      </w:r>
      <w:proofErr w:type="spellEnd"/>
      <w:r>
        <w:rPr>
          <w:rFonts w:ascii="Aptos" w:eastAsia="Aptos" w:hAnsi="Aptos" w:cs="Aptos"/>
          <w:sz w:val="24"/>
        </w:rPr>
        <w:t xml:space="preserve">-mineral preparations. </w:t>
      </w:r>
    </w:p>
    <w:p w14:paraId="0E30FC26" w14:textId="77777777" w:rsidR="009631D7" w:rsidRDefault="00C141E1">
      <w:pPr>
        <w:spacing w:after="264" w:line="248" w:lineRule="auto"/>
        <w:ind w:left="10" w:right="4" w:hanging="10"/>
      </w:pPr>
      <w:r>
        <w:rPr>
          <w:rFonts w:ascii="Aptos" w:eastAsia="Aptos" w:hAnsi="Aptos" w:cs="Aptos"/>
          <w:sz w:val="24"/>
        </w:rPr>
        <w:t xml:space="preserve">7.1 Heavy Metal Toxicity Concerns </w:t>
      </w:r>
    </w:p>
    <w:p w14:paraId="0845FCAC" w14:textId="77777777" w:rsidR="009631D7" w:rsidRDefault="00C141E1">
      <w:pPr>
        <w:spacing w:after="274" w:line="248" w:lineRule="auto"/>
        <w:ind w:left="10" w:right="4" w:hanging="10"/>
      </w:pPr>
      <w:r>
        <w:rPr>
          <w:rFonts w:ascii="Aptos" w:eastAsia="Aptos" w:hAnsi="Aptos" w:cs="Aptos"/>
          <w:sz w:val="24"/>
        </w:rPr>
        <w:t xml:space="preserve">Improperly prepared mineral-based medicines have been linked to heavy metal toxicity. A study in Coimbatore identified 32 patients who developed </w:t>
      </w:r>
      <w:proofErr w:type="spellStart"/>
      <w:r>
        <w:rPr>
          <w:rFonts w:ascii="Aptos" w:eastAsia="Aptos" w:hAnsi="Aptos" w:cs="Aptos"/>
          <w:sz w:val="24"/>
        </w:rPr>
        <w:t>subacute</w:t>
      </w:r>
      <w:proofErr w:type="spellEnd"/>
      <w:r>
        <w:rPr>
          <w:rFonts w:ascii="Aptos" w:eastAsia="Aptos" w:hAnsi="Aptos" w:cs="Aptos"/>
          <w:sz w:val="24"/>
        </w:rPr>
        <w:t xml:space="preserve"> neuropathy following exposure to unauthorized medicines; all subjects showed high blood mercury levels [22] </w:t>
      </w:r>
    </w:p>
    <w:p w14:paraId="7FFB152B" w14:textId="77777777" w:rsidR="009631D7" w:rsidRDefault="00C141E1">
      <w:pPr>
        <w:spacing w:after="265" w:line="248" w:lineRule="auto"/>
        <w:ind w:left="10" w:right="4" w:hanging="10"/>
      </w:pPr>
      <w:r>
        <w:rPr>
          <w:rFonts w:ascii="Aptos" w:eastAsia="Aptos" w:hAnsi="Aptos" w:cs="Aptos"/>
          <w:sz w:val="24"/>
        </w:rPr>
        <w:t xml:space="preserve">7.2 Reporting and Regulatory Gaps </w:t>
      </w:r>
    </w:p>
    <w:p w14:paraId="5E6805C9" w14:textId="77777777" w:rsidR="009631D7" w:rsidRDefault="00C141E1">
      <w:pPr>
        <w:spacing w:after="3" w:line="248" w:lineRule="auto"/>
        <w:ind w:left="10" w:right="4" w:hanging="10"/>
      </w:pPr>
      <w:r>
        <w:rPr>
          <w:rFonts w:ascii="Aptos" w:eastAsia="Aptos" w:hAnsi="Aptos" w:cs="Aptos"/>
          <w:sz w:val="24"/>
        </w:rPr>
        <w:t xml:space="preserve">Underreporting: The “biggest issue” in India is the underreporting of adverse drug reactions </w:t>
      </w:r>
    </w:p>
    <w:p w14:paraId="57B2D0E7" w14:textId="77777777" w:rsidR="009631D7" w:rsidRDefault="00C141E1">
      <w:pPr>
        <w:spacing w:after="264" w:line="248" w:lineRule="auto"/>
        <w:ind w:left="10" w:right="4" w:hanging="10"/>
      </w:pPr>
      <w:r>
        <w:rPr>
          <w:rFonts w:ascii="Aptos" w:eastAsia="Aptos" w:hAnsi="Aptos" w:cs="Aptos"/>
          <w:sz w:val="24"/>
        </w:rPr>
        <w:t xml:space="preserve">(ADRs), as patients often fail to disclose traditional medicine use to allopathic doctors  </w:t>
      </w:r>
    </w:p>
    <w:p w14:paraId="02050271" w14:textId="77777777" w:rsidR="009631D7" w:rsidRDefault="00C141E1">
      <w:pPr>
        <w:spacing w:after="315" w:line="242" w:lineRule="auto"/>
        <w:ind w:right="280"/>
        <w:jc w:val="both"/>
      </w:pPr>
      <w:r>
        <w:rPr>
          <w:rFonts w:ascii="Aptos" w:eastAsia="Aptos" w:hAnsi="Aptos" w:cs="Aptos"/>
          <w:sz w:val="24"/>
        </w:rPr>
        <w:t xml:space="preserve">Market Compliance: Recent regulatory assessments highlight significant gaps in compliance; for instance, a study of identified herbal products found that 46.5% lacked formal registration certification, and 42.5% provided no information on contraindications ([20] </w:t>
      </w:r>
    </w:p>
    <w:p w14:paraId="153B5855" w14:textId="77777777" w:rsidR="009631D7" w:rsidRDefault="00C141E1">
      <w:pPr>
        <w:numPr>
          <w:ilvl w:val="0"/>
          <w:numId w:val="2"/>
        </w:numPr>
        <w:spacing w:after="212"/>
        <w:ind w:hanging="290"/>
      </w:pPr>
      <w:r>
        <w:rPr>
          <w:rFonts w:ascii="Aptos" w:eastAsia="Aptos" w:hAnsi="Aptos" w:cs="Aptos"/>
          <w:b/>
          <w:color w:val="0070C0"/>
          <w:sz w:val="28"/>
        </w:rPr>
        <w:t xml:space="preserve">The “one health” perspective: Veterinary Siddha Medicine: </w:t>
      </w:r>
      <w:r>
        <w:rPr>
          <w:rFonts w:ascii="Aptos" w:eastAsia="Aptos" w:hAnsi="Aptos" w:cs="Aptos"/>
          <w:b/>
          <w:color w:val="0070C0"/>
          <w:sz w:val="28"/>
        </w:rPr>
        <w:tab/>
        <w:t xml:space="preserve"> </w:t>
      </w:r>
    </w:p>
    <w:p w14:paraId="20B87FF6" w14:textId="77777777" w:rsidR="009631D7" w:rsidRDefault="00C141E1">
      <w:pPr>
        <w:spacing w:after="269" w:line="248" w:lineRule="auto"/>
        <w:ind w:left="10" w:right="4" w:hanging="10"/>
      </w:pPr>
      <w:r>
        <w:rPr>
          <w:rFonts w:ascii="Aptos" w:eastAsia="Aptos" w:hAnsi="Aptos" w:cs="Aptos"/>
          <w:sz w:val="24"/>
        </w:rPr>
        <w:t xml:space="preserve">The application of Siddha in animal care, known as </w:t>
      </w:r>
      <w:proofErr w:type="spellStart"/>
      <w:r>
        <w:rPr>
          <w:rFonts w:ascii="Aptos" w:eastAsia="Aptos" w:hAnsi="Aptos" w:cs="Aptos"/>
          <w:sz w:val="24"/>
        </w:rPr>
        <w:t>Mattu</w:t>
      </w:r>
      <w:proofErr w:type="spellEnd"/>
      <w:r>
        <w:rPr>
          <w:rFonts w:ascii="Aptos" w:eastAsia="Aptos" w:hAnsi="Aptos" w:cs="Aptos"/>
          <w:sz w:val="24"/>
        </w:rPr>
        <w:t xml:space="preserve"> </w:t>
      </w:r>
      <w:proofErr w:type="spellStart"/>
      <w:r>
        <w:rPr>
          <w:rFonts w:ascii="Aptos" w:eastAsia="Aptos" w:hAnsi="Aptos" w:cs="Aptos"/>
          <w:sz w:val="24"/>
        </w:rPr>
        <w:t>Vagadam</w:t>
      </w:r>
      <w:proofErr w:type="spellEnd"/>
      <w:r>
        <w:rPr>
          <w:rFonts w:ascii="Aptos" w:eastAsia="Aptos" w:hAnsi="Aptos" w:cs="Aptos"/>
          <w:sz w:val="24"/>
        </w:rPr>
        <w:t xml:space="preserve">, is gaining momentum to reduce antibiotic residues in the food chain. </w:t>
      </w:r>
    </w:p>
    <w:p w14:paraId="6111CAFE" w14:textId="77777777" w:rsidR="009631D7" w:rsidRDefault="00C141E1">
      <w:pPr>
        <w:spacing w:after="268" w:line="248" w:lineRule="auto"/>
        <w:ind w:left="10" w:right="4" w:hanging="10"/>
      </w:pPr>
      <w:r>
        <w:rPr>
          <w:rFonts w:ascii="Aptos" w:eastAsia="Aptos" w:hAnsi="Aptos" w:cs="Aptos"/>
          <w:sz w:val="24"/>
        </w:rPr>
        <w:t xml:space="preserve">Veterinarian Acceptance: A survey found 64% of veterinarians in Tamil Nadu have utilized Siddha treatments, with an 88.5% satisfaction rate (21)] </w:t>
      </w:r>
    </w:p>
    <w:p w14:paraId="02A56F2F" w14:textId="77777777" w:rsidR="009631D7" w:rsidRDefault="00C141E1">
      <w:pPr>
        <w:spacing w:after="310" w:line="248" w:lineRule="auto"/>
        <w:ind w:left="10" w:right="4" w:hanging="10"/>
      </w:pPr>
      <w:r>
        <w:rPr>
          <w:rFonts w:ascii="Aptos" w:eastAsia="Aptos" w:hAnsi="Aptos" w:cs="Aptos"/>
          <w:sz w:val="24"/>
        </w:rPr>
        <w:t xml:space="preserve">Common Applications: Primarily used for dermatitis, mastitis, and viral enteritis. </w:t>
      </w:r>
    </w:p>
    <w:p w14:paraId="1FA709AF" w14:textId="77777777" w:rsidR="009631D7" w:rsidRDefault="00C141E1">
      <w:pPr>
        <w:numPr>
          <w:ilvl w:val="0"/>
          <w:numId w:val="2"/>
        </w:numPr>
        <w:spacing w:after="212"/>
        <w:ind w:hanging="290"/>
      </w:pPr>
      <w:r>
        <w:rPr>
          <w:rFonts w:ascii="Aptos" w:eastAsia="Aptos" w:hAnsi="Aptos" w:cs="Aptos"/>
          <w:b/>
          <w:color w:val="0070C0"/>
          <w:sz w:val="28"/>
        </w:rPr>
        <w:t>Global Policy and Policy Integration (2025–2034)</w:t>
      </w:r>
      <w:r>
        <w:rPr>
          <w:rFonts w:ascii="Aptos" w:eastAsia="Aptos" w:hAnsi="Aptos" w:cs="Aptos"/>
          <w:b/>
          <w:color w:val="45B0E1"/>
          <w:sz w:val="28"/>
        </w:rPr>
        <w:t xml:space="preserve"> </w:t>
      </w:r>
    </w:p>
    <w:p w14:paraId="662B4D79" w14:textId="77777777" w:rsidR="009631D7" w:rsidRDefault="00C141E1">
      <w:pPr>
        <w:spacing w:after="268" w:line="248" w:lineRule="auto"/>
        <w:ind w:left="10" w:right="4" w:hanging="10"/>
      </w:pPr>
      <w:r>
        <w:rPr>
          <w:rFonts w:ascii="Aptos" w:eastAsia="Aptos" w:hAnsi="Aptos" w:cs="Aptos"/>
          <w:sz w:val="24"/>
        </w:rPr>
        <w:t xml:space="preserve">The WHO’s Global Traditional Medicine Strategy (2025–2034) emphasizes the need for routine data collection (International Statistical Classification, 2025). </w:t>
      </w:r>
    </w:p>
    <w:p w14:paraId="26481611" w14:textId="77777777" w:rsidR="009631D7" w:rsidRDefault="00C141E1">
      <w:pPr>
        <w:spacing w:after="268" w:line="248" w:lineRule="auto"/>
        <w:ind w:left="10" w:right="4" w:hanging="10"/>
      </w:pPr>
      <w:r>
        <w:rPr>
          <w:rFonts w:ascii="Aptos" w:eastAsia="Aptos" w:hAnsi="Aptos" w:cs="Aptos"/>
          <w:sz w:val="24"/>
        </w:rPr>
        <w:t xml:space="preserve">ICD-11 Implementation: The inclusion of traditional medicine in Chapter 26 of ICD-11 allows for dual-coding of Siddha diagnoses, facilitating better tracking of service volume and safety signals (International Statistical Classification, 2025). </w:t>
      </w:r>
    </w:p>
    <w:p w14:paraId="36834E5D" w14:textId="77777777" w:rsidR="009631D7" w:rsidRDefault="00C141E1">
      <w:pPr>
        <w:spacing w:after="314" w:line="248" w:lineRule="auto"/>
        <w:ind w:left="10" w:right="4" w:hanging="10"/>
      </w:pPr>
      <w:r>
        <w:rPr>
          <w:rFonts w:ascii="Aptos" w:eastAsia="Aptos" w:hAnsi="Aptos" w:cs="Aptos"/>
          <w:sz w:val="24"/>
        </w:rPr>
        <w:t xml:space="preserve">2025 </w:t>
      </w:r>
      <w:proofErr w:type="spellStart"/>
      <w:r>
        <w:rPr>
          <w:rFonts w:ascii="Aptos" w:eastAsia="Aptos" w:hAnsi="Aptos" w:cs="Aptos"/>
          <w:sz w:val="24"/>
        </w:rPr>
        <w:t>MoU</w:t>
      </w:r>
      <w:proofErr w:type="spellEnd"/>
      <w:r>
        <w:rPr>
          <w:rFonts w:ascii="Aptos" w:eastAsia="Aptos" w:hAnsi="Aptos" w:cs="Aptos"/>
          <w:sz w:val="24"/>
        </w:rPr>
        <w:t xml:space="preserve">: In July 2025, the National Institute of Siddha and the Tamil Nadu Directorate of Public Health signed a Memorandum of Understanding to strengthen field-level trials and promote integrative healthcare state-wide. </w:t>
      </w:r>
    </w:p>
    <w:p w14:paraId="66620480" w14:textId="77777777" w:rsidR="009631D7" w:rsidRDefault="00C141E1">
      <w:pPr>
        <w:spacing w:after="212"/>
        <w:ind w:left="-5" w:hanging="10"/>
      </w:pPr>
      <w:r>
        <w:rPr>
          <w:rFonts w:ascii="Aptos" w:eastAsia="Aptos" w:hAnsi="Aptos" w:cs="Aptos"/>
          <w:b/>
          <w:color w:val="0070C0"/>
          <w:sz w:val="28"/>
        </w:rPr>
        <w:t xml:space="preserve">10. Conclusion: </w:t>
      </w:r>
    </w:p>
    <w:p w14:paraId="59537D9D" w14:textId="77777777" w:rsidR="009631D7" w:rsidRDefault="00C141E1">
      <w:pPr>
        <w:spacing w:after="274" w:line="248" w:lineRule="auto"/>
        <w:ind w:left="10" w:right="4" w:hanging="10"/>
      </w:pPr>
      <w:r>
        <w:rPr>
          <w:rFonts w:ascii="Aptos" w:eastAsia="Aptos" w:hAnsi="Aptos" w:cs="Aptos"/>
          <w:sz w:val="24"/>
        </w:rPr>
        <w:t xml:space="preserve">Siddha medicine is a vital component of the public health firmament in South India, offering potential for managing chronic inflammatory conditions and viral epidemics. However, its global integration is hampered by a lack of standardization and low-quality scientific evidence. Future efforts must focus on high-quality clinical research, rigorous pharmacovigilance, and the formal adoption of global diagnostic coding frameworks like ICD-11 to ensure safety and clinical credibility. </w:t>
      </w:r>
    </w:p>
    <w:p w14:paraId="7306C513" w14:textId="77777777" w:rsidR="009631D7" w:rsidRDefault="00C141E1">
      <w:pPr>
        <w:spacing w:after="299"/>
      </w:pPr>
      <w:r>
        <w:rPr>
          <w:rFonts w:ascii="Aptos" w:eastAsia="Aptos" w:hAnsi="Aptos" w:cs="Aptos"/>
          <w:sz w:val="24"/>
        </w:rPr>
        <w:t xml:space="preserve"> </w:t>
      </w:r>
    </w:p>
    <w:p w14:paraId="65C37052" w14:textId="77777777" w:rsidR="009631D7" w:rsidRDefault="00C141E1">
      <w:pPr>
        <w:pStyle w:val="Heading2"/>
        <w:ind w:left="-5"/>
      </w:pPr>
      <w:r>
        <w:t>References</w:t>
      </w:r>
      <w:r>
        <w:rPr>
          <w:b w:val="0"/>
        </w:rPr>
        <w:t xml:space="preserve"> </w:t>
      </w:r>
    </w:p>
    <w:p w14:paraId="15B8F4C0" w14:textId="77777777" w:rsidR="009631D7" w:rsidRDefault="00C141E1">
      <w:pPr>
        <w:numPr>
          <w:ilvl w:val="0"/>
          <w:numId w:val="3"/>
        </w:numPr>
        <w:spacing w:after="282" w:line="238" w:lineRule="auto"/>
        <w:ind w:hanging="10"/>
      </w:pPr>
      <w:proofErr w:type="spellStart"/>
      <w:r>
        <w:rPr>
          <w:rFonts w:ascii="Times New Roman" w:eastAsia="Times New Roman" w:hAnsi="Times New Roman"/>
          <w:b/>
          <w:sz w:val="24"/>
        </w:rPr>
        <w:t>Kanakavalli</w:t>
      </w:r>
      <w:proofErr w:type="spellEnd"/>
      <w:r>
        <w:rPr>
          <w:rFonts w:ascii="Times New Roman" w:eastAsia="Times New Roman" w:hAnsi="Times New Roman"/>
          <w:b/>
          <w:sz w:val="24"/>
        </w:rPr>
        <w:t>, K., et al.</w:t>
      </w:r>
      <w:r>
        <w:rPr>
          <w:rFonts w:ascii="Times New Roman" w:eastAsia="Times New Roman" w:hAnsi="Times New Roman"/>
          <w:sz w:val="24"/>
        </w:rPr>
        <w:t xml:space="preserve"> (2021). </w:t>
      </w:r>
      <w:r>
        <w:rPr>
          <w:rFonts w:ascii="Times New Roman" w:eastAsia="Times New Roman" w:hAnsi="Times New Roman"/>
          <w:i/>
          <w:sz w:val="24"/>
        </w:rPr>
        <w:t>Siddha System of Medicine: A Historical Perspective and its Fundamental Principles.</w:t>
      </w:r>
      <w:r>
        <w:rPr>
          <w:rFonts w:ascii="Times New Roman" w:eastAsia="Times New Roman" w:hAnsi="Times New Roman"/>
          <w:sz w:val="24"/>
        </w:rPr>
        <w:t xml:space="preserve"> Journal of ISRA, 12(2), 45-52. </w:t>
      </w:r>
    </w:p>
    <w:p w14:paraId="73921FFF" w14:textId="77777777" w:rsidR="009631D7" w:rsidRDefault="00C141E1">
      <w:pPr>
        <w:numPr>
          <w:ilvl w:val="0"/>
          <w:numId w:val="3"/>
        </w:numPr>
        <w:spacing w:after="282" w:line="238" w:lineRule="auto"/>
        <w:ind w:hanging="10"/>
      </w:pPr>
      <w:proofErr w:type="spellStart"/>
      <w:r>
        <w:rPr>
          <w:rFonts w:ascii="Times New Roman" w:eastAsia="Times New Roman" w:hAnsi="Times New Roman"/>
          <w:b/>
          <w:sz w:val="24"/>
        </w:rPr>
        <w:t>Sathish</w:t>
      </w:r>
      <w:proofErr w:type="spellEnd"/>
      <w:r>
        <w:rPr>
          <w:rFonts w:ascii="Times New Roman" w:eastAsia="Times New Roman" w:hAnsi="Times New Roman"/>
          <w:b/>
          <w:sz w:val="24"/>
        </w:rPr>
        <w:t>, K., et al.</w:t>
      </w:r>
      <w:r>
        <w:rPr>
          <w:rFonts w:ascii="Times New Roman" w:eastAsia="Times New Roman" w:hAnsi="Times New Roman"/>
          <w:sz w:val="24"/>
        </w:rPr>
        <w:t xml:space="preserve"> (2024). </w:t>
      </w:r>
      <w:proofErr w:type="spellStart"/>
      <w:r>
        <w:rPr>
          <w:rFonts w:ascii="Times New Roman" w:eastAsia="Times New Roman" w:hAnsi="Times New Roman"/>
          <w:i/>
          <w:sz w:val="24"/>
        </w:rPr>
        <w:t>Scientometric</w:t>
      </w:r>
      <w:proofErr w:type="spellEnd"/>
      <w:r>
        <w:rPr>
          <w:rFonts w:ascii="Times New Roman" w:eastAsia="Times New Roman" w:hAnsi="Times New Roman"/>
          <w:i/>
          <w:sz w:val="24"/>
        </w:rPr>
        <w:t xml:space="preserve"> Analysis of Siddha Medicinal Research (1972– 2024): Global Trends and Institutional Contributions.</w:t>
      </w:r>
      <w:r>
        <w:rPr>
          <w:rFonts w:ascii="Times New Roman" w:eastAsia="Times New Roman" w:hAnsi="Times New Roman"/>
          <w:sz w:val="24"/>
        </w:rPr>
        <w:t xml:space="preserve"> International Journal of </w:t>
      </w:r>
      <w:proofErr w:type="spellStart"/>
      <w:r>
        <w:rPr>
          <w:rFonts w:ascii="Times New Roman" w:eastAsia="Times New Roman" w:hAnsi="Times New Roman"/>
          <w:sz w:val="24"/>
        </w:rPr>
        <w:t>Ayush</w:t>
      </w:r>
      <w:proofErr w:type="spellEnd"/>
      <w:r>
        <w:rPr>
          <w:rFonts w:ascii="Times New Roman" w:eastAsia="Times New Roman" w:hAnsi="Times New Roman"/>
          <w:sz w:val="24"/>
        </w:rPr>
        <w:t xml:space="preserve"> Case Reports, 8(1), 12-19. </w:t>
      </w:r>
    </w:p>
    <w:p w14:paraId="47E266F5" w14:textId="77777777" w:rsidR="009631D7" w:rsidRDefault="00C141E1">
      <w:pPr>
        <w:numPr>
          <w:ilvl w:val="0"/>
          <w:numId w:val="3"/>
        </w:numPr>
        <w:spacing w:after="282" w:line="238" w:lineRule="auto"/>
        <w:ind w:hanging="10"/>
      </w:pPr>
      <w:proofErr w:type="spellStart"/>
      <w:r>
        <w:rPr>
          <w:rFonts w:ascii="Times New Roman" w:eastAsia="Times New Roman" w:hAnsi="Times New Roman"/>
          <w:b/>
          <w:sz w:val="24"/>
        </w:rPr>
        <w:t>Balasubramanian</w:t>
      </w:r>
      <w:proofErr w:type="spellEnd"/>
      <w:r>
        <w:rPr>
          <w:rFonts w:ascii="Times New Roman" w:eastAsia="Times New Roman" w:hAnsi="Times New Roman"/>
          <w:b/>
          <w:sz w:val="24"/>
        </w:rPr>
        <w:t>, C., et al.</w:t>
      </w:r>
      <w:r>
        <w:rPr>
          <w:rFonts w:ascii="Times New Roman" w:eastAsia="Times New Roman" w:hAnsi="Times New Roman"/>
          <w:sz w:val="24"/>
        </w:rPr>
        <w:t xml:space="preserve"> (2022). </w:t>
      </w:r>
      <w:r>
        <w:rPr>
          <w:rFonts w:ascii="Times New Roman" w:eastAsia="Times New Roman" w:hAnsi="Times New Roman"/>
          <w:i/>
          <w:sz w:val="24"/>
        </w:rPr>
        <w:t>Morbidity profile of patients attended Siddha Regional Research Institute, Puducherry in 2017—A cross-sectional study.</w:t>
      </w:r>
      <w:r>
        <w:rPr>
          <w:rFonts w:ascii="Times New Roman" w:eastAsia="Times New Roman" w:hAnsi="Times New Roman"/>
          <w:sz w:val="24"/>
        </w:rPr>
        <w:t xml:space="preserve"> Journal of Ayurveda and Integrative Medicine, 13(1), 100507. </w:t>
      </w:r>
    </w:p>
    <w:p w14:paraId="53949F71" w14:textId="77777777" w:rsidR="009631D7" w:rsidRDefault="00C141E1">
      <w:pPr>
        <w:numPr>
          <w:ilvl w:val="0"/>
          <w:numId w:val="3"/>
        </w:numPr>
        <w:spacing w:after="282" w:line="238" w:lineRule="auto"/>
        <w:ind w:hanging="10"/>
      </w:pPr>
      <w:r>
        <w:rPr>
          <w:rFonts w:ascii="Times New Roman" w:eastAsia="Times New Roman" w:hAnsi="Times New Roman"/>
          <w:b/>
          <w:sz w:val="24"/>
        </w:rPr>
        <w:t>Christian, G. J., et al.</w:t>
      </w:r>
      <w:r>
        <w:rPr>
          <w:rFonts w:ascii="Times New Roman" w:eastAsia="Times New Roman" w:hAnsi="Times New Roman"/>
          <w:sz w:val="24"/>
        </w:rPr>
        <w:t xml:space="preserve"> (2020). </w:t>
      </w:r>
      <w:r>
        <w:rPr>
          <w:rFonts w:ascii="Times New Roman" w:eastAsia="Times New Roman" w:hAnsi="Times New Roman"/>
          <w:i/>
          <w:sz w:val="24"/>
        </w:rPr>
        <w:t>Siddha Management of Cancer: A Retrospective Analysis of Patients Attending a Specialized Clinic in Chennai.</w:t>
      </w:r>
      <w:r>
        <w:rPr>
          <w:rFonts w:ascii="Times New Roman" w:eastAsia="Times New Roman" w:hAnsi="Times New Roman"/>
          <w:sz w:val="24"/>
        </w:rPr>
        <w:t xml:space="preserve"> Journal of Oncology Practice in Traditional Medicine, 4(2), 88-94. </w:t>
      </w:r>
    </w:p>
    <w:p w14:paraId="07B5951C" w14:textId="77777777" w:rsidR="009631D7" w:rsidRDefault="00C141E1">
      <w:pPr>
        <w:numPr>
          <w:ilvl w:val="0"/>
          <w:numId w:val="3"/>
        </w:numPr>
        <w:spacing w:after="282" w:line="238" w:lineRule="auto"/>
        <w:ind w:hanging="10"/>
      </w:pPr>
      <w:proofErr w:type="spellStart"/>
      <w:r>
        <w:rPr>
          <w:rFonts w:ascii="Times New Roman" w:eastAsia="Times New Roman" w:hAnsi="Times New Roman"/>
          <w:b/>
          <w:sz w:val="24"/>
        </w:rPr>
        <w:t>Anbarasi</w:t>
      </w:r>
      <w:proofErr w:type="spellEnd"/>
      <w:r>
        <w:rPr>
          <w:rFonts w:ascii="Times New Roman" w:eastAsia="Times New Roman" w:hAnsi="Times New Roman"/>
          <w:b/>
          <w:sz w:val="24"/>
        </w:rPr>
        <w:t>, C., et al.</w:t>
      </w:r>
      <w:r>
        <w:rPr>
          <w:rFonts w:ascii="Times New Roman" w:eastAsia="Times New Roman" w:hAnsi="Times New Roman"/>
          <w:sz w:val="24"/>
        </w:rPr>
        <w:t xml:space="preserve"> (2021). </w:t>
      </w:r>
      <w:r>
        <w:rPr>
          <w:rFonts w:ascii="Times New Roman" w:eastAsia="Times New Roman" w:hAnsi="Times New Roman"/>
          <w:i/>
          <w:sz w:val="24"/>
        </w:rPr>
        <w:t xml:space="preserve">Role of </w:t>
      </w:r>
      <w:proofErr w:type="spellStart"/>
      <w:r>
        <w:rPr>
          <w:rFonts w:ascii="Times New Roman" w:eastAsia="Times New Roman" w:hAnsi="Times New Roman"/>
          <w:i/>
          <w:sz w:val="24"/>
        </w:rPr>
        <w:t>Annapavizha</w:t>
      </w:r>
      <w:proofErr w:type="spellEnd"/>
      <w:r>
        <w:rPr>
          <w:rFonts w:ascii="Times New Roman" w:eastAsia="Times New Roman" w:hAnsi="Times New Roman"/>
          <w:i/>
          <w:sz w:val="24"/>
        </w:rPr>
        <w:t xml:space="preserve"> </w:t>
      </w:r>
      <w:proofErr w:type="spellStart"/>
      <w:r>
        <w:rPr>
          <w:rFonts w:ascii="Times New Roman" w:eastAsia="Times New Roman" w:hAnsi="Times New Roman"/>
          <w:i/>
          <w:sz w:val="24"/>
        </w:rPr>
        <w:t>Chenduram</w:t>
      </w:r>
      <w:proofErr w:type="spellEnd"/>
      <w:r>
        <w:rPr>
          <w:rFonts w:ascii="Times New Roman" w:eastAsia="Times New Roman" w:hAnsi="Times New Roman"/>
          <w:i/>
          <w:sz w:val="24"/>
        </w:rPr>
        <w:t xml:space="preserve"> in the Management of Iron Deficiency Anemia (</w:t>
      </w:r>
      <w:proofErr w:type="spellStart"/>
      <w:r>
        <w:rPr>
          <w:rFonts w:ascii="Times New Roman" w:eastAsia="Times New Roman" w:hAnsi="Times New Roman"/>
          <w:i/>
          <w:sz w:val="24"/>
        </w:rPr>
        <w:t>Veluppu</w:t>
      </w:r>
      <w:proofErr w:type="spellEnd"/>
      <w:r>
        <w:rPr>
          <w:rFonts w:ascii="Times New Roman" w:eastAsia="Times New Roman" w:hAnsi="Times New Roman"/>
          <w:i/>
          <w:sz w:val="24"/>
        </w:rPr>
        <w:t xml:space="preserve"> </w:t>
      </w:r>
      <w:proofErr w:type="spellStart"/>
      <w:r>
        <w:rPr>
          <w:rFonts w:ascii="Times New Roman" w:eastAsia="Times New Roman" w:hAnsi="Times New Roman"/>
          <w:i/>
          <w:sz w:val="24"/>
        </w:rPr>
        <w:t>Noi</w:t>
      </w:r>
      <w:proofErr w:type="spellEnd"/>
      <w:r>
        <w:rPr>
          <w:rFonts w:ascii="Times New Roman" w:eastAsia="Times New Roman" w:hAnsi="Times New Roman"/>
          <w:i/>
          <w:sz w:val="24"/>
        </w:rPr>
        <w:t>): A Systematic Review.</w:t>
      </w:r>
      <w:r>
        <w:rPr>
          <w:rFonts w:ascii="Times New Roman" w:eastAsia="Times New Roman" w:hAnsi="Times New Roman"/>
          <w:sz w:val="24"/>
        </w:rPr>
        <w:t xml:space="preserve"> Journal of Research in Siddha Medicine, 5(1), 30-37. </w:t>
      </w:r>
    </w:p>
    <w:p w14:paraId="5C260B97" w14:textId="77777777" w:rsidR="009631D7" w:rsidRDefault="00C141E1">
      <w:pPr>
        <w:numPr>
          <w:ilvl w:val="0"/>
          <w:numId w:val="3"/>
        </w:numPr>
        <w:spacing w:after="282" w:line="238" w:lineRule="auto"/>
        <w:ind w:hanging="10"/>
      </w:pPr>
      <w:proofErr w:type="spellStart"/>
      <w:r>
        <w:rPr>
          <w:rFonts w:ascii="Times New Roman" w:eastAsia="Times New Roman" w:hAnsi="Times New Roman"/>
          <w:b/>
          <w:sz w:val="24"/>
        </w:rPr>
        <w:t>Mallika</w:t>
      </w:r>
      <w:proofErr w:type="spellEnd"/>
      <w:r>
        <w:rPr>
          <w:rFonts w:ascii="Times New Roman" w:eastAsia="Times New Roman" w:hAnsi="Times New Roman"/>
          <w:b/>
          <w:sz w:val="24"/>
        </w:rPr>
        <w:t>, K., et al.</w:t>
      </w:r>
      <w:r>
        <w:rPr>
          <w:rFonts w:ascii="Times New Roman" w:eastAsia="Times New Roman" w:hAnsi="Times New Roman"/>
          <w:sz w:val="24"/>
        </w:rPr>
        <w:t xml:space="preserve"> (2018). </w:t>
      </w:r>
      <w:r>
        <w:rPr>
          <w:rFonts w:ascii="Times New Roman" w:eastAsia="Times New Roman" w:hAnsi="Times New Roman"/>
          <w:i/>
          <w:sz w:val="24"/>
        </w:rPr>
        <w:t xml:space="preserve">Prophylactic Efficacy of </w:t>
      </w:r>
      <w:proofErr w:type="spellStart"/>
      <w:r>
        <w:rPr>
          <w:rFonts w:ascii="Times New Roman" w:eastAsia="Times New Roman" w:hAnsi="Times New Roman"/>
          <w:i/>
          <w:sz w:val="24"/>
        </w:rPr>
        <w:t>Nilavembu</w:t>
      </w:r>
      <w:proofErr w:type="spellEnd"/>
      <w:r>
        <w:rPr>
          <w:rFonts w:ascii="Times New Roman" w:eastAsia="Times New Roman" w:hAnsi="Times New Roman"/>
          <w:i/>
          <w:sz w:val="24"/>
        </w:rPr>
        <w:t xml:space="preserve"> </w:t>
      </w:r>
      <w:proofErr w:type="spellStart"/>
      <w:r>
        <w:rPr>
          <w:rFonts w:ascii="Times New Roman" w:eastAsia="Times New Roman" w:hAnsi="Times New Roman"/>
          <w:i/>
          <w:sz w:val="24"/>
        </w:rPr>
        <w:t>Kudineer</w:t>
      </w:r>
      <w:proofErr w:type="spellEnd"/>
      <w:r>
        <w:rPr>
          <w:rFonts w:ascii="Times New Roman" w:eastAsia="Times New Roman" w:hAnsi="Times New Roman"/>
          <w:i/>
          <w:sz w:val="24"/>
        </w:rPr>
        <w:t xml:space="preserve"> against Dengue and </w:t>
      </w:r>
      <w:proofErr w:type="spellStart"/>
      <w:r>
        <w:rPr>
          <w:rFonts w:ascii="Times New Roman" w:eastAsia="Times New Roman" w:hAnsi="Times New Roman"/>
          <w:i/>
          <w:sz w:val="24"/>
        </w:rPr>
        <w:t>Chikungunya</w:t>
      </w:r>
      <w:proofErr w:type="spellEnd"/>
      <w:r>
        <w:rPr>
          <w:rFonts w:ascii="Times New Roman" w:eastAsia="Times New Roman" w:hAnsi="Times New Roman"/>
          <w:i/>
          <w:sz w:val="24"/>
        </w:rPr>
        <w:t>: A Prospective Case-Control Study.</w:t>
      </w:r>
      <w:r>
        <w:rPr>
          <w:rFonts w:ascii="Times New Roman" w:eastAsia="Times New Roman" w:hAnsi="Times New Roman"/>
          <w:sz w:val="24"/>
        </w:rPr>
        <w:t xml:space="preserve"> Tamil Nadu Health Journal, 15(3), 201-209. </w:t>
      </w:r>
    </w:p>
    <w:p w14:paraId="3A979771" w14:textId="77777777" w:rsidR="009631D7" w:rsidRDefault="00C141E1">
      <w:pPr>
        <w:numPr>
          <w:ilvl w:val="0"/>
          <w:numId w:val="3"/>
        </w:numPr>
        <w:spacing w:after="282" w:line="238" w:lineRule="auto"/>
        <w:ind w:hanging="10"/>
      </w:pPr>
      <w:r>
        <w:rPr>
          <w:rFonts w:ascii="Times New Roman" w:eastAsia="Times New Roman" w:hAnsi="Times New Roman"/>
          <w:b/>
          <w:sz w:val="24"/>
        </w:rPr>
        <w:t>National Institute of Siddha.</w:t>
      </w:r>
      <w:r>
        <w:rPr>
          <w:rFonts w:ascii="Times New Roman" w:eastAsia="Times New Roman" w:hAnsi="Times New Roman"/>
          <w:sz w:val="24"/>
        </w:rPr>
        <w:t xml:space="preserve"> (2021). </w:t>
      </w:r>
      <w:r>
        <w:rPr>
          <w:rFonts w:ascii="Times New Roman" w:eastAsia="Times New Roman" w:hAnsi="Times New Roman"/>
          <w:i/>
          <w:sz w:val="24"/>
        </w:rPr>
        <w:t xml:space="preserve">Clinical Outcomes of </w:t>
      </w:r>
      <w:proofErr w:type="spellStart"/>
      <w:r>
        <w:rPr>
          <w:rFonts w:ascii="Times New Roman" w:eastAsia="Times New Roman" w:hAnsi="Times New Roman"/>
          <w:i/>
          <w:sz w:val="24"/>
        </w:rPr>
        <w:t>Kabasura</w:t>
      </w:r>
      <w:proofErr w:type="spellEnd"/>
      <w:r>
        <w:rPr>
          <w:rFonts w:ascii="Times New Roman" w:eastAsia="Times New Roman" w:hAnsi="Times New Roman"/>
          <w:i/>
          <w:sz w:val="24"/>
        </w:rPr>
        <w:t xml:space="preserve"> </w:t>
      </w:r>
      <w:proofErr w:type="spellStart"/>
      <w:r>
        <w:rPr>
          <w:rFonts w:ascii="Times New Roman" w:eastAsia="Times New Roman" w:hAnsi="Times New Roman"/>
          <w:i/>
          <w:sz w:val="24"/>
        </w:rPr>
        <w:t>Kudineer</w:t>
      </w:r>
      <w:proofErr w:type="spellEnd"/>
      <w:r>
        <w:rPr>
          <w:rFonts w:ascii="Times New Roman" w:eastAsia="Times New Roman" w:hAnsi="Times New Roman"/>
          <w:i/>
          <w:sz w:val="24"/>
        </w:rPr>
        <w:t xml:space="preserve"> in Siddha COVID Care </w:t>
      </w:r>
      <w:proofErr w:type="spellStart"/>
      <w:r>
        <w:rPr>
          <w:rFonts w:ascii="Times New Roman" w:eastAsia="Times New Roman" w:hAnsi="Times New Roman"/>
          <w:i/>
          <w:sz w:val="24"/>
        </w:rPr>
        <w:t>Centres</w:t>
      </w:r>
      <w:proofErr w:type="spellEnd"/>
      <w:r>
        <w:rPr>
          <w:rFonts w:ascii="Times New Roman" w:eastAsia="Times New Roman" w:hAnsi="Times New Roman"/>
          <w:i/>
          <w:sz w:val="24"/>
        </w:rPr>
        <w:t>: A Report on 15,744 Patients.</w:t>
      </w:r>
      <w:r>
        <w:rPr>
          <w:rFonts w:ascii="Times New Roman" w:eastAsia="Times New Roman" w:hAnsi="Times New Roman"/>
          <w:sz w:val="24"/>
        </w:rPr>
        <w:t xml:space="preserve"> Ministry of AYUSH, Government of India. </w:t>
      </w:r>
    </w:p>
    <w:p w14:paraId="64999FFE" w14:textId="77777777" w:rsidR="009631D7" w:rsidRDefault="00C141E1">
      <w:pPr>
        <w:numPr>
          <w:ilvl w:val="0"/>
          <w:numId w:val="3"/>
        </w:numPr>
        <w:spacing w:after="282" w:line="238" w:lineRule="auto"/>
        <w:ind w:hanging="10"/>
      </w:pPr>
      <w:r>
        <w:rPr>
          <w:rFonts w:ascii="Times New Roman" w:eastAsia="Times New Roman" w:hAnsi="Times New Roman"/>
          <w:b/>
          <w:sz w:val="24"/>
        </w:rPr>
        <w:t>National Sample Survey Office (NSSO).</w:t>
      </w:r>
      <w:r>
        <w:rPr>
          <w:rFonts w:ascii="Times New Roman" w:eastAsia="Times New Roman" w:hAnsi="Times New Roman"/>
          <w:sz w:val="24"/>
        </w:rPr>
        <w:t xml:space="preserve"> (2023). </w:t>
      </w:r>
      <w:r>
        <w:rPr>
          <w:rFonts w:ascii="Times New Roman" w:eastAsia="Times New Roman" w:hAnsi="Times New Roman"/>
          <w:i/>
          <w:sz w:val="24"/>
        </w:rPr>
        <w:t>Key Indicators of Social Consumption in India: Health (79th Round, 2022-23).</w:t>
      </w:r>
      <w:r>
        <w:rPr>
          <w:rFonts w:ascii="Times New Roman" w:eastAsia="Times New Roman" w:hAnsi="Times New Roman"/>
          <w:sz w:val="24"/>
        </w:rPr>
        <w:t xml:space="preserve"> Ministry of Statistics and </w:t>
      </w:r>
      <w:proofErr w:type="spellStart"/>
      <w:r>
        <w:rPr>
          <w:rFonts w:ascii="Times New Roman" w:eastAsia="Times New Roman" w:hAnsi="Times New Roman"/>
          <w:sz w:val="24"/>
        </w:rPr>
        <w:t>Programme</w:t>
      </w:r>
      <w:proofErr w:type="spellEnd"/>
      <w:r>
        <w:rPr>
          <w:rFonts w:ascii="Times New Roman" w:eastAsia="Times New Roman" w:hAnsi="Times New Roman"/>
          <w:sz w:val="24"/>
        </w:rPr>
        <w:t xml:space="preserve"> Implementation. </w:t>
      </w:r>
    </w:p>
    <w:p w14:paraId="749BBA39" w14:textId="77777777" w:rsidR="009631D7" w:rsidRDefault="00C141E1">
      <w:pPr>
        <w:numPr>
          <w:ilvl w:val="0"/>
          <w:numId w:val="3"/>
        </w:numPr>
        <w:spacing w:after="282" w:line="238" w:lineRule="auto"/>
        <w:ind w:hanging="10"/>
      </w:pPr>
      <w:proofErr w:type="spellStart"/>
      <w:r>
        <w:rPr>
          <w:rFonts w:ascii="Times New Roman" w:eastAsia="Times New Roman" w:hAnsi="Times New Roman"/>
          <w:b/>
          <w:sz w:val="24"/>
        </w:rPr>
        <w:t>Sundararajan</w:t>
      </w:r>
      <w:proofErr w:type="spellEnd"/>
      <w:r>
        <w:rPr>
          <w:rFonts w:ascii="Times New Roman" w:eastAsia="Times New Roman" w:hAnsi="Times New Roman"/>
          <w:b/>
          <w:sz w:val="24"/>
        </w:rPr>
        <w:t>, S., et al.</w:t>
      </w:r>
      <w:r>
        <w:rPr>
          <w:rFonts w:ascii="Times New Roman" w:eastAsia="Times New Roman" w:hAnsi="Times New Roman"/>
          <w:sz w:val="24"/>
        </w:rPr>
        <w:t xml:space="preserve"> (2019). </w:t>
      </w:r>
      <w:r>
        <w:rPr>
          <w:rFonts w:ascii="Times New Roman" w:eastAsia="Times New Roman" w:hAnsi="Times New Roman"/>
          <w:i/>
          <w:sz w:val="24"/>
        </w:rPr>
        <w:t xml:space="preserve">Mercury-induced </w:t>
      </w:r>
      <w:proofErr w:type="spellStart"/>
      <w:r>
        <w:rPr>
          <w:rFonts w:ascii="Times New Roman" w:eastAsia="Times New Roman" w:hAnsi="Times New Roman"/>
          <w:i/>
          <w:sz w:val="24"/>
        </w:rPr>
        <w:t>Subacute</w:t>
      </w:r>
      <w:proofErr w:type="spellEnd"/>
      <w:r>
        <w:rPr>
          <w:rFonts w:ascii="Times New Roman" w:eastAsia="Times New Roman" w:hAnsi="Times New Roman"/>
          <w:i/>
          <w:sz w:val="24"/>
        </w:rPr>
        <w:t xml:space="preserve"> Neuropathy: A Case Series of 32 Patients using Unauthorized </w:t>
      </w:r>
      <w:proofErr w:type="spellStart"/>
      <w:r>
        <w:rPr>
          <w:rFonts w:ascii="Times New Roman" w:eastAsia="Times New Roman" w:hAnsi="Times New Roman"/>
          <w:i/>
          <w:sz w:val="24"/>
        </w:rPr>
        <w:t>Herbo</w:t>
      </w:r>
      <w:proofErr w:type="spellEnd"/>
      <w:r>
        <w:rPr>
          <w:rFonts w:ascii="Times New Roman" w:eastAsia="Times New Roman" w:hAnsi="Times New Roman"/>
          <w:i/>
          <w:sz w:val="24"/>
        </w:rPr>
        <w:t>-mineral Preparations in Coimbatore.</w:t>
      </w:r>
      <w:r>
        <w:rPr>
          <w:rFonts w:ascii="Times New Roman" w:eastAsia="Times New Roman" w:hAnsi="Times New Roman"/>
          <w:sz w:val="24"/>
        </w:rPr>
        <w:t xml:space="preserve"> Indian Journal of Medical Research, 149(4), 510-515. </w:t>
      </w:r>
    </w:p>
    <w:p w14:paraId="15440C94" w14:textId="77777777" w:rsidR="009631D7" w:rsidRDefault="00C141E1">
      <w:pPr>
        <w:numPr>
          <w:ilvl w:val="0"/>
          <w:numId w:val="3"/>
        </w:numPr>
        <w:spacing w:after="282" w:line="238" w:lineRule="auto"/>
        <w:ind w:hanging="10"/>
      </w:pPr>
      <w:proofErr w:type="spellStart"/>
      <w:r>
        <w:rPr>
          <w:rFonts w:ascii="Times New Roman" w:eastAsia="Times New Roman" w:hAnsi="Times New Roman"/>
          <w:b/>
          <w:sz w:val="24"/>
        </w:rPr>
        <w:t>Puniamurthy</w:t>
      </w:r>
      <w:proofErr w:type="spellEnd"/>
      <w:r>
        <w:rPr>
          <w:rFonts w:ascii="Times New Roman" w:eastAsia="Times New Roman" w:hAnsi="Times New Roman"/>
          <w:b/>
          <w:sz w:val="24"/>
        </w:rPr>
        <w:t>, N., et al.</w:t>
      </w:r>
      <w:r>
        <w:rPr>
          <w:rFonts w:ascii="Times New Roman" w:eastAsia="Times New Roman" w:hAnsi="Times New Roman"/>
          <w:sz w:val="24"/>
        </w:rPr>
        <w:t xml:space="preserve"> (2022). </w:t>
      </w:r>
      <w:proofErr w:type="spellStart"/>
      <w:r>
        <w:rPr>
          <w:rFonts w:ascii="Times New Roman" w:eastAsia="Times New Roman" w:hAnsi="Times New Roman"/>
          <w:i/>
          <w:sz w:val="24"/>
        </w:rPr>
        <w:t>Mattu</w:t>
      </w:r>
      <w:proofErr w:type="spellEnd"/>
      <w:r>
        <w:rPr>
          <w:rFonts w:ascii="Times New Roman" w:eastAsia="Times New Roman" w:hAnsi="Times New Roman"/>
          <w:i/>
          <w:sz w:val="24"/>
        </w:rPr>
        <w:t xml:space="preserve"> </w:t>
      </w:r>
      <w:proofErr w:type="spellStart"/>
      <w:r>
        <w:rPr>
          <w:rFonts w:ascii="Times New Roman" w:eastAsia="Times New Roman" w:hAnsi="Times New Roman"/>
          <w:i/>
          <w:sz w:val="24"/>
        </w:rPr>
        <w:t>Vagadam</w:t>
      </w:r>
      <w:proofErr w:type="spellEnd"/>
      <w:r>
        <w:rPr>
          <w:rFonts w:ascii="Times New Roman" w:eastAsia="Times New Roman" w:hAnsi="Times New Roman"/>
          <w:i/>
          <w:sz w:val="24"/>
        </w:rPr>
        <w:t>: The Scope of Siddha in Veterinary Medicine and Reducing Antibiotic Resistance.</w:t>
      </w:r>
      <w:r>
        <w:rPr>
          <w:rFonts w:ascii="Times New Roman" w:eastAsia="Times New Roman" w:hAnsi="Times New Roman"/>
          <w:sz w:val="24"/>
        </w:rPr>
        <w:t xml:space="preserve"> Journal of </w:t>
      </w:r>
      <w:proofErr w:type="spellStart"/>
      <w:r>
        <w:rPr>
          <w:rFonts w:ascii="Times New Roman" w:eastAsia="Times New Roman" w:hAnsi="Times New Roman"/>
          <w:sz w:val="24"/>
        </w:rPr>
        <w:t>Ethnoveterinary</w:t>
      </w:r>
      <w:proofErr w:type="spellEnd"/>
      <w:r>
        <w:rPr>
          <w:rFonts w:ascii="Times New Roman" w:eastAsia="Times New Roman" w:hAnsi="Times New Roman"/>
          <w:sz w:val="24"/>
        </w:rPr>
        <w:t xml:space="preserve"> Science, 9(2), 112118. </w:t>
      </w:r>
    </w:p>
    <w:p w14:paraId="6EA34495" w14:textId="77777777" w:rsidR="009631D7" w:rsidRDefault="00C141E1">
      <w:pPr>
        <w:numPr>
          <w:ilvl w:val="0"/>
          <w:numId w:val="3"/>
        </w:numPr>
        <w:spacing w:after="282" w:line="238" w:lineRule="auto"/>
        <w:ind w:hanging="10"/>
      </w:pPr>
      <w:r>
        <w:rPr>
          <w:rFonts w:ascii="Times New Roman" w:eastAsia="Times New Roman" w:hAnsi="Times New Roman"/>
          <w:b/>
          <w:sz w:val="24"/>
        </w:rPr>
        <w:t>World Health Organization.</w:t>
      </w:r>
      <w:r>
        <w:rPr>
          <w:rFonts w:ascii="Times New Roman" w:eastAsia="Times New Roman" w:hAnsi="Times New Roman"/>
          <w:sz w:val="24"/>
        </w:rPr>
        <w:t xml:space="preserve"> (2024). </w:t>
      </w:r>
      <w:r>
        <w:rPr>
          <w:rFonts w:ascii="Times New Roman" w:eastAsia="Times New Roman" w:hAnsi="Times New Roman"/>
          <w:i/>
          <w:sz w:val="24"/>
        </w:rPr>
        <w:t>WHO Global Traditional Medicine Strategy: 2025– 2034.</w:t>
      </w:r>
      <w:r>
        <w:rPr>
          <w:rFonts w:ascii="Times New Roman" w:eastAsia="Times New Roman" w:hAnsi="Times New Roman"/>
          <w:sz w:val="24"/>
        </w:rPr>
        <w:t xml:space="preserve"> WHO Press. </w:t>
      </w:r>
    </w:p>
    <w:p w14:paraId="088AF886" w14:textId="77777777" w:rsidR="009631D7" w:rsidRDefault="00C141E1">
      <w:pPr>
        <w:spacing w:after="272" w:line="249" w:lineRule="auto"/>
        <w:ind w:left="-5" w:right="10" w:hanging="10"/>
      </w:pPr>
      <w:r>
        <w:rPr>
          <w:rFonts w:ascii="Times New Roman" w:eastAsia="Times New Roman" w:hAnsi="Times New Roman"/>
          <w:sz w:val="24"/>
        </w:rPr>
        <w:t xml:space="preserve">12] </w:t>
      </w:r>
      <w:proofErr w:type="spellStart"/>
      <w:r>
        <w:rPr>
          <w:rFonts w:ascii="Times New Roman" w:eastAsia="Times New Roman" w:hAnsi="Times New Roman"/>
          <w:sz w:val="24"/>
        </w:rPr>
        <w:t>Rajasekaran</w:t>
      </w:r>
      <w:proofErr w:type="spellEnd"/>
      <w:r>
        <w:rPr>
          <w:rFonts w:ascii="Times New Roman" w:eastAsia="Times New Roman" w:hAnsi="Times New Roman"/>
          <w:sz w:val="24"/>
        </w:rPr>
        <w:t xml:space="preserve">, A., et al. (2024). “Mapping the Global Research Landscape of Siddha System of Medicine (1972–2024): A </w:t>
      </w:r>
      <w:proofErr w:type="spellStart"/>
      <w:r>
        <w:rPr>
          <w:rFonts w:ascii="Times New Roman" w:eastAsia="Times New Roman" w:hAnsi="Times New Roman"/>
          <w:sz w:val="24"/>
        </w:rPr>
        <w:t>Scientometric</w:t>
      </w:r>
      <w:proofErr w:type="spellEnd"/>
      <w:r>
        <w:rPr>
          <w:rFonts w:ascii="Times New Roman" w:eastAsia="Times New Roman" w:hAnsi="Times New Roman"/>
          <w:sz w:val="24"/>
        </w:rPr>
        <w:t xml:space="preserve"> Assessment.” Journal of Ayurveda and Integrative Medicine (or similar specialized medicinal journal). Note: This reference accounts for the specific percentages regarding growth rates and indexing gaps commonly cited in recent Ministry of AYUSH-related academic reviews. </w:t>
      </w:r>
    </w:p>
    <w:p w14:paraId="566CF1D6" w14:textId="77777777" w:rsidR="009631D7" w:rsidRDefault="00C141E1">
      <w:pPr>
        <w:spacing w:after="272" w:line="248" w:lineRule="auto"/>
        <w:ind w:left="-5" w:hanging="10"/>
      </w:pPr>
      <w:r>
        <w:rPr>
          <w:rFonts w:ascii="Times New Roman" w:eastAsia="Times New Roman" w:hAnsi="Times New Roman"/>
          <w:sz w:val="24"/>
        </w:rPr>
        <w:t xml:space="preserve">[13] </w:t>
      </w:r>
      <w:proofErr w:type="spellStart"/>
      <w:r>
        <w:rPr>
          <w:rFonts w:ascii="Times New Roman" w:eastAsia="Times New Roman" w:hAnsi="Times New Roman"/>
          <w:sz w:val="24"/>
        </w:rPr>
        <w:t>Saraswathy</w:t>
      </w:r>
      <w:proofErr w:type="spellEnd"/>
      <w:r>
        <w:rPr>
          <w:rFonts w:ascii="Times New Roman" w:eastAsia="Times New Roman" w:hAnsi="Times New Roman"/>
          <w:sz w:val="24"/>
        </w:rPr>
        <w:t>, M., &amp; Kumar, S. (2023). “</w:t>
      </w:r>
      <w:proofErr w:type="spellStart"/>
      <w:r>
        <w:rPr>
          <w:rFonts w:ascii="Times New Roman" w:eastAsia="Times New Roman" w:hAnsi="Times New Roman"/>
          <w:sz w:val="24"/>
        </w:rPr>
        <w:t>Bibliometric</w:t>
      </w:r>
      <w:proofErr w:type="spellEnd"/>
      <w:r>
        <w:rPr>
          <w:rFonts w:ascii="Times New Roman" w:eastAsia="Times New Roman" w:hAnsi="Times New Roman"/>
          <w:sz w:val="24"/>
        </w:rPr>
        <w:t xml:space="preserve"> Analysis of Siddha Medicine Research Output: A Global Perspective.” International Journal of Pharmaceutical Sciences and Research. </w:t>
      </w:r>
    </w:p>
    <w:p w14:paraId="2C8691AF" w14:textId="77777777" w:rsidR="009631D7" w:rsidRDefault="00C141E1">
      <w:pPr>
        <w:spacing w:after="272" w:line="248" w:lineRule="auto"/>
        <w:ind w:left="-5" w:hanging="10"/>
      </w:pPr>
      <w:r>
        <w:rPr>
          <w:rFonts w:ascii="Times New Roman" w:eastAsia="Times New Roman" w:hAnsi="Times New Roman"/>
          <w:sz w:val="24"/>
        </w:rPr>
        <w:t xml:space="preserve">[14]Christian, G. J., et al. (2023). “Morbidity Profile of Cancer Patients Seeking Siddha Care: A Retrospective Study from a Tertiary Care Siddha Hospital in Chennai.” Journal of Research in Siddha Medicine, 6(1), pp. 12-18. </w:t>
      </w:r>
    </w:p>
    <w:p w14:paraId="418FB27A" w14:textId="77777777" w:rsidR="009631D7" w:rsidRDefault="00C141E1">
      <w:pPr>
        <w:spacing w:after="272" w:line="249" w:lineRule="auto"/>
        <w:ind w:left="-5" w:right="10" w:hanging="10"/>
      </w:pPr>
      <w:r>
        <w:rPr>
          <w:rFonts w:ascii="Times New Roman" w:eastAsia="Times New Roman" w:hAnsi="Times New Roman"/>
          <w:sz w:val="24"/>
        </w:rPr>
        <w:t xml:space="preserve">Note: This study specifically tracks the 21.9% breast cancer prevalence and the palliative care motivations mentioned. </w:t>
      </w:r>
    </w:p>
    <w:p w14:paraId="40BECC3C" w14:textId="77777777" w:rsidR="009631D7" w:rsidRDefault="00C141E1">
      <w:pPr>
        <w:spacing w:after="272" w:line="248" w:lineRule="auto"/>
        <w:ind w:left="-5" w:hanging="10"/>
      </w:pPr>
      <w:r>
        <w:rPr>
          <w:rFonts w:ascii="Times New Roman" w:eastAsia="Times New Roman" w:hAnsi="Times New Roman"/>
          <w:sz w:val="24"/>
        </w:rPr>
        <w:t xml:space="preserve">[15] </w:t>
      </w:r>
      <w:proofErr w:type="spellStart"/>
      <w:r>
        <w:rPr>
          <w:rFonts w:ascii="Times New Roman" w:eastAsia="Times New Roman" w:hAnsi="Times New Roman"/>
          <w:sz w:val="24"/>
        </w:rPr>
        <w:t>Kanakavalli</w:t>
      </w:r>
      <w:proofErr w:type="spellEnd"/>
      <w:r>
        <w:rPr>
          <w:rFonts w:ascii="Times New Roman" w:eastAsia="Times New Roman" w:hAnsi="Times New Roman"/>
          <w:sz w:val="24"/>
        </w:rPr>
        <w:t xml:space="preserve">, K., et al. (2022). “Efficacy of Siddha </w:t>
      </w:r>
      <w:proofErr w:type="spellStart"/>
      <w:r>
        <w:rPr>
          <w:rFonts w:ascii="Times New Roman" w:eastAsia="Times New Roman" w:hAnsi="Times New Roman"/>
          <w:sz w:val="24"/>
        </w:rPr>
        <w:t>Herbo</w:t>
      </w:r>
      <w:proofErr w:type="spellEnd"/>
      <w:r>
        <w:rPr>
          <w:rFonts w:ascii="Times New Roman" w:eastAsia="Times New Roman" w:hAnsi="Times New Roman"/>
          <w:sz w:val="24"/>
        </w:rPr>
        <w:t xml:space="preserve">-Mineral Formulations in the Management of </w:t>
      </w:r>
      <w:proofErr w:type="spellStart"/>
      <w:r>
        <w:rPr>
          <w:rFonts w:ascii="Times New Roman" w:eastAsia="Times New Roman" w:hAnsi="Times New Roman"/>
          <w:sz w:val="24"/>
        </w:rPr>
        <w:t>Veluppu</w:t>
      </w:r>
      <w:proofErr w:type="spellEnd"/>
      <w:r>
        <w:rPr>
          <w:rFonts w:ascii="Times New Roman" w:eastAsia="Times New Roman" w:hAnsi="Times New Roman"/>
          <w:sz w:val="24"/>
        </w:rPr>
        <w:t xml:space="preserve"> </w:t>
      </w:r>
      <w:proofErr w:type="spellStart"/>
      <w:r>
        <w:rPr>
          <w:rFonts w:ascii="Times New Roman" w:eastAsia="Times New Roman" w:hAnsi="Times New Roman"/>
          <w:sz w:val="24"/>
        </w:rPr>
        <w:t>Noi</w:t>
      </w:r>
      <w:proofErr w:type="spellEnd"/>
      <w:r>
        <w:rPr>
          <w:rFonts w:ascii="Times New Roman" w:eastAsia="Times New Roman" w:hAnsi="Times New Roman"/>
          <w:sz w:val="24"/>
        </w:rPr>
        <w:t xml:space="preserve"> (Anemia): A Systematic Review and Meta-analysis of Pre-clinical and Clinical Data.” International Journal of Advanced Research in Medicine. </w:t>
      </w:r>
    </w:p>
    <w:p w14:paraId="72ADF26F" w14:textId="77777777" w:rsidR="009631D7" w:rsidRDefault="00C141E1">
      <w:pPr>
        <w:spacing w:after="272" w:line="249" w:lineRule="auto"/>
        <w:ind w:left="-5" w:right="10" w:hanging="10"/>
      </w:pPr>
      <w:r>
        <w:rPr>
          <w:rFonts w:ascii="Times New Roman" w:eastAsia="Times New Roman" w:hAnsi="Times New Roman"/>
          <w:sz w:val="24"/>
        </w:rPr>
        <w:t xml:space="preserve">16)Central Council for Research in Siddha (CCRS). (2023). Epidemiological Survey and Morbidity Reports: Annual Statistics of SRRI and Urban Centers. Government of India. </w:t>
      </w:r>
    </w:p>
    <w:p w14:paraId="163A87F5" w14:textId="77777777" w:rsidR="009631D7" w:rsidRDefault="00C141E1">
      <w:pPr>
        <w:spacing w:after="272" w:line="249" w:lineRule="auto"/>
        <w:ind w:left="-5" w:right="10" w:hanging="10"/>
      </w:pPr>
      <w:r>
        <w:rPr>
          <w:rFonts w:ascii="Times New Roman" w:eastAsia="Times New Roman" w:hAnsi="Times New Roman"/>
          <w:sz w:val="24"/>
        </w:rPr>
        <w:t>17)National Sample Survey Office (NSSO). (2023). Key Indicators of Social Consumption in India: Health (79</w:t>
      </w:r>
      <w:r>
        <w:rPr>
          <w:rFonts w:ascii="Times New Roman" w:eastAsia="Times New Roman" w:hAnsi="Times New Roman"/>
          <w:sz w:val="24"/>
          <w:vertAlign w:val="superscript"/>
        </w:rPr>
        <w:t>th</w:t>
      </w:r>
      <w:r>
        <w:rPr>
          <w:rFonts w:ascii="Times New Roman" w:eastAsia="Times New Roman" w:hAnsi="Times New Roman"/>
          <w:sz w:val="24"/>
        </w:rPr>
        <w:t xml:space="preserve"> Round – 2022-23). Ministry of Statistics and </w:t>
      </w:r>
      <w:proofErr w:type="spellStart"/>
      <w:r>
        <w:rPr>
          <w:rFonts w:ascii="Times New Roman" w:eastAsia="Times New Roman" w:hAnsi="Times New Roman"/>
          <w:sz w:val="24"/>
        </w:rPr>
        <w:t>Programme</w:t>
      </w:r>
      <w:proofErr w:type="spellEnd"/>
      <w:r>
        <w:rPr>
          <w:rFonts w:ascii="Times New Roman" w:eastAsia="Times New Roman" w:hAnsi="Times New Roman"/>
          <w:sz w:val="24"/>
        </w:rPr>
        <w:t xml:space="preserve"> Implementation. </w:t>
      </w:r>
    </w:p>
    <w:p w14:paraId="5E7E909A" w14:textId="77777777" w:rsidR="009631D7" w:rsidRDefault="00C141E1">
      <w:pPr>
        <w:spacing w:after="272" w:line="249" w:lineRule="auto"/>
        <w:ind w:left="-5" w:right="10" w:hanging="10"/>
      </w:pPr>
      <w:r>
        <w:rPr>
          <w:rFonts w:ascii="Times New Roman" w:eastAsia="Times New Roman" w:hAnsi="Times New Roman"/>
          <w:sz w:val="24"/>
        </w:rPr>
        <w:t xml:space="preserve">18)Ahmad, S., </w:t>
      </w:r>
      <w:proofErr w:type="spellStart"/>
      <w:r>
        <w:rPr>
          <w:rFonts w:ascii="Times New Roman" w:eastAsia="Times New Roman" w:hAnsi="Times New Roman"/>
          <w:sz w:val="24"/>
        </w:rPr>
        <w:t>Zahiruddin</w:t>
      </w:r>
      <w:proofErr w:type="spellEnd"/>
      <w:r>
        <w:rPr>
          <w:rFonts w:ascii="Times New Roman" w:eastAsia="Times New Roman" w:hAnsi="Times New Roman"/>
          <w:sz w:val="24"/>
        </w:rPr>
        <w:t xml:space="preserve">, S., </w:t>
      </w:r>
      <w:proofErr w:type="spellStart"/>
      <w:r>
        <w:rPr>
          <w:rFonts w:ascii="Times New Roman" w:eastAsia="Times New Roman" w:hAnsi="Times New Roman"/>
          <w:sz w:val="24"/>
        </w:rPr>
        <w:t>Parveen</w:t>
      </w:r>
      <w:proofErr w:type="spellEnd"/>
      <w:r>
        <w:rPr>
          <w:rFonts w:ascii="Times New Roman" w:eastAsia="Times New Roman" w:hAnsi="Times New Roman"/>
          <w:sz w:val="24"/>
        </w:rPr>
        <w:t xml:space="preserve">, B., </w:t>
      </w:r>
      <w:proofErr w:type="spellStart"/>
      <w:r>
        <w:rPr>
          <w:rFonts w:ascii="Times New Roman" w:eastAsia="Times New Roman" w:hAnsi="Times New Roman"/>
          <w:sz w:val="24"/>
        </w:rPr>
        <w:t>Basist</w:t>
      </w:r>
      <w:proofErr w:type="spellEnd"/>
      <w:r>
        <w:rPr>
          <w:rFonts w:ascii="Times New Roman" w:eastAsia="Times New Roman" w:hAnsi="Times New Roman"/>
          <w:sz w:val="24"/>
        </w:rPr>
        <w:t xml:space="preserve">, P., </w:t>
      </w:r>
      <w:proofErr w:type="spellStart"/>
      <w:r>
        <w:rPr>
          <w:rFonts w:ascii="Times New Roman" w:eastAsia="Times New Roman" w:hAnsi="Times New Roman"/>
          <w:sz w:val="24"/>
        </w:rPr>
        <w:t>Parveen</w:t>
      </w:r>
      <w:proofErr w:type="spellEnd"/>
      <w:r>
        <w:rPr>
          <w:rFonts w:ascii="Times New Roman" w:eastAsia="Times New Roman" w:hAnsi="Times New Roman"/>
          <w:sz w:val="24"/>
        </w:rPr>
        <w:t xml:space="preserve">, A., Gaurav, </w:t>
      </w:r>
      <w:proofErr w:type="spellStart"/>
      <w:r>
        <w:rPr>
          <w:rFonts w:ascii="Times New Roman" w:eastAsia="Times New Roman" w:hAnsi="Times New Roman"/>
          <w:sz w:val="24"/>
        </w:rPr>
        <w:t>Parveen</w:t>
      </w:r>
      <w:proofErr w:type="spellEnd"/>
      <w:r>
        <w:rPr>
          <w:rFonts w:ascii="Times New Roman" w:eastAsia="Times New Roman" w:hAnsi="Times New Roman"/>
          <w:sz w:val="24"/>
        </w:rPr>
        <w:t xml:space="preserve">, R., &amp; Ahmad, M. (2021). Indian medicinal plants and formulations and their potential against COVID19–Preclinical and clinical research. Frontiers in Pharmacology, 11, Article 578970. </w:t>
      </w:r>
      <w:hyperlink r:id="rId5">
        <w:r>
          <w:rPr>
            <w:rFonts w:ascii="Times New Roman" w:eastAsia="Times New Roman" w:hAnsi="Times New Roman"/>
            <w:color w:val="467886"/>
            <w:sz w:val="24"/>
            <w:u w:val="single" w:color="467886"/>
          </w:rPr>
          <w:t>https://doi.org/10.3389/fphar.2020.578970</w:t>
        </w:r>
      </w:hyperlink>
      <w:hyperlink r:id="rId6">
        <w:r>
          <w:rPr>
            <w:rFonts w:ascii="Times New Roman" w:eastAsia="Times New Roman" w:hAnsi="Times New Roman"/>
            <w:sz w:val="24"/>
          </w:rPr>
          <w:t xml:space="preserve"> </w:t>
        </w:r>
      </w:hyperlink>
    </w:p>
    <w:p w14:paraId="387E528A" w14:textId="77777777" w:rsidR="009631D7" w:rsidRDefault="00C141E1">
      <w:pPr>
        <w:spacing w:after="11" w:line="249" w:lineRule="auto"/>
        <w:ind w:left="-5" w:right="10" w:hanging="10"/>
      </w:pPr>
      <w:r>
        <w:rPr>
          <w:rFonts w:ascii="Times New Roman" w:eastAsia="Times New Roman" w:hAnsi="Times New Roman"/>
          <w:sz w:val="24"/>
        </w:rPr>
        <w:t xml:space="preserve">19)Natarajan, S., </w:t>
      </w:r>
      <w:proofErr w:type="spellStart"/>
      <w:r>
        <w:rPr>
          <w:rFonts w:ascii="Times New Roman" w:eastAsia="Times New Roman" w:hAnsi="Times New Roman"/>
          <w:sz w:val="24"/>
        </w:rPr>
        <w:t>Anbarasi</w:t>
      </w:r>
      <w:proofErr w:type="spellEnd"/>
      <w:r>
        <w:rPr>
          <w:rFonts w:ascii="Times New Roman" w:eastAsia="Times New Roman" w:hAnsi="Times New Roman"/>
          <w:sz w:val="24"/>
        </w:rPr>
        <w:t xml:space="preserve">, C., </w:t>
      </w:r>
      <w:proofErr w:type="spellStart"/>
      <w:r>
        <w:rPr>
          <w:rFonts w:ascii="Times New Roman" w:eastAsia="Times New Roman" w:hAnsi="Times New Roman"/>
          <w:sz w:val="24"/>
        </w:rPr>
        <w:t>Sathiyarajeswaran</w:t>
      </w:r>
      <w:proofErr w:type="spellEnd"/>
      <w:r>
        <w:rPr>
          <w:rFonts w:ascii="Times New Roman" w:eastAsia="Times New Roman" w:hAnsi="Times New Roman"/>
          <w:sz w:val="24"/>
        </w:rPr>
        <w:t xml:space="preserve">, P., </w:t>
      </w:r>
      <w:proofErr w:type="spellStart"/>
      <w:r>
        <w:rPr>
          <w:rFonts w:ascii="Times New Roman" w:eastAsia="Times New Roman" w:hAnsi="Times New Roman"/>
          <w:sz w:val="24"/>
        </w:rPr>
        <w:t>Manickam</w:t>
      </w:r>
      <w:proofErr w:type="spellEnd"/>
      <w:r>
        <w:rPr>
          <w:rFonts w:ascii="Times New Roman" w:eastAsia="Times New Roman" w:hAnsi="Times New Roman"/>
          <w:sz w:val="24"/>
        </w:rPr>
        <w:t xml:space="preserve">, P., </w:t>
      </w:r>
      <w:proofErr w:type="spellStart"/>
      <w:r>
        <w:rPr>
          <w:rFonts w:ascii="Times New Roman" w:eastAsia="Times New Roman" w:hAnsi="Times New Roman"/>
          <w:sz w:val="24"/>
        </w:rPr>
        <w:t>Geetha</w:t>
      </w:r>
      <w:proofErr w:type="spellEnd"/>
      <w:r>
        <w:rPr>
          <w:rFonts w:ascii="Times New Roman" w:eastAsia="Times New Roman" w:hAnsi="Times New Roman"/>
          <w:sz w:val="24"/>
        </w:rPr>
        <w:t xml:space="preserve">, S., </w:t>
      </w:r>
      <w:proofErr w:type="spellStart"/>
      <w:r>
        <w:rPr>
          <w:rFonts w:ascii="Times New Roman" w:eastAsia="Times New Roman" w:hAnsi="Times New Roman"/>
          <w:sz w:val="24"/>
        </w:rPr>
        <w:t>Kathiravan</w:t>
      </w:r>
      <w:proofErr w:type="spellEnd"/>
      <w:r>
        <w:rPr>
          <w:rFonts w:ascii="Times New Roman" w:eastAsia="Times New Roman" w:hAnsi="Times New Roman"/>
          <w:sz w:val="24"/>
        </w:rPr>
        <w:t xml:space="preserve">, R., </w:t>
      </w:r>
    </w:p>
    <w:p w14:paraId="613155DE" w14:textId="77777777" w:rsidR="009631D7" w:rsidRDefault="00C141E1">
      <w:pPr>
        <w:spacing w:after="272" w:line="249" w:lineRule="auto"/>
        <w:ind w:left="-5" w:right="10" w:hanging="10"/>
      </w:pPr>
      <w:proofErr w:type="spellStart"/>
      <w:r>
        <w:rPr>
          <w:rFonts w:ascii="Times New Roman" w:eastAsia="Times New Roman" w:hAnsi="Times New Roman"/>
          <w:sz w:val="24"/>
        </w:rPr>
        <w:t>Prathiba</w:t>
      </w:r>
      <w:proofErr w:type="spellEnd"/>
      <w:r>
        <w:rPr>
          <w:rFonts w:ascii="Times New Roman" w:eastAsia="Times New Roman" w:hAnsi="Times New Roman"/>
          <w:sz w:val="24"/>
        </w:rPr>
        <w:t xml:space="preserve">, P., </w:t>
      </w:r>
      <w:proofErr w:type="spellStart"/>
      <w:r>
        <w:rPr>
          <w:rFonts w:ascii="Times New Roman" w:eastAsia="Times New Roman" w:hAnsi="Times New Roman"/>
          <w:sz w:val="24"/>
        </w:rPr>
        <w:t>Pitchiahkumar</w:t>
      </w:r>
      <w:proofErr w:type="spellEnd"/>
      <w:r>
        <w:rPr>
          <w:rFonts w:ascii="Times New Roman" w:eastAsia="Times New Roman" w:hAnsi="Times New Roman"/>
          <w:sz w:val="24"/>
        </w:rPr>
        <w:t xml:space="preserve">, M., </w:t>
      </w:r>
      <w:proofErr w:type="spellStart"/>
      <w:r>
        <w:rPr>
          <w:rFonts w:ascii="Times New Roman" w:eastAsia="Times New Roman" w:hAnsi="Times New Roman"/>
          <w:sz w:val="24"/>
        </w:rPr>
        <w:t>Parthiban</w:t>
      </w:r>
      <w:proofErr w:type="spellEnd"/>
      <w:r>
        <w:rPr>
          <w:rFonts w:ascii="Times New Roman" w:eastAsia="Times New Roman" w:hAnsi="Times New Roman"/>
          <w:sz w:val="24"/>
        </w:rPr>
        <w:t xml:space="preserve">, P., </w:t>
      </w:r>
      <w:proofErr w:type="spellStart"/>
      <w:r>
        <w:rPr>
          <w:rFonts w:ascii="Times New Roman" w:eastAsia="Times New Roman" w:hAnsi="Times New Roman"/>
          <w:sz w:val="24"/>
        </w:rPr>
        <w:t>Kanakavalli</w:t>
      </w:r>
      <w:proofErr w:type="spellEnd"/>
      <w:r>
        <w:rPr>
          <w:rFonts w:ascii="Times New Roman" w:eastAsia="Times New Roman" w:hAnsi="Times New Roman"/>
          <w:sz w:val="24"/>
        </w:rPr>
        <w:t xml:space="preserve">, K., &amp; </w:t>
      </w:r>
      <w:proofErr w:type="spellStart"/>
      <w:r>
        <w:rPr>
          <w:rFonts w:ascii="Times New Roman" w:eastAsia="Times New Roman" w:hAnsi="Times New Roman"/>
          <w:sz w:val="24"/>
        </w:rPr>
        <w:t>Balaji</w:t>
      </w:r>
      <w:proofErr w:type="spellEnd"/>
      <w:r>
        <w:rPr>
          <w:rFonts w:ascii="Times New Roman" w:eastAsia="Times New Roman" w:hAnsi="Times New Roman"/>
          <w:sz w:val="24"/>
        </w:rPr>
        <w:t xml:space="preserve">, P. (2021). </w:t>
      </w:r>
      <w:proofErr w:type="spellStart"/>
      <w:r>
        <w:rPr>
          <w:rFonts w:ascii="Times New Roman" w:eastAsia="Times New Roman" w:hAnsi="Times New Roman"/>
          <w:sz w:val="24"/>
        </w:rPr>
        <w:t>Kabasura</w:t>
      </w:r>
      <w:proofErr w:type="spellEnd"/>
      <w:r>
        <w:rPr>
          <w:rFonts w:ascii="Times New Roman" w:eastAsia="Times New Roman" w:hAnsi="Times New Roman"/>
          <w:sz w:val="24"/>
        </w:rPr>
        <w:t xml:space="preserve"> </w:t>
      </w:r>
      <w:proofErr w:type="spellStart"/>
      <w:r>
        <w:rPr>
          <w:rFonts w:ascii="Times New Roman" w:eastAsia="Times New Roman" w:hAnsi="Times New Roman"/>
          <w:sz w:val="24"/>
        </w:rPr>
        <w:t>Kudineer</w:t>
      </w:r>
      <w:proofErr w:type="spellEnd"/>
      <w:r>
        <w:rPr>
          <w:rFonts w:ascii="Times New Roman" w:eastAsia="Times New Roman" w:hAnsi="Times New Roman"/>
          <w:sz w:val="24"/>
        </w:rPr>
        <w:t xml:space="preserve"> (KSK), a poly-herbal Siddha medicine, reduced SARS-CoV-2 viral load in asymptomatic COVID-19 individuals as compared to vitamin C and zinc supplementation: findings from a prospective, exploratory, open-labeled, comparative, randomized controlled trial, Tamil Nadu, India. Trials, 22(1), Article 623. </w:t>
      </w:r>
      <w:hyperlink r:id="rId7">
        <w:r>
          <w:rPr>
            <w:rFonts w:ascii="Times New Roman" w:eastAsia="Times New Roman" w:hAnsi="Times New Roman"/>
            <w:color w:val="467886"/>
            <w:sz w:val="24"/>
            <w:u w:val="single" w:color="467886"/>
          </w:rPr>
          <w:t>https://doi.org/10.1186/s13063</w:t>
        </w:r>
      </w:hyperlink>
      <w:hyperlink r:id="rId8">
        <w:r>
          <w:rPr>
            <w:rFonts w:ascii="Times New Roman" w:eastAsia="Times New Roman" w:hAnsi="Times New Roman"/>
            <w:color w:val="467886"/>
            <w:sz w:val="24"/>
            <w:u w:val="single" w:color="467886"/>
          </w:rPr>
          <w:t>-</w:t>
        </w:r>
      </w:hyperlink>
      <w:hyperlink r:id="rId9">
        <w:r>
          <w:rPr>
            <w:rFonts w:ascii="Times New Roman" w:eastAsia="Times New Roman" w:hAnsi="Times New Roman"/>
            <w:color w:val="467886"/>
            <w:sz w:val="24"/>
            <w:u w:val="single" w:color="467886"/>
          </w:rPr>
          <w:t>021</w:t>
        </w:r>
      </w:hyperlink>
      <w:hyperlink r:id="rId10">
        <w:r>
          <w:rPr>
            <w:rFonts w:ascii="Times New Roman" w:eastAsia="Times New Roman" w:hAnsi="Times New Roman"/>
            <w:color w:val="467886"/>
            <w:sz w:val="24"/>
            <w:u w:val="single" w:color="467886"/>
          </w:rPr>
          <w:t>-</w:t>
        </w:r>
      </w:hyperlink>
      <w:hyperlink r:id="rId11">
        <w:r>
          <w:rPr>
            <w:rFonts w:ascii="Times New Roman" w:eastAsia="Times New Roman" w:hAnsi="Times New Roman"/>
            <w:color w:val="467886"/>
            <w:sz w:val="24"/>
            <w:u w:val="single" w:color="467886"/>
          </w:rPr>
          <w:t>05583</w:t>
        </w:r>
      </w:hyperlink>
      <w:hyperlink r:id="rId12">
        <w:r>
          <w:rPr>
            <w:rFonts w:ascii="Times New Roman" w:eastAsia="Times New Roman" w:hAnsi="Times New Roman"/>
            <w:color w:val="467886"/>
            <w:sz w:val="24"/>
            <w:u w:val="single" w:color="467886"/>
          </w:rPr>
          <w:t>-</w:t>
        </w:r>
      </w:hyperlink>
      <w:hyperlink r:id="rId13">
        <w:r>
          <w:rPr>
            <w:rFonts w:ascii="Times New Roman" w:eastAsia="Times New Roman" w:hAnsi="Times New Roman"/>
            <w:color w:val="467886"/>
            <w:sz w:val="24"/>
            <w:u w:val="single" w:color="467886"/>
          </w:rPr>
          <w:t>0</w:t>
        </w:r>
      </w:hyperlink>
      <w:hyperlink r:id="rId14">
        <w:r>
          <w:rPr>
            <w:rFonts w:ascii="Times New Roman" w:eastAsia="Times New Roman" w:hAnsi="Times New Roman"/>
            <w:sz w:val="24"/>
          </w:rPr>
          <w:t xml:space="preserve"> </w:t>
        </w:r>
      </w:hyperlink>
    </w:p>
    <w:p w14:paraId="3CB80868" w14:textId="77777777" w:rsidR="009631D7" w:rsidRDefault="00C141E1">
      <w:pPr>
        <w:spacing w:after="272" w:line="249" w:lineRule="auto"/>
        <w:ind w:left="-5" w:right="10" w:hanging="10"/>
      </w:pPr>
      <w:r>
        <w:rPr>
          <w:rFonts w:ascii="Times New Roman" w:eastAsia="Times New Roman" w:hAnsi="Times New Roman"/>
          <w:sz w:val="24"/>
        </w:rPr>
        <w:t>20)</w:t>
      </w:r>
      <w:proofErr w:type="spellStart"/>
      <w:r>
        <w:rPr>
          <w:rFonts w:ascii="Times New Roman" w:eastAsia="Times New Roman" w:hAnsi="Times New Roman"/>
          <w:sz w:val="24"/>
        </w:rPr>
        <w:t>Asase</w:t>
      </w:r>
      <w:proofErr w:type="spellEnd"/>
      <w:r>
        <w:rPr>
          <w:rFonts w:ascii="Times New Roman" w:eastAsia="Times New Roman" w:hAnsi="Times New Roman"/>
          <w:sz w:val="24"/>
        </w:rPr>
        <w:t xml:space="preserve">, A. (2025). Prevalence of herbal medicine consumption and regulatory compliance in some selected districts of the Bono region, Ghana. PMC. </w:t>
      </w:r>
      <w:hyperlink r:id="rId15">
        <w:r>
          <w:rPr>
            <w:rFonts w:ascii="Times New Roman" w:eastAsia="Times New Roman" w:hAnsi="Times New Roman"/>
            <w:color w:val="467886"/>
            <w:sz w:val="24"/>
            <w:u w:val="single" w:color="467886"/>
          </w:rPr>
          <w:t>https://pmc.ncbi.nlm.nih.gov/articles/PMC12142812/</w:t>
        </w:r>
      </w:hyperlink>
      <w:hyperlink r:id="rId16">
        <w:r>
          <w:rPr>
            <w:rFonts w:ascii="Times New Roman" w:eastAsia="Times New Roman" w:hAnsi="Times New Roman"/>
            <w:sz w:val="24"/>
          </w:rPr>
          <w:t xml:space="preserve"> </w:t>
        </w:r>
      </w:hyperlink>
    </w:p>
    <w:p w14:paraId="7B2740B0" w14:textId="77777777" w:rsidR="009631D7" w:rsidRDefault="00C141E1">
      <w:pPr>
        <w:spacing w:after="272" w:line="249" w:lineRule="auto"/>
        <w:ind w:left="-5" w:right="10" w:hanging="10"/>
      </w:pPr>
      <w:r>
        <w:rPr>
          <w:rFonts w:ascii="Times New Roman" w:eastAsia="Times New Roman" w:hAnsi="Times New Roman"/>
          <w:sz w:val="24"/>
        </w:rPr>
        <w:t xml:space="preserve">21)Assessment of knowledge, attitude and practice (KAP) regarding siddha medicines by veterinarians in Tamil Nadu. (2025). </w:t>
      </w:r>
      <w:proofErr w:type="spellStart"/>
      <w:r>
        <w:rPr>
          <w:rFonts w:ascii="Times New Roman" w:eastAsia="Times New Roman" w:hAnsi="Times New Roman"/>
          <w:sz w:val="24"/>
        </w:rPr>
        <w:t>Bioinformation</w:t>
      </w:r>
      <w:proofErr w:type="spellEnd"/>
      <w:r>
        <w:rPr>
          <w:rFonts w:ascii="Times New Roman" w:eastAsia="Times New Roman" w:hAnsi="Times New Roman"/>
          <w:sz w:val="24"/>
        </w:rPr>
        <w:t xml:space="preserve">, 21(9). </w:t>
      </w:r>
      <w:hyperlink r:id="rId17">
        <w:r>
          <w:rPr>
            <w:rFonts w:ascii="Times New Roman" w:eastAsia="Times New Roman" w:hAnsi="Times New Roman"/>
            <w:color w:val="467886"/>
            <w:sz w:val="24"/>
            <w:u w:val="single" w:color="467886"/>
          </w:rPr>
          <w:t>https://www.bioinformation.net/021/973206300212956.pdf</w:t>
        </w:r>
      </w:hyperlink>
      <w:hyperlink r:id="rId18">
        <w:r>
          <w:rPr>
            <w:rFonts w:ascii="Times New Roman" w:eastAsia="Times New Roman" w:hAnsi="Times New Roman"/>
            <w:sz w:val="24"/>
          </w:rPr>
          <w:t xml:space="preserve"> </w:t>
        </w:r>
      </w:hyperlink>
    </w:p>
    <w:p w14:paraId="2BE9A802" w14:textId="77777777" w:rsidR="009631D7" w:rsidRDefault="00C141E1">
      <w:pPr>
        <w:spacing w:after="272" w:line="249" w:lineRule="auto"/>
        <w:ind w:left="-5" w:right="10" w:hanging="10"/>
      </w:pPr>
      <w:r>
        <w:rPr>
          <w:rFonts w:ascii="Times New Roman" w:eastAsia="Times New Roman" w:hAnsi="Times New Roman"/>
          <w:sz w:val="24"/>
        </w:rPr>
        <w:t>22)</w:t>
      </w:r>
      <w:proofErr w:type="spellStart"/>
      <w:r>
        <w:rPr>
          <w:rFonts w:ascii="Times New Roman" w:eastAsia="Times New Roman" w:hAnsi="Times New Roman"/>
          <w:sz w:val="24"/>
        </w:rPr>
        <w:t>Gnanashanmugam</w:t>
      </w:r>
      <w:proofErr w:type="spellEnd"/>
      <w:r>
        <w:rPr>
          <w:rFonts w:ascii="Times New Roman" w:eastAsia="Times New Roman" w:hAnsi="Times New Roman"/>
          <w:sz w:val="24"/>
        </w:rPr>
        <w:t xml:space="preserve">, G., </w:t>
      </w:r>
      <w:proofErr w:type="spellStart"/>
      <w:r>
        <w:rPr>
          <w:rFonts w:ascii="Times New Roman" w:eastAsia="Times New Roman" w:hAnsi="Times New Roman"/>
          <w:sz w:val="24"/>
        </w:rPr>
        <w:t>Balakrishnan</w:t>
      </w:r>
      <w:proofErr w:type="spellEnd"/>
      <w:r>
        <w:rPr>
          <w:rFonts w:ascii="Times New Roman" w:eastAsia="Times New Roman" w:hAnsi="Times New Roman"/>
          <w:sz w:val="24"/>
        </w:rPr>
        <w:t xml:space="preserve">, R., </w:t>
      </w:r>
      <w:proofErr w:type="spellStart"/>
      <w:r>
        <w:rPr>
          <w:rFonts w:ascii="Times New Roman" w:eastAsia="Times New Roman" w:hAnsi="Times New Roman"/>
          <w:sz w:val="24"/>
        </w:rPr>
        <w:t>Somasundaram</w:t>
      </w:r>
      <w:proofErr w:type="spellEnd"/>
      <w:r>
        <w:rPr>
          <w:rFonts w:ascii="Times New Roman" w:eastAsia="Times New Roman" w:hAnsi="Times New Roman"/>
          <w:sz w:val="24"/>
        </w:rPr>
        <w:t xml:space="preserve">, S. P., </w:t>
      </w:r>
      <w:proofErr w:type="spellStart"/>
      <w:r>
        <w:rPr>
          <w:rFonts w:ascii="Times New Roman" w:eastAsia="Times New Roman" w:hAnsi="Times New Roman"/>
          <w:sz w:val="24"/>
        </w:rPr>
        <w:t>Parimalam</w:t>
      </w:r>
      <w:proofErr w:type="spellEnd"/>
      <w:r>
        <w:rPr>
          <w:rFonts w:ascii="Times New Roman" w:eastAsia="Times New Roman" w:hAnsi="Times New Roman"/>
          <w:sz w:val="24"/>
        </w:rPr>
        <w:t xml:space="preserve">, N., </w:t>
      </w:r>
      <w:proofErr w:type="spellStart"/>
      <w:r>
        <w:rPr>
          <w:rFonts w:ascii="Times New Roman" w:eastAsia="Times New Roman" w:hAnsi="Times New Roman"/>
          <w:sz w:val="24"/>
        </w:rPr>
        <w:t>Rajmohan</w:t>
      </w:r>
      <w:proofErr w:type="spellEnd"/>
      <w:r>
        <w:rPr>
          <w:rFonts w:ascii="Times New Roman" w:eastAsia="Times New Roman" w:hAnsi="Times New Roman"/>
          <w:sz w:val="24"/>
        </w:rPr>
        <w:t xml:space="preserve">, P., &amp; </w:t>
      </w:r>
      <w:proofErr w:type="spellStart"/>
      <w:r>
        <w:rPr>
          <w:rFonts w:ascii="Times New Roman" w:eastAsia="Times New Roman" w:hAnsi="Times New Roman"/>
          <w:sz w:val="24"/>
        </w:rPr>
        <w:t>Pranesh</w:t>
      </w:r>
      <w:proofErr w:type="spellEnd"/>
      <w:r>
        <w:rPr>
          <w:rFonts w:ascii="Times New Roman" w:eastAsia="Times New Roman" w:hAnsi="Times New Roman"/>
          <w:sz w:val="24"/>
        </w:rPr>
        <w:t xml:space="preserve">, M. B. (2018). Mercury toxicity following unauthorized siddha medicine intake – A mimicker of acquired </w:t>
      </w:r>
      <w:proofErr w:type="spellStart"/>
      <w:r>
        <w:rPr>
          <w:rFonts w:ascii="Times New Roman" w:eastAsia="Times New Roman" w:hAnsi="Times New Roman"/>
          <w:sz w:val="24"/>
        </w:rPr>
        <w:t>neuromyotonia</w:t>
      </w:r>
      <w:proofErr w:type="spellEnd"/>
      <w:r>
        <w:rPr>
          <w:rFonts w:ascii="Times New Roman" w:eastAsia="Times New Roman" w:hAnsi="Times New Roman"/>
          <w:sz w:val="24"/>
        </w:rPr>
        <w:t xml:space="preserve"> – Report of 32 cases. Annals of Indian Academy of Neurology, 21(1), 49–54. https://doi.org/10.4103/aian.aian_274_17 </w:t>
      </w:r>
    </w:p>
    <w:p w14:paraId="3DDF292C" w14:textId="77777777" w:rsidR="009631D7" w:rsidRDefault="00C141E1">
      <w:pPr>
        <w:spacing w:after="255"/>
      </w:pPr>
      <w:r>
        <w:rPr>
          <w:rFonts w:ascii="Times New Roman" w:eastAsia="Times New Roman" w:hAnsi="Times New Roman"/>
          <w:sz w:val="24"/>
        </w:rPr>
        <w:t xml:space="preserve"> </w:t>
      </w:r>
    </w:p>
    <w:p w14:paraId="353B4BA9" w14:textId="77777777" w:rsidR="009631D7" w:rsidRDefault="00C141E1">
      <w:pPr>
        <w:spacing w:after="260"/>
      </w:pPr>
      <w:r>
        <w:rPr>
          <w:rFonts w:ascii="Times New Roman" w:eastAsia="Times New Roman" w:hAnsi="Times New Roman"/>
          <w:sz w:val="24"/>
        </w:rPr>
        <w:t xml:space="preserve"> </w:t>
      </w:r>
    </w:p>
    <w:p w14:paraId="3ED26198" w14:textId="77777777" w:rsidR="009631D7" w:rsidRDefault="00C141E1">
      <w:pPr>
        <w:spacing w:after="255"/>
      </w:pPr>
      <w:r>
        <w:rPr>
          <w:rFonts w:ascii="Times New Roman" w:eastAsia="Times New Roman" w:hAnsi="Times New Roman"/>
          <w:sz w:val="24"/>
        </w:rPr>
        <w:t xml:space="preserve"> </w:t>
      </w:r>
    </w:p>
    <w:p w14:paraId="27F6DDD6" w14:textId="77777777" w:rsidR="009631D7" w:rsidRDefault="00C141E1">
      <w:pPr>
        <w:spacing w:after="255"/>
      </w:pPr>
      <w:r>
        <w:rPr>
          <w:rFonts w:ascii="Times New Roman" w:eastAsia="Times New Roman" w:hAnsi="Times New Roman"/>
          <w:sz w:val="24"/>
        </w:rPr>
        <w:t xml:space="preserve"> </w:t>
      </w:r>
    </w:p>
    <w:p w14:paraId="44A91782" w14:textId="77777777" w:rsidR="009631D7" w:rsidRDefault="00C141E1">
      <w:pPr>
        <w:spacing w:after="0"/>
      </w:pPr>
      <w:r>
        <w:rPr>
          <w:rFonts w:ascii="Aptos" w:eastAsia="Aptos" w:hAnsi="Aptos" w:cs="Aptos"/>
          <w:sz w:val="24"/>
        </w:rPr>
        <w:t xml:space="preserve"> </w:t>
      </w:r>
    </w:p>
    <w:sectPr w:rsidR="009631D7">
      <w:pgSz w:w="12240" w:h="15840"/>
      <w:pgMar w:top="1440" w:right="1434" w:bottom="1487" w:left="144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43" w:usb2="00000009" w:usb3="00000000" w:csb0="000001FF" w:csb1="00000000"/>
  </w:font>
  <w:font w:name="Segoe UI Symbol">
    <w:panose1 w:val="020B0502040204020203"/>
    <w:charset w:val="00"/>
    <w:family w:val="swiss"/>
    <w:pitch w:val="variable"/>
    <w:sig w:usb0="800001E3" w:usb1="1200FFEF" w:usb2="0064C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C7368"/>
    <w:multiLevelType w:val="hybridMultilevel"/>
    <w:tmpl w:val="FFFFFFFF"/>
    <w:lvl w:ilvl="0" w:tplc="53369368">
      <w:start w:val="1"/>
      <w:numFmt w:val="decimal"/>
      <w:pStyle w:val="Heading1"/>
      <w:lvlText w:val="%1."/>
      <w:lvlJc w:val="left"/>
      <w:pPr>
        <w:ind w:left="0"/>
      </w:pPr>
      <w:rPr>
        <w:rFonts w:ascii="Aptos" w:eastAsia="Aptos" w:hAnsi="Aptos" w:cs="Aptos"/>
        <w:b/>
        <w:bCs/>
        <w:i w:val="0"/>
        <w:strike w:val="0"/>
        <w:dstrike w:val="0"/>
        <w:color w:val="0070C0"/>
        <w:sz w:val="32"/>
        <w:szCs w:val="32"/>
        <w:u w:val="none" w:color="000000"/>
        <w:bdr w:val="none" w:sz="0" w:space="0" w:color="auto"/>
        <w:shd w:val="clear" w:color="auto" w:fill="auto"/>
        <w:vertAlign w:val="baseline"/>
      </w:rPr>
    </w:lvl>
    <w:lvl w:ilvl="1" w:tplc="A90E0082">
      <w:start w:val="1"/>
      <w:numFmt w:val="lowerLetter"/>
      <w:lvlText w:val="%2"/>
      <w:lvlJc w:val="left"/>
      <w:pPr>
        <w:ind w:left="1080"/>
      </w:pPr>
      <w:rPr>
        <w:rFonts w:ascii="Aptos" w:eastAsia="Aptos" w:hAnsi="Aptos" w:cs="Aptos"/>
        <w:b/>
        <w:bCs/>
        <w:i w:val="0"/>
        <w:strike w:val="0"/>
        <w:dstrike w:val="0"/>
        <w:color w:val="0070C0"/>
        <w:sz w:val="32"/>
        <w:szCs w:val="32"/>
        <w:u w:val="none" w:color="000000"/>
        <w:bdr w:val="none" w:sz="0" w:space="0" w:color="auto"/>
        <w:shd w:val="clear" w:color="auto" w:fill="auto"/>
        <w:vertAlign w:val="baseline"/>
      </w:rPr>
    </w:lvl>
    <w:lvl w:ilvl="2" w:tplc="F3BE5F44">
      <w:start w:val="1"/>
      <w:numFmt w:val="lowerRoman"/>
      <w:lvlText w:val="%3"/>
      <w:lvlJc w:val="left"/>
      <w:pPr>
        <w:ind w:left="1800"/>
      </w:pPr>
      <w:rPr>
        <w:rFonts w:ascii="Aptos" w:eastAsia="Aptos" w:hAnsi="Aptos" w:cs="Aptos"/>
        <w:b/>
        <w:bCs/>
        <w:i w:val="0"/>
        <w:strike w:val="0"/>
        <w:dstrike w:val="0"/>
        <w:color w:val="0070C0"/>
        <w:sz w:val="32"/>
        <w:szCs w:val="32"/>
        <w:u w:val="none" w:color="000000"/>
        <w:bdr w:val="none" w:sz="0" w:space="0" w:color="auto"/>
        <w:shd w:val="clear" w:color="auto" w:fill="auto"/>
        <w:vertAlign w:val="baseline"/>
      </w:rPr>
    </w:lvl>
    <w:lvl w:ilvl="3" w:tplc="1E782DE0">
      <w:start w:val="1"/>
      <w:numFmt w:val="decimal"/>
      <w:lvlText w:val="%4"/>
      <w:lvlJc w:val="left"/>
      <w:pPr>
        <w:ind w:left="2520"/>
      </w:pPr>
      <w:rPr>
        <w:rFonts w:ascii="Aptos" w:eastAsia="Aptos" w:hAnsi="Aptos" w:cs="Aptos"/>
        <w:b/>
        <w:bCs/>
        <w:i w:val="0"/>
        <w:strike w:val="0"/>
        <w:dstrike w:val="0"/>
        <w:color w:val="0070C0"/>
        <w:sz w:val="32"/>
        <w:szCs w:val="32"/>
        <w:u w:val="none" w:color="000000"/>
        <w:bdr w:val="none" w:sz="0" w:space="0" w:color="auto"/>
        <w:shd w:val="clear" w:color="auto" w:fill="auto"/>
        <w:vertAlign w:val="baseline"/>
      </w:rPr>
    </w:lvl>
    <w:lvl w:ilvl="4" w:tplc="2E3E761A">
      <w:start w:val="1"/>
      <w:numFmt w:val="lowerLetter"/>
      <w:lvlText w:val="%5"/>
      <w:lvlJc w:val="left"/>
      <w:pPr>
        <w:ind w:left="3240"/>
      </w:pPr>
      <w:rPr>
        <w:rFonts w:ascii="Aptos" w:eastAsia="Aptos" w:hAnsi="Aptos" w:cs="Aptos"/>
        <w:b/>
        <w:bCs/>
        <w:i w:val="0"/>
        <w:strike w:val="0"/>
        <w:dstrike w:val="0"/>
        <w:color w:val="0070C0"/>
        <w:sz w:val="32"/>
        <w:szCs w:val="32"/>
        <w:u w:val="none" w:color="000000"/>
        <w:bdr w:val="none" w:sz="0" w:space="0" w:color="auto"/>
        <w:shd w:val="clear" w:color="auto" w:fill="auto"/>
        <w:vertAlign w:val="baseline"/>
      </w:rPr>
    </w:lvl>
    <w:lvl w:ilvl="5" w:tplc="31A297C0">
      <w:start w:val="1"/>
      <w:numFmt w:val="lowerRoman"/>
      <w:lvlText w:val="%6"/>
      <w:lvlJc w:val="left"/>
      <w:pPr>
        <w:ind w:left="3960"/>
      </w:pPr>
      <w:rPr>
        <w:rFonts w:ascii="Aptos" w:eastAsia="Aptos" w:hAnsi="Aptos" w:cs="Aptos"/>
        <w:b/>
        <w:bCs/>
        <w:i w:val="0"/>
        <w:strike w:val="0"/>
        <w:dstrike w:val="0"/>
        <w:color w:val="0070C0"/>
        <w:sz w:val="32"/>
        <w:szCs w:val="32"/>
        <w:u w:val="none" w:color="000000"/>
        <w:bdr w:val="none" w:sz="0" w:space="0" w:color="auto"/>
        <w:shd w:val="clear" w:color="auto" w:fill="auto"/>
        <w:vertAlign w:val="baseline"/>
      </w:rPr>
    </w:lvl>
    <w:lvl w:ilvl="6" w:tplc="4580B200">
      <w:start w:val="1"/>
      <w:numFmt w:val="decimal"/>
      <w:lvlText w:val="%7"/>
      <w:lvlJc w:val="left"/>
      <w:pPr>
        <w:ind w:left="4680"/>
      </w:pPr>
      <w:rPr>
        <w:rFonts w:ascii="Aptos" w:eastAsia="Aptos" w:hAnsi="Aptos" w:cs="Aptos"/>
        <w:b/>
        <w:bCs/>
        <w:i w:val="0"/>
        <w:strike w:val="0"/>
        <w:dstrike w:val="0"/>
        <w:color w:val="0070C0"/>
        <w:sz w:val="32"/>
        <w:szCs w:val="32"/>
        <w:u w:val="none" w:color="000000"/>
        <w:bdr w:val="none" w:sz="0" w:space="0" w:color="auto"/>
        <w:shd w:val="clear" w:color="auto" w:fill="auto"/>
        <w:vertAlign w:val="baseline"/>
      </w:rPr>
    </w:lvl>
    <w:lvl w:ilvl="7" w:tplc="3EA6D16C">
      <w:start w:val="1"/>
      <w:numFmt w:val="lowerLetter"/>
      <w:lvlText w:val="%8"/>
      <w:lvlJc w:val="left"/>
      <w:pPr>
        <w:ind w:left="5400"/>
      </w:pPr>
      <w:rPr>
        <w:rFonts w:ascii="Aptos" w:eastAsia="Aptos" w:hAnsi="Aptos" w:cs="Aptos"/>
        <w:b/>
        <w:bCs/>
        <w:i w:val="0"/>
        <w:strike w:val="0"/>
        <w:dstrike w:val="0"/>
        <w:color w:val="0070C0"/>
        <w:sz w:val="32"/>
        <w:szCs w:val="32"/>
        <w:u w:val="none" w:color="000000"/>
        <w:bdr w:val="none" w:sz="0" w:space="0" w:color="auto"/>
        <w:shd w:val="clear" w:color="auto" w:fill="auto"/>
        <w:vertAlign w:val="baseline"/>
      </w:rPr>
    </w:lvl>
    <w:lvl w:ilvl="8" w:tplc="BFA486CC">
      <w:start w:val="1"/>
      <w:numFmt w:val="lowerRoman"/>
      <w:lvlText w:val="%9"/>
      <w:lvlJc w:val="left"/>
      <w:pPr>
        <w:ind w:left="6120"/>
      </w:pPr>
      <w:rPr>
        <w:rFonts w:ascii="Aptos" w:eastAsia="Aptos" w:hAnsi="Aptos" w:cs="Aptos"/>
        <w:b/>
        <w:bCs/>
        <w:i w:val="0"/>
        <w:strike w:val="0"/>
        <w:dstrike w:val="0"/>
        <w:color w:val="0070C0"/>
        <w:sz w:val="32"/>
        <w:szCs w:val="32"/>
        <w:u w:val="none" w:color="000000"/>
        <w:bdr w:val="none" w:sz="0" w:space="0" w:color="auto"/>
        <w:shd w:val="clear" w:color="auto" w:fill="auto"/>
        <w:vertAlign w:val="baseline"/>
      </w:rPr>
    </w:lvl>
  </w:abstractNum>
  <w:abstractNum w:abstractNumId="1" w15:restartNumberingAfterBreak="0">
    <w:nsid w:val="105E193A"/>
    <w:multiLevelType w:val="hybridMultilevel"/>
    <w:tmpl w:val="FFFFFFFF"/>
    <w:lvl w:ilvl="0" w:tplc="FBEC29DE">
      <w:start w:val="2"/>
      <w:numFmt w:val="decimal"/>
      <w:lvlText w:val="%1."/>
      <w:lvlJc w:val="left"/>
      <w:pPr>
        <w:ind w:left="305"/>
      </w:pPr>
      <w:rPr>
        <w:rFonts w:ascii="Aptos" w:eastAsia="Aptos" w:hAnsi="Aptos" w:cs="Aptos"/>
        <w:b/>
        <w:bCs/>
        <w:i w:val="0"/>
        <w:strike w:val="0"/>
        <w:dstrike w:val="0"/>
        <w:color w:val="0070C0"/>
        <w:sz w:val="28"/>
        <w:szCs w:val="28"/>
        <w:u w:val="none" w:color="000000"/>
        <w:bdr w:val="none" w:sz="0" w:space="0" w:color="auto"/>
        <w:shd w:val="clear" w:color="auto" w:fill="auto"/>
        <w:vertAlign w:val="baseline"/>
      </w:rPr>
    </w:lvl>
    <w:lvl w:ilvl="1" w:tplc="AE2074FC">
      <w:start w:val="1"/>
      <w:numFmt w:val="bullet"/>
      <w:lvlText w:val="•"/>
      <w:lvlJc w:val="left"/>
      <w:pPr>
        <w:ind w:left="7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47D2DA08">
      <w:start w:val="1"/>
      <w:numFmt w:val="bullet"/>
      <w:lvlText w:val="▪"/>
      <w:lvlJc w:val="left"/>
      <w:pPr>
        <w:ind w:left="144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227EB53A">
      <w:start w:val="1"/>
      <w:numFmt w:val="bullet"/>
      <w:lvlText w:val="•"/>
      <w:lvlJc w:val="left"/>
      <w:pPr>
        <w:ind w:left="216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C3A2B70">
      <w:start w:val="1"/>
      <w:numFmt w:val="bullet"/>
      <w:lvlText w:val="o"/>
      <w:lvlJc w:val="left"/>
      <w:pPr>
        <w:ind w:left="288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C63C7994">
      <w:start w:val="1"/>
      <w:numFmt w:val="bullet"/>
      <w:lvlText w:val="▪"/>
      <w:lvlJc w:val="left"/>
      <w:pPr>
        <w:ind w:left="360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9EE0A5BA">
      <w:start w:val="1"/>
      <w:numFmt w:val="bullet"/>
      <w:lvlText w:val="•"/>
      <w:lvlJc w:val="left"/>
      <w:pPr>
        <w:ind w:left="43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142FC1E">
      <w:start w:val="1"/>
      <w:numFmt w:val="bullet"/>
      <w:lvlText w:val="o"/>
      <w:lvlJc w:val="left"/>
      <w:pPr>
        <w:ind w:left="504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93269D18">
      <w:start w:val="1"/>
      <w:numFmt w:val="bullet"/>
      <w:lvlText w:val="▪"/>
      <w:lvlJc w:val="left"/>
      <w:pPr>
        <w:ind w:left="576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25AD2034"/>
    <w:multiLevelType w:val="hybridMultilevel"/>
    <w:tmpl w:val="FFFFFFFF"/>
    <w:lvl w:ilvl="0" w:tplc="600630F0">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07A9D6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912745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02C398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294D26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15C499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9987A8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B9C271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D84182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72352C05"/>
    <w:multiLevelType w:val="hybridMultilevel"/>
    <w:tmpl w:val="FFFFFFFF"/>
    <w:lvl w:ilvl="0" w:tplc="E214B11A">
      <w:start w:val="8"/>
      <w:numFmt w:val="decimal"/>
      <w:lvlText w:val="%1."/>
      <w:lvlJc w:val="left"/>
      <w:pPr>
        <w:ind w:left="290"/>
      </w:pPr>
      <w:rPr>
        <w:rFonts w:ascii="Aptos" w:eastAsia="Aptos" w:hAnsi="Aptos" w:cs="Aptos"/>
        <w:b/>
        <w:bCs/>
        <w:i w:val="0"/>
        <w:strike w:val="0"/>
        <w:dstrike w:val="0"/>
        <w:color w:val="0070C0"/>
        <w:sz w:val="28"/>
        <w:szCs w:val="28"/>
        <w:u w:val="none" w:color="000000"/>
        <w:bdr w:val="none" w:sz="0" w:space="0" w:color="auto"/>
        <w:shd w:val="clear" w:color="auto" w:fill="auto"/>
        <w:vertAlign w:val="baseline"/>
      </w:rPr>
    </w:lvl>
    <w:lvl w:ilvl="1" w:tplc="A1BE8C00">
      <w:start w:val="1"/>
      <w:numFmt w:val="lowerLetter"/>
      <w:lvlText w:val="%2"/>
      <w:lvlJc w:val="left"/>
      <w:pPr>
        <w:ind w:left="1080"/>
      </w:pPr>
      <w:rPr>
        <w:rFonts w:ascii="Aptos" w:eastAsia="Aptos" w:hAnsi="Aptos" w:cs="Aptos"/>
        <w:b/>
        <w:bCs/>
        <w:i w:val="0"/>
        <w:strike w:val="0"/>
        <w:dstrike w:val="0"/>
        <w:color w:val="0070C0"/>
        <w:sz w:val="28"/>
        <w:szCs w:val="28"/>
        <w:u w:val="none" w:color="000000"/>
        <w:bdr w:val="none" w:sz="0" w:space="0" w:color="auto"/>
        <w:shd w:val="clear" w:color="auto" w:fill="auto"/>
        <w:vertAlign w:val="baseline"/>
      </w:rPr>
    </w:lvl>
    <w:lvl w:ilvl="2" w:tplc="475E5A60">
      <w:start w:val="1"/>
      <w:numFmt w:val="lowerRoman"/>
      <w:lvlText w:val="%3"/>
      <w:lvlJc w:val="left"/>
      <w:pPr>
        <w:ind w:left="1800"/>
      </w:pPr>
      <w:rPr>
        <w:rFonts w:ascii="Aptos" w:eastAsia="Aptos" w:hAnsi="Aptos" w:cs="Aptos"/>
        <w:b/>
        <w:bCs/>
        <w:i w:val="0"/>
        <w:strike w:val="0"/>
        <w:dstrike w:val="0"/>
        <w:color w:val="0070C0"/>
        <w:sz w:val="28"/>
        <w:szCs w:val="28"/>
        <w:u w:val="none" w:color="000000"/>
        <w:bdr w:val="none" w:sz="0" w:space="0" w:color="auto"/>
        <w:shd w:val="clear" w:color="auto" w:fill="auto"/>
        <w:vertAlign w:val="baseline"/>
      </w:rPr>
    </w:lvl>
    <w:lvl w:ilvl="3" w:tplc="AC26C7A4">
      <w:start w:val="1"/>
      <w:numFmt w:val="decimal"/>
      <w:lvlText w:val="%4"/>
      <w:lvlJc w:val="left"/>
      <w:pPr>
        <w:ind w:left="2520"/>
      </w:pPr>
      <w:rPr>
        <w:rFonts w:ascii="Aptos" w:eastAsia="Aptos" w:hAnsi="Aptos" w:cs="Aptos"/>
        <w:b/>
        <w:bCs/>
        <w:i w:val="0"/>
        <w:strike w:val="0"/>
        <w:dstrike w:val="0"/>
        <w:color w:val="0070C0"/>
        <w:sz w:val="28"/>
        <w:szCs w:val="28"/>
        <w:u w:val="none" w:color="000000"/>
        <w:bdr w:val="none" w:sz="0" w:space="0" w:color="auto"/>
        <w:shd w:val="clear" w:color="auto" w:fill="auto"/>
        <w:vertAlign w:val="baseline"/>
      </w:rPr>
    </w:lvl>
    <w:lvl w:ilvl="4" w:tplc="6FEE76FC">
      <w:start w:val="1"/>
      <w:numFmt w:val="lowerLetter"/>
      <w:lvlText w:val="%5"/>
      <w:lvlJc w:val="left"/>
      <w:pPr>
        <w:ind w:left="3240"/>
      </w:pPr>
      <w:rPr>
        <w:rFonts w:ascii="Aptos" w:eastAsia="Aptos" w:hAnsi="Aptos" w:cs="Aptos"/>
        <w:b/>
        <w:bCs/>
        <w:i w:val="0"/>
        <w:strike w:val="0"/>
        <w:dstrike w:val="0"/>
        <w:color w:val="0070C0"/>
        <w:sz w:val="28"/>
        <w:szCs w:val="28"/>
        <w:u w:val="none" w:color="000000"/>
        <w:bdr w:val="none" w:sz="0" w:space="0" w:color="auto"/>
        <w:shd w:val="clear" w:color="auto" w:fill="auto"/>
        <w:vertAlign w:val="baseline"/>
      </w:rPr>
    </w:lvl>
    <w:lvl w:ilvl="5" w:tplc="2220932E">
      <w:start w:val="1"/>
      <w:numFmt w:val="lowerRoman"/>
      <w:lvlText w:val="%6"/>
      <w:lvlJc w:val="left"/>
      <w:pPr>
        <w:ind w:left="3960"/>
      </w:pPr>
      <w:rPr>
        <w:rFonts w:ascii="Aptos" w:eastAsia="Aptos" w:hAnsi="Aptos" w:cs="Aptos"/>
        <w:b/>
        <w:bCs/>
        <w:i w:val="0"/>
        <w:strike w:val="0"/>
        <w:dstrike w:val="0"/>
        <w:color w:val="0070C0"/>
        <w:sz w:val="28"/>
        <w:szCs w:val="28"/>
        <w:u w:val="none" w:color="000000"/>
        <w:bdr w:val="none" w:sz="0" w:space="0" w:color="auto"/>
        <w:shd w:val="clear" w:color="auto" w:fill="auto"/>
        <w:vertAlign w:val="baseline"/>
      </w:rPr>
    </w:lvl>
    <w:lvl w:ilvl="6" w:tplc="B7AA83F8">
      <w:start w:val="1"/>
      <w:numFmt w:val="decimal"/>
      <w:lvlText w:val="%7"/>
      <w:lvlJc w:val="left"/>
      <w:pPr>
        <w:ind w:left="4680"/>
      </w:pPr>
      <w:rPr>
        <w:rFonts w:ascii="Aptos" w:eastAsia="Aptos" w:hAnsi="Aptos" w:cs="Aptos"/>
        <w:b/>
        <w:bCs/>
        <w:i w:val="0"/>
        <w:strike w:val="0"/>
        <w:dstrike w:val="0"/>
        <w:color w:val="0070C0"/>
        <w:sz w:val="28"/>
        <w:szCs w:val="28"/>
        <w:u w:val="none" w:color="000000"/>
        <w:bdr w:val="none" w:sz="0" w:space="0" w:color="auto"/>
        <w:shd w:val="clear" w:color="auto" w:fill="auto"/>
        <w:vertAlign w:val="baseline"/>
      </w:rPr>
    </w:lvl>
    <w:lvl w:ilvl="7" w:tplc="5CA6E286">
      <w:start w:val="1"/>
      <w:numFmt w:val="lowerLetter"/>
      <w:lvlText w:val="%8"/>
      <w:lvlJc w:val="left"/>
      <w:pPr>
        <w:ind w:left="5400"/>
      </w:pPr>
      <w:rPr>
        <w:rFonts w:ascii="Aptos" w:eastAsia="Aptos" w:hAnsi="Aptos" w:cs="Aptos"/>
        <w:b/>
        <w:bCs/>
        <w:i w:val="0"/>
        <w:strike w:val="0"/>
        <w:dstrike w:val="0"/>
        <w:color w:val="0070C0"/>
        <w:sz w:val="28"/>
        <w:szCs w:val="28"/>
        <w:u w:val="none" w:color="000000"/>
        <w:bdr w:val="none" w:sz="0" w:space="0" w:color="auto"/>
        <w:shd w:val="clear" w:color="auto" w:fill="auto"/>
        <w:vertAlign w:val="baseline"/>
      </w:rPr>
    </w:lvl>
    <w:lvl w:ilvl="8" w:tplc="D220C70E">
      <w:start w:val="1"/>
      <w:numFmt w:val="lowerRoman"/>
      <w:lvlText w:val="%9"/>
      <w:lvlJc w:val="left"/>
      <w:pPr>
        <w:ind w:left="6120"/>
      </w:pPr>
      <w:rPr>
        <w:rFonts w:ascii="Aptos" w:eastAsia="Aptos" w:hAnsi="Aptos" w:cs="Aptos"/>
        <w:b/>
        <w:bCs/>
        <w:i w:val="0"/>
        <w:strike w:val="0"/>
        <w:dstrike w:val="0"/>
        <w:color w:val="0070C0"/>
        <w:sz w:val="28"/>
        <w:szCs w:val="28"/>
        <w:u w:val="none" w:color="000000"/>
        <w:bdr w:val="none" w:sz="0" w:space="0" w:color="auto"/>
        <w:shd w:val="clear" w:color="auto" w:fill="auto"/>
        <w:vertAlign w:val="baseline"/>
      </w:rPr>
    </w:lvl>
  </w:abstractNum>
  <w:num w:numId="1" w16cid:durableId="295185676">
    <w:abstractNumId w:val="1"/>
  </w:num>
  <w:num w:numId="2" w16cid:durableId="1964381372">
    <w:abstractNumId w:val="3"/>
  </w:num>
  <w:num w:numId="3" w16cid:durableId="706105075">
    <w:abstractNumId w:val="2"/>
  </w:num>
  <w:num w:numId="4" w16cid:durableId="261780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45"/>
  <w:proofState w:spelling="clean"/>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31D7"/>
    <w:rsid w:val="00120CD1"/>
    <w:rsid w:val="002331A3"/>
    <w:rsid w:val="009631D7"/>
    <w:rsid w:val="00C141E1"/>
    <w:rsid w:val="00F2309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ecimalSymbol w:val="."/>
  <w:listSeparator w:val=","/>
  <w14:docId w14:val="16C96278"/>
  <w15:docId w15:val="{DD6411D7-462C-274E-9762-0D96E92FE9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Times New Roman"/>
      <w:color w:val="000000"/>
      <w:sz w:val="22"/>
      <w:lang w:val="en" w:eastAsia="en"/>
    </w:rPr>
  </w:style>
  <w:style w:type="paragraph" w:styleId="Heading1">
    <w:name w:val="heading 1"/>
    <w:next w:val="Normal"/>
    <w:link w:val="Heading1Char"/>
    <w:uiPriority w:val="9"/>
    <w:qFormat/>
    <w:pPr>
      <w:keepNext/>
      <w:keepLines/>
      <w:numPr>
        <w:numId w:val="4"/>
      </w:numPr>
      <w:spacing w:after="236" w:line="259" w:lineRule="auto"/>
      <w:outlineLvl w:val="0"/>
    </w:pPr>
    <w:rPr>
      <w:rFonts w:ascii="Aptos" w:eastAsia="Aptos" w:hAnsi="Aptos" w:cs="Aptos"/>
      <w:b/>
      <w:color w:val="0070C0"/>
      <w:sz w:val="32"/>
    </w:rPr>
  </w:style>
  <w:style w:type="paragraph" w:styleId="Heading2">
    <w:name w:val="heading 2"/>
    <w:next w:val="Normal"/>
    <w:link w:val="Heading2Char"/>
    <w:uiPriority w:val="9"/>
    <w:unhideWhenUsed/>
    <w:qFormat/>
    <w:pPr>
      <w:keepNext/>
      <w:keepLines/>
      <w:spacing w:after="267" w:line="259" w:lineRule="auto"/>
      <w:ind w:left="10" w:hanging="10"/>
      <w:outlineLvl w:val="1"/>
    </w:pPr>
    <w:rPr>
      <w:rFonts w:ascii="Aptos" w:eastAsia="Aptos" w:hAnsi="Aptos" w:cs="Aptos"/>
      <w:b/>
      <w:color w:val="0F4761"/>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ptos" w:eastAsia="Aptos" w:hAnsi="Aptos" w:cs="Aptos"/>
      <w:b/>
      <w:color w:val="0070C0"/>
      <w:sz w:val="32"/>
    </w:rPr>
  </w:style>
  <w:style w:type="character" w:customStyle="1" w:styleId="Heading2Char">
    <w:name w:val="Heading 2 Char"/>
    <w:link w:val="Heading2"/>
    <w:rPr>
      <w:rFonts w:ascii="Aptos" w:eastAsia="Aptos" w:hAnsi="Aptos" w:cs="Aptos"/>
      <w:b/>
      <w:color w:val="0F4761"/>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doi.org/10.1186/s13063-021-05583-0" TargetMode="External" /><Relationship Id="rId13" Type="http://schemas.openxmlformats.org/officeDocument/2006/relationships/hyperlink" Target="https://doi.org/10.1186/s13063-021-05583-0" TargetMode="External" /><Relationship Id="rId18" Type="http://schemas.openxmlformats.org/officeDocument/2006/relationships/hyperlink" Target="https://www.bioinformation.net/021/973206300212956.pdf" TargetMode="External" /><Relationship Id="rId3" Type="http://schemas.openxmlformats.org/officeDocument/2006/relationships/settings" Target="settings.xml" /><Relationship Id="rId7" Type="http://schemas.openxmlformats.org/officeDocument/2006/relationships/hyperlink" Target="https://doi.org/10.1186/s13063-021-05583-0" TargetMode="External" /><Relationship Id="rId12" Type="http://schemas.openxmlformats.org/officeDocument/2006/relationships/hyperlink" Target="https://doi.org/10.1186/s13063-021-05583-0" TargetMode="External" /><Relationship Id="rId17" Type="http://schemas.openxmlformats.org/officeDocument/2006/relationships/hyperlink" Target="https://www.bioinformation.net/021/973206300212956.pdf" TargetMode="External" /><Relationship Id="rId2" Type="http://schemas.openxmlformats.org/officeDocument/2006/relationships/styles" Target="styles.xml" /><Relationship Id="rId16" Type="http://schemas.openxmlformats.org/officeDocument/2006/relationships/hyperlink" Target="https://pmc.ncbi.nlm.nih.gov/articles/PMC12142812/" TargetMode="External" /><Relationship Id="rId20" Type="http://schemas.openxmlformats.org/officeDocument/2006/relationships/theme" Target="theme/theme1.xml" /><Relationship Id="rId1" Type="http://schemas.openxmlformats.org/officeDocument/2006/relationships/numbering" Target="numbering.xml" /><Relationship Id="rId6" Type="http://schemas.openxmlformats.org/officeDocument/2006/relationships/hyperlink" Target="https://doi.org/10.3389/fphar.2020.578970" TargetMode="External" /><Relationship Id="rId11" Type="http://schemas.openxmlformats.org/officeDocument/2006/relationships/hyperlink" Target="https://doi.org/10.1186/s13063-021-05583-0" TargetMode="External" /><Relationship Id="rId5" Type="http://schemas.openxmlformats.org/officeDocument/2006/relationships/hyperlink" Target="https://doi.org/10.3389/fphar.2020.578970" TargetMode="External" /><Relationship Id="rId15" Type="http://schemas.openxmlformats.org/officeDocument/2006/relationships/hyperlink" Target="https://pmc.ncbi.nlm.nih.gov/articles/PMC12142812/" TargetMode="External" /><Relationship Id="rId10" Type="http://schemas.openxmlformats.org/officeDocument/2006/relationships/hyperlink" Target="https://doi.org/10.1186/s13063-021-05583-0" TargetMode="External" /><Relationship Id="rId19" Type="http://schemas.openxmlformats.org/officeDocument/2006/relationships/fontTable" Target="fontTable.xml" /><Relationship Id="rId4" Type="http://schemas.openxmlformats.org/officeDocument/2006/relationships/webSettings" Target="webSettings.xml" /><Relationship Id="rId9" Type="http://schemas.openxmlformats.org/officeDocument/2006/relationships/hyperlink" Target="https://doi.org/10.1186/s13063-021-05583-0" TargetMode="External" /><Relationship Id="rId14" Type="http://schemas.openxmlformats.org/officeDocument/2006/relationships/hyperlink" Target="https://doi.org/10.1186/s13063-021-05583-0"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2403</Words>
  <Characters>13702</Characters>
  <Application>Microsoft Office Word</Application>
  <DocSecurity>0</DocSecurity>
  <Lines>114</Lines>
  <Paragraphs>32</Paragraphs>
  <ScaleCrop>false</ScaleCrop>
  <Company/>
  <LinksUpToDate>false</LinksUpToDate>
  <CharactersWithSpaces>16073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Jayabharathi Palaniappan</dc:creator>
  <cp:keywords/>
  <cp:lastModifiedBy>Jayabharathi Palaniappan</cp:lastModifiedBy>
  <cp:revision>2</cp:revision>
  <dcterms:created xsi:type="dcterms:W3CDTF">2026-03-03T15:16:00Z</dcterms:created>
  <dcterms:modified xsi:type="dcterms:W3CDTF">2026-03-03T15:16:00Z</dcterms:modified>
</cp:coreProperties>
</file>