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4DA" w:rsidRPr="00701DC4" w:rsidRDefault="007A1C2F" w:rsidP="004205BB">
      <w:pPr>
        <w:shd w:val="clear" w:color="auto" w:fill="FFFFFF"/>
        <w:spacing w:after="0" w:line="240" w:lineRule="auto"/>
        <w:jc w:val="center"/>
        <w:rPr>
          <w:rFonts w:ascii="Arial" w:eastAsia="Times New Roman" w:hAnsi="Arial" w:cs="Arial"/>
          <w:b/>
          <w:color w:val="080809"/>
          <w:sz w:val="24"/>
          <w:szCs w:val="24"/>
        </w:rPr>
      </w:pPr>
      <w:r w:rsidRPr="00701DC4">
        <w:rPr>
          <w:rFonts w:ascii="Arial" w:eastAsia="Times New Roman" w:hAnsi="Arial" w:cs="Arial"/>
          <w:b/>
          <w:color w:val="080809"/>
          <w:sz w:val="24"/>
          <w:szCs w:val="24"/>
        </w:rPr>
        <w:t>TRACKING PROGRESS THROUGH PUBLICATIONS: A BIBLIOMETRIC STUDY OF SDG-RELATED RESEARCH AMONG STUDENT THESES IN AN ARCHDIOCESAN CATHOLIC UNIVERSITY</w:t>
      </w:r>
    </w:p>
    <w:p w:rsidR="00881931" w:rsidRPr="00701DC4" w:rsidRDefault="00881931" w:rsidP="004205BB">
      <w:pPr>
        <w:shd w:val="clear" w:color="auto" w:fill="FFFFFF"/>
        <w:spacing w:after="0" w:line="240" w:lineRule="auto"/>
        <w:jc w:val="center"/>
        <w:rPr>
          <w:rFonts w:ascii="Arial" w:eastAsia="Times New Roman" w:hAnsi="Arial" w:cs="Arial"/>
          <w:color w:val="080809"/>
          <w:sz w:val="24"/>
          <w:szCs w:val="24"/>
        </w:rPr>
      </w:pPr>
      <w:r w:rsidRPr="00701DC4">
        <w:rPr>
          <w:rFonts w:ascii="Arial" w:eastAsia="Times New Roman" w:hAnsi="Arial" w:cs="Arial"/>
          <w:color w:val="080809"/>
          <w:sz w:val="24"/>
          <w:szCs w:val="24"/>
        </w:rPr>
        <w:t/>
      </w:r>
    </w:p>
    <w:p w:rsidR="00881931" w:rsidRPr="00701DC4" w:rsidRDefault="00881931" w:rsidP="004205BB">
      <w:pPr>
        <w:shd w:val="clear" w:color="auto" w:fill="FFFFFF"/>
        <w:spacing w:after="0" w:line="240" w:lineRule="auto"/>
        <w:jc w:val="center"/>
        <w:rPr>
          <w:rFonts w:ascii="Arial" w:eastAsia="Times New Roman" w:hAnsi="Arial" w:cs="Arial"/>
          <w:color w:val="080809"/>
          <w:sz w:val="24"/>
          <w:szCs w:val="24"/>
        </w:rPr>
      </w:pPr>
      <w:r w:rsidRPr="00701DC4">
        <w:rPr>
          <w:rFonts w:ascii="Arial" w:eastAsia="Times New Roman" w:hAnsi="Arial" w:cs="Arial"/>
          <w:color w:val="080809"/>
          <w:sz w:val="24"/>
          <w:szCs w:val="24"/>
        </w:rPr>
        <w:t/>
      </w:r>
    </w:p>
    <w:p w:rsidR="00881931" w:rsidRPr="00701DC4" w:rsidRDefault="00881931" w:rsidP="004205BB">
      <w:pPr>
        <w:shd w:val="clear" w:color="auto" w:fill="FFFFFF"/>
        <w:spacing w:after="0" w:line="240" w:lineRule="auto"/>
        <w:jc w:val="center"/>
        <w:rPr>
          <w:rFonts w:ascii="Arial" w:eastAsia="Times New Roman" w:hAnsi="Arial" w:cs="Arial"/>
          <w:color w:val="080809"/>
          <w:sz w:val="24"/>
          <w:szCs w:val="24"/>
        </w:rPr>
      </w:pPr>
      <w:r w:rsidRPr="00701DC4">
        <w:rPr>
          <w:rFonts w:ascii="Arial" w:eastAsia="Times New Roman" w:hAnsi="Arial" w:cs="Arial"/>
          <w:sz w:val="24"/>
          <w:szCs w:val="24"/>
        </w:rPr>
        <w:t/>
      </w:r>
    </w:p>
    <w:p w:rsidR="00881931" w:rsidRPr="00701DC4" w:rsidRDefault="00881931" w:rsidP="004205BB">
      <w:pPr>
        <w:shd w:val="clear" w:color="auto" w:fill="FFFFFF"/>
        <w:spacing w:after="0" w:line="240" w:lineRule="auto"/>
        <w:rPr>
          <w:rFonts w:ascii="Arial" w:eastAsia="Times New Roman" w:hAnsi="Arial" w:cs="Arial"/>
          <w:color w:val="080809"/>
          <w:sz w:val="24"/>
          <w:szCs w:val="24"/>
        </w:rPr>
      </w:pPr>
    </w:p>
    <w:p w:rsidR="00881931" w:rsidRPr="00701DC4" w:rsidRDefault="00881931" w:rsidP="004205BB">
      <w:pPr>
        <w:spacing w:after="0" w:line="240" w:lineRule="auto"/>
        <w:jc w:val="center"/>
        <w:rPr>
          <w:rFonts w:ascii="Arial" w:hAnsi="Arial" w:cs="Arial"/>
          <w:b/>
          <w:sz w:val="24"/>
          <w:szCs w:val="24"/>
        </w:rPr>
      </w:pPr>
      <w:r w:rsidRPr="00701DC4">
        <w:rPr>
          <w:rFonts w:ascii="Arial" w:hAnsi="Arial" w:cs="Arial"/>
          <w:b/>
          <w:sz w:val="24"/>
          <w:szCs w:val="24"/>
        </w:rPr>
        <w:t>ABSTRACT</w:t>
      </w:r>
    </w:p>
    <w:p w:rsidR="00881931" w:rsidRPr="00701DC4" w:rsidRDefault="00881931" w:rsidP="004205BB">
      <w:pPr>
        <w:spacing w:after="0" w:line="240" w:lineRule="auto"/>
        <w:rPr>
          <w:rFonts w:ascii="Arial" w:hAnsi="Arial" w:cs="Arial"/>
          <w:sz w:val="24"/>
          <w:szCs w:val="24"/>
        </w:rPr>
      </w:pPr>
    </w:p>
    <w:p w:rsidR="00FC5A65" w:rsidRPr="00FC5A65" w:rsidRDefault="00FC5A65" w:rsidP="00701DC4">
      <w:pPr>
        <w:spacing w:after="0" w:line="240" w:lineRule="auto"/>
        <w:jc w:val="both"/>
        <w:rPr>
          <w:rFonts w:ascii="Arial" w:hAnsi="Arial" w:cs="Arial"/>
          <w:sz w:val="23"/>
          <w:szCs w:val="23"/>
        </w:rPr>
      </w:pPr>
      <w:r w:rsidRPr="00FC5A65">
        <w:rPr>
          <w:rFonts w:ascii="Arial" w:hAnsi="Arial" w:cs="Arial"/>
          <w:sz w:val="23"/>
          <w:szCs w:val="23"/>
        </w:rPr>
        <w:t>This study presents a ten-year bibliometric audit mapping the longitudinal productivity, disciplinary distribution, and semantic network structure of sustainability-aligned student research at an Archdiocesan Catholic Higher Education Institution (HEI) from 2015 to 2025. Analyzing a validated institutional repository corpus (N = 16), the findings reveal a highly polarized and structurally isolated research environment.</w:t>
      </w:r>
      <w:r w:rsidR="002679A3">
        <w:rPr>
          <w:rFonts w:ascii="Arial" w:hAnsi="Arial" w:cs="Arial"/>
          <w:sz w:val="23"/>
          <w:szCs w:val="23"/>
        </w:rPr>
        <w:t xml:space="preserve"> </w:t>
      </w:r>
      <w:r w:rsidRPr="00FC5A65">
        <w:rPr>
          <w:rFonts w:ascii="Arial" w:hAnsi="Arial" w:cs="Arial"/>
          <w:sz w:val="23"/>
          <w:szCs w:val="23"/>
        </w:rPr>
        <w:t>The thematic distribution is heavily dominated by UN Sustainable Development Goal 3 (Good Health and Well-being), accounting for 56.25% (f = 9) of the total output. From a disciplinary perspective, this concentration is a direct symptom of institutional design, with the Bachelor of Science in Nursing program serving as the primary engine of scholarship by generating exactly half (50.00%, f = 8) of the university's entire sustainability corpus. Conversely, twelve of the seventeen SDGs—including critical socioeconomic targets such as SDG 1 (No Poverty), SDG 5 (Gender Equality), and SDG 13 (Climate Action)—registered zero output, highlighting a distinct gap between the institution’s actual student research production and the "integral ecology" mandate of Catholic Social Teaching (Laudato si’).</w:t>
      </w:r>
      <w:r>
        <w:rPr>
          <w:rFonts w:ascii="Arial" w:hAnsi="Arial" w:cs="Arial"/>
          <w:sz w:val="23"/>
          <w:szCs w:val="23"/>
        </w:rPr>
        <w:t xml:space="preserve"> </w:t>
      </w:r>
      <w:r w:rsidRPr="00FC5A65">
        <w:rPr>
          <w:rFonts w:ascii="Arial" w:hAnsi="Arial" w:cs="Arial"/>
          <w:sz w:val="23"/>
          <w:szCs w:val="23"/>
        </w:rPr>
        <w:t>Longitudinal analysis demonstrates a highly fragmented, non-linear timeline vulnerable to external operational shocks, characterized by complete research lulls during the peak of the COVID-19 pandemic (2020, 2022) followed by a dramatic, late-stage post-pandemic counter-surge in 2025 (43.75%, f = 7). Furthermore, keyword co-occurrence mapping confirms a fractured conceptual landscape where specialized terms operate within siloed, department-specific nodes rather than an interconnected institutional network.</w:t>
      </w:r>
      <w:r w:rsidR="002679A3">
        <w:rPr>
          <w:rFonts w:ascii="Arial" w:hAnsi="Arial" w:cs="Arial"/>
          <w:sz w:val="23"/>
          <w:szCs w:val="23"/>
        </w:rPr>
        <w:t xml:space="preserve"> </w:t>
      </w:r>
      <w:r w:rsidRPr="00FC5A65">
        <w:rPr>
          <w:rFonts w:ascii="Arial" w:hAnsi="Arial" w:cs="Arial"/>
          <w:sz w:val="23"/>
          <w:szCs w:val="23"/>
        </w:rPr>
        <w:t>To transition from uncoordinated, accidental scholarship toward systematic integration, this paper recommends a multi-phase roadmap encompassing cross-college interdisciplinary research clusters, strategic faculty mentorship alignment, and routine bibliometric monitoring within the university.</w:t>
      </w:r>
    </w:p>
    <w:p w:rsidR="00FC5A65" w:rsidRPr="00FC5A65" w:rsidRDefault="00FC5A65" w:rsidP="00701DC4">
      <w:pPr>
        <w:spacing w:after="0" w:line="240" w:lineRule="auto"/>
        <w:jc w:val="both"/>
        <w:rPr>
          <w:rFonts w:ascii="Arial" w:hAnsi="Arial" w:cs="Arial"/>
          <w:sz w:val="23"/>
          <w:szCs w:val="23"/>
        </w:rPr>
      </w:pPr>
    </w:p>
    <w:p w:rsidR="008F7691" w:rsidRPr="00FC5A65" w:rsidRDefault="00FC5A65" w:rsidP="00701DC4">
      <w:pPr>
        <w:spacing w:after="0" w:line="240" w:lineRule="auto"/>
        <w:jc w:val="both"/>
        <w:rPr>
          <w:rFonts w:ascii="Arial" w:hAnsi="Arial" w:cs="Arial"/>
          <w:sz w:val="23"/>
          <w:szCs w:val="23"/>
        </w:rPr>
      </w:pPr>
      <w:r w:rsidRPr="00FC5A65">
        <w:rPr>
          <w:rFonts w:ascii="Arial" w:hAnsi="Arial" w:cs="Arial"/>
          <w:sz w:val="23"/>
          <w:szCs w:val="23"/>
        </w:rPr>
        <w:t xml:space="preserve">Keywords: </w:t>
      </w:r>
      <w:bookmarkStart w:id="0" w:name="_GoBack"/>
      <w:r w:rsidRPr="00FC5A65">
        <w:rPr>
          <w:rFonts w:ascii="Arial" w:hAnsi="Arial" w:cs="Arial"/>
          <w:i/>
          <w:sz w:val="23"/>
          <w:szCs w:val="23"/>
        </w:rPr>
        <w:t>Bibliometrics; Sustainable Development Goals (SDGs); Higher Education Institutions; Student Research; Keyword Co-occurrence; Laudato si’.</w:t>
      </w:r>
    </w:p>
    <w:bookmarkEnd w:id="0"/>
    <w:p w:rsidR="00881931" w:rsidRPr="00701DC4" w:rsidRDefault="00881931" w:rsidP="00701DC4">
      <w:pPr>
        <w:spacing w:after="0" w:line="240" w:lineRule="auto"/>
        <w:rPr>
          <w:rFonts w:ascii="Arial" w:hAnsi="Arial" w:cs="Arial"/>
          <w:i/>
          <w:sz w:val="24"/>
          <w:szCs w:val="24"/>
        </w:rPr>
      </w:pPr>
    </w:p>
    <w:p w:rsidR="00597B7F" w:rsidRPr="00701DC4" w:rsidRDefault="00597B7F" w:rsidP="00701DC4">
      <w:pPr>
        <w:spacing w:after="0" w:line="240" w:lineRule="auto"/>
        <w:jc w:val="center"/>
        <w:rPr>
          <w:rFonts w:ascii="Arial" w:hAnsi="Arial" w:cs="Arial"/>
          <w:b/>
          <w:sz w:val="24"/>
          <w:szCs w:val="24"/>
        </w:rPr>
      </w:pPr>
      <w:r w:rsidRPr="00701DC4">
        <w:rPr>
          <w:rFonts w:ascii="Arial" w:hAnsi="Arial" w:cs="Arial"/>
          <w:b/>
          <w:sz w:val="24"/>
          <w:szCs w:val="24"/>
        </w:rPr>
        <w:t>INTRODUCTION</w:t>
      </w:r>
    </w:p>
    <w:p w:rsidR="00597B7F" w:rsidRPr="00701DC4" w:rsidRDefault="00597B7F" w:rsidP="00701DC4">
      <w:pPr>
        <w:spacing w:after="0" w:line="240" w:lineRule="auto"/>
        <w:rPr>
          <w:rFonts w:ascii="Arial" w:hAnsi="Arial" w:cs="Arial"/>
          <w:sz w:val="24"/>
          <w:szCs w:val="24"/>
        </w:rPr>
      </w:pPr>
    </w:p>
    <w:p w:rsidR="009B44DA" w:rsidRDefault="009B44DA" w:rsidP="00701DC4">
      <w:pPr>
        <w:spacing w:after="0" w:line="240" w:lineRule="auto"/>
        <w:jc w:val="both"/>
        <w:rPr>
          <w:rFonts w:ascii="Arial" w:hAnsi="Arial" w:cs="Arial"/>
          <w:sz w:val="24"/>
          <w:szCs w:val="24"/>
        </w:rPr>
      </w:pPr>
      <w:r w:rsidRPr="00701DC4">
        <w:rPr>
          <w:rFonts w:ascii="Arial" w:hAnsi="Arial" w:cs="Arial"/>
          <w:sz w:val="24"/>
          <w:szCs w:val="24"/>
        </w:rPr>
        <w:t>The proclamation of the 2030 Agenda for Sustainable Development by the United Nations in 2015 established a profound, interlinked framework of 17 Sustainable Development Goals (SDGs) designed to confront systemic global crises, including absolute poverty, systemic inequalities, environmental degradation, and institutional vulnerabilities. Rather than functioning as isolated targets, these goals operate as a complex, co-dependent network where progress in a single domain is fundamentally contingent upon the structural stabilization of another. Achieving these metrics requires extensive multi-sectoral mobilization, within which higher education institutions (HEIs) occupy a uniquely critical position.</w:t>
      </w:r>
    </w:p>
    <w:p w:rsidR="00FC5A65" w:rsidRPr="00701DC4" w:rsidRDefault="00FC5A65" w:rsidP="00701DC4">
      <w:pPr>
        <w:spacing w:after="0" w:line="240" w:lineRule="auto"/>
        <w:jc w:val="both"/>
        <w:rPr>
          <w:rFonts w:ascii="Arial" w:hAnsi="Arial" w:cs="Arial"/>
          <w:sz w:val="24"/>
          <w:szCs w:val="24"/>
        </w:rPr>
      </w:pPr>
    </w:p>
    <w:p w:rsidR="009B44DA" w:rsidRPr="00701DC4" w:rsidRDefault="009B44DA" w:rsidP="00701DC4">
      <w:pPr>
        <w:spacing w:after="0" w:line="240" w:lineRule="auto"/>
        <w:jc w:val="both"/>
        <w:rPr>
          <w:rFonts w:ascii="Arial" w:hAnsi="Arial" w:cs="Arial"/>
          <w:sz w:val="24"/>
          <w:szCs w:val="24"/>
        </w:rPr>
      </w:pPr>
      <w:r w:rsidRPr="00701DC4">
        <w:rPr>
          <w:rFonts w:ascii="Arial" w:hAnsi="Arial" w:cs="Arial"/>
          <w:sz w:val="24"/>
          <w:szCs w:val="24"/>
        </w:rPr>
        <w:lastRenderedPageBreak/>
        <w:t>Universities do not merely function as passive observers of global transformations; they are primary engines of knowledge production, policy critique, and sociotechnical innovation. Consequently, modern academic scholarship increasingly recognizes that the operationalization of global sustainability targets depends heavily on how effectively HEIs embed the SDGs into their core operational pillars: instruction, community extension, and formal research production.</w:t>
      </w:r>
    </w:p>
    <w:p w:rsidR="009B44DA" w:rsidRPr="00701DC4" w:rsidRDefault="009B44DA" w:rsidP="00701DC4">
      <w:pPr>
        <w:spacing w:after="0" w:line="240" w:lineRule="auto"/>
        <w:jc w:val="both"/>
        <w:rPr>
          <w:rFonts w:ascii="Arial" w:hAnsi="Arial" w:cs="Arial"/>
          <w:sz w:val="24"/>
          <w:szCs w:val="24"/>
        </w:rPr>
      </w:pPr>
    </w:p>
    <w:p w:rsidR="009B44DA" w:rsidRPr="00701DC4" w:rsidRDefault="009B44DA" w:rsidP="00701DC4">
      <w:pPr>
        <w:spacing w:after="0" w:line="240" w:lineRule="auto"/>
        <w:jc w:val="both"/>
        <w:rPr>
          <w:rFonts w:ascii="Arial" w:hAnsi="Arial" w:cs="Arial"/>
          <w:sz w:val="24"/>
          <w:szCs w:val="24"/>
        </w:rPr>
      </w:pPr>
      <w:r w:rsidRPr="00701DC4">
        <w:rPr>
          <w:rFonts w:ascii="Arial" w:hAnsi="Arial" w:cs="Arial"/>
          <w:sz w:val="24"/>
          <w:szCs w:val="24"/>
        </w:rPr>
        <w:t>Within the landscape of institutional research, student-driven scholarship</w:t>
      </w:r>
      <w:r w:rsidR="00FC5A65">
        <w:rPr>
          <w:rFonts w:ascii="Arial" w:hAnsi="Arial" w:cs="Arial"/>
          <w:sz w:val="24"/>
          <w:szCs w:val="24"/>
        </w:rPr>
        <w:t xml:space="preserve"> </w:t>
      </w:r>
      <w:r w:rsidRPr="00701DC4">
        <w:rPr>
          <w:rFonts w:ascii="Arial" w:hAnsi="Arial" w:cs="Arial"/>
          <w:sz w:val="24"/>
          <w:szCs w:val="24"/>
        </w:rPr>
        <w:t>represents a vast, yet frequently undervalued, repository of localized knowledge. While macro-lev</w:t>
      </w:r>
      <w:r w:rsidR="00FC5A65">
        <w:rPr>
          <w:rFonts w:ascii="Arial" w:hAnsi="Arial" w:cs="Arial"/>
          <w:sz w:val="24"/>
          <w:szCs w:val="24"/>
        </w:rPr>
        <w:t xml:space="preserve">el </w:t>
      </w:r>
      <w:r w:rsidRPr="00701DC4">
        <w:rPr>
          <w:rFonts w:ascii="Arial" w:hAnsi="Arial" w:cs="Arial"/>
          <w:sz w:val="24"/>
          <w:szCs w:val="24"/>
        </w:rPr>
        <w:t>bibliometric investigations routinely map the peer-reviewed outputs of faculty members and senior career scientists, student research offers a highly sensitive diagnostic metric for assessing the true depth of sustainability integration within an institution's curriculum. A student’s selection of a research topic is rarely an isolated academic exercise; instead, it reflects a complex intersection of faculty research agendas, departmental funding priorities, professional licensing mandates, and localized societal needs. Therefore, conducting a systematic bibliometric mapping of student terminal projects allows university administrators to audit their institutional research culture, identifying precisely where global sustainability mandates are organically thriving and where they are structurally ignored.</w:t>
      </w:r>
    </w:p>
    <w:p w:rsidR="009B44DA" w:rsidRPr="00701DC4" w:rsidRDefault="009B44DA" w:rsidP="00701DC4">
      <w:pPr>
        <w:spacing w:after="0" w:line="240" w:lineRule="auto"/>
        <w:jc w:val="both"/>
        <w:rPr>
          <w:rFonts w:ascii="Arial" w:hAnsi="Arial" w:cs="Arial"/>
          <w:sz w:val="24"/>
          <w:szCs w:val="24"/>
        </w:rPr>
      </w:pPr>
    </w:p>
    <w:p w:rsidR="009B44DA" w:rsidRPr="00701DC4" w:rsidRDefault="009B44DA" w:rsidP="00701DC4">
      <w:pPr>
        <w:spacing w:after="0" w:line="240" w:lineRule="auto"/>
        <w:jc w:val="both"/>
        <w:rPr>
          <w:rFonts w:ascii="Arial" w:hAnsi="Arial" w:cs="Arial"/>
          <w:sz w:val="24"/>
          <w:szCs w:val="24"/>
        </w:rPr>
      </w:pPr>
      <w:r w:rsidRPr="00701DC4">
        <w:rPr>
          <w:rFonts w:ascii="Arial" w:hAnsi="Arial" w:cs="Arial"/>
          <w:sz w:val="24"/>
          <w:szCs w:val="24"/>
        </w:rPr>
        <w:t>For Catholic higher education institutions, this research mandate carries an added layer of ethical and spiritual urgency. The mission of an Archdiocesan Catholic university is deeply intertwined with the tenets of Catholic Social Teaching, which champions human dignity, preferential options for the vulnerable, and the holistic preservation of the global commons. This theological and philosophical imperative was profoundly amplified by Pope Francis’s encyclical Laudato si’ (2015), which issued an urgent appeal for "integral ecology"—a holistic worldview recognizing that environmental degradation, social injustice, and economic inequality are not separate crises, but facets of a singular, systemic global failure. Catholic universities are therefore uniquely positioned to reframe the UN SDGs not merely as technocratic performance indicators, but as concrete expressions of stewardship, social justice, and institutional ministry.</w:t>
      </w:r>
    </w:p>
    <w:p w:rsidR="009B44DA" w:rsidRPr="00701DC4" w:rsidRDefault="009B44DA" w:rsidP="00701DC4">
      <w:pPr>
        <w:spacing w:after="0" w:line="240" w:lineRule="auto"/>
        <w:jc w:val="both"/>
        <w:rPr>
          <w:rFonts w:ascii="Arial" w:hAnsi="Arial" w:cs="Arial"/>
          <w:sz w:val="24"/>
          <w:szCs w:val="24"/>
        </w:rPr>
      </w:pPr>
    </w:p>
    <w:p w:rsidR="009B44DA" w:rsidRPr="00701DC4" w:rsidRDefault="009B44DA" w:rsidP="00701DC4">
      <w:pPr>
        <w:spacing w:after="0" w:line="240" w:lineRule="auto"/>
        <w:jc w:val="both"/>
        <w:rPr>
          <w:rFonts w:ascii="Arial" w:hAnsi="Arial" w:cs="Arial"/>
          <w:sz w:val="24"/>
          <w:szCs w:val="24"/>
        </w:rPr>
      </w:pPr>
      <w:r w:rsidRPr="00701DC4">
        <w:rPr>
          <w:rFonts w:ascii="Arial" w:hAnsi="Arial" w:cs="Arial"/>
          <w:sz w:val="24"/>
          <w:szCs w:val="24"/>
        </w:rPr>
        <w:t>In the Philippines, a nation disproportionately exposed to climate risks, socio-economic disparities, and public health vulnerabilities, academic institutions are vital partners in localized sustainable development. However, despite growing institutional declarations of alignment with global sustainability frameworks, there remains a critical gap in empirical literature regarding how these commitments translate into actual student research outputs within faith-based regional universities.</w:t>
      </w:r>
    </w:p>
    <w:p w:rsidR="009B44DA" w:rsidRPr="00701DC4" w:rsidRDefault="009B44DA" w:rsidP="00701DC4">
      <w:pPr>
        <w:spacing w:after="0" w:line="240" w:lineRule="auto"/>
        <w:jc w:val="both"/>
        <w:rPr>
          <w:rFonts w:ascii="Arial" w:hAnsi="Arial" w:cs="Arial"/>
          <w:sz w:val="24"/>
          <w:szCs w:val="24"/>
        </w:rPr>
      </w:pPr>
    </w:p>
    <w:p w:rsidR="008D3D17" w:rsidRPr="00701DC4" w:rsidRDefault="009B44DA" w:rsidP="00701DC4">
      <w:pPr>
        <w:spacing w:after="0" w:line="240" w:lineRule="auto"/>
        <w:jc w:val="both"/>
        <w:rPr>
          <w:rFonts w:ascii="Arial" w:hAnsi="Arial" w:cs="Arial"/>
          <w:sz w:val="24"/>
          <w:szCs w:val="24"/>
        </w:rPr>
      </w:pPr>
      <w:r w:rsidRPr="00701DC4">
        <w:rPr>
          <w:rFonts w:ascii="Arial" w:hAnsi="Arial" w:cs="Arial"/>
          <w:sz w:val="24"/>
          <w:szCs w:val="24"/>
        </w:rPr>
        <w:t xml:space="preserve">This study addresses this knowledge gap by executing a comprehensive bibliometric and document analysis of student theses produced between 2015 and 2025 within an Archdiocesan Catholic University in Pampanga. </w:t>
      </w:r>
      <w:r w:rsidR="008F7691" w:rsidRPr="00701DC4">
        <w:rPr>
          <w:rFonts w:ascii="Arial" w:hAnsi="Arial" w:cs="Arial"/>
          <w:sz w:val="24"/>
          <w:szCs w:val="24"/>
        </w:rPr>
        <w:t>This</w:t>
      </w:r>
      <w:r w:rsidR="008F7691" w:rsidRPr="00701DC4">
        <w:rPr>
          <w:rFonts w:ascii="Arial" w:hAnsi="Arial" w:cs="Arial"/>
          <w:sz w:val="24"/>
          <w:szCs w:val="24"/>
        </w:rPr>
        <w:t xml:space="preserve"> paper provides an empirical baseline</w:t>
      </w:r>
      <w:r w:rsidR="008F7691" w:rsidRPr="00701DC4">
        <w:rPr>
          <w:rFonts w:ascii="Arial" w:hAnsi="Arial" w:cs="Arial"/>
          <w:sz w:val="24"/>
          <w:szCs w:val="24"/>
        </w:rPr>
        <w:t xml:space="preserve"> by </w:t>
      </w:r>
      <w:r w:rsidRPr="00701DC4">
        <w:rPr>
          <w:rFonts w:ascii="Arial" w:hAnsi="Arial" w:cs="Arial"/>
          <w:sz w:val="24"/>
          <w:szCs w:val="24"/>
        </w:rPr>
        <w:t xml:space="preserve">systematically charting the thematic concentrations, disciplinary origins, temporal patterns, and semantic structures of student scholarship. This diagnostic mapping is intended to guide curriculum planners, research directors, and faculty mentors </w:t>
      </w:r>
      <w:r w:rsidRPr="00701DC4">
        <w:rPr>
          <w:rFonts w:ascii="Arial" w:hAnsi="Arial" w:cs="Arial"/>
          <w:sz w:val="24"/>
          <w:szCs w:val="24"/>
        </w:rPr>
        <w:lastRenderedPageBreak/>
        <w:t>toward building a more balanced, multi-disciplinary, and socially responsive research ecosystem that actively advances the global indicators of the 2030 Agenda.</w:t>
      </w:r>
    </w:p>
    <w:p w:rsidR="008F7691" w:rsidRPr="00701DC4" w:rsidRDefault="008F7691" w:rsidP="00701DC4">
      <w:pPr>
        <w:spacing w:after="0" w:line="240" w:lineRule="auto"/>
        <w:jc w:val="both"/>
        <w:rPr>
          <w:rFonts w:ascii="Arial" w:hAnsi="Arial" w:cs="Arial"/>
          <w:sz w:val="24"/>
          <w:szCs w:val="24"/>
        </w:rPr>
      </w:pPr>
    </w:p>
    <w:p w:rsidR="008F7691" w:rsidRPr="00701DC4" w:rsidRDefault="008F7691" w:rsidP="00701DC4">
      <w:pPr>
        <w:spacing w:after="0" w:line="240" w:lineRule="auto"/>
        <w:jc w:val="both"/>
        <w:rPr>
          <w:rFonts w:ascii="Arial" w:hAnsi="Arial" w:cs="Arial"/>
          <w:i/>
          <w:sz w:val="24"/>
          <w:szCs w:val="24"/>
        </w:rPr>
      </w:pPr>
      <w:r w:rsidRPr="00701DC4">
        <w:rPr>
          <w:rFonts w:ascii="Arial" w:hAnsi="Arial" w:cs="Arial"/>
          <w:i/>
          <w:sz w:val="24"/>
          <w:szCs w:val="24"/>
        </w:rPr>
        <w:t>Literature Review</w:t>
      </w:r>
    </w:p>
    <w:p w:rsidR="00701DC4" w:rsidRPr="00701DC4" w:rsidRDefault="00701DC4" w:rsidP="00701DC4">
      <w:pPr>
        <w:spacing w:after="0" w:line="240" w:lineRule="auto"/>
        <w:jc w:val="both"/>
        <w:rPr>
          <w:rFonts w:ascii="Arial" w:hAnsi="Arial" w:cs="Arial"/>
          <w:i/>
          <w:sz w:val="24"/>
          <w:szCs w:val="24"/>
        </w:rPr>
      </w:pPr>
    </w:p>
    <w:p w:rsidR="00701DC4" w:rsidRPr="00701DC4" w:rsidRDefault="00701DC4" w:rsidP="00701DC4">
      <w:pPr>
        <w:spacing w:after="0" w:line="240" w:lineRule="auto"/>
        <w:outlineLvl w:val="1"/>
        <w:rPr>
          <w:rFonts w:ascii="Arial" w:eastAsia="Times New Roman" w:hAnsi="Arial" w:cs="Arial"/>
          <w:bCs/>
          <w:sz w:val="24"/>
          <w:szCs w:val="24"/>
        </w:rPr>
      </w:pPr>
      <w:r w:rsidRPr="00701DC4">
        <w:rPr>
          <w:rFonts w:ascii="Arial" w:eastAsia="Times New Roman" w:hAnsi="Arial" w:cs="Arial"/>
          <w:bCs/>
          <w:sz w:val="24"/>
          <w:szCs w:val="24"/>
        </w:rPr>
        <w:t>The Strategic Role of Higher Education in the 2030 Agenda</w:t>
      </w:r>
    </w:p>
    <w:p w:rsidR="00701DC4" w:rsidRPr="00701DC4" w:rsidRDefault="00701DC4" w:rsidP="00701DC4">
      <w:pPr>
        <w:spacing w:after="0" w:line="240" w:lineRule="auto"/>
        <w:outlineLvl w:val="1"/>
        <w:rPr>
          <w:rFonts w:ascii="Arial" w:eastAsia="Times New Roman" w:hAnsi="Arial" w:cs="Arial"/>
          <w:bCs/>
          <w:sz w:val="24"/>
          <w:szCs w:val="24"/>
        </w:rPr>
      </w:pPr>
    </w:p>
    <w:p w:rsidR="00701DC4" w:rsidRPr="00701DC4" w:rsidRDefault="00701DC4" w:rsidP="00701DC4">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 xml:space="preserve">Since the United Nations formalized the 17 Sustainable Development Goals (SDGs) in 2015, Higher Education Institutions (HEIs) have been widely recognized as indispensable vehicles for driving global sustainability initiatives. Beyond their traditional mandates of baseline human instruction, universities act as critical hubs for regional knowledge production, local socio-technical innovation, and community outreach. </w:t>
      </w:r>
    </w:p>
    <w:p w:rsidR="00701DC4" w:rsidRPr="00701DC4" w:rsidRDefault="00701DC4" w:rsidP="00701DC4">
      <w:pPr>
        <w:spacing w:after="0" w:line="240" w:lineRule="auto"/>
        <w:jc w:val="both"/>
        <w:rPr>
          <w:rFonts w:ascii="Arial" w:eastAsia="Times New Roman" w:hAnsi="Arial" w:cs="Arial"/>
          <w:sz w:val="24"/>
          <w:szCs w:val="24"/>
        </w:rPr>
      </w:pPr>
    </w:p>
    <w:p w:rsidR="00701DC4" w:rsidRPr="00701DC4" w:rsidRDefault="00701DC4" w:rsidP="00701DC4">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 xml:space="preserve">According to Ocaña-Zuñiga et al. (2023), systematically integrating the SDGs into university environments requires an active, simultaneous alignment across four core areas: </w:t>
      </w:r>
    </w:p>
    <w:p w:rsidR="00701DC4" w:rsidRPr="00701DC4" w:rsidRDefault="00701DC4" w:rsidP="00701DC4">
      <w:pPr>
        <w:numPr>
          <w:ilvl w:val="0"/>
          <w:numId w:val="6"/>
        </w:numPr>
        <w:spacing w:after="0" w:line="240" w:lineRule="auto"/>
        <w:rPr>
          <w:rFonts w:ascii="Arial" w:eastAsia="Times New Roman" w:hAnsi="Arial" w:cs="Arial"/>
          <w:sz w:val="24"/>
          <w:szCs w:val="24"/>
        </w:rPr>
      </w:pPr>
      <w:r w:rsidRPr="00701DC4">
        <w:rPr>
          <w:rFonts w:ascii="Arial" w:eastAsia="Times New Roman" w:hAnsi="Arial" w:cs="Arial"/>
          <w:sz w:val="24"/>
          <w:szCs w:val="24"/>
        </w:rPr>
        <w:t xml:space="preserve">Formal classroom education </w:t>
      </w:r>
    </w:p>
    <w:p w:rsidR="00701DC4" w:rsidRPr="00701DC4" w:rsidRDefault="00701DC4" w:rsidP="00701DC4">
      <w:pPr>
        <w:numPr>
          <w:ilvl w:val="0"/>
          <w:numId w:val="6"/>
        </w:numPr>
        <w:spacing w:after="0" w:line="240" w:lineRule="auto"/>
        <w:rPr>
          <w:rFonts w:ascii="Arial" w:eastAsia="Times New Roman" w:hAnsi="Arial" w:cs="Arial"/>
          <w:sz w:val="24"/>
          <w:szCs w:val="24"/>
        </w:rPr>
      </w:pPr>
      <w:r w:rsidRPr="00701DC4">
        <w:rPr>
          <w:rFonts w:ascii="Arial" w:eastAsia="Times New Roman" w:hAnsi="Arial" w:cs="Arial"/>
          <w:sz w:val="24"/>
          <w:szCs w:val="24"/>
        </w:rPr>
        <w:t xml:space="preserve">Institutional management and governance </w:t>
      </w:r>
    </w:p>
    <w:p w:rsidR="00701DC4" w:rsidRPr="00701DC4" w:rsidRDefault="00701DC4" w:rsidP="00701DC4">
      <w:pPr>
        <w:numPr>
          <w:ilvl w:val="0"/>
          <w:numId w:val="6"/>
        </w:numPr>
        <w:spacing w:after="0" w:line="240" w:lineRule="auto"/>
        <w:rPr>
          <w:rFonts w:ascii="Arial" w:eastAsia="Times New Roman" w:hAnsi="Arial" w:cs="Arial"/>
          <w:sz w:val="24"/>
          <w:szCs w:val="24"/>
        </w:rPr>
      </w:pPr>
      <w:r w:rsidRPr="00701DC4">
        <w:rPr>
          <w:rFonts w:ascii="Arial" w:eastAsia="Times New Roman" w:hAnsi="Arial" w:cs="Arial"/>
          <w:sz w:val="24"/>
          <w:szCs w:val="24"/>
        </w:rPr>
        <w:t xml:space="preserve">Community-based social leadership </w:t>
      </w:r>
    </w:p>
    <w:p w:rsidR="00701DC4" w:rsidRPr="00701DC4" w:rsidRDefault="00701DC4" w:rsidP="00701DC4">
      <w:pPr>
        <w:numPr>
          <w:ilvl w:val="0"/>
          <w:numId w:val="6"/>
        </w:numPr>
        <w:spacing w:after="0" w:line="240" w:lineRule="auto"/>
        <w:rPr>
          <w:rFonts w:ascii="Arial" w:eastAsia="Times New Roman" w:hAnsi="Arial" w:cs="Arial"/>
          <w:sz w:val="24"/>
          <w:szCs w:val="24"/>
        </w:rPr>
      </w:pPr>
      <w:r w:rsidRPr="00701DC4">
        <w:rPr>
          <w:rFonts w:ascii="Arial" w:eastAsia="Times New Roman" w:hAnsi="Arial" w:cs="Arial"/>
          <w:sz w:val="24"/>
          <w:szCs w:val="24"/>
        </w:rPr>
        <w:t xml:space="preserve">Academic research production </w:t>
      </w:r>
    </w:p>
    <w:p w:rsidR="00701DC4" w:rsidRPr="00701DC4" w:rsidRDefault="00701DC4" w:rsidP="00701DC4">
      <w:pPr>
        <w:spacing w:after="0" w:line="240" w:lineRule="auto"/>
        <w:rPr>
          <w:rFonts w:ascii="Arial" w:eastAsia="Times New Roman" w:hAnsi="Arial" w:cs="Arial"/>
          <w:sz w:val="24"/>
          <w:szCs w:val="24"/>
        </w:rPr>
      </w:pPr>
    </w:p>
    <w:p w:rsidR="00701DC4" w:rsidRPr="00701DC4" w:rsidRDefault="00701DC4" w:rsidP="00701DC4">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When HEIs successfully map their institutional outputs against the 169 underlying UN targets, they build a localized baseline that transforms abstract, global policy goals into tangible, practical applications.</w:t>
      </w:r>
    </w:p>
    <w:p w:rsidR="00701DC4" w:rsidRPr="00701DC4" w:rsidRDefault="00701DC4" w:rsidP="00701DC4">
      <w:pPr>
        <w:spacing w:after="0" w:line="240" w:lineRule="auto"/>
        <w:rPr>
          <w:rFonts w:ascii="Arial" w:eastAsia="Times New Roman" w:hAnsi="Arial" w:cs="Arial"/>
          <w:sz w:val="24"/>
          <w:szCs w:val="24"/>
        </w:rPr>
      </w:pPr>
    </w:p>
    <w:p w:rsidR="00701DC4" w:rsidRPr="00701DC4" w:rsidRDefault="00701DC4" w:rsidP="00701DC4">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However, the global landscape of campus-wide SDG implementation remains highly uneven. While international bodies emphasize that the 17 goals are fundamentally interconnected and should be addressed as a unified, holistic matrix, empirical evidence shows that most academic institutions struggle to achieve balanced structural engagement.</w:t>
      </w:r>
    </w:p>
    <w:p w:rsidR="00701DC4" w:rsidRPr="00701DC4" w:rsidRDefault="00701DC4" w:rsidP="00701DC4">
      <w:pPr>
        <w:spacing w:after="0" w:line="240" w:lineRule="auto"/>
        <w:jc w:val="both"/>
        <w:rPr>
          <w:rFonts w:ascii="Arial" w:eastAsia="Times New Roman" w:hAnsi="Arial" w:cs="Arial"/>
          <w:sz w:val="24"/>
          <w:szCs w:val="24"/>
        </w:rPr>
      </w:pPr>
    </w:p>
    <w:p w:rsidR="00701DC4" w:rsidRPr="00701DC4" w:rsidRDefault="00701DC4" w:rsidP="00701DC4">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In a comprehensive worldwide survey of sustainability tracking across higher education, Leal Filho et al. (2019) observed that a significant portion of universities are "falling behind the pack." This lag is frequently driven by institutional barriers, including:</w:t>
      </w:r>
    </w:p>
    <w:p w:rsidR="00701DC4" w:rsidRPr="00701DC4" w:rsidRDefault="00701DC4" w:rsidP="00701DC4">
      <w:pPr>
        <w:numPr>
          <w:ilvl w:val="0"/>
          <w:numId w:val="7"/>
        </w:numPr>
        <w:spacing w:after="0" w:line="240" w:lineRule="auto"/>
        <w:rPr>
          <w:rFonts w:ascii="Arial" w:eastAsia="Times New Roman" w:hAnsi="Arial" w:cs="Arial"/>
          <w:sz w:val="24"/>
          <w:szCs w:val="24"/>
        </w:rPr>
      </w:pPr>
      <w:r w:rsidRPr="00701DC4">
        <w:rPr>
          <w:rFonts w:ascii="Arial" w:eastAsia="Times New Roman" w:hAnsi="Arial" w:cs="Arial"/>
          <w:sz w:val="24"/>
          <w:szCs w:val="24"/>
        </w:rPr>
        <w:t xml:space="preserve">Crowded traditional curricula that resist new frameworks </w:t>
      </w:r>
    </w:p>
    <w:p w:rsidR="00701DC4" w:rsidRPr="00701DC4" w:rsidRDefault="00701DC4" w:rsidP="00701DC4">
      <w:pPr>
        <w:numPr>
          <w:ilvl w:val="0"/>
          <w:numId w:val="7"/>
        </w:numPr>
        <w:spacing w:after="0" w:line="240" w:lineRule="auto"/>
        <w:rPr>
          <w:rFonts w:ascii="Arial" w:eastAsia="Times New Roman" w:hAnsi="Arial" w:cs="Arial"/>
          <w:sz w:val="24"/>
          <w:szCs w:val="24"/>
        </w:rPr>
      </w:pPr>
      <w:r w:rsidRPr="00701DC4">
        <w:rPr>
          <w:rFonts w:ascii="Arial" w:eastAsia="Times New Roman" w:hAnsi="Arial" w:cs="Arial"/>
          <w:sz w:val="24"/>
          <w:szCs w:val="24"/>
        </w:rPr>
        <w:t>A systemic shortage of dedicated funding for sustainability tracking</w:t>
      </w:r>
    </w:p>
    <w:p w:rsidR="00701DC4" w:rsidRPr="00701DC4" w:rsidRDefault="00701DC4" w:rsidP="00701DC4">
      <w:pPr>
        <w:numPr>
          <w:ilvl w:val="0"/>
          <w:numId w:val="7"/>
        </w:numPr>
        <w:spacing w:after="0" w:line="240" w:lineRule="auto"/>
        <w:rPr>
          <w:rFonts w:ascii="Arial" w:eastAsia="Times New Roman" w:hAnsi="Arial" w:cs="Arial"/>
          <w:sz w:val="24"/>
          <w:szCs w:val="24"/>
        </w:rPr>
      </w:pPr>
      <w:r w:rsidRPr="00701DC4">
        <w:rPr>
          <w:rFonts w:ascii="Arial" w:eastAsia="Times New Roman" w:hAnsi="Arial" w:cs="Arial"/>
          <w:sz w:val="24"/>
          <w:szCs w:val="24"/>
        </w:rPr>
        <w:t>A widespread lack of formal pedagogical training for faculty research mentors</w:t>
      </w:r>
    </w:p>
    <w:p w:rsidR="00701DC4" w:rsidRPr="00701DC4" w:rsidRDefault="00701DC4" w:rsidP="00701DC4">
      <w:pPr>
        <w:spacing w:after="0" w:line="240" w:lineRule="auto"/>
        <w:rPr>
          <w:rFonts w:ascii="Arial" w:eastAsia="Times New Roman" w:hAnsi="Arial" w:cs="Arial"/>
          <w:sz w:val="24"/>
          <w:szCs w:val="24"/>
        </w:rPr>
      </w:pPr>
    </w:p>
    <w:p w:rsidR="00701DC4" w:rsidRPr="00701DC4" w:rsidRDefault="00701DC4" w:rsidP="00701DC4">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Consequently, rather than seeing a well-rounded institutional footprint across economic, environmental, and social goals, many universities default to isolated pockets of compliance that depend entirely on individual departmental initiatives.</w:t>
      </w:r>
    </w:p>
    <w:p w:rsidR="00701DC4" w:rsidRPr="00701DC4" w:rsidRDefault="00701DC4" w:rsidP="00701DC4">
      <w:pPr>
        <w:spacing w:after="0" w:line="240" w:lineRule="auto"/>
        <w:jc w:val="both"/>
        <w:rPr>
          <w:rFonts w:ascii="Arial" w:eastAsia="Times New Roman" w:hAnsi="Arial" w:cs="Arial"/>
          <w:sz w:val="24"/>
          <w:szCs w:val="24"/>
        </w:rPr>
      </w:pPr>
    </w:p>
    <w:p w:rsidR="00701DC4" w:rsidRPr="00701DC4" w:rsidRDefault="00701DC4" w:rsidP="00701DC4">
      <w:pPr>
        <w:spacing w:after="0" w:line="240" w:lineRule="auto"/>
        <w:outlineLvl w:val="1"/>
        <w:rPr>
          <w:rFonts w:ascii="Arial" w:eastAsia="Times New Roman" w:hAnsi="Arial" w:cs="Arial"/>
          <w:bCs/>
          <w:sz w:val="24"/>
          <w:szCs w:val="24"/>
        </w:rPr>
      </w:pPr>
      <w:r w:rsidRPr="00701DC4">
        <w:rPr>
          <w:rFonts w:ascii="Arial" w:eastAsia="Times New Roman" w:hAnsi="Arial" w:cs="Arial"/>
          <w:bCs/>
          <w:sz w:val="24"/>
          <w:szCs w:val="24"/>
        </w:rPr>
        <w:t>Disciplinary Silos and Structural Imbalances in University Research</w:t>
      </w:r>
    </w:p>
    <w:p w:rsidR="00701DC4" w:rsidRPr="00701DC4" w:rsidRDefault="00701DC4" w:rsidP="00701DC4">
      <w:pPr>
        <w:spacing w:after="0" w:line="240" w:lineRule="auto"/>
        <w:outlineLvl w:val="1"/>
        <w:rPr>
          <w:rFonts w:ascii="Arial" w:eastAsia="Times New Roman" w:hAnsi="Arial" w:cs="Arial"/>
          <w:bCs/>
          <w:sz w:val="24"/>
          <w:szCs w:val="24"/>
        </w:rPr>
      </w:pPr>
    </w:p>
    <w:p w:rsidR="00701DC4" w:rsidRPr="00701DC4" w:rsidRDefault="00701DC4" w:rsidP="00701DC4">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 xml:space="preserve">The tendency for sustainability research to cluster within specific academic departments exposes a broader, structural vulnerability within university ecosystems. In a bibliometric </w:t>
      </w:r>
      <w:r w:rsidRPr="00701DC4">
        <w:rPr>
          <w:rFonts w:ascii="Arial" w:eastAsia="Times New Roman" w:hAnsi="Arial" w:cs="Arial"/>
          <w:sz w:val="24"/>
          <w:szCs w:val="24"/>
        </w:rPr>
        <w:lastRenderedPageBreak/>
        <w:t>mapping of regional and global context trends, Salvia et al. (2019) demonstrated that institutional engagement with specific SDGs is heavily influenced by preexisting departmental strengths and historical funding patterns.</w:t>
      </w:r>
    </w:p>
    <w:p w:rsidR="00701DC4" w:rsidRPr="00701DC4" w:rsidRDefault="00701DC4" w:rsidP="00701DC4">
      <w:pPr>
        <w:spacing w:after="0" w:line="240" w:lineRule="auto"/>
        <w:rPr>
          <w:rFonts w:ascii="Arial" w:eastAsia="Times New Roman" w:hAnsi="Arial" w:cs="Arial"/>
          <w:sz w:val="24"/>
          <w:szCs w:val="24"/>
        </w:rPr>
      </w:pPr>
    </w:p>
    <w:p w:rsidR="00701DC4" w:rsidRPr="00701DC4" w:rsidRDefault="00701DC4" w:rsidP="00701DC4">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For instance, in developing nations and emerging Southeast Asian economies, academic research outputs are often strongly pulled toward immediate public health challenges, clinical nursing interventions, and basic community wellness needs (Leal Filho et al., 2019). While this concentration addresses vital local requirements under SDG 3 (Good Health and Well-being), it frequently leaves upstream socio-economic targets—such as climate action, structural poverty reduction, and institutional ethics—completely unrepresented in the institutional repository.</w:t>
      </w:r>
    </w:p>
    <w:p w:rsidR="00701DC4" w:rsidRPr="00701DC4" w:rsidRDefault="00701DC4" w:rsidP="00701DC4">
      <w:pPr>
        <w:spacing w:after="0" w:line="240" w:lineRule="auto"/>
        <w:jc w:val="both"/>
        <w:rPr>
          <w:rFonts w:ascii="Arial" w:eastAsia="Times New Roman" w:hAnsi="Arial" w:cs="Arial"/>
          <w:sz w:val="24"/>
          <w:szCs w:val="24"/>
        </w:rPr>
      </w:pPr>
    </w:p>
    <w:p w:rsidR="00701DC4" w:rsidRPr="00701DC4" w:rsidRDefault="00701DC4" w:rsidP="00701DC4">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This lack of multidisciplinary cross-pollination represents a major missed opportunity. Modern sustainability literature demonstrates that the most mature, impactful responses to the SDGs occur when academic keywords, datasets, and field methodologies cross traditional department lines. For example, an engineering or architectural program collaborating directly with an allied health track on a shared community design project yields vastly superior long-term indicators compared to isolated tracks operating in vacuums (Aksnes et al., 2019).</w:t>
      </w:r>
    </w:p>
    <w:p w:rsidR="00701DC4" w:rsidRPr="00701DC4" w:rsidRDefault="00701DC4" w:rsidP="00701DC4">
      <w:pPr>
        <w:spacing w:after="0" w:line="240" w:lineRule="auto"/>
        <w:jc w:val="both"/>
        <w:rPr>
          <w:rFonts w:ascii="Arial" w:eastAsia="Times New Roman" w:hAnsi="Arial" w:cs="Arial"/>
          <w:sz w:val="24"/>
          <w:szCs w:val="24"/>
        </w:rPr>
      </w:pPr>
    </w:p>
    <w:p w:rsidR="00701DC4" w:rsidRPr="00701DC4" w:rsidRDefault="00701DC4" w:rsidP="00701DC4">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When professional tracks operate in separate silos, the university's overarching keyword co-occurrence network fragments into isolated nodes. This layout prevents the formation of an integrated institutional vision, reducing the university's collective capacity to generate interdisciplinary solutions to complex real-world challenges.</w:t>
      </w:r>
    </w:p>
    <w:p w:rsidR="00701DC4" w:rsidRPr="00701DC4" w:rsidRDefault="00701DC4" w:rsidP="00701DC4">
      <w:pPr>
        <w:spacing w:after="0" w:line="240" w:lineRule="auto"/>
        <w:rPr>
          <w:rFonts w:ascii="Arial" w:eastAsia="Times New Roman" w:hAnsi="Arial" w:cs="Arial"/>
          <w:sz w:val="24"/>
          <w:szCs w:val="24"/>
        </w:rPr>
      </w:pPr>
    </w:p>
    <w:p w:rsidR="00701DC4" w:rsidRPr="00701DC4" w:rsidRDefault="00701DC4" w:rsidP="00701DC4">
      <w:pPr>
        <w:spacing w:after="0" w:line="240" w:lineRule="auto"/>
        <w:outlineLvl w:val="1"/>
        <w:rPr>
          <w:rFonts w:ascii="Arial" w:eastAsia="Times New Roman" w:hAnsi="Arial" w:cs="Arial"/>
          <w:bCs/>
          <w:sz w:val="24"/>
          <w:szCs w:val="24"/>
        </w:rPr>
      </w:pPr>
      <w:r w:rsidRPr="00701DC4">
        <w:rPr>
          <w:rFonts w:ascii="Arial" w:eastAsia="Times New Roman" w:hAnsi="Arial" w:cs="Arial"/>
          <w:bCs/>
          <w:sz w:val="24"/>
          <w:szCs w:val="24"/>
        </w:rPr>
        <w:t>Methodological Value of Bibliometric Auditing in HEIs</w:t>
      </w:r>
    </w:p>
    <w:p w:rsidR="00701DC4" w:rsidRPr="00701DC4" w:rsidRDefault="00701DC4" w:rsidP="00701DC4">
      <w:pPr>
        <w:spacing w:after="0" w:line="240" w:lineRule="auto"/>
        <w:outlineLvl w:val="1"/>
        <w:rPr>
          <w:rFonts w:ascii="Arial" w:eastAsia="Times New Roman" w:hAnsi="Arial" w:cs="Arial"/>
          <w:bCs/>
          <w:sz w:val="24"/>
          <w:szCs w:val="24"/>
        </w:rPr>
      </w:pPr>
    </w:p>
    <w:p w:rsidR="00701DC4" w:rsidRPr="00701DC4" w:rsidRDefault="00701DC4" w:rsidP="00701DC4">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To address these thematic gaps and optimize research management, universities are increasingly turning to bibliometric mapping and systematic keyword audits. Bibliometrics provides institutional administrators with an objective, data-driven methodology to assess the historical velocity, structural trajectory, and thematic concentrations of their research repositories over time.</w:t>
      </w:r>
    </w:p>
    <w:p w:rsidR="00701DC4" w:rsidRPr="00701DC4" w:rsidRDefault="00701DC4" w:rsidP="00701DC4">
      <w:pPr>
        <w:spacing w:after="0" w:line="240" w:lineRule="auto"/>
        <w:rPr>
          <w:rFonts w:ascii="Arial" w:eastAsia="Times New Roman" w:hAnsi="Arial" w:cs="Arial"/>
          <w:sz w:val="24"/>
          <w:szCs w:val="24"/>
        </w:rPr>
      </w:pPr>
    </w:p>
    <w:p w:rsidR="00701DC4" w:rsidRPr="00701DC4" w:rsidRDefault="00701DC4" w:rsidP="00701DC4">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As outlined by Donthu et al. (2021), conducting a comprehensive bibliometric evaluation allows an institution to transition away from anecdotal assertions of research performance toward an exact, verifiable visualization of data states and scientific trends.</w:t>
      </w:r>
    </w:p>
    <w:p w:rsidR="00701DC4" w:rsidRPr="00701DC4" w:rsidRDefault="00701DC4" w:rsidP="00701DC4">
      <w:pPr>
        <w:spacing w:after="0" w:line="240" w:lineRule="auto"/>
        <w:jc w:val="both"/>
        <w:rPr>
          <w:rFonts w:ascii="Arial" w:eastAsia="Times New Roman" w:hAnsi="Arial" w:cs="Arial"/>
          <w:sz w:val="24"/>
          <w:szCs w:val="24"/>
        </w:rPr>
      </w:pPr>
    </w:p>
    <w:p w:rsidR="00701DC4" w:rsidRPr="00701DC4" w:rsidRDefault="00701DC4" w:rsidP="00701DC4">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Furthermore, applying bibliometric metrics to graduate and undergraduate student research archives offers critical insights into how effectively an institution's core mission is filtering down to its student body. Tracked over an extended observation window, these metrics can flag real-time structural vulnerabilities. This includes tracking an institution's susceptibility to external operational shocks, such as pandemic-induced fieldwork restrictions, or identifying when specific academic programs are failing to engage with international policy frameworks.</w:t>
      </w:r>
    </w:p>
    <w:p w:rsidR="00701DC4" w:rsidRPr="00701DC4" w:rsidRDefault="00701DC4" w:rsidP="00701DC4">
      <w:pPr>
        <w:spacing w:after="0" w:line="240" w:lineRule="auto"/>
        <w:rPr>
          <w:rFonts w:ascii="Arial" w:eastAsia="Times New Roman" w:hAnsi="Arial" w:cs="Arial"/>
          <w:sz w:val="24"/>
          <w:szCs w:val="24"/>
        </w:rPr>
      </w:pPr>
    </w:p>
    <w:p w:rsidR="00701DC4" w:rsidRPr="00701DC4" w:rsidRDefault="00701DC4" w:rsidP="00701DC4">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lastRenderedPageBreak/>
        <w:t>Ultimately, regular bibliometric audits serve as an essential institutional mirror. They provide the precise diagnostic data that academic administrators, university librarians, and research directors need to move past accidental, uncoordinated scholarship and transition toward a deliberate, systemic strategy of global sustainability alignment.</w:t>
      </w:r>
    </w:p>
    <w:p w:rsidR="00701DC4" w:rsidRPr="00701DC4" w:rsidRDefault="00701DC4" w:rsidP="00701DC4">
      <w:pPr>
        <w:spacing w:after="0" w:line="240" w:lineRule="auto"/>
        <w:jc w:val="both"/>
        <w:rPr>
          <w:rFonts w:ascii="Arial" w:eastAsia="Times New Roman" w:hAnsi="Arial" w:cs="Arial"/>
          <w:sz w:val="24"/>
          <w:szCs w:val="24"/>
        </w:rPr>
      </w:pPr>
    </w:p>
    <w:p w:rsidR="00597B7F" w:rsidRPr="00701DC4" w:rsidRDefault="00597B7F" w:rsidP="00701DC4">
      <w:pPr>
        <w:spacing w:after="0" w:line="240" w:lineRule="auto"/>
        <w:rPr>
          <w:rFonts w:ascii="Arial" w:hAnsi="Arial" w:cs="Arial"/>
          <w:b/>
          <w:sz w:val="24"/>
          <w:szCs w:val="24"/>
        </w:rPr>
      </w:pPr>
      <w:r w:rsidRPr="00701DC4">
        <w:rPr>
          <w:rFonts w:ascii="Arial" w:hAnsi="Arial" w:cs="Arial"/>
          <w:b/>
          <w:sz w:val="24"/>
          <w:szCs w:val="24"/>
        </w:rPr>
        <w:t>Research Questions</w:t>
      </w:r>
    </w:p>
    <w:p w:rsidR="00597B7F" w:rsidRPr="00701DC4" w:rsidRDefault="00597B7F" w:rsidP="004205BB">
      <w:pPr>
        <w:spacing w:after="0" w:line="240" w:lineRule="auto"/>
        <w:rPr>
          <w:rFonts w:ascii="Arial" w:hAnsi="Arial" w:cs="Arial"/>
          <w:b/>
          <w:sz w:val="24"/>
          <w:szCs w:val="24"/>
        </w:rPr>
      </w:pPr>
    </w:p>
    <w:p w:rsidR="00597B7F" w:rsidRPr="00701DC4" w:rsidRDefault="009B44DA" w:rsidP="004205BB">
      <w:pPr>
        <w:spacing w:after="0" w:line="240" w:lineRule="auto"/>
        <w:jc w:val="both"/>
        <w:rPr>
          <w:rFonts w:ascii="Arial" w:hAnsi="Arial" w:cs="Arial"/>
          <w:sz w:val="24"/>
          <w:szCs w:val="24"/>
        </w:rPr>
      </w:pPr>
      <w:r w:rsidRPr="00701DC4">
        <w:rPr>
          <w:rFonts w:ascii="Arial" w:hAnsi="Arial" w:cs="Arial"/>
          <w:sz w:val="24"/>
          <w:szCs w:val="24"/>
        </w:rPr>
        <w:t>This study systematically evaluates the distribution, disciplinary contributions, temporal trajectories, and thematic networks of student theses and dissertations produced from 2015 to 2025 within an Archdiocesan Catholic University in relation to the United Nations Sustainable Development Goals (SDGs). Specifically, it seeks to resolve the following research queries:</w:t>
      </w:r>
    </w:p>
    <w:p w:rsidR="009B44DA" w:rsidRPr="00701DC4" w:rsidRDefault="009B44DA" w:rsidP="004205BB">
      <w:pPr>
        <w:spacing w:after="0" w:line="240" w:lineRule="auto"/>
        <w:rPr>
          <w:rFonts w:ascii="Arial" w:hAnsi="Arial" w:cs="Arial"/>
          <w:b/>
          <w:sz w:val="24"/>
          <w:szCs w:val="24"/>
        </w:rPr>
      </w:pPr>
    </w:p>
    <w:p w:rsidR="009B44DA" w:rsidRPr="00701DC4" w:rsidRDefault="009B44DA" w:rsidP="004205BB">
      <w:pPr>
        <w:pStyle w:val="ListParagraph"/>
        <w:numPr>
          <w:ilvl w:val="0"/>
          <w:numId w:val="3"/>
        </w:numPr>
        <w:spacing w:after="0" w:line="240" w:lineRule="auto"/>
        <w:rPr>
          <w:rFonts w:ascii="Arial" w:hAnsi="Arial" w:cs="Arial"/>
          <w:sz w:val="24"/>
          <w:szCs w:val="24"/>
        </w:rPr>
      </w:pPr>
      <w:r w:rsidRPr="00701DC4">
        <w:rPr>
          <w:rFonts w:ascii="Arial" w:hAnsi="Arial" w:cs="Arial"/>
          <w:sz w:val="24"/>
          <w:szCs w:val="24"/>
        </w:rPr>
        <w:t>Which Sustainable Development Goals (SDGs) are most prominently prioritized, and which are structurally neglected, within the institutional student research repository?</w:t>
      </w:r>
    </w:p>
    <w:p w:rsidR="009B44DA" w:rsidRPr="00701DC4" w:rsidRDefault="009B44DA" w:rsidP="004205BB">
      <w:pPr>
        <w:spacing w:after="0" w:line="240" w:lineRule="auto"/>
        <w:rPr>
          <w:rFonts w:ascii="Arial" w:hAnsi="Arial" w:cs="Arial"/>
          <w:sz w:val="24"/>
          <w:szCs w:val="24"/>
        </w:rPr>
      </w:pPr>
    </w:p>
    <w:p w:rsidR="009B44DA" w:rsidRPr="00701DC4" w:rsidRDefault="008F7691" w:rsidP="004205BB">
      <w:pPr>
        <w:pStyle w:val="ListParagraph"/>
        <w:numPr>
          <w:ilvl w:val="0"/>
          <w:numId w:val="3"/>
        </w:numPr>
        <w:spacing w:after="0" w:line="240" w:lineRule="auto"/>
        <w:rPr>
          <w:rFonts w:ascii="Arial" w:hAnsi="Arial" w:cs="Arial"/>
          <w:sz w:val="24"/>
          <w:szCs w:val="24"/>
        </w:rPr>
      </w:pPr>
      <w:r w:rsidRPr="00701DC4">
        <w:rPr>
          <w:rFonts w:ascii="Arial" w:hAnsi="Arial" w:cs="Arial"/>
          <w:sz w:val="24"/>
          <w:szCs w:val="24"/>
        </w:rPr>
        <w:t>Which academic programs have contributed to SDG-related research, and how do these contributions vary across disciplines?</w:t>
      </w:r>
    </w:p>
    <w:p w:rsidR="009B44DA" w:rsidRPr="00701DC4" w:rsidRDefault="009B44DA" w:rsidP="004205BB">
      <w:pPr>
        <w:spacing w:after="0" w:line="240" w:lineRule="auto"/>
        <w:rPr>
          <w:rFonts w:ascii="Arial" w:hAnsi="Arial" w:cs="Arial"/>
          <w:sz w:val="24"/>
          <w:szCs w:val="24"/>
        </w:rPr>
      </w:pPr>
    </w:p>
    <w:p w:rsidR="009B44DA" w:rsidRPr="00701DC4" w:rsidRDefault="009B44DA" w:rsidP="004205BB">
      <w:pPr>
        <w:pStyle w:val="ListParagraph"/>
        <w:numPr>
          <w:ilvl w:val="0"/>
          <w:numId w:val="3"/>
        </w:numPr>
        <w:spacing w:after="0" w:line="240" w:lineRule="auto"/>
        <w:rPr>
          <w:rFonts w:ascii="Arial" w:hAnsi="Arial" w:cs="Arial"/>
          <w:sz w:val="24"/>
          <w:szCs w:val="24"/>
        </w:rPr>
      </w:pPr>
      <w:r w:rsidRPr="00701DC4">
        <w:rPr>
          <w:rFonts w:ascii="Arial" w:hAnsi="Arial" w:cs="Arial"/>
          <w:sz w:val="24"/>
          <w:szCs w:val="24"/>
        </w:rPr>
        <w:t xml:space="preserve">What do the annual longitudinal trends from 2015 to 2025 reveal about the continuity, stability, and </w:t>
      </w:r>
      <w:r w:rsidR="008F7691" w:rsidRPr="00701DC4">
        <w:rPr>
          <w:rFonts w:ascii="Arial" w:hAnsi="Arial" w:cs="Arial"/>
          <w:sz w:val="24"/>
          <w:szCs w:val="24"/>
        </w:rPr>
        <w:t>what do these trends suggest about institutional focus over time</w:t>
      </w:r>
      <w:r w:rsidRPr="00701DC4">
        <w:rPr>
          <w:rFonts w:ascii="Arial" w:hAnsi="Arial" w:cs="Arial"/>
          <w:sz w:val="24"/>
          <w:szCs w:val="24"/>
        </w:rPr>
        <w:t>?</w:t>
      </w:r>
    </w:p>
    <w:p w:rsidR="009B44DA" w:rsidRPr="00701DC4" w:rsidRDefault="009B44DA" w:rsidP="004205BB">
      <w:pPr>
        <w:spacing w:after="0" w:line="240" w:lineRule="auto"/>
        <w:rPr>
          <w:rFonts w:ascii="Arial" w:hAnsi="Arial" w:cs="Arial"/>
          <w:sz w:val="24"/>
          <w:szCs w:val="24"/>
        </w:rPr>
      </w:pPr>
    </w:p>
    <w:p w:rsidR="00597B7F" w:rsidRPr="00701DC4" w:rsidRDefault="009B44DA" w:rsidP="004205BB">
      <w:pPr>
        <w:pStyle w:val="ListParagraph"/>
        <w:numPr>
          <w:ilvl w:val="0"/>
          <w:numId w:val="3"/>
        </w:numPr>
        <w:spacing w:after="0" w:line="240" w:lineRule="auto"/>
        <w:rPr>
          <w:rFonts w:ascii="Arial" w:hAnsi="Arial" w:cs="Arial"/>
          <w:sz w:val="24"/>
          <w:szCs w:val="24"/>
        </w:rPr>
      </w:pPr>
      <w:r w:rsidRPr="00701DC4">
        <w:rPr>
          <w:rFonts w:ascii="Arial" w:hAnsi="Arial" w:cs="Arial"/>
          <w:sz w:val="24"/>
          <w:szCs w:val="24"/>
        </w:rPr>
        <w:t>What core conceptual structures and thematic priorities emerge from the keyword co-occurrence network of these student academic outputs?</w:t>
      </w:r>
    </w:p>
    <w:p w:rsidR="009B44DA" w:rsidRPr="00701DC4" w:rsidRDefault="009B44DA" w:rsidP="004205BB">
      <w:pPr>
        <w:spacing w:after="0" w:line="240" w:lineRule="auto"/>
        <w:rPr>
          <w:rFonts w:ascii="Arial" w:hAnsi="Arial" w:cs="Arial"/>
          <w:sz w:val="24"/>
          <w:szCs w:val="24"/>
        </w:rPr>
      </w:pPr>
    </w:p>
    <w:p w:rsidR="009B44DA" w:rsidRPr="00701DC4" w:rsidRDefault="009B44DA" w:rsidP="004205BB">
      <w:pPr>
        <w:spacing w:after="0" w:line="240" w:lineRule="auto"/>
        <w:jc w:val="center"/>
        <w:rPr>
          <w:rFonts w:ascii="Arial" w:hAnsi="Arial" w:cs="Arial"/>
          <w:b/>
          <w:sz w:val="24"/>
          <w:szCs w:val="24"/>
        </w:rPr>
      </w:pPr>
      <w:r w:rsidRPr="00701DC4">
        <w:rPr>
          <w:rFonts w:ascii="Arial" w:hAnsi="Arial" w:cs="Arial"/>
          <w:b/>
          <w:sz w:val="24"/>
          <w:szCs w:val="24"/>
        </w:rPr>
        <w:t>METHOD</w:t>
      </w:r>
    </w:p>
    <w:p w:rsidR="009B44DA" w:rsidRPr="00701DC4" w:rsidRDefault="009B44DA" w:rsidP="004205BB">
      <w:pPr>
        <w:spacing w:after="0" w:line="240" w:lineRule="auto"/>
        <w:jc w:val="center"/>
        <w:rPr>
          <w:rFonts w:ascii="Arial" w:hAnsi="Arial" w:cs="Arial"/>
          <w:b/>
          <w:sz w:val="24"/>
          <w:szCs w:val="24"/>
        </w:rPr>
      </w:pPr>
    </w:p>
    <w:p w:rsidR="009B44DA" w:rsidRPr="00701DC4" w:rsidRDefault="009B44DA" w:rsidP="004205BB">
      <w:pPr>
        <w:spacing w:after="0" w:line="240" w:lineRule="auto"/>
        <w:jc w:val="both"/>
        <w:rPr>
          <w:rFonts w:ascii="Arial" w:hAnsi="Arial" w:cs="Arial"/>
          <w:i/>
          <w:sz w:val="24"/>
          <w:szCs w:val="24"/>
        </w:rPr>
      </w:pPr>
      <w:r w:rsidRPr="00701DC4">
        <w:rPr>
          <w:rFonts w:ascii="Arial" w:hAnsi="Arial" w:cs="Arial"/>
          <w:i/>
          <w:sz w:val="24"/>
          <w:szCs w:val="24"/>
        </w:rPr>
        <w:t>Research Design</w:t>
      </w:r>
    </w:p>
    <w:p w:rsidR="009B44DA" w:rsidRPr="00701DC4" w:rsidRDefault="009B44DA" w:rsidP="004205BB">
      <w:pPr>
        <w:spacing w:after="0" w:line="240" w:lineRule="auto"/>
        <w:jc w:val="both"/>
        <w:rPr>
          <w:rFonts w:ascii="Arial" w:hAnsi="Arial" w:cs="Arial"/>
          <w:sz w:val="24"/>
          <w:szCs w:val="24"/>
        </w:rPr>
      </w:pPr>
    </w:p>
    <w:p w:rsidR="009B44DA" w:rsidRPr="00701DC4" w:rsidRDefault="009B44DA" w:rsidP="004205BB">
      <w:pPr>
        <w:spacing w:after="0" w:line="240" w:lineRule="auto"/>
        <w:jc w:val="both"/>
        <w:rPr>
          <w:rFonts w:ascii="Arial" w:hAnsi="Arial" w:cs="Arial"/>
          <w:sz w:val="24"/>
          <w:szCs w:val="24"/>
        </w:rPr>
      </w:pPr>
      <w:r w:rsidRPr="00701DC4">
        <w:rPr>
          <w:rFonts w:ascii="Arial" w:hAnsi="Arial" w:cs="Arial"/>
          <w:sz w:val="24"/>
          <w:szCs w:val="24"/>
        </w:rPr>
        <w:t>This study employed a descriptive, retrospective bibliometric mapping design combined with formal document analysis. Bibliometrics allows for the objective, quantitative evaluation of written communication and publication patterns within a defined body of literature, making it an ideal approach for mapping thematic trends over time. The primary target matrix for this study comprised all student-authored terminal resea</w:t>
      </w:r>
      <w:r w:rsidR="008F7691" w:rsidRPr="00701DC4">
        <w:rPr>
          <w:rFonts w:ascii="Arial" w:hAnsi="Arial" w:cs="Arial"/>
          <w:sz w:val="24"/>
          <w:szCs w:val="24"/>
        </w:rPr>
        <w:t>rch works (undergraduate theses</w:t>
      </w:r>
      <w:r w:rsidRPr="00701DC4">
        <w:rPr>
          <w:rFonts w:ascii="Arial" w:hAnsi="Arial" w:cs="Arial"/>
          <w:sz w:val="24"/>
          <w:szCs w:val="24"/>
        </w:rPr>
        <w:t>) officially accepted, cataloged, and archived within the Electronic Theses and Dissertations (ETD) database of the university library from the years 2015 to 2025, inclusive.</w:t>
      </w:r>
    </w:p>
    <w:p w:rsidR="009B44DA" w:rsidRPr="00701DC4" w:rsidRDefault="009B44DA" w:rsidP="004205BB">
      <w:pPr>
        <w:spacing w:after="0" w:line="240" w:lineRule="auto"/>
        <w:jc w:val="both"/>
        <w:rPr>
          <w:rFonts w:ascii="Arial" w:hAnsi="Arial" w:cs="Arial"/>
          <w:sz w:val="24"/>
          <w:szCs w:val="24"/>
        </w:rPr>
      </w:pPr>
    </w:p>
    <w:p w:rsidR="009B44DA" w:rsidRPr="00701DC4" w:rsidRDefault="009B44DA" w:rsidP="004205BB">
      <w:pPr>
        <w:spacing w:after="0" w:line="240" w:lineRule="auto"/>
        <w:jc w:val="both"/>
        <w:rPr>
          <w:rFonts w:ascii="Arial" w:hAnsi="Arial" w:cs="Arial"/>
          <w:i/>
          <w:sz w:val="24"/>
          <w:szCs w:val="24"/>
        </w:rPr>
      </w:pPr>
      <w:r w:rsidRPr="00701DC4">
        <w:rPr>
          <w:rFonts w:ascii="Arial" w:hAnsi="Arial" w:cs="Arial"/>
          <w:i/>
          <w:sz w:val="24"/>
          <w:szCs w:val="24"/>
        </w:rPr>
        <w:t>Sources of Data</w:t>
      </w:r>
    </w:p>
    <w:p w:rsidR="009B44DA" w:rsidRPr="00701DC4" w:rsidRDefault="009B44DA" w:rsidP="004205BB">
      <w:pPr>
        <w:spacing w:after="0" w:line="240" w:lineRule="auto"/>
        <w:jc w:val="both"/>
        <w:rPr>
          <w:rFonts w:ascii="Arial" w:hAnsi="Arial" w:cs="Arial"/>
          <w:sz w:val="24"/>
          <w:szCs w:val="24"/>
        </w:rPr>
      </w:pPr>
    </w:p>
    <w:p w:rsidR="009B44DA" w:rsidRPr="00701DC4" w:rsidRDefault="009B44DA" w:rsidP="004205BB">
      <w:pPr>
        <w:spacing w:after="0" w:line="240" w:lineRule="auto"/>
        <w:jc w:val="both"/>
        <w:rPr>
          <w:rFonts w:ascii="Arial" w:hAnsi="Arial" w:cs="Arial"/>
          <w:sz w:val="24"/>
          <w:szCs w:val="24"/>
        </w:rPr>
      </w:pPr>
      <w:r w:rsidRPr="00701DC4">
        <w:rPr>
          <w:rFonts w:ascii="Arial" w:hAnsi="Arial" w:cs="Arial"/>
          <w:sz w:val="24"/>
          <w:szCs w:val="24"/>
        </w:rPr>
        <w:t>A rigorous, multi-stage screening process was implemented to compile the research corpus:</w:t>
      </w:r>
    </w:p>
    <w:p w:rsidR="009B44DA" w:rsidRPr="00701DC4" w:rsidRDefault="009B44DA" w:rsidP="004205BB">
      <w:pPr>
        <w:pStyle w:val="ListParagraph"/>
        <w:numPr>
          <w:ilvl w:val="0"/>
          <w:numId w:val="4"/>
        </w:numPr>
        <w:spacing w:after="0" w:line="240" w:lineRule="auto"/>
        <w:jc w:val="both"/>
        <w:rPr>
          <w:rFonts w:ascii="Arial" w:hAnsi="Arial" w:cs="Arial"/>
          <w:sz w:val="24"/>
          <w:szCs w:val="24"/>
        </w:rPr>
      </w:pPr>
      <w:r w:rsidRPr="00701DC4">
        <w:rPr>
          <w:rFonts w:ascii="Arial" w:hAnsi="Arial" w:cs="Arial"/>
          <w:sz w:val="24"/>
          <w:szCs w:val="24"/>
        </w:rPr>
        <w:lastRenderedPageBreak/>
        <w:t>Initial Corpus Extraction: The repository was searched using a broad array of metadata queries, including department codes, publication years, and abstract indices.</w:t>
      </w:r>
    </w:p>
    <w:p w:rsidR="009B44DA" w:rsidRPr="00701DC4" w:rsidRDefault="009B44DA" w:rsidP="004205BB">
      <w:pPr>
        <w:pStyle w:val="ListParagraph"/>
        <w:numPr>
          <w:ilvl w:val="0"/>
          <w:numId w:val="4"/>
        </w:numPr>
        <w:spacing w:after="0" w:line="240" w:lineRule="auto"/>
        <w:jc w:val="both"/>
        <w:rPr>
          <w:rFonts w:ascii="Arial" w:hAnsi="Arial" w:cs="Arial"/>
          <w:sz w:val="24"/>
          <w:szCs w:val="24"/>
        </w:rPr>
      </w:pPr>
      <w:r w:rsidRPr="00701DC4">
        <w:rPr>
          <w:rFonts w:ascii="Arial" w:hAnsi="Arial" w:cs="Arial"/>
          <w:sz w:val="24"/>
          <w:szCs w:val="24"/>
        </w:rPr>
        <w:t>Thematic Inclusion Filter: Works were evaluated using an established vocabulary mapping matrix derived from the official UN SDG targets and indicators. To be included in the final analytical sample (N = 16), a thesis had to demonstrate an explicit, core conceptual alignment with at least one specific SDG, meaning its primary research questions, methodology, and empirical conclusions directly addressed a sustainability target indicator.</w:t>
      </w:r>
    </w:p>
    <w:p w:rsidR="009B44DA" w:rsidRPr="00701DC4" w:rsidRDefault="009B44DA" w:rsidP="004205BB">
      <w:pPr>
        <w:pStyle w:val="ListParagraph"/>
        <w:numPr>
          <w:ilvl w:val="0"/>
          <w:numId w:val="4"/>
        </w:numPr>
        <w:spacing w:after="0" w:line="240" w:lineRule="auto"/>
        <w:jc w:val="both"/>
        <w:rPr>
          <w:rFonts w:ascii="Arial" w:hAnsi="Arial" w:cs="Arial"/>
          <w:sz w:val="24"/>
          <w:szCs w:val="24"/>
        </w:rPr>
      </w:pPr>
      <w:r w:rsidRPr="00701DC4">
        <w:rPr>
          <w:rFonts w:ascii="Arial" w:hAnsi="Arial" w:cs="Arial"/>
          <w:sz w:val="24"/>
          <w:szCs w:val="24"/>
        </w:rPr>
        <w:t>Exclusion Criteria: Papers that merely mentioned environmental or social variables in passing, without structurally integrating them into the research design, were excluded.</w:t>
      </w:r>
    </w:p>
    <w:p w:rsidR="009B44DA" w:rsidRPr="00701DC4" w:rsidRDefault="009B44DA" w:rsidP="004205BB">
      <w:pPr>
        <w:spacing w:after="0" w:line="240" w:lineRule="auto"/>
        <w:rPr>
          <w:rFonts w:ascii="Arial" w:hAnsi="Arial" w:cs="Arial"/>
          <w:sz w:val="24"/>
          <w:szCs w:val="24"/>
        </w:rPr>
      </w:pPr>
    </w:p>
    <w:p w:rsidR="009B44DA" w:rsidRPr="00701DC4" w:rsidRDefault="009B44DA" w:rsidP="004205BB">
      <w:pPr>
        <w:spacing w:after="0" w:line="240" w:lineRule="auto"/>
        <w:jc w:val="both"/>
        <w:rPr>
          <w:rFonts w:ascii="Arial" w:hAnsi="Arial" w:cs="Arial"/>
          <w:sz w:val="24"/>
          <w:szCs w:val="24"/>
        </w:rPr>
      </w:pPr>
      <w:r w:rsidRPr="00701DC4">
        <w:rPr>
          <w:rFonts w:ascii="Arial" w:hAnsi="Arial" w:cs="Arial"/>
          <w:sz w:val="24"/>
          <w:szCs w:val="24"/>
        </w:rPr>
        <w:t>Data extraction was conducted systematically using an analytics worksheet. For each validated work, the following metadata points were logged: publication year, academic degree program, primary departmental affiliation, abstract text, author-provided keywords, and the designated primary SDG classification. To ensure inter-coder reliability during the SDG classification phase, two independent catalogers evaluated each text against the UN SDG metadata definitions. Discrepancies regarding the primary goal assignment were resolved through cross-examination of the study's specific research objectives.</w:t>
      </w:r>
    </w:p>
    <w:p w:rsidR="009B44DA" w:rsidRPr="00701DC4" w:rsidRDefault="009B44DA" w:rsidP="004205BB">
      <w:pPr>
        <w:spacing w:after="0" w:line="240" w:lineRule="auto"/>
        <w:rPr>
          <w:rFonts w:ascii="Arial" w:hAnsi="Arial" w:cs="Arial"/>
          <w:sz w:val="24"/>
          <w:szCs w:val="24"/>
        </w:rPr>
      </w:pPr>
    </w:p>
    <w:p w:rsidR="009B44DA" w:rsidRPr="00701DC4" w:rsidRDefault="009B44DA" w:rsidP="004205BB">
      <w:pPr>
        <w:spacing w:after="0" w:line="240" w:lineRule="auto"/>
        <w:jc w:val="both"/>
        <w:rPr>
          <w:rFonts w:ascii="Arial" w:hAnsi="Arial" w:cs="Arial"/>
          <w:sz w:val="24"/>
          <w:szCs w:val="24"/>
        </w:rPr>
      </w:pPr>
      <w:r w:rsidRPr="00701DC4">
        <w:rPr>
          <w:rFonts w:ascii="Arial" w:hAnsi="Arial" w:cs="Arial"/>
          <w:sz w:val="24"/>
          <w:szCs w:val="24"/>
        </w:rPr>
        <w:t>Quantitative metadata fields were processed using descriptive statistical metrics, specifically frequency counts (f) and percentage distributions (%). The semantic and conceptual landscape of the text corpus was mapped via manual keyword co-occurrence analysis, tracking the structural frequency of specific terms alongside their corresponding SDG alignments. This process allowed for the identification of cluster concentrations within the institution's student research output.</w:t>
      </w:r>
    </w:p>
    <w:p w:rsidR="009B44DA" w:rsidRPr="00701DC4" w:rsidRDefault="009B44DA" w:rsidP="004205BB">
      <w:pPr>
        <w:spacing w:after="0" w:line="240" w:lineRule="auto"/>
        <w:jc w:val="center"/>
        <w:rPr>
          <w:rFonts w:ascii="Arial" w:hAnsi="Arial" w:cs="Arial"/>
          <w:b/>
          <w:sz w:val="24"/>
          <w:szCs w:val="24"/>
        </w:rPr>
      </w:pPr>
    </w:p>
    <w:p w:rsidR="00597B7F" w:rsidRPr="00701DC4" w:rsidRDefault="00996046" w:rsidP="004205BB">
      <w:pPr>
        <w:spacing w:after="0" w:line="240" w:lineRule="auto"/>
        <w:jc w:val="center"/>
        <w:rPr>
          <w:rFonts w:ascii="Arial" w:hAnsi="Arial" w:cs="Arial"/>
          <w:b/>
          <w:sz w:val="24"/>
          <w:szCs w:val="24"/>
        </w:rPr>
      </w:pPr>
      <w:r w:rsidRPr="00701DC4">
        <w:rPr>
          <w:rFonts w:ascii="Arial" w:hAnsi="Arial" w:cs="Arial"/>
          <w:b/>
          <w:sz w:val="24"/>
          <w:szCs w:val="24"/>
        </w:rPr>
        <w:t>RESULTS</w:t>
      </w:r>
    </w:p>
    <w:p w:rsidR="00597B7F" w:rsidRPr="00701DC4" w:rsidRDefault="00597B7F" w:rsidP="004205BB">
      <w:pPr>
        <w:spacing w:after="0" w:line="240" w:lineRule="auto"/>
        <w:rPr>
          <w:rFonts w:ascii="Arial" w:hAnsi="Arial" w:cs="Arial"/>
          <w:sz w:val="24"/>
          <w:szCs w:val="24"/>
        </w:rPr>
      </w:pPr>
    </w:p>
    <w:p w:rsidR="009B44DA" w:rsidRPr="00701DC4" w:rsidRDefault="009B44DA" w:rsidP="004205BB">
      <w:pPr>
        <w:spacing w:after="0" w:line="240" w:lineRule="auto"/>
        <w:rPr>
          <w:rFonts w:ascii="Arial" w:hAnsi="Arial" w:cs="Arial"/>
          <w:b/>
          <w:sz w:val="24"/>
          <w:szCs w:val="24"/>
        </w:rPr>
      </w:pPr>
      <w:r w:rsidRPr="00701DC4">
        <w:rPr>
          <w:rFonts w:ascii="Arial" w:hAnsi="Arial" w:cs="Arial"/>
          <w:b/>
          <w:sz w:val="24"/>
          <w:szCs w:val="24"/>
        </w:rPr>
        <w:t>Thematic Mapping of Student Research against SDGs</w:t>
      </w:r>
    </w:p>
    <w:p w:rsidR="009B44DA" w:rsidRPr="00701DC4" w:rsidRDefault="009B44DA" w:rsidP="004205BB">
      <w:pPr>
        <w:spacing w:after="0" w:line="240" w:lineRule="auto"/>
        <w:jc w:val="both"/>
        <w:rPr>
          <w:rFonts w:ascii="Arial" w:hAnsi="Arial" w:cs="Arial"/>
          <w:sz w:val="24"/>
          <w:szCs w:val="24"/>
        </w:rPr>
      </w:pPr>
      <w:r w:rsidRPr="00701DC4">
        <w:rPr>
          <w:rFonts w:ascii="Arial" w:hAnsi="Arial" w:cs="Arial"/>
          <w:sz w:val="24"/>
          <w:szCs w:val="24"/>
        </w:rPr>
        <w:t>The foundational phase of this investigation required auditing the student research corpus to classify works based on their alignment with the 17 UN Sustainable Development Goals. The empirical distribution generated from this analysis is detailed in Table 1.</w:t>
      </w:r>
    </w:p>
    <w:p w:rsidR="009B44DA" w:rsidRPr="00701DC4" w:rsidRDefault="009B44DA" w:rsidP="004205BB">
      <w:pPr>
        <w:spacing w:after="0" w:line="240" w:lineRule="auto"/>
        <w:rPr>
          <w:rFonts w:ascii="Arial" w:hAnsi="Arial" w:cs="Arial"/>
          <w:sz w:val="24"/>
          <w:szCs w:val="24"/>
        </w:rPr>
      </w:pPr>
    </w:p>
    <w:p w:rsidR="008D3D17" w:rsidRPr="00701DC4" w:rsidRDefault="008D3D17" w:rsidP="004205BB">
      <w:pPr>
        <w:spacing w:after="0" w:line="240" w:lineRule="auto"/>
        <w:rPr>
          <w:rFonts w:ascii="Arial" w:hAnsi="Arial" w:cs="Arial"/>
          <w:b/>
          <w:sz w:val="24"/>
          <w:szCs w:val="24"/>
        </w:rPr>
      </w:pPr>
      <w:r w:rsidRPr="00701DC4">
        <w:rPr>
          <w:rFonts w:ascii="Arial" w:hAnsi="Arial" w:cs="Arial"/>
          <w:b/>
          <w:sz w:val="24"/>
          <w:szCs w:val="24"/>
        </w:rPr>
        <w:t>Table 1</w:t>
      </w:r>
    </w:p>
    <w:p w:rsidR="004D1C57" w:rsidRPr="00701DC4" w:rsidRDefault="009B44DA" w:rsidP="004205BB">
      <w:pPr>
        <w:spacing w:after="0" w:line="240" w:lineRule="auto"/>
        <w:jc w:val="both"/>
        <w:rPr>
          <w:rFonts w:ascii="Arial" w:hAnsi="Arial" w:cs="Arial"/>
          <w:i/>
          <w:sz w:val="24"/>
          <w:szCs w:val="24"/>
        </w:rPr>
      </w:pPr>
      <w:r w:rsidRPr="00701DC4">
        <w:rPr>
          <w:rFonts w:ascii="Arial" w:hAnsi="Arial" w:cs="Arial"/>
          <w:i/>
          <w:sz w:val="24"/>
          <w:szCs w:val="24"/>
        </w:rPr>
        <w:t>Frequency of Student Theses and Dissertations Aligned with Specific SDGs (2015–2025)</w:t>
      </w:r>
    </w:p>
    <w:tbl>
      <w:tblPr>
        <w:tblW w:w="5000" w:type="pct"/>
        <w:tblBorders>
          <w:top w:val="single" w:sz="4" w:space="0" w:color="auto"/>
          <w:bottom w:val="single" w:sz="4" w:space="0" w:color="auto"/>
        </w:tblBorders>
        <w:tblLook w:val="04A0" w:firstRow="1" w:lastRow="0" w:firstColumn="1" w:lastColumn="0" w:noHBand="0" w:noVBand="1"/>
      </w:tblPr>
      <w:tblGrid>
        <w:gridCol w:w="1130"/>
        <w:gridCol w:w="4483"/>
        <w:gridCol w:w="1943"/>
        <w:gridCol w:w="1804"/>
      </w:tblGrid>
      <w:tr w:rsidR="006757FB" w:rsidRPr="00701DC4" w:rsidTr="009B44DA">
        <w:trPr>
          <w:trHeight w:val="300"/>
        </w:trPr>
        <w:tc>
          <w:tcPr>
            <w:tcW w:w="608" w:type="pct"/>
            <w:tcBorders>
              <w:top w:val="single" w:sz="4" w:space="0" w:color="auto"/>
              <w:bottom w:val="single" w:sz="4" w:space="0" w:color="auto"/>
            </w:tcBorders>
            <w:shd w:val="clear" w:color="auto" w:fill="auto"/>
            <w:noWrap/>
            <w:hideMark/>
          </w:tcPr>
          <w:p w:rsidR="008D3D17" w:rsidRPr="00701DC4" w:rsidRDefault="008D3D17"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SGD No.</w:t>
            </w:r>
          </w:p>
        </w:tc>
        <w:tc>
          <w:tcPr>
            <w:tcW w:w="2374" w:type="pct"/>
            <w:tcBorders>
              <w:top w:val="single" w:sz="4" w:space="0" w:color="auto"/>
              <w:bottom w:val="single" w:sz="4" w:space="0" w:color="auto"/>
            </w:tcBorders>
            <w:shd w:val="clear" w:color="auto" w:fill="auto"/>
            <w:noWrap/>
            <w:hideMark/>
          </w:tcPr>
          <w:p w:rsidR="008D3D17" w:rsidRPr="00701DC4" w:rsidRDefault="008D3D17" w:rsidP="004205BB">
            <w:pPr>
              <w:spacing w:after="0" w:line="240" w:lineRule="auto"/>
              <w:rPr>
                <w:rFonts w:ascii="Arial" w:eastAsia="Times New Roman" w:hAnsi="Arial" w:cs="Arial"/>
                <w:color w:val="000000"/>
                <w:sz w:val="24"/>
                <w:szCs w:val="24"/>
              </w:rPr>
            </w:pPr>
            <w:r w:rsidRPr="00701DC4">
              <w:rPr>
                <w:rFonts w:ascii="Arial" w:eastAsia="Times New Roman" w:hAnsi="Arial" w:cs="Arial"/>
                <w:color w:val="000000"/>
                <w:sz w:val="24"/>
                <w:szCs w:val="24"/>
              </w:rPr>
              <w:t>SGD Title</w:t>
            </w:r>
          </w:p>
        </w:tc>
        <w:tc>
          <w:tcPr>
            <w:tcW w:w="1046" w:type="pct"/>
            <w:tcBorders>
              <w:top w:val="single" w:sz="4" w:space="0" w:color="auto"/>
              <w:bottom w:val="single" w:sz="4" w:space="0" w:color="auto"/>
            </w:tcBorders>
            <w:shd w:val="clear" w:color="auto" w:fill="auto"/>
            <w:noWrap/>
            <w:hideMark/>
          </w:tcPr>
          <w:p w:rsidR="008D3D17" w:rsidRPr="00701DC4" w:rsidRDefault="008D3D17"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Number of works</w:t>
            </w:r>
          </w:p>
        </w:tc>
        <w:tc>
          <w:tcPr>
            <w:tcW w:w="971" w:type="pct"/>
            <w:tcBorders>
              <w:top w:val="single" w:sz="4" w:space="0" w:color="auto"/>
              <w:bottom w:val="single" w:sz="4" w:space="0" w:color="auto"/>
            </w:tcBorders>
            <w:shd w:val="clear" w:color="auto" w:fill="auto"/>
            <w:noWrap/>
            <w:vAlign w:val="bottom"/>
            <w:hideMark/>
          </w:tcPr>
          <w:p w:rsidR="008D3D17" w:rsidRPr="00701DC4" w:rsidRDefault="008D3D17"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Percentage (%)</w:t>
            </w:r>
          </w:p>
        </w:tc>
      </w:tr>
      <w:tr w:rsidR="009B44DA" w:rsidRPr="00701DC4" w:rsidTr="009B44DA">
        <w:trPr>
          <w:trHeight w:val="300"/>
        </w:trPr>
        <w:tc>
          <w:tcPr>
            <w:tcW w:w="608" w:type="pct"/>
            <w:tcBorders>
              <w:top w:val="single" w:sz="4" w:space="0" w:color="auto"/>
            </w:tcBorders>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1</w:t>
            </w:r>
          </w:p>
        </w:tc>
        <w:tc>
          <w:tcPr>
            <w:tcW w:w="2374" w:type="pct"/>
            <w:tcBorders>
              <w:top w:val="single" w:sz="4" w:space="0" w:color="auto"/>
            </w:tcBorders>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No Poverty</w:t>
            </w:r>
          </w:p>
        </w:tc>
        <w:tc>
          <w:tcPr>
            <w:tcW w:w="1046" w:type="pct"/>
            <w:tcBorders>
              <w:top w:val="single" w:sz="4" w:space="0" w:color="auto"/>
            </w:tcBorders>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w:t>
            </w:r>
          </w:p>
        </w:tc>
        <w:tc>
          <w:tcPr>
            <w:tcW w:w="971" w:type="pct"/>
            <w:tcBorders>
              <w:top w:val="single" w:sz="4" w:space="0" w:color="auto"/>
            </w:tcBorders>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0.00%</w:t>
            </w:r>
          </w:p>
        </w:tc>
      </w:tr>
      <w:tr w:rsidR="009B44DA" w:rsidRPr="00701DC4" w:rsidTr="009B44DA">
        <w:trPr>
          <w:trHeight w:val="3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2</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Zero Hunger</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0.00%</w:t>
            </w:r>
          </w:p>
        </w:tc>
      </w:tr>
      <w:tr w:rsidR="009B44DA" w:rsidRPr="00701DC4" w:rsidTr="009B44DA">
        <w:trPr>
          <w:trHeight w:val="18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lastRenderedPageBreak/>
              <w:t>SDG 3</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Good Health and Well-being</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9</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56.25%</w:t>
            </w:r>
          </w:p>
        </w:tc>
      </w:tr>
      <w:tr w:rsidR="009B44DA" w:rsidRPr="00701DC4" w:rsidTr="009B44DA">
        <w:trPr>
          <w:trHeight w:val="12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4</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Quality Education</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2</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12.50%</w:t>
            </w:r>
          </w:p>
        </w:tc>
      </w:tr>
      <w:tr w:rsidR="009B44DA" w:rsidRPr="00701DC4" w:rsidTr="009B44DA">
        <w:trPr>
          <w:trHeight w:val="3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5</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Gender Equality</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0.00%</w:t>
            </w:r>
          </w:p>
        </w:tc>
      </w:tr>
      <w:tr w:rsidR="009B44DA" w:rsidRPr="00701DC4" w:rsidTr="009B44DA">
        <w:trPr>
          <w:trHeight w:val="3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6</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Clean Water and Sanitation</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0.00%</w:t>
            </w:r>
          </w:p>
        </w:tc>
      </w:tr>
      <w:tr w:rsidR="009B44DA" w:rsidRPr="00701DC4" w:rsidTr="009B44DA">
        <w:trPr>
          <w:trHeight w:val="12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7</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Affordable and Clean Energy</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2</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12.50%</w:t>
            </w:r>
          </w:p>
        </w:tc>
      </w:tr>
      <w:tr w:rsidR="009B44DA" w:rsidRPr="00701DC4" w:rsidTr="009B44DA">
        <w:trPr>
          <w:trHeight w:val="12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8</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Decent Work and Economic Growth</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0.00%</w:t>
            </w:r>
          </w:p>
        </w:tc>
      </w:tr>
      <w:tr w:rsidR="009B44DA" w:rsidRPr="00701DC4" w:rsidTr="009B44DA">
        <w:trPr>
          <w:trHeight w:val="15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9</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Industry, Innovation, and Infrastructure</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0.00%</w:t>
            </w:r>
          </w:p>
        </w:tc>
      </w:tr>
      <w:tr w:rsidR="009B44DA" w:rsidRPr="00701DC4" w:rsidTr="009B44DA">
        <w:trPr>
          <w:trHeight w:val="9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10</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Reduced Inequalities</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0.00%</w:t>
            </w:r>
          </w:p>
        </w:tc>
      </w:tr>
      <w:tr w:rsidR="009B44DA" w:rsidRPr="00701DC4" w:rsidTr="009B44DA">
        <w:trPr>
          <w:trHeight w:val="9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11</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Sustainable Cities and Communities</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0.00%</w:t>
            </w:r>
          </w:p>
        </w:tc>
      </w:tr>
      <w:tr w:rsidR="009B44DA" w:rsidRPr="00701DC4" w:rsidTr="009B44DA">
        <w:trPr>
          <w:trHeight w:val="9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12</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Responsible Consumption and Production</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2</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12.50%</w:t>
            </w:r>
          </w:p>
        </w:tc>
      </w:tr>
      <w:tr w:rsidR="009B44DA" w:rsidRPr="00701DC4" w:rsidTr="009B44DA">
        <w:trPr>
          <w:trHeight w:val="9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13</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Climate Action</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0.00%</w:t>
            </w:r>
          </w:p>
        </w:tc>
      </w:tr>
      <w:tr w:rsidR="009B44DA" w:rsidRPr="00701DC4" w:rsidTr="009B44DA">
        <w:trPr>
          <w:trHeight w:val="6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14</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Life Below Water</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1</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6.25%</w:t>
            </w:r>
          </w:p>
        </w:tc>
      </w:tr>
      <w:tr w:rsidR="009B44DA" w:rsidRPr="00701DC4" w:rsidTr="009B44DA">
        <w:trPr>
          <w:trHeight w:val="3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15</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Life on Land</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0.00%</w:t>
            </w:r>
          </w:p>
        </w:tc>
      </w:tr>
      <w:tr w:rsidR="009B44DA" w:rsidRPr="00701DC4" w:rsidTr="009B44DA">
        <w:trPr>
          <w:trHeight w:val="3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16</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Peace, Justice, and Strong Institutions</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0.00%</w:t>
            </w:r>
          </w:p>
        </w:tc>
      </w:tr>
      <w:tr w:rsidR="009B44DA" w:rsidRPr="00701DC4" w:rsidTr="009B44DA">
        <w:trPr>
          <w:trHeight w:val="3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17</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Partnerships for the Goals</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0.00%</w:t>
            </w:r>
          </w:p>
        </w:tc>
      </w:tr>
      <w:tr w:rsidR="009B44DA" w:rsidRPr="00701DC4" w:rsidTr="009B44DA">
        <w:trPr>
          <w:trHeight w:val="300"/>
        </w:trPr>
        <w:tc>
          <w:tcPr>
            <w:tcW w:w="608"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Total</w:t>
            </w:r>
          </w:p>
        </w:tc>
        <w:tc>
          <w:tcPr>
            <w:tcW w:w="2374"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Institutional Output</w:t>
            </w:r>
          </w:p>
        </w:tc>
        <w:tc>
          <w:tcPr>
            <w:tcW w:w="1046"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16</w:t>
            </w:r>
          </w:p>
        </w:tc>
        <w:tc>
          <w:tcPr>
            <w:tcW w:w="971" w:type="pct"/>
            <w:shd w:val="clear" w:color="auto" w:fill="auto"/>
            <w:noWrap/>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100.00%</w:t>
            </w:r>
          </w:p>
        </w:tc>
      </w:tr>
    </w:tbl>
    <w:p w:rsidR="008D3D17" w:rsidRPr="00701DC4" w:rsidRDefault="008D3D17" w:rsidP="004205BB">
      <w:pPr>
        <w:spacing w:after="0" w:line="240" w:lineRule="auto"/>
        <w:jc w:val="both"/>
        <w:rPr>
          <w:rFonts w:ascii="Arial" w:hAnsi="Arial" w:cs="Arial"/>
          <w:sz w:val="24"/>
          <w:szCs w:val="24"/>
        </w:rPr>
      </w:pPr>
    </w:p>
    <w:p w:rsidR="009B44DA" w:rsidRPr="00701DC4" w:rsidRDefault="009B44DA" w:rsidP="004205BB">
      <w:pPr>
        <w:pStyle w:val="NormalWeb"/>
        <w:spacing w:before="0" w:beforeAutospacing="0" w:after="0" w:afterAutospacing="0"/>
        <w:jc w:val="both"/>
        <w:rPr>
          <w:rFonts w:ascii="Arial" w:hAnsi="Arial" w:cs="Arial"/>
        </w:rPr>
      </w:pPr>
      <w:r w:rsidRPr="00701DC4">
        <w:rPr>
          <w:rFonts w:ascii="Arial" w:hAnsi="Arial" w:cs="Arial"/>
        </w:rPr>
        <w:t xml:space="preserve">The empirical records indicate a highly skewed distribution of sustainability focus. Out of the 16 identified studies, </w:t>
      </w:r>
      <w:r w:rsidRPr="00701DC4">
        <w:rPr>
          <w:rFonts w:ascii="Arial" w:hAnsi="Arial" w:cs="Arial"/>
          <w:bCs/>
        </w:rPr>
        <w:t>SDG 3 (Good Health and Well-being)</w:t>
      </w:r>
      <w:r w:rsidRPr="00701DC4">
        <w:rPr>
          <w:rFonts w:ascii="Arial" w:hAnsi="Arial" w:cs="Arial"/>
        </w:rPr>
        <w:t xml:space="preserve"> represents the dominant share, capturing 56.25% (</w:t>
      </w:r>
      <w:r w:rsidRPr="00701DC4">
        <w:rPr>
          <w:rStyle w:val="math-inline"/>
          <w:rFonts w:ascii="Arial" w:hAnsi="Arial" w:cs="Arial"/>
        </w:rPr>
        <w:t>f = 9</w:t>
      </w:r>
      <w:r w:rsidRPr="00701DC4">
        <w:rPr>
          <w:rFonts w:ascii="Arial" w:hAnsi="Arial" w:cs="Arial"/>
        </w:rPr>
        <w:t>) of the entire institutional output. This pronounced clustering demonstrates a strong research concentration in local health interventions, clinical practices, and communal well-being frameworks.</w:t>
      </w:r>
    </w:p>
    <w:p w:rsidR="009B44DA" w:rsidRPr="00701DC4" w:rsidRDefault="009B44DA" w:rsidP="004205BB">
      <w:pPr>
        <w:pStyle w:val="NormalWeb"/>
        <w:spacing w:before="0" w:beforeAutospacing="0" w:after="0" w:afterAutospacing="0"/>
        <w:jc w:val="both"/>
        <w:rPr>
          <w:rFonts w:ascii="Arial" w:hAnsi="Arial" w:cs="Arial"/>
        </w:rPr>
      </w:pPr>
    </w:p>
    <w:p w:rsidR="009B44DA" w:rsidRPr="00701DC4" w:rsidRDefault="009B44DA" w:rsidP="004205BB">
      <w:pPr>
        <w:pStyle w:val="NormalWeb"/>
        <w:spacing w:before="0" w:beforeAutospacing="0" w:after="0" w:afterAutospacing="0"/>
        <w:jc w:val="both"/>
        <w:rPr>
          <w:rFonts w:ascii="Arial" w:hAnsi="Arial" w:cs="Arial"/>
        </w:rPr>
      </w:pPr>
      <w:r w:rsidRPr="00701DC4">
        <w:rPr>
          <w:rFonts w:ascii="Arial" w:hAnsi="Arial" w:cs="Arial"/>
        </w:rPr>
        <w:t>In contrast, three intermediate thematic categories—</w:t>
      </w:r>
      <w:r w:rsidRPr="00701DC4">
        <w:rPr>
          <w:rFonts w:ascii="Arial" w:hAnsi="Arial" w:cs="Arial"/>
          <w:bCs/>
        </w:rPr>
        <w:t>SDG 4 (Quality Education)</w:t>
      </w:r>
      <w:r w:rsidRPr="00701DC4">
        <w:rPr>
          <w:rFonts w:ascii="Arial" w:hAnsi="Arial" w:cs="Arial"/>
        </w:rPr>
        <w:t xml:space="preserve">, </w:t>
      </w:r>
      <w:r w:rsidRPr="00701DC4">
        <w:rPr>
          <w:rFonts w:ascii="Arial" w:hAnsi="Arial" w:cs="Arial"/>
          <w:bCs/>
        </w:rPr>
        <w:t>SDG 7 (Affordable and Clean Energy)</w:t>
      </w:r>
      <w:r w:rsidRPr="00701DC4">
        <w:rPr>
          <w:rFonts w:ascii="Arial" w:hAnsi="Arial" w:cs="Arial"/>
        </w:rPr>
        <w:t xml:space="preserve">, and </w:t>
      </w:r>
      <w:r w:rsidRPr="00701DC4">
        <w:rPr>
          <w:rFonts w:ascii="Arial" w:hAnsi="Arial" w:cs="Arial"/>
          <w:bCs/>
        </w:rPr>
        <w:t>SDG 12 (Responsible Consumption and Production)</w:t>
      </w:r>
      <w:r w:rsidRPr="00701DC4">
        <w:rPr>
          <w:rFonts w:ascii="Arial" w:hAnsi="Arial" w:cs="Arial"/>
        </w:rPr>
        <w:t>—exhibited modest but identical footprints, each yielding 12.50% (</w:t>
      </w:r>
      <w:r w:rsidRPr="00701DC4">
        <w:rPr>
          <w:rStyle w:val="math-inline"/>
          <w:rFonts w:ascii="Arial" w:hAnsi="Arial" w:cs="Arial"/>
        </w:rPr>
        <w:t>f = 2</w:t>
      </w:r>
      <w:r w:rsidRPr="00701DC4">
        <w:rPr>
          <w:rFonts w:ascii="Arial" w:hAnsi="Arial" w:cs="Arial"/>
        </w:rPr>
        <w:t>) of the total sample.</w:t>
      </w:r>
    </w:p>
    <w:p w:rsidR="009B44DA" w:rsidRPr="00701DC4" w:rsidRDefault="009B44DA" w:rsidP="004205BB">
      <w:pPr>
        <w:pStyle w:val="NormalWeb"/>
        <w:spacing w:before="0" w:beforeAutospacing="0" w:after="0" w:afterAutospacing="0"/>
        <w:jc w:val="both"/>
        <w:rPr>
          <w:rFonts w:ascii="Arial" w:hAnsi="Arial" w:cs="Arial"/>
        </w:rPr>
      </w:pPr>
    </w:p>
    <w:p w:rsidR="009B44DA" w:rsidRPr="00701DC4" w:rsidRDefault="009B44DA" w:rsidP="004205BB">
      <w:pPr>
        <w:pStyle w:val="NormalWeb"/>
        <w:spacing w:before="0" w:beforeAutospacing="0" w:after="0" w:afterAutospacing="0"/>
        <w:jc w:val="both"/>
        <w:rPr>
          <w:rFonts w:ascii="Arial" w:hAnsi="Arial" w:cs="Arial"/>
        </w:rPr>
      </w:pPr>
      <w:r w:rsidRPr="00701DC4">
        <w:rPr>
          <w:rFonts w:ascii="Arial" w:hAnsi="Arial" w:cs="Arial"/>
        </w:rPr>
        <w:t>The biological and environmental dimension was minimally represented by a single study (</w:t>
      </w:r>
      <w:r w:rsidRPr="00701DC4">
        <w:rPr>
          <w:rStyle w:val="math-inline"/>
          <w:rFonts w:ascii="Arial" w:hAnsi="Arial" w:cs="Arial"/>
        </w:rPr>
        <w:t>6.25%</w:t>
      </w:r>
      <w:r w:rsidRPr="00701DC4">
        <w:rPr>
          <w:rFonts w:ascii="Arial" w:hAnsi="Arial" w:cs="Arial"/>
        </w:rPr>
        <w:t xml:space="preserve">, </w:t>
      </w:r>
      <w:r w:rsidRPr="00701DC4">
        <w:rPr>
          <w:rStyle w:val="math-inline"/>
          <w:rFonts w:ascii="Arial" w:hAnsi="Arial" w:cs="Arial"/>
        </w:rPr>
        <w:t>f = 1</w:t>
      </w:r>
      <w:r w:rsidRPr="00701DC4">
        <w:rPr>
          <w:rFonts w:ascii="Arial" w:hAnsi="Arial" w:cs="Arial"/>
        </w:rPr>
        <w:t xml:space="preserve">) focusing on </w:t>
      </w:r>
      <w:r w:rsidRPr="00701DC4">
        <w:rPr>
          <w:rFonts w:ascii="Arial" w:hAnsi="Arial" w:cs="Arial"/>
          <w:bCs/>
        </w:rPr>
        <w:t>SDG 14 (Life Below Water)</w:t>
      </w:r>
      <w:r w:rsidRPr="00701DC4">
        <w:rPr>
          <w:rFonts w:ascii="Arial" w:hAnsi="Arial" w:cs="Arial"/>
        </w:rPr>
        <w:t>.</w:t>
      </w:r>
    </w:p>
    <w:p w:rsidR="009B44DA" w:rsidRPr="00701DC4" w:rsidRDefault="009B44DA" w:rsidP="004205BB">
      <w:pPr>
        <w:pStyle w:val="NormalWeb"/>
        <w:spacing w:before="0" w:beforeAutospacing="0" w:after="0" w:afterAutospacing="0"/>
        <w:jc w:val="both"/>
        <w:rPr>
          <w:rFonts w:ascii="Arial" w:hAnsi="Arial" w:cs="Arial"/>
        </w:rPr>
      </w:pPr>
    </w:p>
    <w:p w:rsidR="009B44DA" w:rsidRPr="00701DC4" w:rsidRDefault="009B44DA" w:rsidP="004205BB">
      <w:pPr>
        <w:pStyle w:val="NormalWeb"/>
        <w:spacing w:before="0" w:beforeAutospacing="0" w:after="0" w:afterAutospacing="0"/>
        <w:jc w:val="both"/>
        <w:rPr>
          <w:rFonts w:ascii="Arial" w:hAnsi="Arial" w:cs="Arial"/>
        </w:rPr>
      </w:pPr>
      <w:r w:rsidRPr="00701DC4">
        <w:rPr>
          <w:rFonts w:ascii="Arial" w:hAnsi="Arial" w:cs="Arial"/>
        </w:rPr>
        <w:t xml:space="preserve">Notably, </w:t>
      </w:r>
      <w:r w:rsidRPr="00701DC4">
        <w:rPr>
          <w:rFonts w:ascii="Arial" w:hAnsi="Arial" w:cs="Arial"/>
          <w:bCs/>
        </w:rPr>
        <w:t>12 of the 17 UN Sustainable Development Goals received zero empirical attention</w:t>
      </w:r>
      <w:r w:rsidRPr="00701DC4">
        <w:rPr>
          <w:rFonts w:ascii="Arial" w:hAnsi="Arial" w:cs="Arial"/>
        </w:rPr>
        <w:t xml:space="preserve"> (</w:t>
      </w:r>
      <w:r w:rsidRPr="00701DC4">
        <w:rPr>
          <w:rStyle w:val="math-inline"/>
          <w:rFonts w:ascii="Arial" w:hAnsi="Arial" w:cs="Arial"/>
        </w:rPr>
        <w:t>0.00%</w:t>
      </w:r>
      <w:r w:rsidRPr="00701DC4">
        <w:rPr>
          <w:rFonts w:ascii="Arial" w:hAnsi="Arial" w:cs="Arial"/>
        </w:rPr>
        <w:t>) over the 10-year tracking period. Fundamental socioeconomic pillars such as poverty alleviation (SDG 1), climate action (SDG 13), gender equality (SDG 5), structural innovation (SDG 9), and institutional justice (SDG 16) remain entirely unexamined within the institution's catalog of sustainability-aligned student research.</w:t>
      </w:r>
    </w:p>
    <w:p w:rsidR="009B44DA" w:rsidRPr="00701DC4" w:rsidRDefault="009B44DA" w:rsidP="004205BB">
      <w:pPr>
        <w:pStyle w:val="NormalWeb"/>
        <w:spacing w:before="0" w:beforeAutospacing="0" w:after="0" w:afterAutospacing="0"/>
        <w:jc w:val="both"/>
        <w:rPr>
          <w:rFonts w:ascii="Arial" w:hAnsi="Arial" w:cs="Arial"/>
        </w:rPr>
      </w:pPr>
    </w:p>
    <w:p w:rsidR="009B44DA" w:rsidRPr="00701DC4" w:rsidRDefault="009B44DA" w:rsidP="004205BB">
      <w:pPr>
        <w:pStyle w:val="NormalWeb"/>
        <w:spacing w:before="0" w:beforeAutospacing="0" w:after="0" w:afterAutospacing="0"/>
        <w:jc w:val="both"/>
        <w:rPr>
          <w:rFonts w:ascii="Arial" w:hAnsi="Arial" w:cs="Arial"/>
          <w:b/>
        </w:rPr>
      </w:pPr>
      <w:r w:rsidRPr="00701DC4">
        <w:rPr>
          <w:rFonts w:ascii="Arial" w:hAnsi="Arial" w:cs="Arial"/>
          <w:b/>
        </w:rPr>
        <w:t>Disciplinary Contributions by Academic Program</w:t>
      </w:r>
    </w:p>
    <w:p w:rsidR="009B44DA" w:rsidRPr="00701DC4" w:rsidRDefault="009B44DA" w:rsidP="004205BB">
      <w:pPr>
        <w:pStyle w:val="NormalWeb"/>
        <w:spacing w:before="0" w:beforeAutospacing="0" w:after="0" w:afterAutospacing="0"/>
        <w:jc w:val="both"/>
        <w:rPr>
          <w:rFonts w:ascii="Arial" w:hAnsi="Arial" w:cs="Arial"/>
        </w:rPr>
      </w:pPr>
      <w:r w:rsidRPr="00701DC4">
        <w:rPr>
          <w:rFonts w:ascii="Arial" w:hAnsi="Arial" w:cs="Arial"/>
        </w:rPr>
        <w:t>To determine the institutional origins of these sustainability-focused outputs, the dataset was cross-referenced against the producing academic departments. Table 2 outlines the explicit disciplinary distribution of the research.</w:t>
      </w:r>
    </w:p>
    <w:p w:rsidR="009B44DA" w:rsidRPr="00701DC4" w:rsidRDefault="009B44DA" w:rsidP="004205BB">
      <w:pPr>
        <w:pStyle w:val="NormalWeb"/>
        <w:spacing w:before="0" w:beforeAutospacing="0" w:after="0" w:afterAutospacing="0"/>
        <w:jc w:val="both"/>
        <w:rPr>
          <w:rFonts w:ascii="Arial" w:hAnsi="Arial" w:cs="Arial"/>
        </w:rPr>
      </w:pPr>
    </w:p>
    <w:p w:rsidR="008D3D17" w:rsidRPr="00701DC4" w:rsidRDefault="008D3D17" w:rsidP="004205BB">
      <w:pPr>
        <w:spacing w:after="0" w:line="240" w:lineRule="auto"/>
        <w:jc w:val="both"/>
        <w:rPr>
          <w:rFonts w:ascii="Arial" w:hAnsi="Arial" w:cs="Arial"/>
          <w:b/>
          <w:sz w:val="24"/>
          <w:szCs w:val="24"/>
        </w:rPr>
      </w:pPr>
      <w:r w:rsidRPr="00701DC4">
        <w:rPr>
          <w:rFonts w:ascii="Arial" w:hAnsi="Arial" w:cs="Arial"/>
          <w:b/>
          <w:sz w:val="24"/>
          <w:szCs w:val="24"/>
        </w:rPr>
        <w:t>Table 2</w:t>
      </w:r>
    </w:p>
    <w:p w:rsidR="008D3D17" w:rsidRPr="00701DC4" w:rsidRDefault="009B44DA" w:rsidP="004205BB">
      <w:pPr>
        <w:spacing w:after="0" w:line="240" w:lineRule="auto"/>
        <w:jc w:val="both"/>
        <w:rPr>
          <w:rFonts w:ascii="Arial" w:hAnsi="Arial" w:cs="Arial"/>
          <w:b/>
          <w:i/>
          <w:sz w:val="24"/>
          <w:szCs w:val="24"/>
        </w:rPr>
      </w:pPr>
      <w:r w:rsidRPr="00701DC4">
        <w:rPr>
          <w:rFonts w:ascii="Arial" w:hAnsi="Arial" w:cs="Arial"/>
          <w:i/>
          <w:sz w:val="24"/>
          <w:szCs w:val="24"/>
        </w:rPr>
        <w:t>Disciplinary Distribution of SDG-Aligned Research by Academic Program</w:t>
      </w:r>
    </w:p>
    <w:tbl>
      <w:tblPr>
        <w:tblW w:w="5000" w:type="pct"/>
        <w:tblLayout w:type="fixed"/>
        <w:tblLook w:val="04A0" w:firstRow="1" w:lastRow="0" w:firstColumn="1" w:lastColumn="0" w:noHBand="0" w:noVBand="1"/>
      </w:tblPr>
      <w:tblGrid>
        <w:gridCol w:w="2191"/>
        <w:gridCol w:w="2274"/>
        <w:gridCol w:w="1924"/>
        <w:gridCol w:w="2971"/>
      </w:tblGrid>
      <w:tr w:rsidR="009B44DA" w:rsidRPr="00701DC4" w:rsidTr="004205BB">
        <w:trPr>
          <w:trHeight w:val="300"/>
        </w:trPr>
        <w:tc>
          <w:tcPr>
            <w:tcW w:w="1170" w:type="pct"/>
            <w:tcBorders>
              <w:top w:val="single" w:sz="4" w:space="0" w:color="auto"/>
              <w:bottom w:val="single" w:sz="4" w:space="0" w:color="auto"/>
            </w:tcBorders>
            <w:shd w:val="clear" w:color="auto" w:fill="auto"/>
            <w:noWrap/>
            <w:vAlign w:val="center"/>
            <w:hideMark/>
          </w:tcPr>
          <w:p w:rsidR="009B44DA" w:rsidRPr="00701DC4" w:rsidRDefault="009B44DA" w:rsidP="004205BB">
            <w:pPr>
              <w:spacing w:after="0" w:line="240" w:lineRule="auto"/>
              <w:jc w:val="center"/>
              <w:rPr>
                <w:rFonts w:ascii="Arial" w:eastAsia="Times New Roman" w:hAnsi="Arial" w:cs="Arial"/>
                <w:b/>
                <w:bCs/>
                <w:color w:val="000000"/>
                <w:sz w:val="24"/>
                <w:szCs w:val="24"/>
              </w:rPr>
            </w:pPr>
            <w:r w:rsidRPr="00701DC4">
              <w:rPr>
                <w:rFonts w:ascii="Arial" w:eastAsia="Times New Roman" w:hAnsi="Arial" w:cs="Arial"/>
                <w:b/>
                <w:bCs/>
                <w:color w:val="000000"/>
                <w:sz w:val="24"/>
                <w:szCs w:val="24"/>
              </w:rPr>
              <w:t>Academic Program</w:t>
            </w:r>
          </w:p>
        </w:tc>
        <w:tc>
          <w:tcPr>
            <w:tcW w:w="1215" w:type="pct"/>
            <w:tcBorders>
              <w:top w:val="single" w:sz="4" w:space="0" w:color="auto"/>
              <w:bottom w:val="single" w:sz="4" w:space="0" w:color="auto"/>
            </w:tcBorders>
            <w:shd w:val="clear" w:color="auto" w:fill="auto"/>
            <w:noWrap/>
            <w:vAlign w:val="center"/>
            <w:hideMark/>
          </w:tcPr>
          <w:p w:rsidR="009B44DA" w:rsidRPr="00701DC4" w:rsidRDefault="009B44DA" w:rsidP="004205BB">
            <w:pPr>
              <w:spacing w:after="0" w:line="240" w:lineRule="auto"/>
              <w:jc w:val="center"/>
              <w:rPr>
                <w:rFonts w:ascii="Arial" w:eastAsia="Times New Roman" w:hAnsi="Arial" w:cs="Arial"/>
                <w:b/>
                <w:bCs/>
                <w:color w:val="000000"/>
                <w:sz w:val="24"/>
                <w:szCs w:val="24"/>
              </w:rPr>
            </w:pPr>
            <w:r w:rsidRPr="00701DC4">
              <w:rPr>
                <w:rFonts w:ascii="Arial" w:eastAsia="Times New Roman" w:hAnsi="Arial" w:cs="Arial"/>
                <w:b/>
                <w:bCs/>
                <w:color w:val="000000"/>
                <w:sz w:val="24"/>
                <w:szCs w:val="24"/>
              </w:rPr>
              <w:t>No. SDG-Related Works</w:t>
            </w:r>
          </w:p>
        </w:tc>
        <w:tc>
          <w:tcPr>
            <w:tcW w:w="1028" w:type="pct"/>
            <w:tcBorders>
              <w:top w:val="single" w:sz="4" w:space="0" w:color="auto"/>
              <w:bottom w:val="single" w:sz="4" w:space="0" w:color="auto"/>
            </w:tcBorders>
          </w:tcPr>
          <w:p w:rsidR="009B44DA" w:rsidRPr="00701DC4" w:rsidRDefault="004205BB" w:rsidP="004205BB">
            <w:pPr>
              <w:spacing w:after="0" w:line="240" w:lineRule="auto"/>
              <w:jc w:val="center"/>
              <w:rPr>
                <w:rFonts w:ascii="Arial" w:eastAsia="Times New Roman" w:hAnsi="Arial" w:cs="Arial"/>
                <w:b/>
                <w:bCs/>
                <w:color w:val="000000"/>
                <w:sz w:val="24"/>
                <w:szCs w:val="24"/>
              </w:rPr>
            </w:pPr>
            <w:r w:rsidRPr="00701DC4">
              <w:rPr>
                <w:rFonts w:ascii="Arial" w:eastAsia="Times New Roman" w:hAnsi="Arial" w:cs="Arial"/>
                <w:b/>
                <w:bCs/>
                <w:color w:val="000000"/>
                <w:sz w:val="24"/>
                <w:szCs w:val="24"/>
              </w:rPr>
              <w:t>Percentage of Total (%)</w:t>
            </w:r>
          </w:p>
        </w:tc>
        <w:tc>
          <w:tcPr>
            <w:tcW w:w="1587" w:type="pct"/>
            <w:tcBorders>
              <w:top w:val="single" w:sz="4" w:space="0" w:color="auto"/>
              <w:bottom w:val="single" w:sz="4" w:space="0" w:color="auto"/>
            </w:tcBorders>
            <w:shd w:val="clear" w:color="auto" w:fill="auto"/>
            <w:noWrap/>
            <w:vAlign w:val="center"/>
            <w:hideMark/>
          </w:tcPr>
          <w:p w:rsidR="009B44DA" w:rsidRPr="00701DC4" w:rsidRDefault="004205BB" w:rsidP="004205BB">
            <w:pPr>
              <w:spacing w:after="0" w:line="240" w:lineRule="auto"/>
              <w:jc w:val="center"/>
              <w:rPr>
                <w:rFonts w:ascii="Arial" w:eastAsia="Times New Roman" w:hAnsi="Arial" w:cs="Arial"/>
                <w:b/>
                <w:bCs/>
                <w:color w:val="000000"/>
                <w:sz w:val="24"/>
                <w:szCs w:val="24"/>
              </w:rPr>
            </w:pPr>
            <w:r w:rsidRPr="00701DC4">
              <w:rPr>
                <w:rFonts w:ascii="Arial" w:eastAsia="Times New Roman" w:hAnsi="Arial" w:cs="Arial"/>
                <w:b/>
                <w:bCs/>
                <w:color w:val="000000"/>
                <w:sz w:val="24"/>
                <w:szCs w:val="24"/>
              </w:rPr>
              <w:t>Primary Conceptual Target (Dominant SDG)</w:t>
            </w:r>
          </w:p>
        </w:tc>
      </w:tr>
      <w:tr w:rsidR="009B44DA" w:rsidRPr="00701DC4" w:rsidTr="004205BB">
        <w:trPr>
          <w:trHeight w:val="300"/>
        </w:trPr>
        <w:tc>
          <w:tcPr>
            <w:tcW w:w="1170" w:type="pct"/>
            <w:tcBorders>
              <w:top w:val="single" w:sz="4" w:space="0" w:color="auto"/>
            </w:tcBorders>
            <w:noWrap/>
            <w:vAlign w:val="center"/>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bCs/>
                <w:sz w:val="24"/>
                <w:szCs w:val="24"/>
              </w:rPr>
              <w:t>BS Nursing</w:t>
            </w:r>
          </w:p>
        </w:tc>
        <w:tc>
          <w:tcPr>
            <w:tcW w:w="1215" w:type="pct"/>
            <w:tcBorders>
              <w:top w:val="single" w:sz="4" w:space="0" w:color="auto"/>
            </w:tcBorders>
            <w:noWrap/>
            <w:vAlign w:val="center"/>
            <w:hideMark/>
          </w:tcPr>
          <w:p w:rsidR="009B44DA" w:rsidRPr="00701DC4" w:rsidRDefault="00752735" w:rsidP="004205BB">
            <w:pPr>
              <w:spacing w:after="0" w:line="240" w:lineRule="auto"/>
              <w:jc w:val="center"/>
              <w:rPr>
                <w:rFonts w:ascii="Arial" w:hAnsi="Arial" w:cs="Arial"/>
                <w:sz w:val="24"/>
                <w:szCs w:val="24"/>
              </w:rPr>
            </w:pPr>
            <w:r w:rsidRPr="00701DC4">
              <w:rPr>
                <w:rFonts w:ascii="Arial" w:hAnsi="Arial" w:cs="Arial"/>
                <w:bCs/>
                <w:sz w:val="24"/>
                <w:szCs w:val="24"/>
              </w:rPr>
              <w:t>9</w:t>
            </w:r>
          </w:p>
        </w:tc>
        <w:tc>
          <w:tcPr>
            <w:tcW w:w="1028" w:type="pct"/>
            <w:tcBorders>
              <w:top w:val="single" w:sz="4" w:space="0" w:color="auto"/>
            </w:tcBorders>
            <w:vAlign w:val="center"/>
          </w:tcPr>
          <w:p w:rsidR="009B44DA" w:rsidRPr="00701DC4" w:rsidRDefault="009B44DA" w:rsidP="00752735">
            <w:pPr>
              <w:spacing w:after="0" w:line="240" w:lineRule="auto"/>
              <w:jc w:val="center"/>
              <w:rPr>
                <w:rFonts w:ascii="Arial" w:hAnsi="Arial" w:cs="Arial"/>
                <w:sz w:val="24"/>
                <w:szCs w:val="24"/>
              </w:rPr>
            </w:pPr>
            <w:r w:rsidRPr="00701DC4">
              <w:rPr>
                <w:rFonts w:ascii="Arial" w:hAnsi="Arial" w:cs="Arial"/>
                <w:bCs/>
                <w:sz w:val="24"/>
                <w:szCs w:val="24"/>
              </w:rPr>
              <w:t>5</w:t>
            </w:r>
            <w:r w:rsidR="00752735" w:rsidRPr="00701DC4">
              <w:rPr>
                <w:rFonts w:ascii="Arial" w:hAnsi="Arial" w:cs="Arial"/>
                <w:bCs/>
                <w:sz w:val="24"/>
                <w:szCs w:val="24"/>
              </w:rPr>
              <w:t>6</w:t>
            </w:r>
            <w:r w:rsidRPr="00701DC4">
              <w:rPr>
                <w:rFonts w:ascii="Arial" w:hAnsi="Arial" w:cs="Arial"/>
                <w:bCs/>
                <w:sz w:val="24"/>
                <w:szCs w:val="24"/>
              </w:rPr>
              <w:t>.</w:t>
            </w:r>
            <w:r w:rsidR="00752735" w:rsidRPr="00701DC4">
              <w:rPr>
                <w:rFonts w:ascii="Arial" w:hAnsi="Arial" w:cs="Arial"/>
                <w:bCs/>
                <w:sz w:val="24"/>
                <w:szCs w:val="24"/>
              </w:rPr>
              <w:t>25</w:t>
            </w:r>
            <w:r w:rsidRPr="00701DC4">
              <w:rPr>
                <w:rFonts w:ascii="Arial" w:hAnsi="Arial" w:cs="Arial"/>
                <w:bCs/>
                <w:sz w:val="24"/>
                <w:szCs w:val="24"/>
              </w:rPr>
              <w:t>%</w:t>
            </w:r>
          </w:p>
        </w:tc>
        <w:tc>
          <w:tcPr>
            <w:tcW w:w="1587" w:type="pct"/>
            <w:tcBorders>
              <w:top w:val="single" w:sz="4" w:space="0" w:color="auto"/>
            </w:tcBorders>
            <w:noWrap/>
            <w:vAlign w:val="center"/>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3 - Good Health and Well-being</w:t>
            </w:r>
          </w:p>
        </w:tc>
      </w:tr>
      <w:tr w:rsidR="009B44DA" w:rsidRPr="00701DC4" w:rsidTr="009B44DA">
        <w:trPr>
          <w:trHeight w:val="300"/>
        </w:trPr>
        <w:tc>
          <w:tcPr>
            <w:tcW w:w="1170" w:type="pct"/>
            <w:noWrap/>
            <w:vAlign w:val="center"/>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bCs/>
                <w:sz w:val="24"/>
                <w:szCs w:val="24"/>
              </w:rPr>
              <w:t>BS Architecture</w:t>
            </w:r>
          </w:p>
        </w:tc>
        <w:tc>
          <w:tcPr>
            <w:tcW w:w="1215" w:type="pct"/>
            <w:noWrap/>
            <w:vAlign w:val="center"/>
            <w:hideMark/>
          </w:tcPr>
          <w:p w:rsidR="009B44DA" w:rsidRPr="00701DC4" w:rsidRDefault="00752735" w:rsidP="004205BB">
            <w:pPr>
              <w:spacing w:after="0" w:line="240" w:lineRule="auto"/>
              <w:jc w:val="center"/>
              <w:rPr>
                <w:rFonts w:ascii="Arial" w:hAnsi="Arial" w:cs="Arial"/>
                <w:sz w:val="24"/>
                <w:szCs w:val="24"/>
              </w:rPr>
            </w:pPr>
            <w:r w:rsidRPr="00701DC4">
              <w:rPr>
                <w:rFonts w:ascii="Arial" w:hAnsi="Arial" w:cs="Arial"/>
                <w:bCs/>
                <w:sz w:val="24"/>
                <w:szCs w:val="24"/>
              </w:rPr>
              <w:t>2</w:t>
            </w:r>
          </w:p>
        </w:tc>
        <w:tc>
          <w:tcPr>
            <w:tcW w:w="1028" w:type="pct"/>
            <w:vAlign w:val="center"/>
          </w:tcPr>
          <w:p w:rsidR="009B44DA" w:rsidRPr="00701DC4" w:rsidRDefault="00752735" w:rsidP="004205BB">
            <w:pPr>
              <w:spacing w:after="0" w:line="240" w:lineRule="auto"/>
              <w:jc w:val="center"/>
              <w:rPr>
                <w:rFonts w:ascii="Arial" w:hAnsi="Arial" w:cs="Arial"/>
                <w:sz w:val="24"/>
                <w:szCs w:val="24"/>
              </w:rPr>
            </w:pPr>
            <w:r w:rsidRPr="00701DC4">
              <w:rPr>
                <w:rFonts w:ascii="Arial" w:hAnsi="Arial" w:cs="Arial"/>
                <w:bCs/>
                <w:sz w:val="24"/>
                <w:szCs w:val="24"/>
              </w:rPr>
              <w:t>12.50</w:t>
            </w:r>
            <w:r w:rsidR="009B44DA" w:rsidRPr="00701DC4">
              <w:rPr>
                <w:rFonts w:ascii="Arial" w:hAnsi="Arial" w:cs="Arial"/>
                <w:bCs/>
                <w:sz w:val="24"/>
                <w:szCs w:val="24"/>
              </w:rPr>
              <w:t>%</w:t>
            </w:r>
          </w:p>
        </w:tc>
        <w:tc>
          <w:tcPr>
            <w:tcW w:w="1587" w:type="pct"/>
            <w:noWrap/>
            <w:vAlign w:val="center"/>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4, SDG 7, SDG 12</w:t>
            </w:r>
          </w:p>
        </w:tc>
      </w:tr>
      <w:tr w:rsidR="009B44DA" w:rsidRPr="00701DC4" w:rsidTr="009B44DA">
        <w:trPr>
          <w:trHeight w:val="300"/>
        </w:trPr>
        <w:tc>
          <w:tcPr>
            <w:tcW w:w="1170" w:type="pct"/>
            <w:noWrap/>
            <w:vAlign w:val="center"/>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BS Education</w:t>
            </w:r>
          </w:p>
        </w:tc>
        <w:tc>
          <w:tcPr>
            <w:tcW w:w="1215" w:type="pct"/>
            <w:noWrap/>
            <w:vAlign w:val="center"/>
            <w:hideMark/>
          </w:tcPr>
          <w:p w:rsidR="009B44DA" w:rsidRPr="00701DC4" w:rsidRDefault="009B44DA" w:rsidP="004205BB">
            <w:pPr>
              <w:spacing w:after="0" w:line="240" w:lineRule="auto"/>
              <w:jc w:val="center"/>
              <w:rPr>
                <w:rFonts w:ascii="Arial" w:hAnsi="Arial" w:cs="Arial"/>
                <w:sz w:val="24"/>
                <w:szCs w:val="24"/>
              </w:rPr>
            </w:pPr>
            <w:r w:rsidRPr="00701DC4">
              <w:rPr>
                <w:rFonts w:ascii="Arial" w:hAnsi="Arial" w:cs="Arial"/>
                <w:sz w:val="24"/>
                <w:szCs w:val="24"/>
              </w:rPr>
              <w:t>1</w:t>
            </w:r>
          </w:p>
        </w:tc>
        <w:tc>
          <w:tcPr>
            <w:tcW w:w="1028" w:type="pct"/>
            <w:vAlign w:val="center"/>
          </w:tcPr>
          <w:p w:rsidR="009B44DA" w:rsidRPr="00701DC4" w:rsidRDefault="009B44DA" w:rsidP="004205BB">
            <w:pPr>
              <w:spacing w:after="0" w:line="240" w:lineRule="auto"/>
              <w:jc w:val="center"/>
              <w:rPr>
                <w:rFonts w:ascii="Arial" w:hAnsi="Arial" w:cs="Arial"/>
                <w:sz w:val="24"/>
                <w:szCs w:val="24"/>
              </w:rPr>
            </w:pPr>
            <w:r w:rsidRPr="00701DC4">
              <w:rPr>
                <w:rFonts w:ascii="Arial" w:hAnsi="Arial" w:cs="Arial"/>
                <w:sz w:val="24"/>
                <w:szCs w:val="24"/>
              </w:rPr>
              <w:t>6.25%</w:t>
            </w:r>
          </w:p>
        </w:tc>
        <w:tc>
          <w:tcPr>
            <w:tcW w:w="1587" w:type="pct"/>
            <w:noWrap/>
            <w:vAlign w:val="center"/>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3 - Good Health and Well-being</w:t>
            </w:r>
          </w:p>
        </w:tc>
      </w:tr>
      <w:tr w:rsidR="009B44DA" w:rsidRPr="00701DC4" w:rsidTr="009B44DA">
        <w:trPr>
          <w:trHeight w:val="300"/>
        </w:trPr>
        <w:tc>
          <w:tcPr>
            <w:tcW w:w="1170" w:type="pct"/>
            <w:noWrap/>
            <w:vAlign w:val="center"/>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BS Hospitality Management</w:t>
            </w:r>
          </w:p>
        </w:tc>
        <w:tc>
          <w:tcPr>
            <w:tcW w:w="1215" w:type="pct"/>
            <w:noWrap/>
            <w:vAlign w:val="center"/>
            <w:hideMark/>
          </w:tcPr>
          <w:p w:rsidR="009B44DA" w:rsidRPr="00701DC4" w:rsidRDefault="009B44DA" w:rsidP="004205BB">
            <w:pPr>
              <w:spacing w:after="0" w:line="240" w:lineRule="auto"/>
              <w:jc w:val="center"/>
              <w:rPr>
                <w:rFonts w:ascii="Arial" w:hAnsi="Arial" w:cs="Arial"/>
                <w:sz w:val="24"/>
                <w:szCs w:val="24"/>
              </w:rPr>
            </w:pPr>
            <w:r w:rsidRPr="00701DC4">
              <w:rPr>
                <w:rFonts w:ascii="Arial" w:hAnsi="Arial" w:cs="Arial"/>
                <w:sz w:val="24"/>
                <w:szCs w:val="24"/>
              </w:rPr>
              <w:t>1</w:t>
            </w:r>
          </w:p>
        </w:tc>
        <w:tc>
          <w:tcPr>
            <w:tcW w:w="1028" w:type="pct"/>
            <w:vAlign w:val="center"/>
          </w:tcPr>
          <w:p w:rsidR="009B44DA" w:rsidRPr="00701DC4" w:rsidRDefault="009B44DA" w:rsidP="004205BB">
            <w:pPr>
              <w:spacing w:after="0" w:line="240" w:lineRule="auto"/>
              <w:jc w:val="center"/>
              <w:rPr>
                <w:rFonts w:ascii="Arial" w:hAnsi="Arial" w:cs="Arial"/>
                <w:sz w:val="24"/>
                <w:szCs w:val="24"/>
              </w:rPr>
            </w:pPr>
            <w:r w:rsidRPr="00701DC4">
              <w:rPr>
                <w:rFonts w:ascii="Arial" w:hAnsi="Arial" w:cs="Arial"/>
                <w:sz w:val="24"/>
                <w:szCs w:val="24"/>
              </w:rPr>
              <w:t>6.25%</w:t>
            </w:r>
          </w:p>
        </w:tc>
        <w:tc>
          <w:tcPr>
            <w:tcW w:w="1587" w:type="pct"/>
            <w:noWrap/>
            <w:vAlign w:val="center"/>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3 - Good Health and Well-being</w:t>
            </w:r>
          </w:p>
        </w:tc>
      </w:tr>
      <w:tr w:rsidR="009B44DA" w:rsidRPr="00701DC4" w:rsidTr="009B44DA">
        <w:trPr>
          <w:trHeight w:val="477"/>
        </w:trPr>
        <w:tc>
          <w:tcPr>
            <w:tcW w:w="1170" w:type="pct"/>
            <w:noWrap/>
            <w:vAlign w:val="center"/>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BS Accountancy</w:t>
            </w:r>
          </w:p>
        </w:tc>
        <w:tc>
          <w:tcPr>
            <w:tcW w:w="1215" w:type="pct"/>
            <w:noWrap/>
            <w:vAlign w:val="center"/>
            <w:hideMark/>
          </w:tcPr>
          <w:p w:rsidR="009B44DA" w:rsidRPr="00701DC4" w:rsidRDefault="009B44DA" w:rsidP="004205BB">
            <w:pPr>
              <w:spacing w:after="0" w:line="240" w:lineRule="auto"/>
              <w:jc w:val="center"/>
              <w:rPr>
                <w:rFonts w:ascii="Arial" w:hAnsi="Arial" w:cs="Arial"/>
                <w:sz w:val="24"/>
                <w:szCs w:val="24"/>
              </w:rPr>
            </w:pPr>
            <w:r w:rsidRPr="00701DC4">
              <w:rPr>
                <w:rFonts w:ascii="Arial" w:hAnsi="Arial" w:cs="Arial"/>
                <w:sz w:val="24"/>
                <w:szCs w:val="24"/>
              </w:rPr>
              <w:t>1</w:t>
            </w:r>
          </w:p>
        </w:tc>
        <w:tc>
          <w:tcPr>
            <w:tcW w:w="1028" w:type="pct"/>
            <w:vAlign w:val="center"/>
          </w:tcPr>
          <w:p w:rsidR="009B44DA" w:rsidRPr="00701DC4" w:rsidRDefault="009B44DA" w:rsidP="004205BB">
            <w:pPr>
              <w:spacing w:after="0" w:line="240" w:lineRule="auto"/>
              <w:jc w:val="center"/>
              <w:rPr>
                <w:rFonts w:ascii="Arial" w:hAnsi="Arial" w:cs="Arial"/>
                <w:sz w:val="24"/>
                <w:szCs w:val="24"/>
              </w:rPr>
            </w:pPr>
            <w:r w:rsidRPr="00701DC4">
              <w:rPr>
                <w:rFonts w:ascii="Arial" w:hAnsi="Arial" w:cs="Arial"/>
                <w:sz w:val="24"/>
                <w:szCs w:val="24"/>
              </w:rPr>
              <w:t>6.25%</w:t>
            </w:r>
          </w:p>
        </w:tc>
        <w:tc>
          <w:tcPr>
            <w:tcW w:w="1587" w:type="pct"/>
            <w:vAlign w:val="center"/>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4 - Quality Education</w:t>
            </w:r>
          </w:p>
        </w:tc>
      </w:tr>
      <w:tr w:rsidR="009B44DA" w:rsidRPr="00701DC4" w:rsidTr="009B44DA">
        <w:trPr>
          <w:trHeight w:val="300"/>
        </w:trPr>
        <w:tc>
          <w:tcPr>
            <w:tcW w:w="1170" w:type="pct"/>
            <w:noWrap/>
            <w:vAlign w:val="center"/>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BS Industrial Engineering</w:t>
            </w:r>
          </w:p>
        </w:tc>
        <w:tc>
          <w:tcPr>
            <w:tcW w:w="1215" w:type="pct"/>
            <w:noWrap/>
            <w:vAlign w:val="center"/>
            <w:hideMark/>
          </w:tcPr>
          <w:p w:rsidR="009B44DA" w:rsidRPr="00701DC4" w:rsidRDefault="009B44DA" w:rsidP="004205BB">
            <w:pPr>
              <w:spacing w:after="0" w:line="240" w:lineRule="auto"/>
              <w:jc w:val="center"/>
              <w:rPr>
                <w:rFonts w:ascii="Arial" w:hAnsi="Arial" w:cs="Arial"/>
                <w:sz w:val="24"/>
                <w:szCs w:val="24"/>
              </w:rPr>
            </w:pPr>
            <w:r w:rsidRPr="00701DC4">
              <w:rPr>
                <w:rFonts w:ascii="Arial" w:hAnsi="Arial" w:cs="Arial"/>
                <w:sz w:val="24"/>
                <w:szCs w:val="24"/>
              </w:rPr>
              <w:t>1</w:t>
            </w:r>
          </w:p>
        </w:tc>
        <w:tc>
          <w:tcPr>
            <w:tcW w:w="1028" w:type="pct"/>
            <w:vAlign w:val="center"/>
          </w:tcPr>
          <w:p w:rsidR="009B44DA" w:rsidRPr="00701DC4" w:rsidRDefault="009B44DA" w:rsidP="004205BB">
            <w:pPr>
              <w:spacing w:after="0" w:line="240" w:lineRule="auto"/>
              <w:jc w:val="center"/>
              <w:rPr>
                <w:rFonts w:ascii="Arial" w:hAnsi="Arial" w:cs="Arial"/>
                <w:sz w:val="24"/>
                <w:szCs w:val="24"/>
              </w:rPr>
            </w:pPr>
            <w:r w:rsidRPr="00701DC4">
              <w:rPr>
                <w:rFonts w:ascii="Arial" w:hAnsi="Arial" w:cs="Arial"/>
                <w:sz w:val="24"/>
                <w:szCs w:val="24"/>
              </w:rPr>
              <w:t>6.25%</w:t>
            </w:r>
          </w:p>
        </w:tc>
        <w:tc>
          <w:tcPr>
            <w:tcW w:w="1587" w:type="pct"/>
            <w:noWrap/>
            <w:vAlign w:val="center"/>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7 - Affordable and Clean Energy</w:t>
            </w:r>
          </w:p>
        </w:tc>
      </w:tr>
      <w:tr w:rsidR="009B44DA" w:rsidRPr="00701DC4" w:rsidTr="004205BB">
        <w:trPr>
          <w:trHeight w:val="300"/>
        </w:trPr>
        <w:tc>
          <w:tcPr>
            <w:tcW w:w="1170" w:type="pct"/>
            <w:noWrap/>
            <w:vAlign w:val="center"/>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BS Tourism Management</w:t>
            </w:r>
          </w:p>
        </w:tc>
        <w:tc>
          <w:tcPr>
            <w:tcW w:w="1215" w:type="pct"/>
            <w:noWrap/>
            <w:vAlign w:val="center"/>
            <w:hideMark/>
          </w:tcPr>
          <w:p w:rsidR="009B44DA" w:rsidRPr="00701DC4" w:rsidRDefault="009B44DA" w:rsidP="004205BB">
            <w:pPr>
              <w:spacing w:after="0" w:line="240" w:lineRule="auto"/>
              <w:jc w:val="center"/>
              <w:rPr>
                <w:rFonts w:ascii="Arial" w:hAnsi="Arial" w:cs="Arial"/>
                <w:sz w:val="24"/>
                <w:szCs w:val="24"/>
              </w:rPr>
            </w:pPr>
            <w:r w:rsidRPr="00701DC4">
              <w:rPr>
                <w:rFonts w:ascii="Arial" w:hAnsi="Arial" w:cs="Arial"/>
                <w:sz w:val="24"/>
                <w:szCs w:val="24"/>
              </w:rPr>
              <w:t>1</w:t>
            </w:r>
          </w:p>
        </w:tc>
        <w:tc>
          <w:tcPr>
            <w:tcW w:w="1028" w:type="pct"/>
            <w:vAlign w:val="center"/>
          </w:tcPr>
          <w:p w:rsidR="009B44DA" w:rsidRPr="00701DC4" w:rsidRDefault="009B44DA" w:rsidP="004205BB">
            <w:pPr>
              <w:spacing w:after="0" w:line="240" w:lineRule="auto"/>
              <w:jc w:val="center"/>
              <w:rPr>
                <w:rFonts w:ascii="Arial" w:hAnsi="Arial" w:cs="Arial"/>
                <w:sz w:val="24"/>
                <w:szCs w:val="24"/>
              </w:rPr>
            </w:pPr>
            <w:r w:rsidRPr="00701DC4">
              <w:rPr>
                <w:rFonts w:ascii="Arial" w:hAnsi="Arial" w:cs="Arial"/>
                <w:sz w:val="24"/>
                <w:szCs w:val="24"/>
              </w:rPr>
              <w:t>6.25%</w:t>
            </w:r>
          </w:p>
        </w:tc>
        <w:tc>
          <w:tcPr>
            <w:tcW w:w="1587" w:type="pct"/>
            <w:noWrap/>
            <w:vAlign w:val="center"/>
            <w:hideMark/>
          </w:tcPr>
          <w:p w:rsidR="009B44DA" w:rsidRPr="00701DC4" w:rsidRDefault="009B44DA" w:rsidP="004205BB">
            <w:pPr>
              <w:spacing w:after="0" w:line="240" w:lineRule="auto"/>
              <w:rPr>
                <w:rFonts w:ascii="Arial" w:hAnsi="Arial" w:cs="Arial"/>
                <w:sz w:val="24"/>
                <w:szCs w:val="24"/>
              </w:rPr>
            </w:pPr>
            <w:r w:rsidRPr="00701DC4">
              <w:rPr>
                <w:rFonts w:ascii="Arial" w:hAnsi="Arial" w:cs="Arial"/>
                <w:sz w:val="24"/>
                <w:szCs w:val="24"/>
              </w:rPr>
              <w:t>SDG 14 - Life Below Water</w:t>
            </w:r>
          </w:p>
        </w:tc>
      </w:tr>
      <w:tr w:rsidR="004205BB" w:rsidRPr="00701DC4" w:rsidTr="004205BB">
        <w:trPr>
          <w:trHeight w:val="300"/>
        </w:trPr>
        <w:tc>
          <w:tcPr>
            <w:tcW w:w="1170" w:type="pct"/>
            <w:tcBorders>
              <w:bottom w:val="single" w:sz="4" w:space="0" w:color="auto"/>
            </w:tcBorders>
            <w:noWrap/>
            <w:vAlign w:val="center"/>
            <w:hideMark/>
          </w:tcPr>
          <w:p w:rsidR="004205BB" w:rsidRPr="00701DC4" w:rsidRDefault="004205BB" w:rsidP="004205BB">
            <w:pPr>
              <w:spacing w:after="0" w:line="240" w:lineRule="auto"/>
              <w:rPr>
                <w:rFonts w:ascii="Arial" w:hAnsi="Arial" w:cs="Arial"/>
                <w:sz w:val="24"/>
                <w:szCs w:val="24"/>
              </w:rPr>
            </w:pPr>
            <w:r w:rsidRPr="00701DC4">
              <w:rPr>
                <w:rFonts w:ascii="Arial" w:hAnsi="Arial" w:cs="Arial"/>
                <w:sz w:val="24"/>
                <w:szCs w:val="24"/>
              </w:rPr>
              <w:t>Total Corpus</w:t>
            </w:r>
          </w:p>
        </w:tc>
        <w:tc>
          <w:tcPr>
            <w:tcW w:w="1215" w:type="pct"/>
            <w:tcBorders>
              <w:bottom w:val="single" w:sz="4" w:space="0" w:color="auto"/>
            </w:tcBorders>
            <w:noWrap/>
            <w:vAlign w:val="center"/>
            <w:hideMark/>
          </w:tcPr>
          <w:p w:rsidR="004205BB" w:rsidRPr="00701DC4" w:rsidRDefault="00752735" w:rsidP="004205BB">
            <w:pPr>
              <w:spacing w:after="0" w:line="240" w:lineRule="auto"/>
              <w:jc w:val="center"/>
              <w:rPr>
                <w:rFonts w:ascii="Arial" w:hAnsi="Arial" w:cs="Arial"/>
                <w:sz w:val="24"/>
                <w:szCs w:val="24"/>
              </w:rPr>
            </w:pPr>
            <w:r w:rsidRPr="00701DC4">
              <w:rPr>
                <w:rFonts w:ascii="Arial" w:hAnsi="Arial" w:cs="Arial"/>
                <w:sz w:val="24"/>
                <w:szCs w:val="24"/>
              </w:rPr>
              <w:t>16</w:t>
            </w:r>
          </w:p>
        </w:tc>
        <w:tc>
          <w:tcPr>
            <w:tcW w:w="1028" w:type="pct"/>
            <w:tcBorders>
              <w:bottom w:val="single" w:sz="4" w:space="0" w:color="auto"/>
            </w:tcBorders>
            <w:vAlign w:val="center"/>
          </w:tcPr>
          <w:p w:rsidR="004205BB" w:rsidRPr="00701DC4" w:rsidRDefault="004205BB" w:rsidP="004205BB">
            <w:pPr>
              <w:spacing w:after="0" w:line="240" w:lineRule="auto"/>
              <w:jc w:val="center"/>
              <w:rPr>
                <w:rFonts w:ascii="Arial" w:hAnsi="Arial" w:cs="Arial"/>
                <w:sz w:val="24"/>
                <w:szCs w:val="24"/>
              </w:rPr>
            </w:pPr>
            <w:r w:rsidRPr="00701DC4">
              <w:rPr>
                <w:rFonts w:ascii="Arial" w:hAnsi="Arial" w:cs="Arial"/>
                <w:sz w:val="24"/>
                <w:szCs w:val="24"/>
              </w:rPr>
              <w:t>100.00%</w:t>
            </w:r>
          </w:p>
        </w:tc>
        <w:tc>
          <w:tcPr>
            <w:tcW w:w="1587" w:type="pct"/>
            <w:tcBorders>
              <w:bottom w:val="single" w:sz="4" w:space="0" w:color="auto"/>
            </w:tcBorders>
            <w:noWrap/>
            <w:vAlign w:val="center"/>
            <w:hideMark/>
          </w:tcPr>
          <w:p w:rsidR="004205BB" w:rsidRPr="00701DC4" w:rsidRDefault="004205BB" w:rsidP="004205BB">
            <w:pPr>
              <w:spacing w:after="0" w:line="240" w:lineRule="auto"/>
              <w:rPr>
                <w:rFonts w:ascii="Arial" w:hAnsi="Arial" w:cs="Arial"/>
                <w:sz w:val="24"/>
                <w:szCs w:val="24"/>
              </w:rPr>
            </w:pPr>
            <w:r w:rsidRPr="00701DC4">
              <w:rPr>
                <w:rFonts w:ascii="Arial" w:hAnsi="Arial" w:cs="Arial"/>
                <w:sz w:val="24"/>
                <w:szCs w:val="24"/>
              </w:rPr>
              <w:t>Multi-Disciplinary Synthesis</w:t>
            </w:r>
          </w:p>
        </w:tc>
      </w:tr>
      <w:tr w:rsidR="004205BB" w:rsidRPr="00701DC4" w:rsidTr="004205BB">
        <w:trPr>
          <w:trHeight w:val="300"/>
        </w:trPr>
        <w:tc>
          <w:tcPr>
            <w:tcW w:w="1170" w:type="pct"/>
            <w:tcBorders>
              <w:top w:val="single" w:sz="4" w:space="0" w:color="auto"/>
            </w:tcBorders>
            <w:noWrap/>
            <w:vAlign w:val="center"/>
          </w:tcPr>
          <w:p w:rsidR="004205BB" w:rsidRPr="00701DC4" w:rsidRDefault="004205BB" w:rsidP="004205BB">
            <w:pPr>
              <w:spacing w:after="0" w:line="240" w:lineRule="auto"/>
              <w:rPr>
                <w:rFonts w:ascii="Arial" w:hAnsi="Arial" w:cs="Arial"/>
                <w:sz w:val="24"/>
                <w:szCs w:val="24"/>
              </w:rPr>
            </w:pPr>
          </w:p>
        </w:tc>
        <w:tc>
          <w:tcPr>
            <w:tcW w:w="1215" w:type="pct"/>
            <w:tcBorders>
              <w:top w:val="single" w:sz="4" w:space="0" w:color="auto"/>
            </w:tcBorders>
            <w:noWrap/>
            <w:vAlign w:val="center"/>
          </w:tcPr>
          <w:p w:rsidR="004205BB" w:rsidRPr="00701DC4" w:rsidRDefault="004205BB" w:rsidP="004205BB">
            <w:pPr>
              <w:spacing w:after="0" w:line="240" w:lineRule="auto"/>
              <w:rPr>
                <w:rFonts w:ascii="Arial" w:hAnsi="Arial" w:cs="Arial"/>
                <w:sz w:val="24"/>
                <w:szCs w:val="24"/>
              </w:rPr>
            </w:pPr>
          </w:p>
        </w:tc>
        <w:tc>
          <w:tcPr>
            <w:tcW w:w="1028" w:type="pct"/>
            <w:tcBorders>
              <w:top w:val="single" w:sz="4" w:space="0" w:color="auto"/>
            </w:tcBorders>
            <w:vAlign w:val="center"/>
          </w:tcPr>
          <w:p w:rsidR="004205BB" w:rsidRPr="00701DC4" w:rsidRDefault="004205BB" w:rsidP="004205BB">
            <w:pPr>
              <w:spacing w:after="0" w:line="240" w:lineRule="auto"/>
              <w:rPr>
                <w:rFonts w:ascii="Arial" w:hAnsi="Arial" w:cs="Arial"/>
                <w:sz w:val="24"/>
                <w:szCs w:val="24"/>
              </w:rPr>
            </w:pPr>
          </w:p>
        </w:tc>
        <w:tc>
          <w:tcPr>
            <w:tcW w:w="1587" w:type="pct"/>
            <w:tcBorders>
              <w:top w:val="single" w:sz="4" w:space="0" w:color="auto"/>
            </w:tcBorders>
            <w:noWrap/>
            <w:vAlign w:val="center"/>
          </w:tcPr>
          <w:p w:rsidR="004205BB" w:rsidRPr="00701DC4" w:rsidRDefault="004205BB" w:rsidP="004205BB">
            <w:pPr>
              <w:spacing w:after="0" w:line="240" w:lineRule="auto"/>
              <w:rPr>
                <w:rFonts w:ascii="Arial" w:hAnsi="Arial" w:cs="Arial"/>
                <w:sz w:val="24"/>
                <w:szCs w:val="24"/>
              </w:rPr>
            </w:pPr>
          </w:p>
        </w:tc>
      </w:tr>
    </w:tbl>
    <w:p w:rsidR="00752735" w:rsidRPr="00701DC4" w:rsidRDefault="00752735" w:rsidP="00752735">
      <w:pPr>
        <w:spacing w:after="0" w:line="240" w:lineRule="auto"/>
        <w:jc w:val="both"/>
        <w:rPr>
          <w:rFonts w:ascii="Arial" w:hAnsi="Arial" w:cs="Arial"/>
          <w:sz w:val="24"/>
          <w:szCs w:val="24"/>
        </w:rPr>
      </w:pPr>
      <w:r w:rsidRPr="00701DC4">
        <w:rPr>
          <w:rFonts w:ascii="Arial" w:hAnsi="Arial" w:cs="Arial"/>
          <w:sz w:val="24"/>
          <w:szCs w:val="24"/>
        </w:rPr>
        <w:lastRenderedPageBreak/>
        <w:t>Disciplinary tracking reveals that the BS Nursing program serves as the primary engine of sustainability-focused student scholarship at the institution, generating more than half of the university's documented output (56.25%, f=9). This concentrated focus heavily directs institutional research toward localized healthcare delivery systems, patient well-being, and community-based clinical interventions. The BS Architecture program emerged as the secondary contributor (12.50%, f=2), demonstrating a broader thematic scope that spans sustainable design, clean energy spaces, and material lifecycle management.</w:t>
      </w:r>
    </w:p>
    <w:p w:rsidR="00752735" w:rsidRPr="00701DC4" w:rsidRDefault="00752735" w:rsidP="00752735">
      <w:pPr>
        <w:spacing w:after="0" w:line="240" w:lineRule="auto"/>
        <w:jc w:val="both"/>
        <w:rPr>
          <w:rFonts w:ascii="Arial" w:hAnsi="Arial" w:cs="Arial"/>
          <w:sz w:val="24"/>
          <w:szCs w:val="24"/>
        </w:rPr>
      </w:pPr>
    </w:p>
    <w:p w:rsidR="00752735" w:rsidRPr="00701DC4" w:rsidRDefault="00752735" w:rsidP="00752735">
      <w:pPr>
        <w:spacing w:after="0" w:line="240" w:lineRule="auto"/>
        <w:jc w:val="both"/>
        <w:rPr>
          <w:rFonts w:ascii="Arial" w:hAnsi="Arial" w:cs="Arial"/>
          <w:sz w:val="24"/>
          <w:szCs w:val="24"/>
        </w:rPr>
      </w:pPr>
      <w:r w:rsidRPr="00701DC4">
        <w:rPr>
          <w:rFonts w:ascii="Arial" w:hAnsi="Arial" w:cs="Arial"/>
          <w:sz w:val="24"/>
          <w:szCs w:val="24"/>
        </w:rPr>
        <w:t>The remaining output is evenly distributed across five specialized undergraduate disciplines, each contributing a single study (6.25%, f=1). While the applications from Education and Hospitality Management remain anchored within the health and wellness framework (SDG 3), the Accountancy, Industrial Engineering, and Tourism programs expanded the institutional footprint into educational access, energy efficiency, and marine tourism ecology, respectively.</w:t>
      </w:r>
    </w:p>
    <w:p w:rsidR="00752735" w:rsidRPr="00701DC4" w:rsidRDefault="00752735" w:rsidP="00752735">
      <w:pPr>
        <w:spacing w:after="0" w:line="240" w:lineRule="auto"/>
        <w:jc w:val="both"/>
        <w:rPr>
          <w:rFonts w:ascii="Arial" w:hAnsi="Arial" w:cs="Arial"/>
          <w:sz w:val="24"/>
          <w:szCs w:val="24"/>
        </w:rPr>
      </w:pPr>
    </w:p>
    <w:p w:rsidR="004205BB" w:rsidRPr="00701DC4" w:rsidRDefault="00752735" w:rsidP="00752735">
      <w:pPr>
        <w:spacing w:after="0" w:line="240" w:lineRule="auto"/>
        <w:jc w:val="both"/>
        <w:rPr>
          <w:rFonts w:ascii="Arial" w:hAnsi="Arial" w:cs="Arial"/>
          <w:sz w:val="24"/>
          <w:szCs w:val="24"/>
        </w:rPr>
      </w:pPr>
      <w:r w:rsidRPr="00701DC4">
        <w:rPr>
          <w:rFonts w:ascii="Arial" w:hAnsi="Arial" w:cs="Arial"/>
          <w:sz w:val="24"/>
          <w:szCs w:val="24"/>
        </w:rPr>
        <w:t>Taken together, this distribution exposes a clear structural imbalance: institutional engagement with global sustainability goals is heavily driven by allied health and architectural design tracks. Conversely, foundational fields like business administration, humanities, and the social sciences show almost no visible engagement with the SDG framework, highlighting a clear area for future curricular enrichment.</w:t>
      </w:r>
    </w:p>
    <w:p w:rsidR="00752735" w:rsidRPr="00701DC4" w:rsidRDefault="00752735" w:rsidP="00752735">
      <w:pPr>
        <w:spacing w:after="0" w:line="240" w:lineRule="auto"/>
        <w:rPr>
          <w:rFonts w:ascii="Arial" w:hAnsi="Arial" w:cs="Arial"/>
          <w:sz w:val="24"/>
          <w:szCs w:val="24"/>
        </w:rPr>
      </w:pPr>
    </w:p>
    <w:p w:rsidR="004205BB" w:rsidRPr="00701DC4" w:rsidRDefault="004205BB" w:rsidP="004205BB">
      <w:pPr>
        <w:spacing w:after="0" w:line="240" w:lineRule="auto"/>
        <w:rPr>
          <w:rFonts w:ascii="Arial" w:hAnsi="Arial" w:cs="Arial"/>
          <w:b/>
          <w:sz w:val="24"/>
          <w:szCs w:val="24"/>
        </w:rPr>
      </w:pPr>
      <w:r w:rsidRPr="00701DC4">
        <w:rPr>
          <w:rFonts w:ascii="Arial" w:hAnsi="Arial" w:cs="Arial"/>
          <w:b/>
          <w:sz w:val="24"/>
          <w:szCs w:val="24"/>
        </w:rPr>
        <w:t>Longitudinal Productivity and Temporal Trends</w:t>
      </w:r>
    </w:p>
    <w:p w:rsidR="004205BB" w:rsidRPr="00701DC4" w:rsidRDefault="004205BB" w:rsidP="004205BB">
      <w:pPr>
        <w:spacing w:after="0" w:line="240" w:lineRule="auto"/>
        <w:rPr>
          <w:rFonts w:ascii="Arial" w:hAnsi="Arial" w:cs="Arial"/>
          <w:sz w:val="24"/>
          <w:szCs w:val="24"/>
        </w:rPr>
      </w:pPr>
      <w:r w:rsidRPr="00701DC4">
        <w:rPr>
          <w:rFonts w:ascii="Arial" w:hAnsi="Arial" w:cs="Arial"/>
          <w:sz w:val="24"/>
          <w:szCs w:val="24"/>
        </w:rPr>
        <w:t>Analyzing the publication timeline reveals the steady-state integration of sustainability themes over the 11-year observation window. Table 3 maps the annual production of these SDG-aligned works.</w:t>
      </w:r>
    </w:p>
    <w:p w:rsidR="004205BB" w:rsidRPr="00701DC4" w:rsidRDefault="004205BB" w:rsidP="004205BB">
      <w:pPr>
        <w:spacing w:after="0" w:line="240" w:lineRule="auto"/>
        <w:rPr>
          <w:rFonts w:ascii="Arial" w:hAnsi="Arial" w:cs="Arial"/>
          <w:sz w:val="24"/>
          <w:szCs w:val="24"/>
        </w:rPr>
      </w:pPr>
    </w:p>
    <w:p w:rsidR="004205BB" w:rsidRPr="00701DC4" w:rsidRDefault="004205BB" w:rsidP="004205BB">
      <w:pPr>
        <w:spacing w:after="0" w:line="240" w:lineRule="auto"/>
        <w:rPr>
          <w:rFonts w:ascii="Arial" w:hAnsi="Arial" w:cs="Arial"/>
          <w:b/>
          <w:sz w:val="24"/>
          <w:szCs w:val="24"/>
        </w:rPr>
      </w:pPr>
      <w:r w:rsidRPr="00701DC4">
        <w:rPr>
          <w:rFonts w:ascii="Arial" w:hAnsi="Arial" w:cs="Arial"/>
          <w:b/>
          <w:sz w:val="24"/>
          <w:szCs w:val="24"/>
        </w:rPr>
        <w:t>Table 3</w:t>
      </w:r>
    </w:p>
    <w:p w:rsidR="004205BB" w:rsidRPr="00701DC4" w:rsidRDefault="004205BB" w:rsidP="004205BB">
      <w:pPr>
        <w:spacing w:after="0" w:line="240" w:lineRule="auto"/>
        <w:rPr>
          <w:rFonts w:ascii="Arial" w:hAnsi="Arial" w:cs="Arial"/>
          <w:i/>
          <w:sz w:val="24"/>
          <w:szCs w:val="24"/>
        </w:rPr>
      </w:pPr>
      <w:r w:rsidRPr="00701DC4">
        <w:rPr>
          <w:rFonts w:ascii="Arial" w:hAnsi="Arial" w:cs="Arial"/>
          <w:i/>
          <w:sz w:val="24"/>
          <w:szCs w:val="24"/>
        </w:rPr>
        <w:t>Temporal Distribution of SDG-Related Student Research (2015–2025)</w:t>
      </w:r>
    </w:p>
    <w:tbl>
      <w:tblPr>
        <w:tblW w:w="4991" w:type="pct"/>
        <w:tblBorders>
          <w:top w:val="single" w:sz="4" w:space="0" w:color="auto"/>
          <w:bottom w:val="single" w:sz="4" w:space="0" w:color="auto"/>
        </w:tblBorders>
        <w:tblLayout w:type="fixed"/>
        <w:tblLook w:val="04A0" w:firstRow="1" w:lastRow="0" w:firstColumn="1" w:lastColumn="0" w:noHBand="0" w:noVBand="1"/>
      </w:tblPr>
      <w:tblGrid>
        <w:gridCol w:w="2969"/>
        <w:gridCol w:w="2315"/>
        <w:gridCol w:w="4059"/>
      </w:tblGrid>
      <w:tr w:rsidR="004205BB" w:rsidRPr="00701DC4" w:rsidTr="004205BB">
        <w:trPr>
          <w:trHeight w:val="300"/>
        </w:trPr>
        <w:tc>
          <w:tcPr>
            <w:tcW w:w="1589" w:type="pct"/>
            <w:tcBorders>
              <w:top w:val="single" w:sz="4" w:space="0" w:color="auto"/>
              <w:bottom w:val="single" w:sz="4" w:space="0" w:color="auto"/>
            </w:tcBorders>
            <w:shd w:val="clear" w:color="auto" w:fill="auto"/>
            <w:noWrap/>
            <w:vAlign w:val="center"/>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Publication Year</w:t>
            </w:r>
          </w:p>
        </w:tc>
        <w:tc>
          <w:tcPr>
            <w:tcW w:w="1239" w:type="pct"/>
            <w:tcBorders>
              <w:top w:val="single" w:sz="4" w:space="0" w:color="auto"/>
              <w:bottom w:val="single" w:sz="4" w:space="0" w:color="auto"/>
            </w:tcBorders>
            <w:vAlign w:val="center"/>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Number of Validated Works (f)</w:t>
            </w:r>
          </w:p>
        </w:tc>
        <w:tc>
          <w:tcPr>
            <w:tcW w:w="2172" w:type="pct"/>
            <w:tcBorders>
              <w:top w:val="single" w:sz="4" w:space="0" w:color="auto"/>
              <w:bottom w:val="single" w:sz="4" w:space="0" w:color="auto"/>
            </w:tcBorders>
            <w:shd w:val="clear" w:color="auto" w:fill="auto"/>
            <w:noWrap/>
            <w:vAlign w:val="center"/>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Annual Percentage Contribution (%)</w:t>
            </w:r>
          </w:p>
        </w:tc>
      </w:tr>
      <w:tr w:rsidR="004205BB" w:rsidRPr="00701DC4" w:rsidTr="004205BB">
        <w:trPr>
          <w:trHeight w:val="300"/>
        </w:trPr>
        <w:tc>
          <w:tcPr>
            <w:tcW w:w="1589" w:type="pct"/>
            <w:tcBorders>
              <w:top w:val="single" w:sz="4" w:space="0" w:color="auto"/>
            </w:tcBorders>
            <w:shd w:val="clear" w:color="auto" w:fill="auto"/>
            <w:noWrap/>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2015</w:t>
            </w:r>
          </w:p>
        </w:tc>
        <w:tc>
          <w:tcPr>
            <w:tcW w:w="1239" w:type="pct"/>
            <w:tcBorders>
              <w:top w:val="single" w:sz="4" w:space="0" w:color="auto"/>
            </w:tcBorders>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1</w:t>
            </w:r>
          </w:p>
        </w:tc>
        <w:tc>
          <w:tcPr>
            <w:tcW w:w="2172" w:type="pct"/>
            <w:tcBorders>
              <w:top w:val="single" w:sz="4" w:space="0" w:color="auto"/>
            </w:tcBorders>
            <w:shd w:val="clear" w:color="auto" w:fill="auto"/>
            <w:noWrap/>
            <w:vAlign w:val="bottom"/>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6.25%</w:t>
            </w:r>
          </w:p>
        </w:tc>
      </w:tr>
      <w:tr w:rsidR="004205BB" w:rsidRPr="00701DC4" w:rsidTr="004205BB">
        <w:trPr>
          <w:trHeight w:val="300"/>
        </w:trPr>
        <w:tc>
          <w:tcPr>
            <w:tcW w:w="1589" w:type="pct"/>
            <w:shd w:val="clear" w:color="auto" w:fill="auto"/>
            <w:noWrap/>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2016</w:t>
            </w:r>
          </w:p>
        </w:tc>
        <w:tc>
          <w:tcPr>
            <w:tcW w:w="1239" w:type="pct"/>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1</w:t>
            </w:r>
          </w:p>
        </w:tc>
        <w:tc>
          <w:tcPr>
            <w:tcW w:w="2172" w:type="pct"/>
            <w:shd w:val="clear" w:color="auto" w:fill="auto"/>
            <w:noWrap/>
            <w:vAlign w:val="bottom"/>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6.25%</w:t>
            </w:r>
          </w:p>
        </w:tc>
      </w:tr>
      <w:tr w:rsidR="004205BB" w:rsidRPr="00701DC4" w:rsidTr="004205BB">
        <w:trPr>
          <w:trHeight w:val="300"/>
        </w:trPr>
        <w:tc>
          <w:tcPr>
            <w:tcW w:w="1589" w:type="pct"/>
            <w:shd w:val="clear" w:color="auto" w:fill="auto"/>
            <w:noWrap/>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2017</w:t>
            </w:r>
          </w:p>
        </w:tc>
        <w:tc>
          <w:tcPr>
            <w:tcW w:w="1239" w:type="pct"/>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0</w:t>
            </w:r>
          </w:p>
        </w:tc>
        <w:tc>
          <w:tcPr>
            <w:tcW w:w="2172" w:type="pct"/>
            <w:shd w:val="clear" w:color="auto" w:fill="auto"/>
            <w:noWrap/>
            <w:vAlign w:val="bottom"/>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0.00%</w:t>
            </w:r>
          </w:p>
        </w:tc>
      </w:tr>
      <w:tr w:rsidR="004205BB" w:rsidRPr="00701DC4" w:rsidTr="004205BB">
        <w:trPr>
          <w:trHeight w:val="300"/>
        </w:trPr>
        <w:tc>
          <w:tcPr>
            <w:tcW w:w="1589" w:type="pct"/>
            <w:shd w:val="clear" w:color="auto" w:fill="auto"/>
            <w:noWrap/>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2018</w:t>
            </w:r>
          </w:p>
        </w:tc>
        <w:tc>
          <w:tcPr>
            <w:tcW w:w="1239" w:type="pct"/>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1</w:t>
            </w:r>
          </w:p>
        </w:tc>
        <w:tc>
          <w:tcPr>
            <w:tcW w:w="2172" w:type="pct"/>
            <w:shd w:val="clear" w:color="auto" w:fill="auto"/>
            <w:noWrap/>
            <w:vAlign w:val="bottom"/>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6.25%</w:t>
            </w:r>
          </w:p>
        </w:tc>
      </w:tr>
      <w:tr w:rsidR="004205BB" w:rsidRPr="00701DC4" w:rsidTr="004205BB">
        <w:trPr>
          <w:trHeight w:val="300"/>
        </w:trPr>
        <w:tc>
          <w:tcPr>
            <w:tcW w:w="1589" w:type="pct"/>
            <w:shd w:val="clear" w:color="auto" w:fill="auto"/>
            <w:noWrap/>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2019</w:t>
            </w:r>
          </w:p>
        </w:tc>
        <w:tc>
          <w:tcPr>
            <w:tcW w:w="1239" w:type="pct"/>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2</w:t>
            </w:r>
          </w:p>
        </w:tc>
        <w:tc>
          <w:tcPr>
            <w:tcW w:w="2172" w:type="pct"/>
            <w:shd w:val="clear" w:color="auto" w:fill="auto"/>
            <w:noWrap/>
            <w:vAlign w:val="bottom"/>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12.50%</w:t>
            </w:r>
          </w:p>
        </w:tc>
      </w:tr>
      <w:tr w:rsidR="004205BB" w:rsidRPr="00701DC4" w:rsidTr="004205BB">
        <w:trPr>
          <w:trHeight w:val="300"/>
        </w:trPr>
        <w:tc>
          <w:tcPr>
            <w:tcW w:w="1589" w:type="pct"/>
            <w:shd w:val="clear" w:color="auto" w:fill="auto"/>
            <w:noWrap/>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2020</w:t>
            </w:r>
          </w:p>
        </w:tc>
        <w:tc>
          <w:tcPr>
            <w:tcW w:w="1239" w:type="pct"/>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0</w:t>
            </w:r>
          </w:p>
        </w:tc>
        <w:tc>
          <w:tcPr>
            <w:tcW w:w="2172" w:type="pct"/>
            <w:shd w:val="clear" w:color="auto" w:fill="auto"/>
            <w:noWrap/>
            <w:vAlign w:val="bottom"/>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0.00%</w:t>
            </w:r>
          </w:p>
        </w:tc>
      </w:tr>
      <w:tr w:rsidR="004205BB" w:rsidRPr="00701DC4" w:rsidTr="004205BB">
        <w:trPr>
          <w:trHeight w:val="300"/>
        </w:trPr>
        <w:tc>
          <w:tcPr>
            <w:tcW w:w="1589" w:type="pct"/>
            <w:shd w:val="clear" w:color="auto" w:fill="auto"/>
            <w:noWrap/>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2021</w:t>
            </w:r>
          </w:p>
        </w:tc>
        <w:tc>
          <w:tcPr>
            <w:tcW w:w="1239" w:type="pct"/>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1</w:t>
            </w:r>
          </w:p>
        </w:tc>
        <w:tc>
          <w:tcPr>
            <w:tcW w:w="2172" w:type="pct"/>
            <w:shd w:val="clear" w:color="auto" w:fill="auto"/>
            <w:noWrap/>
            <w:vAlign w:val="bottom"/>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6.25%</w:t>
            </w:r>
          </w:p>
        </w:tc>
      </w:tr>
      <w:tr w:rsidR="004205BB" w:rsidRPr="00701DC4" w:rsidTr="004205BB">
        <w:trPr>
          <w:trHeight w:val="300"/>
        </w:trPr>
        <w:tc>
          <w:tcPr>
            <w:tcW w:w="1589" w:type="pct"/>
            <w:shd w:val="clear" w:color="auto" w:fill="auto"/>
            <w:noWrap/>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2022</w:t>
            </w:r>
          </w:p>
        </w:tc>
        <w:tc>
          <w:tcPr>
            <w:tcW w:w="1239" w:type="pct"/>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0</w:t>
            </w:r>
          </w:p>
        </w:tc>
        <w:tc>
          <w:tcPr>
            <w:tcW w:w="2172" w:type="pct"/>
            <w:shd w:val="clear" w:color="auto" w:fill="auto"/>
            <w:noWrap/>
            <w:vAlign w:val="bottom"/>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0.00%</w:t>
            </w:r>
          </w:p>
        </w:tc>
      </w:tr>
      <w:tr w:rsidR="004205BB" w:rsidRPr="00701DC4" w:rsidTr="004205BB">
        <w:trPr>
          <w:trHeight w:val="300"/>
        </w:trPr>
        <w:tc>
          <w:tcPr>
            <w:tcW w:w="1589" w:type="pct"/>
            <w:shd w:val="clear" w:color="auto" w:fill="auto"/>
            <w:noWrap/>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2023</w:t>
            </w:r>
          </w:p>
        </w:tc>
        <w:tc>
          <w:tcPr>
            <w:tcW w:w="1239" w:type="pct"/>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1</w:t>
            </w:r>
          </w:p>
        </w:tc>
        <w:tc>
          <w:tcPr>
            <w:tcW w:w="2172" w:type="pct"/>
            <w:shd w:val="clear" w:color="auto" w:fill="auto"/>
            <w:noWrap/>
            <w:vAlign w:val="bottom"/>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6.25%</w:t>
            </w:r>
          </w:p>
        </w:tc>
      </w:tr>
      <w:tr w:rsidR="004205BB" w:rsidRPr="00701DC4" w:rsidTr="004205BB">
        <w:trPr>
          <w:trHeight w:val="300"/>
        </w:trPr>
        <w:tc>
          <w:tcPr>
            <w:tcW w:w="1589" w:type="pct"/>
            <w:shd w:val="clear" w:color="auto" w:fill="auto"/>
            <w:noWrap/>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2024</w:t>
            </w:r>
          </w:p>
        </w:tc>
        <w:tc>
          <w:tcPr>
            <w:tcW w:w="1239" w:type="pct"/>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2</w:t>
            </w:r>
          </w:p>
        </w:tc>
        <w:tc>
          <w:tcPr>
            <w:tcW w:w="2172" w:type="pct"/>
            <w:shd w:val="clear" w:color="auto" w:fill="auto"/>
            <w:noWrap/>
            <w:vAlign w:val="bottom"/>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12.50%</w:t>
            </w:r>
          </w:p>
        </w:tc>
      </w:tr>
      <w:tr w:rsidR="00752735" w:rsidRPr="00701DC4" w:rsidTr="004205BB">
        <w:trPr>
          <w:trHeight w:val="300"/>
        </w:trPr>
        <w:tc>
          <w:tcPr>
            <w:tcW w:w="1589" w:type="pct"/>
            <w:shd w:val="clear" w:color="auto" w:fill="auto"/>
            <w:noWrap/>
          </w:tcPr>
          <w:p w:rsidR="00752735" w:rsidRPr="00701DC4" w:rsidRDefault="00752735"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2025</w:t>
            </w:r>
          </w:p>
        </w:tc>
        <w:tc>
          <w:tcPr>
            <w:tcW w:w="1239" w:type="pct"/>
          </w:tcPr>
          <w:p w:rsidR="00752735" w:rsidRPr="00701DC4" w:rsidRDefault="00752735"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7</w:t>
            </w:r>
          </w:p>
        </w:tc>
        <w:tc>
          <w:tcPr>
            <w:tcW w:w="2172" w:type="pct"/>
            <w:shd w:val="clear" w:color="auto" w:fill="auto"/>
            <w:noWrap/>
            <w:vAlign w:val="bottom"/>
          </w:tcPr>
          <w:p w:rsidR="00752735" w:rsidRPr="00701DC4" w:rsidRDefault="00752735"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43.75%</w:t>
            </w:r>
          </w:p>
        </w:tc>
      </w:tr>
      <w:tr w:rsidR="004205BB" w:rsidRPr="00701DC4" w:rsidTr="004205BB">
        <w:trPr>
          <w:trHeight w:val="300"/>
        </w:trPr>
        <w:tc>
          <w:tcPr>
            <w:tcW w:w="1589" w:type="pct"/>
            <w:shd w:val="clear" w:color="auto" w:fill="auto"/>
            <w:noWrap/>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Total Matrix</w:t>
            </w:r>
          </w:p>
        </w:tc>
        <w:tc>
          <w:tcPr>
            <w:tcW w:w="1239" w:type="pct"/>
          </w:tcPr>
          <w:p w:rsidR="004205BB" w:rsidRPr="00701DC4" w:rsidRDefault="00752735"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16</w:t>
            </w:r>
          </w:p>
        </w:tc>
        <w:tc>
          <w:tcPr>
            <w:tcW w:w="2172" w:type="pct"/>
            <w:shd w:val="clear" w:color="auto" w:fill="auto"/>
            <w:noWrap/>
            <w:vAlign w:val="bottom"/>
            <w:hideMark/>
          </w:tcPr>
          <w:p w:rsidR="004205BB" w:rsidRPr="00701DC4" w:rsidRDefault="004205BB" w:rsidP="004205BB">
            <w:pPr>
              <w:spacing w:after="0" w:line="240" w:lineRule="auto"/>
              <w:jc w:val="center"/>
              <w:rPr>
                <w:rFonts w:ascii="Arial" w:eastAsia="Times New Roman" w:hAnsi="Arial" w:cs="Arial"/>
                <w:color w:val="000000"/>
                <w:sz w:val="24"/>
                <w:szCs w:val="24"/>
              </w:rPr>
            </w:pPr>
            <w:r w:rsidRPr="00701DC4">
              <w:rPr>
                <w:rFonts w:ascii="Arial" w:eastAsia="Times New Roman" w:hAnsi="Arial" w:cs="Arial"/>
                <w:color w:val="000000"/>
                <w:sz w:val="24"/>
                <w:szCs w:val="24"/>
              </w:rPr>
              <w:t>100.00%</w:t>
            </w:r>
          </w:p>
        </w:tc>
      </w:tr>
    </w:tbl>
    <w:p w:rsidR="004205BB" w:rsidRPr="00701DC4" w:rsidRDefault="004205BB" w:rsidP="004205BB">
      <w:pPr>
        <w:spacing w:after="0" w:line="240" w:lineRule="auto"/>
        <w:jc w:val="both"/>
        <w:rPr>
          <w:rFonts w:ascii="Arial" w:hAnsi="Arial" w:cs="Arial"/>
          <w:sz w:val="24"/>
          <w:szCs w:val="24"/>
        </w:rPr>
      </w:pPr>
    </w:p>
    <w:p w:rsidR="00752735" w:rsidRPr="00701DC4" w:rsidRDefault="00752735" w:rsidP="00752735">
      <w:pPr>
        <w:spacing w:after="0" w:line="240" w:lineRule="auto"/>
        <w:jc w:val="both"/>
        <w:rPr>
          <w:rFonts w:ascii="Arial" w:hAnsi="Arial" w:cs="Arial"/>
          <w:sz w:val="24"/>
          <w:szCs w:val="24"/>
        </w:rPr>
      </w:pPr>
      <w:r w:rsidRPr="00701DC4">
        <w:rPr>
          <w:rFonts w:ascii="Arial" w:hAnsi="Arial" w:cs="Arial"/>
          <w:sz w:val="24"/>
          <w:szCs w:val="24"/>
        </w:rPr>
        <w:lastRenderedPageBreak/>
        <w:t>The chronological distribution of sustainability-mapped student research across the observation window highlights a volatile, non-linear progression rather than a steady-state institutional integration. In the immediate aftermath of the United Nations SDG declaration (2015–2016), the university library repository recorded a minimal but stable baseline engagement, archiving exactly one sustainability-aligned study per year. This initial momentum stalled in 2017, registering a complete production gap that hints at an early lack of formal research tracks or institutional policy incentives targeting sustainable development themes.</w:t>
      </w:r>
    </w:p>
    <w:p w:rsidR="00752735" w:rsidRPr="00701DC4" w:rsidRDefault="00752735" w:rsidP="00752735">
      <w:pPr>
        <w:spacing w:after="0" w:line="240" w:lineRule="auto"/>
        <w:jc w:val="both"/>
        <w:rPr>
          <w:rFonts w:ascii="Arial" w:hAnsi="Arial" w:cs="Arial"/>
          <w:sz w:val="24"/>
          <w:szCs w:val="24"/>
        </w:rPr>
      </w:pPr>
    </w:p>
    <w:p w:rsidR="00752735" w:rsidRPr="00701DC4" w:rsidRDefault="00752735" w:rsidP="00752735">
      <w:pPr>
        <w:spacing w:after="0" w:line="240" w:lineRule="auto"/>
        <w:jc w:val="both"/>
        <w:rPr>
          <w:rFonts w:ascii="Arial" w:hAnsi="Arial" w:cs="Arial"/>
          <w:sz w:val="24"/>
          <w:szCs w:val="24"/>
        </w:rPr>
      </w:pPr>
      <w:r w:rsidRPr="00701DC4">
        <w:rPr>
          <w:rFonts w:ascii="Arial" w:hAnsi="Arial" w:cs="Arial"/>
          <w:sz w:val="24"/>
          <w:szCs w:val="24"/>
        </w:rPr>
        <w:t>A temporary recovery occurred during the late pre-pandemic window (2018–2019), culminating in a minor peak of two works in 2019. This brief upward trend, however, ran directly into the profound macrohistorical disruptions of the early 2020s. The complete absence of SDG-aligned outputs in 2020 and 2022 pinpoints a structural research lull caused by the COVID-19 pandemic. During this crisis, rapid pivots to remote learning, prolonged closures of physical archives, and severe restrictions on community-based fieldwork forced students to shift their research focus toward immediate baseline topics, largely sidelining broader global sustainability frameworks.</w:t>
      </w:r>
    </w:p>
    <w:p w:rsidR="00752735" w:rsidRPr="00701DC4" w:rsidRDefault="00752735" w:rsidP="00752735">
      <w:pPr>
        <w:spacing w:after="0" w:line="240" w:lineRule="auto"/>
        <w:jc w:val="both"/>
        <w:rPr>
          <w:rFonts w:ascii="Arial" w:hAnsi="Arial" w:cs="Arial"/>
          <w:sz w:val="24"/>
          <w:szCs w:val="24"/>
        </w:rPr>
      </w:pPr>
    </w:p>
    <w:p w:rsidR="004205BB" w:rsidRPr="00701DC4" w:rsidRDefault="00752735" w:rsidP="00752735">
      <w:pPr>
        <w:spacing w:after="0" w:line="240" w:lineRule="auto"/>
        <w:jc w:val="both"/>
        <w:rPr>
          <w:rFonts w:ascii="Arial" w:hAnsi="Arial" w:cs="Arial"/>
          <w:sz w:val="24"/>
          <w:szCs w:val="24"/>
        </w:rPr>
      </w:pPr>
      <w:r w:rsidRPr="00701DC4">
        <w:rPr>
          <w:rFonts w:ascii="Arial" w:hAnsi="Arial" w:cs="Arial"/>
          <w:sz w:val="24"/>
          <w:szCs w:val="24"/>
        </w:rPr>
        <w:t>A dramatic counter-surge occurred in 2025, which alone generated nearly half of the entire decade's verified outputs (43.75%, f=7). This concentrated late-stage expansion indicates a pivotal shift in the university's research culture. It signals that sustainability has evolved from an accidental, individual interest into a structured, systemic expectation within departmental capstone frameworks as academic programs rush to align with the closing indicators of the 2030 Agenda.</w:t>
      </w:r>
    </w:p>
    <w:p w:rsidR="00752735" w:rsidRPr="00701DC4" w:rsidRDefault="00752735" w:rsidP="00752735">
      <w:pPr>
        <w:spacing w:after="0" w:line="240" w:lineRule="auto"/>
        <w:jc w:val="both"/>
        <w:rPr>
          <w:rFonts w:ascii="Arial" w:hAnsi="Arial" w:cs="Arial"/>
          <w:sz w:val="24"/>
          <w:szCs w:val="24"/>
        </w:rPr>
      </w:pPr>
    </w:p>
    <w:p w:rsidR="004205BB" w:rsidRPr="00701DC4" w:rsidRDefault="004205BB" w:rsidP="004205BB">
      <w:pPr>
        <w:spacing w:after="0" w:line="240" w:lineRule="auto"/>
        <w:jc w:val="both"/>
        <w:rPr>
          <w:rFonts w:ascii="Arial" w:hAnsi="Arial" w:cs="Arial"/>
          <w:b/>
          <w:sz w:val="24"/>
          <w:szCs w:val="24"/>
        </w:rPr>
      </w:pPr>
      <w:r w:rsidRPr="00701DC4">
        <w:rPr>
          <w:rFonts w:ascii="Arial" w:hAnsi="Arial" w:cs="Arial"/>
          <w:b/>
          <w:sz w:val="24"/>
          <w:szCs w:val="24"/>
        </w:rPr>
        <w:t>Semantic Network Analysis through Keyword Co-occurrence</w:t>
      </w:r>
    </w:p>
    <w:p w:rsidR="004205BB" w:rsidRPr="00701DC4" w:rsidRDefault="004205BB" w:rsidP="004205BB">
      <w:pPr>
        <w:spacing w:after="0" w:line="240" w:lineRule="auto"/>
        <w:jc w:val="both"/>
        <w:rPr>
          <w:rFonts w:ascii="Arial" w:hAnsi="Arial" w:cs="Arial"/>
          <w:sz w:val="24"/>
          <w:szCs w:val="24"/>
        </w:rPr>
      </w:pPr>
      <w:r w:rsidRPr="00701DC4">
        <w:rPr>
          <w:rFonts w:ascii="Arial" w:hAnsi="Arial" w:cs="Arial"/>
          <w:sz w:val="24"/>
          <w:szCs w:val="24"/>
        </w:rPr>
        <w:t>To map the conceptual structure and internal thematic focus of the validated corpus, author-defined keywords were analyzed based on their frequency and explicit links to specific SDGs. Table 4 summarizes this semantic framework.</w:t>
      </w:r>
    </w:p>
    <w:p w:rsidR="004205BB" w:rsidRPr="00701DC4" w:rsidRDefault="00752735" w:rsidP="00752735">
      <w:pPr>
        <w:tabs>
          <w:tab w:val="left" w:pos="2175"/>
        </w:tabs>
        <w:spacing w:after="0" w:line="240" w:lineRule="auto"/>
        <w:rPr>
          <w:rFonts w:ascii="Arial" w:hAnsi="Arial" w:cs="Arial"/>
          <w:sz w:val="24"/>
          <w:szCs w:val="24"/>
        </w:rPr>
      </w:pPr>
      <w:r w:rsidRPr="00701DC4">
        <w:rPr>
          <w:rFonts w:ascii="Arial" w:hAnsi="Arial" w:cs="Arial"/>
          <w:sz w:val="24"/>
          <w:szCs w:val="24"/>
        </w:rPr>
        <w:tab/>
      </w:r>
    </w:p>
    <w:p w:rsidR="008D3D17" w:rsidRPr="00701DC4" w:rsidRDefault="006757FB" w:rsidP="004205BB">
      <w:pPr>
        <w:spacing w:after="0" w:line="240" w:lineRule="auto"/>
        <w:rPr>
          <w:rFonts w:ascii="Arial" w:hAnsi="Arial" w:cs="Arial"/>
          <w:b/>
          <w:sz w:val="24"/>
          <w:szCs w:val="24"/>
        </w:rPr>
      </w:pPr>
      <w:r w:rsidRPr="00701DC4">
        <w:rPr>
          <w:rFonts w:ascii="Arial" w:hAnsi="Arial" w:cs="Arial"/>
          <w:b/>
          <w:sz w:val="24"/>
          <w:szCs w:val="24"/>
        </w:rPr>
        <w:t>Table 4</w:t>
      </w:r>
    </w:p>
    <w:p w:rsidR="006757FB" w:rsidRPr="00701DC4" w:rsidRDefault="00752735" w:rsidP="004205BB">
      <w:pPr>
        <w:spacing w:after="0" w:line="240" w:lineRule="auto"/>
        <w:rPr>
          <w:rFonts w:ascii="Arial" w:hAnsi="Arial" w:cs="Arial"/>
          <w:i/>
          <w:sz w:val="24"/>
          <w:szCs w:val="24"/>
        </w:rPr>
      </w:pPr>
      <w:r w:rsidRPr="00701DC4">
        <w:rPr>
          <w:rFonts w:ascii="Arial" w:hAnsi="Arial" w:cs="Arial"/>
          <w:i/>
          <w:sz w:val="24"/>
          <w:szCs w:val="24"/>
        </w:rPr>
        <w:t>Keyword Frequencies and Structural SDG Mapping within Student Research</w:t>
      </w:r>
    </w:p>
    <w:tbl>
      <w:tblPr>
        <w:tblW w:w="5000" w:type="pct"/>
        <w:tblBorders>
          <w:top w:val="single" w:sz="4" w:space="0" w:color="auto"/>
          <w:bottom w:val="single" w:sz="4" w:space="0" w:color="auto"/>
        </w:tblBorders>
        <w:tblLook w:val="04A0" w:firstRow="1" w:lastRow="0" w:firstColumn="1" w:lastColumn="0" w:noHBand="0" w:noVBand="1"/>
      </w:tblPr>
      <w:tblGrid>
        <w:gridCol w:w="3285"/>
        <w:gridCol w:w="1134"/>
        <w:gridCol w:w="2428"/>
        <w:gridCol w:w="2513"/>
      </w:tblGrid>
      <w:tr w:rsidR="00752735" w:rsidRPr="00701DC4" w:rsidTr="003D009C">
        <w:trPr>
          <w:trHeight w:val="300"/>
        </w:trPr>
        <w:tc>
          <w:tcPr>
            <w:tcW w:w="1395" w:type="pct"/>
            <w:tcBorders>
              <w:top w:val="single" w:sz="4" w:space="0" w:color="auto"/>
              <w:bottom w:val="single" w:sz="4" w:space="0" w:color="auto"/>
            </w:tcBorders>
            <w:shd w:val="clear" w:color="auto" w:fill="auto"/>
            <w:noWrap/>
            <w:vAlign w:val="center"/>
            <w:hideMark/>
          </w:tcPr>
          <w:p w:rsidR="00752735" w:rsidRPr="00701DC4" w:rsidRDefault="00752735" w:rsidP="00752735">
            <w:pPr>
              <w:spacing w:after="0" w:line="240" w:lineRule="auto"/>
              <w:jc w:val="center"/>
              <w:rPr>
                <w:rFonts w:ascii="Arial" w:eastAsia="Times New Roman" w:hAnsi="Arial" w:cs="Arial"/>
                <w:b/>
                <w:bCs/>
                <w:color w:val="000000"/>
                <w:sz w:val="24"/>
                <w:szCs w:val="24"/>
              </w:rPr>
            </w:pPr>
            <w:r w:rsidRPr="00701DC4">
              <w:rPr>
                <w:rFonts w:ascii="Arial" w:eastAsia="Times New Roman" w:hAnsi="Arial" w:cs="Arial"/>
                <w:b/>
                <w:bCs/>
                <w:color w:val="000000"/>
                <w:sz w:val="24"/>
                <w:szCs w:val="24"/>
              </w:rPr>
              <w:t>Keywords</w:t>
            </w:r>
          </w:p>
        </w:tc>
        <w:tc>
          <w:tcPr>
            <w:tcW w:w="726" w:type="pct"/>
            <w:tcBorders>
              <w:top w:val="single" w:sz="4" w:space="0" w:color="auto"/>
              <w:bottom w:val="single" w:sz="4" w:space="0" w:color="auto"/>
            </w:tcBorders>
            <w:shd w:val="clear" w:color="auto" w:fill="auto"/>
            <w:noWrap/>
            <w:vAlign w:val="center"/>
            <w:hideMark/>
          </w:tcPr>
          <w:p w:rsidR="00752735" w:rsidRPr="00701DC4" w:rsidRDefault="003D009C" w:rsidP="003D009C">
            <w:pPr>
              <w:spacing w:after="0" w:line="240" w:lineRule="auto"/>
              <w:jc w:val="center"/>
              <w:rPr>
                <w:rFonts w:ascii="Arial" w:eastAsia="Times New Roman" w:hAnsi="Arial" w:cs="Arial"/>
                <w:b/>
                <w:bCs/>
                <w:color w:val="000000"/>
                <w:sz w:val="24"/>
                <w:szCs w:val="24"/>
              </w:rPr>
            </w:pPr>
            <w:r w:rsidRPr="00701DC4">
              <w:rPr>
                <w:rFonts w:ascii="Arial" w:eastAsia="Times New Roman" w:hAnsi="Arial" w:cs="Arial"/>
                <w:b/>
                <w:bCs/>
                <w:color w:val="000000"/>
                <w:sz w:val="24"/>
                <w:szCs w:val="24"/>
              </w:rPr>
              <w:t>F</w:t>
            </w:r>
          </w:p>
        </w:tc>
        <w:tc>
          <w:tcPr>
            <w:tcW w:w="1417" w:type="pct"/>
            <w:tcBorders>
              <w:top w:val="single" w:sz="4" w:space="0" w:color="auto"/>
              <w:bottom w:val="single" w:sz="4" w:space="0" w:color="auto"/>
            </w:tcBorders>
            <w:vAlign w:val="center"/>
          </w:tcPr>
          <w:p w:rsidR="00752735" w:rsidRPr="00701DC4" w:rsidRDefault="00752735" w:rsidP="00752735">
            <w:pPr>
              <w:spacing w:after="0" w:line="240" w:lineRule="auto"/>
              <w:jc w:val="center"/>
              <w:rPr>
                <w:rFonts w:ascii="Arial" w:hAnsi="Arial" w:cs="Arial"/>
                <w:b/>
                <w:sz w:val="24"/>
                <w:szCs w:val="24"/>
              </w:rPr>
            </w:pPr>
            <w:r w:rsidRPr="00701DC4">
              <w:rPr>
                <w:rFonts w:ascii="Arial" w:hAnsi="Arial" w:cs="Arial"/>
                <w:b/>
                <w:sz w:val="24"/>
                <w:szCs w:val="24"/>
              </w:rPr>
              <w:t>Commonly Linked SGDs</w:t>
            </w:r>
          </w:p>
        </w:tc>
        <w:tc>
          <w:tcPr>
            <w:tcW w:w="1462" w:type="pct"/>
            <w:tcBorders>
              <w:top w:val="single" w:sz="4" w:space="0" w:color="auto"/>
              <w:bottom w:val="single" w:sz="4" w:space="0" w:color="auto"/>
            </w:tcBorders>
          </w:tcPr>
          <w:p w:rsidR="00752735" w:rsidRPr="00701DC4" w:rsidRDefault="003D009C" w:rsidP="00752735">
            <w:pPr>
              <w:spacing w:after="0" w:line="240" w:lineRule="auto"/>
              <w:jc w:val="center"/>
              <w:rPr>
                <w:rFonts w:ascii="Arial" w:hAnsi="Arial" w:cs="Arial"/>
                <w:b/>
                <w:sz w:val="24"/>
                <w:szCs w:val="24"/>
              </w:rPr>
            </w:pPr>
            <w:r w:rsidRPr="00701DC4">
              <w:rPr>
                <w:rFonts w:ascii="Arial" w:hAnsi="Arial" w:cs="Arial"/>
                <w:b/>
                <w:sz w:val="24"/>
                <w:szCs w:val="24"/>
              </w:rPr>
              <w:t>Real-World Thematic Domain</w:t>
            </w:r>
          </w:p>
        </w:tc>
      </w:tr>
      <w:tr w:rsidR="00752735" w:rsidRPr="00701DC4" w:rsidTr="003D009C">
        <w:trPr>
          <w:trHeight w:val="300"/>
        </w:trPr>
        <w:tc>
          <w:tcPr>
            <w:tcW w:w="1395" w:type="pct"/>
            <w:tcBorders>
              <w:top w:val="single" w:sz="4" w:space="0" w:color="auto"/>
            </w:tcBorders>
            <w:shd w:val="clear" w:color="auto" w:fill="auto"/>
            <w:noWrap/>
            <w:hideMark/>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Health Services</w:t>
            </w:r>
          </w:p>
        </w:tc>
        <w:tc>
          <w:tcPr>
            <w:tcW w:w="726" w:type="pct"/>
            <w:tcBorders>
              <w:top w:val="single" w:sz="4" w:space="0" w:color="auto"/>
            </w:tcBorders>
            <w:shd w:val="clear" w:color="auto" w:fill="auto"/>
            <w:noWrap/>
            <w:hideMark/>
          </w:tcPr>
          <w:p w:rsidR="00752735" w:rsidRPr="00701DC4" w:rsidRDefault="00752735" w:rsidP="003D009C">
            <w:pPr>
              <w:spacing w:after="0" w:line="240" w:lineRule="auto"/>
              <w:jc w:val="center"/>
              <w:rPr>
                <w:rFonts w:ascii="Arial" w:hAnsi="Arial" w:cs="Arial"/>
                <w:sz w:val="24"/>
                <w:szCs w:val="24"/>
              </w:rPr>
            </w:pPr>
            <w:r w:rsidRPr="00701DC4">
              <w:rPr>
                <w:rFonts w:ascii="Arial" w:hAnsi="Arial" w:cs="Arial"/>
                <w:sz w:val="24"/>
                <w:szCs w:val="24"/>
              </w:rPr>
              <w:t>2</w:t>
            </w:r>
          </w:p>
        </w:tc>
        <w:tc>
          <w:tcPr>
            <w:tcW w:w="1417" w:type="pct"/>
            <w:tcBorders>
              <w:top w:val="single" w:sz="4" w:space="0" w:color="auto"/>
            </w:tcBorders>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SDG 3: Good Health and Well-being</w:t>
            </w:r>
          </w:p>
        </w:tc>
        <w:tc>
          <w:tcPr>
            <w:tcW w:w="1462" w:type="pct"/>
            <w:tcBorders>
              <w:top w:val="single" w:sz="4" w:space="0" w:color="auto"/>
            </w:tcBorders>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Institutional Care Delivery</w:t>
            </w:r>
          </w:p>
        </w:tc>
      </w:tr>
      <w:tr w:rsidR="00752735" w:rsidRPr="00701DC4" w:rsidTr="003D009C">
        <w:trPr>
          <w:trHeight w:val="300"/>
        </w:trPr>
        <w:tc>
          <w:tcPr>
            <w:tcW w:w="1395" w:type="pct"/>
            <w:shd w:val="clear" w:color="auto" w:fill="auto"/>
            <w:noWrap/>
            <w:hideMark/>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Health Practices</w:t>
            </w:r>
          </w:p>
        </w:tc>
        <w:tc>
          <w:tcPr>
            <w:tcW w:w="726" w:type="pct"/>
            <w:shd w:val="clear" w:color="auto" w:fill="auto"/>
            <w:noWrap/>
          </w:tcPr>
          <w:p w:rsidR="00752735" w:rsidRPr="00701DC4" w:rsidRDefault="00752735" w:rsidP="003D009C">
            <w:pPr>
              <w:spacing w:after="0" w:line="240" w:lineRule="auto"/>
              <w:jc w:val="center"/>
              <w:rPr>
                <w:rFonts w:ascii="Arial" w:hAnsi="Arial" w:cs="Arial"/>
                <w:sz w:val="24"/>
                <w:szCs w:val="24"/>
              </w:rPr>
            </w:pPr>
            <w:r w:rsidRPr="00701DC4">
              <w:rPr>
                <w:rFonts w:ascii="Arial" w:hAnsi="Arial" w:cs="Arial"/>
                <w:sz w:val="24"/>
                <w:szCs w:val="24"/>
              </w:rPr>
              <w:t>1</w:t>
            </w:r>
          </w:p>
        </w:tc>
        <w:tc>
          <w:tcPr>
            <w:tcW w:w="1417"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SDG 3: Good Health and Well-being</w:t>
            </w:r>
          </w:p>
        </w:tc>
        <w:tc>
          <w:tcPr>
            <w:tcW w:w="1462"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Localized Preventative Care</w:t>
            </w:r>
          </w:p>
        </w:tc>
      </w:tr>
      <w:tr w:rsidR="00752735" w:rsidRPr="00701DC4" w:rsidTr="003D009C">
        <w:trPr>
          <w:trHeight w:val="300"/>
        </w:trPr>
        <w:tc>
          <w:tcPr>
            <w:tcW w:w="1395" w:type="pct"/>
            <w:shd w:val="clear" w:color="auto" w:fill="auto"/>
            <w:noWrap/>
            <w:hideMark/>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Mental Health</w:t>
            </w:r>
          </w:p>
        </w:tc>
        <w:tc>
          <w:tcPr>
            <w:tcW w:w="726" w:type="pct"/>
            <w:shd w:val="clear" w:color="auto" w:fill="auto"/>
            <w:noWrap/>
          </w:tcPr>
          <w:p w:rsidR="00752735" w:rsidRPr="00701DC4" w:rsidRDefault="00752735" w:rsidP="003D009C">
            <w:pPr>
              <w:spacing w:after="0" w:line="240" w:lineRule="auto"/>
              <w:jc w:val="center"/>
              <w:rPr>
                <w:rFonts w:ascii="Arial" w:hAnsi="Arial" w:cs="Arial"/>
                <w:sz w:val="24"/>
                <w:szCs w:val="24"/>
              </w:rPr>
            </w:pPr>
            <w:r w:rsidRPr="00701DC4">
              <w:rPr>
                <w:rFonts w:ascii="Arial" w:hAnsi="Arial" w:cs="Arial"/>
                <w:sz w:val="24"/>
                <w:szCs w:val="24"/>
              </w:rPr>
              <w:t>1</w:t>
            </w:r>
          </w:p>
        </w:tc>
        <w:tc>
          <w:tcPr>
            <w:tcW w:w="1417"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SDG 3: Good Health and Well-being</w:t>
            </w:r>
          </w:p>
        </w:tc>
        <w:tc>
          <w:tcPr>
            <w:tcW w:w="1462"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Psychological Wellness Systems</w:t>
            </w:r>
          </w:p>
        </w:tc>
      </w:tr>
      <w:tr w:rsidR="00752735" w:rsidRPr="00701DC4" w:rsidTr="003D009C">
        <w:trPr>
          <w:trHeight w:val="300"/>
        </w:trPr>
        <w:tc>
          <w:tcPr>
            <w:tcW w:w="1395" w:type="pct"/>
            <w:shd w:val="clear" w:color="auto" w:fill="auto"/>
            <w:noWrap/>
            <w:hideMark/>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Health Teaching Program</w:t>
            </w:r>
          </w:p>
        </w:tc>
        <w:tc>
          <w:tcPr>
            <w:tcW w:w="726" w:type="pct"/>
            <w:shd w:val="clear" w:color="auto" w:fill="auto"/>
            <w:noWrap/>
          </w:tcPr>
          <w:p w:rsidR="00752735" w:rsidRPr="00701DC4" w:rsidRDefault="00752735" w:rsidP="003D009C">
            <w:pPr>
              <w:spacing w:after="0" w:line="240" w:lineRule="auto"/>
              <w:jc w:val="center"/>
              <w:rPr>
                <w:rFonts w:ascii="Arial" w:hAnsi="Arial" w:cs="Arial"/>
                <w:sz w:val="24"/>
                <w:szCs w:val="24"/>
              </w:rPr>
            </w:pPr>
            <w:r w:rsidRPr="00701DC4">
              <w:rPr>
                <w:rFonts w:ascii="Arial" w:hAnsi="Arial" w:cs="Arial"/>
                <w:sz w:val="24"/>
                <w:szCs w:val="24"/>
              </w:rPr>
              <w:t>1</w:t>
            </w:r>
          </w:p>
        </w:tc>
        <w:tc>
          <w:tcPr>
            <w:tcW w:w="1417"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SDG 3: Good Health and Well-being</w:t>
            </w:r>
          </w:p>
        </w:tc>
        <w:tc>
          <w:tcPr>
            <w:tcW w:w="1462"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Pedagogy for Clinical Intervention</w:t>
            </w:r>
          </w:p>
        </w:tc>
      </w:tr>
      <w:tr w:rsidR="00752735" w:rsidRPr="00701DC4" w:rsidTr="003D009C">
        <w:trPr>
          <w:trHeight w:val="300"/>
        </w:trPr>
        <w:tc>
          <w:tcPr>
            <w:tcW w:w="1395" w:type="pct"/>
            <w:shd w:val="clear" w:color="auto" w:fill="auto"/>
            <w:noWrap/>
            <w:hideMark/>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Health Promotional Program</w:t>
            </w:r>
          </w:p>
        </w:tc>
        <w:tc>
          <w:tcPr>
            <w:tcW w:w="726" w:type="pct"/>
            <w:shd w:val="clear" w:color="auto" w:fill="auto"/>
            <w:noWrap/>
          </w:tcPr>
          <w:p w:rsidR="00752735" w:rsidRPr="00701DC4" w:rsidRDefault="00752735" w:rsidP="003D009C">
            <w:pPr>
              <w:spacing w:after="0" w:line="240" w:lineRule="auto"/>
              <w:jc w:val="center"/>
              <w:rPr>
                <w:rFonts w:ascii="Arial" w:hAnsi="Arial" w:cs="Arial"/>
                <w:sz w:val="24"/>
                <w:szCs w:val="24"/>
              </w:rPr>
            </w:pPr>
            <w:r w:rsidRPr="00701DC4">
              <w:rPr>
                <w:rFonts w:ascii="Arial" w:hAnsi="Arial" w:cs="Arial"/>
                <w:sz w:val="24"/>
                <w:szCs w:val="24"/>
              </w:rPr>
              <w:t>1</w:t>
            </w:r>
          </w:p>
        </w:tc>
        <w:tc>
          <w:tcPr>
            <w:tcW w:w="1417"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SDG 3: Good Health and Well-being</w:t>
            </w:r>
          </w:p>
        </w:tc>
        <w:tc>
          <w:tcPr>
            <w:tcW w:w="1462"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Community-Based Wellness Models</w:t>
            </w:r>
          </w:p>
        </w:tc>
      </w:tr>
      <w:tr w:rsidR="00752735" w:rsidRPr="00701DC4" w:rsidTr="003D009C">
        <w:trPr>
          <w:trHeight w:val="300"/>
        </w:trPr>
        <w:tc>
          <w:tcPr>
            <w:tcW w:w="1395" w:type="pct"/>
            <w:shd w:val="clear" w:color="auto" w:fill="auto"/>
            <w:noWrap/>
            <w:hideMark/>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Open Distance Education</w:t>
            </w:r>
          </w:p>
        </w:tc>
        <w:tc>
          <w:tcPr>
            <w:tcW w:w="726" w:type="pct"/>
            <w:shd w:val="clear" w:color="auto" w:fill="auto"/>
            <w:noWrap/>
          </w:tcPr>
          <w:p w:rsidR="00752735" w:rsidRPr="00701DC4" w:rsidRDefault="00752735" w:rsidP="003D009C">
            <w:pPr>
              <w:spacing w:after="0" w:line="240" w:lineRule="auto"/>
              <w:jc w:val="center"/>
              <w:rPr>
                <w:rFonts w:ascii="Arial" w:hAnsi="Arial" w:cs="Arial"/>
                <w:sz w:val="24"/>
                <w:szCs w:val="24"/>
              </w:rPr>
            </w:pPr>
            <w:r w:rsidRPr="00701DC4">
              <w:rPr>
                <w:rFonts w:ascii="Arial" w:hAnsi="Arial" w:cs="Arial"/>
                <w:sz w:val="24"/>
                <w:szCs w:val="24"/>
              </w:rPr>
              <w:t>1</w:t>
            </w:r>
          </w:p>
        </w:tc>
        <w:tc>
          <w:tcPr>
            <w:tcW w:w="1417"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SDG 4: Quality Education</w:t>
            </w:r>
          </w:p>
        </w:tc>
        <w:tc>
          <w:tcPr>
            <w:tcW w:w="1462"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Digital Curricular Access</w:t>
            </w:r>
          </w:p>
        </w:tc>
      </w:tr>
      <w:tr w:rsidR="00752735" w:rsidRPr="00701DC4" w:rsidTr="003D009C">
        <w:trPr>
          <w:trHeight w:val="300"/>
        </w:trPr>
        <w:tc>
          <w:tcPr>
            <w:tcW w:w="1395" w:type="pct"/>
            <w:shd w:val="clear" w:color="auto" w:fill="auto"/>
            <w:noWrap/>
            <w:hideMark/>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lastRenderedPageBreak/>
              <w:t>SPED Educational Institution</w:t>
            </w:r>
          </w:p>
        </w:tc>
        <w:tc>
          <w:tcPr>
            <w:tcW w:w="726" w:type="pct"/>
            <w:shd w:val="clear" w:color="auto" w:fill="auto"/>
            <w:noWrap/>
          </w:tcPr>
          <w:p w:rsidR="00752735" w:rsidRPr="00701DC4" w:rsidRDefault="00752735" w:rsidP="003D009C">
            <w:pPr>
              <w:spacing w:after="0" w:line="240" w:lineRule="auto"/>
              <w:jc w:val="center"/>
              <w:rPr>
                <w:rFonts w:ascii="Arial" w:hAnsi="Arial" w:cs="Arial"/>
                <w:sz w:val="24"/>
                <w:szCs w:val="24"/>
              </w:rPr>
            </w:pPr>
            <w:r w:rsidRPr="00701DC4">
              <w:rPr>
                <w:rFonts w:ascii="Arial" w:hAnsi="Arial" w:cs="Arial"/>
                <w:sz w:val="24"/>
                <w:szCs w:val="24"/>
              </w:rPr>
              <w:t>1</w:t>
            </w:r>
          </w:p>
        </w:tc>
        <w:tc>
          <w:tcPr>
            <w:tcW w:w="1417"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SDG 4: Quality Education</w:t>
            </w:r>
          </w:p>
        </w:tc>
        <w:tc>
          <w:tcPr>
            <w:tcW w:w="1462"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Inclusive Specialized Learning Spaces</w:t>
            </w:r>
          </w:p>
        </w:tc>
      </w:tr>
      <w:tr w:rsidR="00752735" w:rsidRPr="00701DC4" w:rsidTr="003D009C">
        <w:trPr>
          <w:trHeight w:val="300"/>
        </w:trPr>
        <w:tc>
          <w:tcPr>
            <w:tcW w:w="1395" w:type="pct"/>
            <w:shd w:val="clear" w:color="auto" w:fill="auto"/>
            <w:noWrap/>
            <w:hideMark/>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Renewable Energy</w:t>
            </w:r>
          </w:p>
        </w:tc>
        <w:tc>
          <w:tcPr>
            <w:tcW w:w="726" w:type="pct"/>
            <w:shd w:val="clear" w:color="auto" w:fill="auto"/>
            <w:noWrap/>
          </w:tcPr>
          <w:p w:rsidR="00752735" w:rsidRPr="00701DC4" w:rsidRDefault="00752735" w:rsidP="003D009C">
            <w:pPr>
              <w:spacing w:after="0" w:line="240" w:lineRule="auto"/>
              <w:jc w:val="center"/>
              <w:rPr>
                <w:rFonts w:ascii="Arial" w:hAnsi="Arial" w:cs="Arial"/>
                <w:sz w:val="24"/>
                <w:szCs w:val="24"/>
              </w:rPr>
            </w:pPr>
            <w:r w:rsidRPr="00701DC4">
              <w:rPr>
                <w:rFonts w:ascii="Arial" w:hAnsi="Arial" w:cs="Arial"/>
                <w:sz w:val="24"/>
                <w:szCs w:val="24"/>
              </w:rPr>
              <w:t>1</w:t>
            </w:r>
          </w:p>
        </w:tc>
        <w:tc>
          <w:tcPr>
            <w:tcW w:w="1417"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SDG 7: Affordable and Clean Energy</w:t>
            </w:r>
          </w:p>
        </w:tc>
        <w:tc>
          <w:tcPr>
            <w:tcW w:w="1462"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Green Infrastructure Design</w:t>
            </w:r>
          </w:p>
        </w:tc>
      </w:tr>
      <w:tr w:rsidR="00752735" w:rsidRPr="00701DC4" w:rsidTr="003D009C">
        <w:trPr>
          <w:trHeight w:val="300"/>
        </w:trPr>
        <w:tc>
          <w:tcPr>
            <w:tcW w:w="1395" w:type="pct"/>
            <w:shd w:val="clear" w:color="auto" w:fill="auto"/>
            <w:noWrap/>
            <w:hideMark/>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Thermoelectric Power</w:t>
            </w:r>
          </w:p>
        </w:tc>
        <w:tc>
          <w:tcPr>
            <w:tcW w:w="726" w:type="pct"/>
            <w:shd w:val="clear" w:color="auto" w:fill="auto"/>
            <w:noWrap/>
          </w:tcPr>
          <w:p w:rsidR="00752735" w:rsidRPr="00701DC4" w:rsidRDefault="00752735" w:rsidP="003D009C">
            <w:pPr>
              <w:spacing w:after="0" w:line="240" w:lineRule="auto"/>
              <w:jc w:val="center"/>
              <w:rPr>
                <w:rFonts w:ascii="Arial" w:hAnsi="Arial" w:cs="Arial"/>
                <w:sz w:val="24"/>
                <w:szCs w:val="24"/>
              </w:rPr>
            </w:pPr>
            <w:r w:rsidRPr="00701DC4">
              <w:rPr>
                <w:rFonts w:ascii="Arial" w:hAnsi="Arial" w:cs="Arial"/>
                <w:sz w:val="24"/>
                <w:szCs w:val="24"/>
              </w:rPr>
              <w:t>1</w:t>
            </w:r>
          </w:p>
        </w:tc>
        <w:tc>
          <w:tcPr>
            <w:tcW w:w="1417"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SDG 7: Affordable and Clean Energy</w:t>
            </w:r>
          </w:p>
        </w:tc>
        <w:tc>
          <w:tcPr>
            <w:tcW w:w="1462"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Micro-Generation Technologies</w:t>
            </w:r>
          </w:p>
        </w:tc>
      </w:tr>
      <w:tr w:rsidR="00752735" w:rsidRPr="00701DC4" w:rsidTr="003D009C">
        <w:trPr>
          <w:trHeight w:val="300"/>
        </w:trPr>
        <w:tc>
          <w:tcPr>
            <w:tcW w:w="1395" w:type="pct"/>
            <w:shd w:val="clear" w:color="auto" w:fill="auto"/>
            <w:noWrap/>
            <w:hideMark/>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Crop Production</w:t>
            </w:r>
          </w:p>
        </w:tc>
        <w:tc>
          <w:tcPr>
            <w:tcW w:w="726" w:type="pct"/>
            <w:shd w:val="clear" w:color="auto" w:fill="auto"/>
            <w:noWrap/>
          </w:tcPr>
          <w:p w:rsidR="00752735" w:rsidRPr="00701DC4" w:rsidRDefault="00752735" w:rsidP="003D009C">
            <w:pPr>
              <w:spacing w:after="0" w:line="240" w:lineRule="auto"/>
              <w:jc w:val="center"/>
              <w:rPr>
                <w:rFonts w:ascii="Arial" w:hAnsi="Arial" w:cs="Arial"/>
                <w:sz w:val="24"/>
                <w:szCs w:val="24"/>
              </w:rPr>
            </w:pPr>
            <w:r w:rsidRPr="00701DC4">
              <w:rPr>
                <w:rFonts w:ascii="Arial" w:hAnsi="Arial" w:cs="Arial"/>
                <w:sz w:val="24"/>
                <w:szCs w:val="24"/>
              </w:rPr>
              <w:t>1</w:t>
            </w:r>
          </w:p>
        </w:tc>
        <w:tc>
          <w:tcPr>
            <w:tcW w:w="1417"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SDG 12: Responsible Consumption</w:t>
            </w:r>
          </w:p>
        </w:tc>
        <w:tc>
          <w:tcPr>
            <w:tcW w:w="1462"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Agricultural Resource Efficiency</w:t>
            </w:r>
          </w:p>
        </w:tc>
      </w:tr>
      <w:tr w:rsidR="00752735" w:rsidRPr="00701DC4" w:rsidTr="003D009C">
        <w:trPr>
          <w:trHeight w:val="300"/>
        </w:trPr>
        <w:tc>
          <w:tcPr>
            <w:tcW w:w="1395" w:type="pct"/>
            <w:shd w:val="clear" w:color="auto" w:fill="auto"/>
            <w:noWrap/>
            <w:hideMark/>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Production Backlog</w:t>
            </w:r>
          </w:p>
        </w:tc>
        <w:tc>
          <w:tcPr>
            <w:tcW w:w="726" w:type="pct"/>
            <w:shd w:val="clear" w:color="auto" w:fill="auto"/>
            <w:noWrap/>
          </w:tcPr>
          <w:p w:rsidR="00752735" w:rsidRPr="00701DC4" w:rsidRDefault="00752735" w:rsidP="003D009C">
            <w:pPr>
              <w:spacing w:after="0" w:line="240" w:lineRule="auto"/>
              <w:jc w:val="center"/>
              <w:rPr>
                <w:rFonts w:ascii="Arial" w:hAnsi="Arial" w:cs="Arial"/>
                <w:sz w:val="24"/>
                <w:szCs w:val="24"/>
              </w:rPr>
            </w:pPr>
            <w:r w:rsidRPr="00701DC4">
              <w:rPr>
                <w:rFonts w:ascii="Arial" w:hAnsi="Arial" w:cs="Arial"/>
                <w:sz w:val="24"/>
                <w:szCs w:val="24"/>
              </w:rPr>
              <w:t>1</w:t>
            </w:r>
          </w:p>
        </w:tc>
        <w:tc>
          <w:tcPr>
            <w:tcW w:w="1417"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SDG 12: Responsible Consumption</w:t>
            </w:r>
          </w:p>
        </w:tc>
        <w:tc>
          <w:tcPr>
            <w:tcW w:w="1462"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Industrial Operations Optimization</w:t>
            </w:r>
          </w:p>
        </w:tc>
      </w:tr>
      <w:tr w:rsidR="00752735" w:rsidRPr="00701DC4" w:rsidTr="003D009C">
        <w:trPr>
          <w:trHeight w:val="300"/>
        </w:trPr>
        <w:tc>
          <w:tcPr>
            <w:tcW w:w="1395" w:type="pct"/>
            <w:shd w:val="clear" w:color="auto" w:fill="auto"/>
            <w:noWrap/>
            <w:hideMark/>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Marine Life</w:t>
            </w:r>
          </w:p>
        </w:tc>
        <w:tc>
          <w:tcPr>
            <w:tcW w:w="726" w:type="pct"/>
            <w:shd w:val="clear" w:color="auto" w:fill="auto"/>
            <w:noWrap/>
          </w:tcPr>
          <w:p w:rsidR="00752735" w:rsidRPr="00701DC4" w:rsidRDefault="00752735" w:rsidP="003D009C">
            <w:pPr>
              <w:spacing w:after="0" w:line="240" w:lineRule="auto"/>
              <w:jc w:val="center"/>
              <w:rPr>
                <w:rFonts w:ascii="Arial" w:hAnsi="Arial" w:cs="Arial"/>
                <w:sz w:val="24"/>
                <w:szCs w:val="24"/>
              </w:rPr>
            </w:pPr>
            <w:r w:rsidRPr="00701DC4">
              <w:rPr>
                <w:rFonts w:ascii="Arial" w:hAnsi="Arial" w:cs="Arial"/>
                <w:sz w:val="24"/>
                <w:szCs w:val="24"/>
              </w:rPr>
              <w:t>1</w:t>
            </w:r>
          </w:p>
        </w:tc>
        <w:tc>
          <w:tcPr>
            <w:tcW w:w="1417"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SDG 14: Life Below Water</w:t>
            </w:r>
          </w:p>
        </w:tc>
        <w:tc>
          <w:tcPr>
            <w:tcW w:w="1462" w:type="pct"/>
          </w:tcPr>
          <w:p w:rsidR="00752735" w:rsidRPr="00701DC4" w:rsidRDefault="00752735" w:rsidP="00752735">
            <w:pPr>
              <w:spacing w:after="0" w:line="240" w:lineRule="auto"/>
              <w:rPr>
                <w:rFonts w:ascii="Arial" w:hAnsi="Arial" w:cs="Arial"/>
                <w:sz w:val="24"/>
                <w:szCs w:val="24"/>
              </w:rPr>
            </w:pPr>
            <w:r w:rsidRPr="00701DC4">
              <w:rPr>
                <w:rFonts w:ascii="Arial" w:hAnsi="Arial" w:cs="Arial"/>
                <w:sz w:val="24"/>
                <w:szCs w:val="24"/>
              </w:rPr>
              <w:t>Localized Aquatic Ecosystem Protection</w:t>
            </w:r>
          </w:p>
        </w:tc>
      </w:tr>
    </w:tbl>
    <w:p w:rsidR="004205BB" w:rsidRPr="00701DC4" w:rsidRDefault="004205BB" w:rsidP="004205BB">
      <w:pPr>
        <w:spacing w:after="0" w:line="240" w:lineRule="auto"/>
        <w:jc w:val="both"/>
        <w:rPr>
          <w:rFonts w:ascii="Arial" w:hAnsi="Arial" w:cs="Arial"/>
          <w:sz w:val="24"/>
          <w:szCs w:val="24"/>
        </w:rPr>
      </w:pPr>
    </w:p>
    <w:p w:rsidR="003D009C" w:rsidRPr="00701DC4" w:rsidRDefault="003D009C" w:rsidP="003D009C">
      <w:pPr>
        <w:spacing w:after="0" w:line="240" w:lineRule="auto"/>
        <w:jc w:val="both"/>
        <w:rPr>
          <w:rFonts w:ascii="Arial" w:hAnsi="Arial" w:cs="Arial"/>
          <w:sz w:val="24"/>
          <w:szCs w:val="24"/>
        </w:rPr>
      </w:pPr>
      <w:r w:rsidRPr="00701DC4">
        <w:rPr>
          <w:rFonts w:ascii="Arial" w:hAnsi="Arial" w:cs="Arial"/>
          <w:sz w:val="24"/>
          <w:szCs w:val="24"/>
        </w:rPr>
        <w:t>The semantic mapping of author-defined keywords reveals a highly fragmented, topic-specific conceptual landscape characterized by isolated disciplinary clusters rather than a cohesive, cross-departmental dialogue. Nodes associated with SDG 3 (Good Health and Well-being) heavily dominate the linguistic network. The term "health services" emerges as the central node with the highest structural frequency (f=2), while peripheral, specialized markers such as "mental health", "health practices", and "health teaching program" highlight an institutional research environment deeply invested in clinical, preventative, and administrative healthcare interventions. This dominant semantic cluster reflects the strong influence of the university's allied health programs on the overall sustainability repository.</w:t>
      </w:r>
    </w:p>
    <w:p w:rsidR="003D009C" w:rsidRPr="00701DC4" w:rsidRDefault="003D009C" w:rsidP="003D009C">
      <w:pPr>
        <w:spacing w:after="0" w:line="240" w:lineRule="auto"/>
        <w:jc w:val="both"/>
        <w:rPr>
          <w:rFonts w:ascii="Arial" w:hAnsi="Arial" w:cs="Arial"/>
          <w:sz w:val="24"/>
          <w:szCs w:val="24"/>
        </w:rPr>
      </w:pPr>
    </w:p>
    <w:p w:rsidR="003D009C" w:rsidRPr="00701DC4" w:rsidRDefault="003D009C" w:rsidP="003D009C">
      <w:pPr>
        <w:spacing w:after="0" w:line="240" w:lineRule="auto"/>
        <w:jc w:val="both"/>
        <w:rPr>
          <w:rFonts w:ascii="Arial" w:hAnsi="Arial" w:cs="Arial"/>
          <w:sz w:val="24"/>
          <w:szCs w:val="24"/>
        </w:rPr>
      </w:pPr>
      <w:r w:rsidRPr="00701DC4">
        <w:rPr>
          <w:rFonts w:ascii="Arial" w:hAnsi="Arial" w:cs="Arial"/>
          <w:sz w:val="24"/>
          <w:szCs w:val="24"/>
        </w:rPr>
        <w:t>Under SDG 4 (Quality Education), the co-occurrence of terms like "open distance education" and "SPED educational institution" indicates that student research in pedagogy has focused heavily on systemic adjustments. These choices point to a distinct research interest in remote learning logistics and specialized inclusion spaces, likely prompted by recent national shifts in educational delivery models.</w:t>
      </w:r>
    </w:p>
    <w:p w:rsidR="003D009C" w:rsidRPr="00701DC4" w:rsidRDefault="003D009C" w:rsidP="003D009C">
      <w:pPr>
        <w:spacing w:after="0" w:line="240" w:lineRule="auto"/>
        <w:jc w:val="both"/>
        <w:rPr>
          <w:rFonts w:ascii="Arial" w:hAnsi="Arial" w:cs="Arial"/>
          <w:sz w:val="24"/>
          <w:szCs w:val="24"/>
        </w:rPr>
      </w:pPr>
    </w:p>
    <w:p w:rsidR="003D009C" w:rsidRPr="00701DC4" w:rsidRDefault="003D009C" w:rsidP="003D009C">
      <w:pPr>
        <w:spacing w:after="0" w:line="240" w:lineRule="auto"/>
        <w:jc w:val="both"/>
        <w:rPr>
          <w:rFonts w:ascii="Arial" w:hAnsi="Arial" w:cs="Arial"/>
          <w:sz w:val="24"/>
          <w:szCs w:val="24"/>
        </w:rPr>
      </w:pPr>
      <w:r w:rsidRPr="00701DC4">
        <w:rPr>
          <w:rFonts w:ascii="Arial" w:hAnsi="Arial" w:cs="Arial"/>
          <w:sz w:val="24"/>
          <w:szCs w:val="24"/>
        </w:rPr>
        <w:t>The technical tracks—primarily Architecture and Engineering—contributed precise hardware-centric terms under SDG 7, specifically "renewable energy" and "thermoelectric power", illustrating an applied focus on localized sustainable infrastructure and energy efficiency.</w:t>
      </w:r>
    </w:p>
    <w:p w:rsidR="003D009C" w:rsidRPr="00701DC4" w:rsidRDefault="003D009C" w:rsidP="003D009C">
      <w:pPr>
        <w:spacing w:after="0" w:line="240" w:lineRule="auto"/>
        <w:jc w:val="both"/>
        <w:rPr>
          <w:rFonts w:ascii="Arial" w:hAnsi="Arial" w:cs="Arial"/>
          <w:sz w:val="24"/>
          <w:szCs w:val="24"/>
        </w:rPr>
      </w:pPr>
    </w:p>
    <w:p w:rsidR="003D009C" w:rsidRPr="00701DC4" w:rsidRDefault="003D009C" w:rsidP="003D009C">
      <w:pPr>
        <w:spacing w:after="0" w:line="240" w:lineRule="auto"/>
        <w:jc w:val="both"/>
        <w:rPr>
          <w:rFonts w:ascii="Arial" w:hAnsi="Arial" w:cs="Arial"/>
          <w:sz w:val="24"/>
          <w:szCs w:val="24"/>
        </w:rPr>
      </w:pPr>
      <w:r w:rsidRPr="00701DC4">
        <w:rPr>
          <w:rFonts w:ascii="Arial" w:hAnsi="Arial" w:cs="Arial"/>
          <w:sz w:val="24"/>
          <w:szCs w:val="24"/>
        </w:rPr>
        <w:t>Meanwhile, the keywords emerging under SDG 12 ("crop production" and "production backlog") capture an operations-management perspective focused on agricultural efficiency and manufacturing optimization.</w:t>
      </w:r>
    </w:p>
    <w:p w:rsidR="003D009C" w:rsidRPr="00701DC4" w:rsidRDefault="003D009C" w:rsidP="003D009C">
      <w:pPr>
        <w:spacing w:after="0" w:line="240" w:lineRule="auto"/>
        <w:jc w:val="both"/>
        <w:rPr>
          <w:rFonts w:ascii="Arial" w:hAnsi="Arial" w:cs="Arial"/>
          <w:sz w:val="24"/>
          <w:szCs w:val="24"/>
        </w:rPr>
      </w:pPr>
    </w:p>
    <w:p w:rsidR="004205BB" w:rsidRPr="00701DC4" w:rsidRDefault="003D009C" w:rsidP="003D009C">
      <w:pPr>
        <w:spacing w:after="0" w:line="240" w:lineRule="auto"/>
        <w:jc w:val="both"/>
        <w:rPr>
          <w:rFonts w:ascii="Arial" w:hAnsi="Arial" w:cs="Arial"/>
          <w:sz w:val="24"/>
          <w:szCs w:val="24"/>
        </w:rPr>
      </w:pPr>
      <w:r w:rsidRPr="00701DC4">
        <w:rPr>
          <w:rFonts w:ascii="Arial" w:hAnsi="Arial" w:cs="Arial"/>
          <w:sz w:val="24"/>
          <w:szCs w:val="24"/>
        </w:rPr>
        <w:t xml:space="preserve">Ultimately, this keyword profile demonstrates that while individual student researchers achieve deep specialization within their respective fields, the institution lacks an interconnected semantic framework. The absence of shared keywords across </w:t>
      </w:r>
      <w:r w:rsidRPr="00701DC4">
        <w:rPr>
          <w:rFonts w:ascii="Arial" w:hAnsi="Arial" w:cs="Arial"/>
          <w:sz w:val="24"/>
          <w:szCs w:val="24"/>
        </w:rPr>
        <w:lastRenderedPageBreak/>
        <w:t>departments shows that the university's professional tracks operate in isolation, missing opportunities to build a multi-disciplinary approach to sustainability.</w:t>
      </w:r>
    </w:p>
    <w:p w:rsidR="003D009C" w:rsidRPr="00701DC4" w:rsidRDefault="003D009C" w:rsidP="003D009C">
      <w:pPr>
        <w:spacing w:after="0" w:line="240" w:lineRule="auto"/>
        <w:rPr>
          <w:rFonts w:ascii="Arial" w:hAnsi="Arial" w:cs="Arial"/>
          <w:sz w:val="24"/>
          <w:szCs w:val="24"/>
        </w:rPr>
      </w:pPr>
    </w:p>
    <w:p w:rsidR="006757FB" w:rsidRPr="00701DC4" w:rsidRDefault="006757FB" w:rsidP="004205BB">
      <w:pPr>
        <w:spacing w:after="0" w:line="240" w:lineRule="auto"/>
        <w:jc w:val="center"/>
        <w:rPr>
          <w:rFonts w:ascii="Arial" w:hAnsi="Arial" w:cs="Arial"/>
          <w:b/>
          <w:sz w:val="24"/>
          <w:szCs w:val="24"/>
        </w:rPr>
      </w:pPr>
      <w:r w:rsidRPr="00701DC4">
        <w:rPr>
          <w:rFonts w:ascii="Arial" w:hAnsi="Arial" w:cs="Arial"/>
          <w:b/>
          <w:sz w:val="24"/>
          <w:szCs w:val="24"/>
        </w:rPr>
        <w:t>DISCUSSION</w:t>
      </w:r>
    </w:p>
    <w:p w:rsidR="006757FB" w:rsidRPr="00701DC4" w:rsidRDefault="006757FB" w:rsidP="004205BB">
      <w:pPr>
        <w:spacing w:after="0" w:line="240" w:lineRule="auto"/>
        <w:rPr>
          <w:rFonts w:ascii="Arial" w:hAnsi="Arial" w:cs="Arial"/>
          <w:b/>
          <w:sz w:val="24"/>
          <w:szCs w:val="24"/>
        </w:rPr>
      </w:pPr>
    </w:p>
    <w:p w:rsidR="003D009C" w:rsidRPr="00701DC4" w:rsidRDefault="003D009C" w:rsidP="004205BB">
      <w:pPr>
        <w:spacing w:after="0" w:line="240" w:lineRule="auto"/>
        <w:jc w:val="both"/>
        <w:outlineLvl w:val="1"/>
        <w:rPr>
          <w:rFonts w:ascii="Arial" w:eastAsia="Times New Roman" w:hAnsi="Arial" w:cs="Arial"/>
          <w:sz w:val="24"/>
          <w:szCs w:val="24"/>
        </w:rPr>
      </w:pPr>
      <w:r w:rsidRPr="00701DC4">
        <w:rPr>
          <w:rFonts w:ascii="Arial" w:eastAsia="Times New Roman" w:hAnsi="Arial" w:cs="Arial"/>
          <w:sz w:val="24"/>
          <w:szCs w:val="24"/>
        </w:rPr>
        <w:t>The bibliometric mapping of student theses and dissertations at this Archdiocesan Catholic University between 2015 and 2025 reveals a research environment characterized by isolated pockets of hyper-specialization alongside deep structural imbalances. The overwhelming concentration of research dedicated to SDG 3 (Good Health and Well-being), which represents 56.25% (f = 9) of the total compiled corpus, stands as the defining trend of the institution's output. This lopsided distribution closely mirrors wider bibliometric patterns observed in higher education institutions across developing Southeast Asian economies, where academic inquiry is routinely steered toward immediate, localized public health crises and community clinical needs (Leal Filho et al., 2019).</w:t>
      </w:r>
    </w:p>
    <w:p w:rsidR="003D009C" w:rsidRPr="00701DC4" w:rsidRDefault="003D009C" w:rsidP="004205BB">
      <w:pPr>
        <w:spacing w:after="0" w:line="240" w:lineRule="auto"/>
        <w:jc w:val="both"/>
        <w:outlineLvl w:val="1"/>
        <w:rPr>
          <w:rFonts w:ascii="Arial" w:eastAsia="Times New Roman" w:hAnsi="Arial" w:cs="Arial"/>
          <w:sz w:val="24"/>
          <w:szCs w:val="24"/>
        </w:rPr>
      </w:pPr>
    </w:p>
    <w:p w:rsidR="003D009C" w:rsidRPr="00701DC4" w:rsidRDefault="003D009C" w:rsidP="004205BB">
      <w:pPr>
        <w:spacing w:after="0" w:line="240" w:lineRule="auto"/>
        <w:jc w:val="both"/>
        <w:outlineLvl w:val="1"/>
        <w:rPr>
          <w:rFonts w:ascii="Arial" w:eastAsia="Times New Roman" w:hAnsi="Arial" w:cs="Arial"/>
          <w:sz w:val="24"/>
          <w:szCs w:val="24"/>
        </w:rPr>
      </w:pPr>
      <w:r w:rsidRPr="00701DC4">
        <w:rPr>
          <w:rFonts w:ascii="Arial" w:eastAsia="Times New Roman" w:hAnsi="Arial" w:cs="Arial"/>
          <w:sz w:val="24"/>
          <w:szCs w:val="24"/>
        </w:rPr>
        <w:t>This clustering is a direct symptom of institutional design rather than an intentional, campus-wide strategy. Because the BS Nursing program alone generated exactly half of all sustainability-aligned student works (50.00%, f = 8), the university's institutional relationship with the UN 2030 Agenda has been largely filtered through the clinical, preventative, and administrative health lenses of a single department. Consequently, other critical, interconnected facets of sustainable development are left unexamined.</w:t>
      </w:r>
    </w:p>
    <w:p w:rsidR="003D009C" w:rsidRPr="00701DC4" w:rsidRDefault="003D009C" w:rsidP="004205BB">
      <w:pPr>
        <w:spacing w:after="0" w:line="240" w:lineRule="auto"/>
        <w:jc w:val="both"/>
        <w:outlineLvl w:val="1"/>
        <w:rPr>
          <w:rFonts w:ascii="Arial" w:eastAsia="Times New Roman" w:hAnsi="Arial" w:cs="Arial"/>
          <w:sz w:val="24"/>
          <w:szCs w:val="24"/>
        </w:rPr>
      </w:pPr>
    </w:p>
    <w:p w:rsidR="003D009C" w:rsidRPr="00701DC4" w:rsidRDefault="003D009C" w:rsidP="004205BB">
      <w:pPr>
        <w:spacing w:after="0" w:line="240" w:lineRule="auto"/>
        <w:jc w:val="both"/>
        <w:outlineLvl w:val="1"/>
        <w:rPr>
          <w:rFonts w:ascii="Arial" w:eastAsia="Times New Roman" w:hAnsi="Arial" w:cs="Arial"/>
          <w:sz w:val="24"/>
          <w:szCs w:val="24"/>
        </w:rPr>
      </w:pPr>
      <w:r w:rsidRPr="00701DC4">
        <w:rPr>
          <w:rFonts w:ascii="Arial" w:eastAsia="Times New Roman" w:hAnsi="Arial" w:cs="Arial"/>
          <w:sz w:val="24"/>
          <w:szCs w:val="24"/>
        </w:rPr>
        <w:t>This systemic asymmetry is further highlighted by the complete absence of twelve of the seventeen SDGs within the student research record. The fact that foundational goals like SDG 1 (No Poverty), SDG 5 (Gender Equality), SDG 13 (Climate Action), and SDG 16 (Peace, Justice, and Strong Institutions) failed to register a single output suggests a clear disconnect between the university's broader institutional mission and its actualized student research production.</w:t>
      </w:r>
    </w:p>
    <w:p w:rsidR="003D009C" w:rsidRPr="00701DC4" w:rsidRDefault="003D009C" w:rsidP="004205BB">
      <w:pPr>
        <w:spacing w:after="0" w:line="240" w:lineRule="auto"/>
        <w:jc w:val="both"/>
        <w:outlineLvl w:val="1"/>
        <w:rPr>
          <w:rFonts w:ascii="Arial" w:eastAsia="Times New Roman" w:hAnsi="Arial" w:cs="Arial"/>
          <w:sz w:val="24"/>
          <w:szCs w:val="24"/>
        </w:rPr>
      </w:pPr>
    </w:p>
    <w:p w:rsidR="003D009C" w:rsidRPr="00701DC4" w:rsidRDefault="003D009C" w:rsidP="004205BB">
      <w:pPr>
        <w:spacing w:after="0" w:line="240" w:lineRule="auto"/>
        <w:jc w:val="both"/>
        <w:outlineLvl w:val="1"/>
        <w:rPr>
          <w:rFonts w:ascii="Arial" w:eastAsia="Times New Roman" w:hAnsi="Arial" w:cs="Arial"/>
          <w:sz w:val="24"/>
          <w:szCs w:val="24"/>
        </w:rPr>
      </w:pPr>
      <w:r w:rsidRPr="00701DC4">
        <w:rPr>
          <w:rFonts w:ascii="Arial" w:eastAsia="Times New Roman" w:hAnsi="Arial" w:cs="Arial"/>
          <w:sz w:val="24"/>
          <w:szCs w:val="24"/>
        </w:rPr>
        <w:t>For an Archdiocesan Catholic higher education institution, this thematic void is especially significant. Modern Catholic social teaching, particularly as articulated in Pope Francis’s encyclical Laudato si’ (2015), demands an "integral ecology" that explicitly binds environmental stewardship to human justice, institutional ethics, and poverty eradication. The total absence of student scholarship addressing structural poverty, systemic climate vulnerabilities, and peace frameworks indicates that the core mandates of Laudato si’ have not yet been systematically integrated into the capstone structures of the business, humanities, and social science programs. As Ribeiro and Bernardes (2020) emphasize, when academic institutions fail to intentionally embed the SDG framework across all disciplines, their research outputs remain heavily siloed, losing critical opportunities to cultivate comprehensive, interdisciplinary solutions to multi-dimensional crises.</w:t>
      </w:r>
    </w:p>
    <w:p w:rsidR="003D009C" w:rsidRPr="00701DC4" w:rsidRDefault="003D009C" w:rsidP="004205BB">
      <w:pPr>
        <w:spacing w:after="0" w:line="240" w:lineRule="auto"/>
        <w:jc w:val="both"/>
        <w:outlineLvl w:val="1"/>
        <w:rPr>
          <w:rFonts w:ascii="Arial" w:eastAsia="Times New Roman" w:hAnsi="Arial" w:cs="Arial"/>
          <w:sz w:val="24"/>
          <w:szCs w:val="24"/>
        </w:rPr>
      </w:pPr>
    </w:p>
    <w:p w:rsidR="003D009C" w:rsidRPr="00701DC4" w:rsidRDefault="003D009C" w:rsidP="004205BB">
      <w:pPr>
        <w:spacing w:after="0" w:line="240" w:lineRule="auto"/>
        <w:jc w:val="both"/>
        <w:outlineLvl w:val="1"/>
        <w:rPr>
          <w:rFonts w:ascii="Arial" w:eastAsia="Times New Roman" w:hAnsi="Arial" w:cs="Arial"/>
          <w:sz w:val="24"/>
          <w:szCs w:val="24"/>
        </w:rPr>
      </w:pPr>
      <w:r w:rsidRPr="00701DC4">
        <w:rPr>
          <w:rFonts w:ascii="Arial" w:eastAsia="Times New Roman" w:hAnsi="Arial" w:cs="Arial"/>
          <w:sz w:val="24"/>
          <w:szCs w:val="24"/>
        </w:rPr>
        <w:t xml:space="preserve">Furthermore, the longitudinal data demonstrate that institutional research production is highly vulnerable to external operational shocks. The complete collapse of SDG-aligned outputs in 2017, 2020, and 2022 underscores a lack of continuity in the university's long-term research agenda. The zero-output markers of 2020 and 2022 point directly to the </w:t>
      </w:r>
      <w:r w:rsidRPr="00701DC4">
        <w:rPr>
          <w:rFonts w:ascii="Arial" w:eastAsia="Times New Roman" w:hAnsi="Arial" w:cs="Arial"/>
          <w:sz w:val="24"/>
          <w:szCs w:val="24"/>
        </w:rPr>
        <w:lastRenderedPageBreak/>
        <w:t>profound logistical disruptions triggered by the COVID-19 pandemic, which forced an immediate pivot to remote learning, closed physical archives, and legally restricted field-based data collection. These findings align with broader bibliometric trends showing that the pandemic caused significant contraction in institutional outputs, often forcing universities to abandon long-term sustainability tracking in favor of immediate crisis management (Donthu et al., 2021).</w:t>
      </w:r>
    </w:p>
    <w:p w:rsidR="003D009C" w:rsidRPr="00701DC4" w:rsidRDefault="003D009C" w:rsidP="004205BB">
      <w:pPr>
        <w:spacing w:after="0" w:line="240" w:lineRule="auto"/>
        <w:jc w:val="both"/>
        <w:outlineLvl w:val="1"/>
        <w:rPr>
          <w:rFonts w:ascii="Arial" w:eastAsia="Times New Roman" w:hAnsi="Arial" w:cs="Arial"/>
          <w:sz w:val="24"/>
          <w:szCs w:val="24"/>
        </w:rPr>
      </w:pPr>
    </w:p>
    <w:p w:rsidR="003D009C" w:rsidRPr="00701DC4" w:rsidRDefault="003D009C" w:rsidP="004205BB">
      <w:pPr>
        <w:spacing w:after="0" w:line="240" w:lineRule="auto"/>
        <w:jc w:val="both"/>
        <w:outlineLvl w:val="1"/>
        <w:rPr>
          <w:rFonts w:ascii="Arial" w:eastAsia="Times New Roman" w:hAnsi="Arial" w:cs="Arial"/>
          <w:sz w:val="24"/>
          <w:szCs w:val="24"/>
        </w:rPr>
      </w:pPr>
      <w:r w:rsidRPr="00701DC4">
        <w:rPr>
          <w:rFonts w:ascii="Arial" w:eastAsia="Times New Roman" w:hAnsi="Arial" w:cs="Arial"/>
          <w:sz w:val="24"/>
          <w:szCs w:val="24"/>
        </w:rPr>
        <w:t>Conversely, the dramatic surge in sustainability-mapped works in 2025 (43.75%, f = 7) signals a robust post-pandemic recovery and a late-stage push toward global alignment. This sudden expansion suggests that as the UN 2030 deadline draws closer, the institution is transitioning away from an era of accidental, uncoordinated sustainability research toward a more deliberate policy of mandatory alignment.</w:t>
      </w:r>
    </w:p>
    <w:p w:rsidR="003D009C" w:rsidRPr="00701DC4" w:rsidRDefault="003D009C" w:rsidP="004205BB">
      <w:pPr>
        <w:spacing w:after="0" w:line="240" w:lineRule="auto"/>
        <w:jc w:val="both"/>
        <w:outlineLvl w:val="1"/>
        <w:rPr>
          <w:rFonts w:ascii="Arial" w:eastAsia="Times New Roman" w:hAnsi="Arial" w:cs="Arial"/>
          <w:sz w:val="24"/>
          <w:szCs w:val="24"/>
        </w:rPr>
      </w:pPr>
    </w:p>
    <w:p w:rsidR="00701DC4" w:rsidRPr="00701DC4" w:rsidRDefault="003D009C" w:rsidP="004205BB">
      <w:pPr>
        <w:spacing w:after="0" w:line="240" w:lineRule="auto"/>
        <w:jc w:val="both"/>
        <w:outlineLvl w:val="1"/>
        <w:rPr>
          <w:rFonts w:ascii="Arial" w:eastAsia="Times New Roman" w:hAnsi="Arial" w:cs="Arial"/>
          <w:sz w:val="24"/>
          <w:szCs w:val="24"/>
        </w:rPr>
      </w:pPr>
      <w:r w:rsidRPr="00701DC4">
        <w:rPr>
          <w:rFonts w:ascii="Arial" w:eastAsia="Times New Roman" w:hAnsi="Arial" w:cs="Arial"/>
          <w:sz w:val="24"/>
          <w:szCs w:val="24"/>
        </w:rPr>
        <w:t>Finally, the keyword co-occurrence matrix confirms that the conceptual landscape of student research remains structurally fragmented. The linguistic dominance of health-related keywords like "health services", "mental health", and "health practices" underscores the university’s heavy reliance on allied health tracks to maintain its sustainability profile. While terms like "renewable energy" and "open distance education" highlight valuable pockets of technical and pedagogical innovation in engineering and education, they appear as isolated nodes rather than integrated clusters within a unified research network.</w:t>
      </w:r>
      <w:r w:rsidR="00701DC4" w:rsidRPr="00701DC4">
        <w:rPr>
          <w:rFonts w:ascii="Arial" w:eastAsia="Times New Roman" w:hAnsi="Arial" w:cs="Arial"/>
          <w:sz w:val="24"/>
          <w:szCs w:val="24"/>
        </w:rPr>
        <w:t xml:space="preserve"> </w:t>
      </w:r>
    </w:p>
    <w:p w:rsidR="00701DC4" w:rsidRPr="00701DC4" w:rsidRDefault="00701DC4" w:rsidP="004205BB">
      <w:pPr>
        <w:spacing w:after="0" w:line="240" w:lineRule="auto"/>
        <w:jc w:val="both"/>
        <w:outlineLvl w:val="1"/>
        <w:rPr>
          <w:rFonts w:ascii="Arial" w:eastAsia="Times New Roman" w:hAnsi="Arial" w:cs="Arial"/>
          <w:sz w:val="24"/>
          <w:szCs w:val="24"/>
        </w:rPr>
      </w:pPr>
    </w:p>
    <w:p w:rsidR="003D009C" w:rsidRPr="00701DC4" w:rsidRDefault="003D009C" w:rsidP="004205BB">
      <w:pPr>
        <w:spacing w:after="0" w:line="240" w:lineRule="auto"/>
        <w:jc w:val="both"/>
        <w:outlineLvl w:val="1"/>
        <w:rPr>
          <w:rFonts w:ascii="Arial" w:eastAsia="Times New Roman" w:hAnsi="Arial" w:cs="Arial"/>
          <w:sz w:val="24"/>
          <w:szCs w:val="24"/>
        </w:rPr>
      </w:pPr>
      <w:r w:rsidRPr="00701DC4">
        <w:rPr>
          <w:rFonts w:ascii="Arial" w:eastAsia="Times New Roman" w:hAnsi="Arial" w:cs="Arial"/>
          <w:sz w:val="24"/>
          <w:szCs w:val="24"/>
        </w:rPr>
        <w:t>International literature demonstrates that the most mature institutional responses to the SDGs occur when keywords and research methodologies cross traditional department boundaries—such as an engineering student and a health sciences student collaborating on a shared project (Aksnes et al., 2019). For this university, the disconnected nature of the keyword network reveals a clear need to move away from isolated, department-specific research and toward an integrated, multi-disciplinary approach to sustainability.</w:t>
      </w:r>
    </w:p>
    <w:p w:rsidR="003D009C" w:rsidRPr="00701DC4" w:rsidRDefault="003D009C" w:rsidP="004205BB">
      <w:pPr>
        <w:spacing w:after="0" w:line="240" w:lineRule="auto"/>
        <w:jc w:val="both"/>
        <w:outlineLvl w:val="1"/>
        <w:rPr>
          <w:rFonts w:ascii="Arial" w:eastAsia="Times New Roman" w:hAnsi="Arial" w:cs="Arial"/>
          <w:sz w:val="24"/>
          <w:szCs w:val="24"/>
        </w:rPr>
      </w:pPr>
    </w:p>
    <w:p w:rsidR="006757FB" w:rsidRPr="00701DC4" w:rsidRDefault="006757FB" w:rsidP="004205BB">
      <w:pPr>
        <w:spacing w:after="0" w:line="240" w:lineRule="auto"/>
        <w:jc w:val="both"/>
        <w:outlineLvl w:val="1"/>
        <w:rPr>
          <w:rFonts w:ascii="Arial" w:eastAsia="Times New Roman" w:hAnsi="Arial" w:cs="Arial"/>
          <w:b/>
          <w:bCs/>
          <w:sz w:val="24"/>
          <w:szCs w:val="24"/>
        </w:rPr>
      </w:pPr>
      <w:r w:rsidRPr="00701DC4">
        <w:rPr>
          <w:rFonts w:ascii="Arial" w:eastAsia="Times New Roman" w:hAnsi="Arial" w:cs="Arial"/>
          <w:b/>
          <w:bCs/>
          <w:sz w:val="24"/>
          <w:szCs w:val="24"/>
        </w:rPr>
        <w:t>Conclusion</w:t>
      </w:r>
      <w:r w:rsidR="004205BB" w:rsidRPr="00701DC4">
        <w:rPr>
          <w:rFonts w:ascii="Arial" w:eastAsia="Times New Roman" w:hAnsi="Arial" w:cs="Arial"/>
          <w:b/>
          <w:bCs/>
          <w:sz w:val="24"/>
          <w:szCs w:val="24"/>
        </w:rPr>
        <w:t xml:space="preserve"> and Recommendations</w:t>
      </w:r>
    </w:p>
    <w:p w:rsidR="00597B7F" w:rsidRPr="00701DC4" w:rsidRDefault="00597B7F" w:rsidP="004205BB">
      <w:pPr>
        <w:spacing w:after="0" w:line="240" w:lineRule="auto"/>
        <w:jc w:val="both"/>
        <w:outlineLvl w:val="1"/>
        <w:rPr>
          <w:rFonts w:ascii="Arial" w:eastAsia="Times New Roman" w:hAnsi="Arial" w:cs="Arial"/>
          <w:b/>
          <w:bCs/>
          <w:sz w:val="24"/>
          <w:szCs w:val="24"/>
        </w:rPr>
      </w:pPr>
    </w:p>
    <w:p w:rsidR="003D009C" w:rsidRPr="00701DC4" w:rsidRDefault="003D009C" w:rsidP="004205BB">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This ten-year bibliometric audit demonstrates that while student research within the Archdiocesan Catholic University has made meaningful contributions to specific sustainability targets—particularly in localized healthcare delivery (SDG 3) and architectural design (SDG 7, SDG 12)—the overall research output remains highly polarized and structurally isolated.</w:t>
      </w:r>
    </w:p>
    <w:p w:rsidR="003D009C" w:rsidRPr="00701DC4" w:rsidRDefault="003D009C" w:rsidP="004205BB">
      <w:pPr>
        <w:spacing w:after="0" w:line="240" w:lineRule="auto"/>
        <w:jc w:val="both"/>
        <w:rPr>
          <w:rFonts w:ascii="Arial" w:eastAsia="Times New Roman" w:hAnsi="Arial" w:cs="Arial"/>
          <w:sz w:val="24"/>
          <w:szCs w:val="24"/>
        </w:rPr>
      </w:pPr>
    </w:p>
    <w:p w:rsidR="003D009C" w:rsidRPr="00701DC4" w:rsidRDefault="003D009C" w:rsidP="004205BB">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Twelve of the seventeen UN Sustainable Development Goals are completely unrepresented in the institutional repository. This reveals a missed opportunity to leverage student scholarship to address core socio-economic challenges like poverty, gender inequality, institutional corruption, and climate justice. Furthermore, the highly volatile annual trends highlight how vulnerable student research remains to curricular shifts and external disruptions when it lacks a unifying institutional framework.</w:t>
      </w:r>
    </w:p>
    <w:p w:rsidR="003D009C" w:rsidRPr="00701DC4" w:rsidRDefault="003D009C" w:rsidP="004205BB">
      <w:pPr>
        <w:spacing w:after="0" w:line="240" w:lineRule="auto"/>
        <w:jc w:val="both"/>
        <w:rPr>
          <w:rFonts w:ascii="Arial" w:eastAsia="Times New Roman" w:hAnsi="Arial" w:cs="Arial"/>
          <w:sz w:val="24"/>
          <w:szCs w:val="24"/>
        </w:rPr>
      </w:pPr>
    </w:p>
    <w:p w:rsidR="004205BB" w:rsidRPr="00701DC4" w:rsidRDefault="003D009C" w:rsidP="004205BB">
      <w:p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lastRenderedPageBreak/>
        <w:t>To move past these limitations and fully align its student research with both the global 2030 Agenda and its own Catholic mission of stewardship and social justice, the university should implement the following strategic interventions:</w:t>
      </w:r>
    </w:p>
    <w:p w:rsidR="003D009C" w:rsidRPr="00701DC4" w:rsidRDefault="003D009C" w:rsidP="004205BB">
      <w:pPr>
        <w:spacing w:after="0" w:line="240" w:lineRule="auto"/>
        <w:jc w:val="both"/>
        <w:rPr>
          <w:rFonts w:ascii="Arial" w:eastAsia="Times New Roman" w:hAnsi="Arial" w:cs="Arial"/>
          <w:sz w:val="24"/>
          <w:szCs w:val="24"/>
        </w:rPr>
      </w:pPr>
    </w:p>
    <w:p w:rsidR="003D009C" w:rsidRPr="00701DC4" w:rsidRDefault="003D009C" w:rsidP="004205BB">
      <w:pPr>
        <w:spacing w:after="0" w:line="240" w:lineRule="auto"/>
        <w:jc w:val="both"/>
        <w:rPr>
          <w:rFonts w:ascii="Arial" w:eastAsia="Times New Roman" w:hAnsi="Arial" w:cs="Arial"/>
          <w:sz w:val="24"/>
          <w:szCs w:val="24"/>
        </w:rPr>
      </w:pPr>
    </w:p>
    <w:p w:rsidR="004205BB" w:rsidRPr="00701DC4" w:rsidRDefault="004205BB" w:rsidP="004205BB">
      <w:pPr>
        <w:pStyle w:val="ListParagraph"/>
        <w:numPr>
          <w:ilvl w:val="0"/>
          <w:numId w:val="5"/>
        </w:num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Systemic Curricular Integration: Map the UN SDG and Laudato si’ frameworks directly into the syllabi of undergraduate and graduate research methods courses across all departments. Ensuring that students are introduced to sustainability indicators early in their academic programs will encourage them to frame their final capstone projects around these global goals.</w:t>
      </w:r>
    </w:p>
    <w:p w:rsidR="004205BB" w:rsidRPr="00701DC4" w:rsidRDefault="004205BB" w:rsidP="004205BB">
      <w:pPr>
        <w:spacing w:after="0" w:line="240" w:lineRule="auto"/>
        <w:jc w:val="both"/>
        <w:rPr>
          <w:rFonts w:ascii="Arial" w:eastAsia="Times New Roman" w:hAnsi="Arial" w:cs="Arial"/>
          <w:sz w:val="24"/>
          <w:szCs w:val="24"/>
        </w:rPr>
      </w:pPr>
    </w:p>
    <w:p w:rsidR="004205BB" w:rsidRPr="00701DC4" w:rsidRDefault="004205BB" w:rsidP="004205BB">
      <w:pPr>
        <w:pStyle w:val="ListParagraph"/>
        <w:numPr>
          <w:ilvl w:val="0"/>
          <w:numId w:val="5"/>
        </w:num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Establishment of Interdisciplinary Research Clusters: Break down traditional departmental silos by forming thematic, cross-college research clusters centered on underrepresented SDGs. For example, joint research initiatives combining Business, Law, and Social Sciences could be created to explicitly target SDG 1 (No Poverty) and SDG 16 (Peace, Justice, and Strong Institutions).</w:t>
      </w:r>
    </w:p>
    <w:p w:rsidR="004205BB" w:rsidRPr="00701DC4" w:rsidRDefault="004205BB" w:rsidP="004205BB">
      <w:pPr>
        <w:spacing w:after="0" w:line="240" w:lineRule="auto"/>
        <w:jc w:val="both"/>
        <w:rPr>
          <w:rFonts w:ascii="Arial" w:eastAsia="Times New Roman" w:hAnsi="Arial" w:cs="Arial"/>
          <w:sz w:val="24"/>
          <w:szCs w:val="24"/>
        </w:rPr>
      </w:pPr>
    </w:p>
    <w:p w:rsidR="004205BB" w:rsidRPr="00701DC4" w:rsidRDefault="004205BB" w:rsidP="004205BB">
      <w:pPr>
        <w:pStyle w:val="ListParagraph"/>
        <w:numPr>
          <w:ilvl w:val="0"/>
          <w:numId w:val="5"/>
        </w:num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Strategic Faculty Mentorship Training: Provide targeted professional development programs for faculty research advisers. Equipping mentors with the tools to guide students in aligning localized problems with international sustainability targets is a critical step toward diversifying the university's research output.</w:t>
      </w:r>
    </w:p>
    <w:p w:rsidR="004205BB" w:rsidRPr="00701DC4" w:rsidRDefault="004205BB" w:rsidP="004205BB">
      <w:pPr>
        <w:spacing w:after="0" w:line="240" w:lineRule="auto"/>
        <w:jc w:val="both"/>
        <w:rPr>
          <w:rFonts w:ascii="Arial" w:eastAsia="Times New Roman" w:hAnsi="Arial" w:cs="Arial"/>
          <w:sz w:val="24"/>
          <w:szCs w:val="24"/>
        </w:rPr>
      </w:pPr>
    </w:p>
    <w:p w:rsidR="004205BB" w:rsidRPr="00701DC4" w:rsidRDefault="004205BB" w:rsidP="004205BB">
      <w:pPr>
        <w:pStyle w:val="ListParagraph"/>
        <w:numPr>
          <w:ilvl w:val="0"/>
          <w:numId w:val="5"/>
        </w:num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Targeted Institutional Incentives: Create dedicated research grants, academic awards, and fast-tracked publication pathways for student theses that directly address neglected SDGs, such as climate vulnerability (SDG 13) and reduced inequalities (SDG 10).</w:t>
      </w:r>
    </w:p>
    <w:p w:rsidR="004205BB" w:rsidRPr="00701DC4" w:rsidRDefault="004205BB" w:rsidP="004205BB">
      <w:pPr>
        <w:spacing w:after="0" w:line="240" w:lineRule="auto"/>
        <w:jc w:val="both"/>
        <w:rPr>
          <w:rFonts w:ascii="Arial" w:eastAsia="Times New Roman" w:hAnsi="Arial" w:cs="Arial"/>
          <w:sz w:val="24"/>
          <w:szCs w:val="24"/>
        </w:rPr>
      </w:pPr>
    </w:p>
    <w:p w:rsidR="00597B7F" w:rsidRPr="00701DC4" w:rsidRDefault="004205BB" w:rsidP="004205BB">
      <w:pPr>
        <w:pStyle w:val="ListParagraph"/>
        <w:numPr>
          <w:ilvl w:val="0"/>
          <w:numId w:val="5"/>
        </w:numPr>
        <w:spacing w:after="0" w:line="240" w:lineRule="auto"/>
        <w:jc w:val="both"/>
        <w:rPr>
          <w:rFonts w:ascii="Arial" w:eastAsia="Times New Roman" w:hAnsi="Arial" w:cs="Arial"/>
          <w:sz w:val="24"/>
          <w:szCs w:val="24"/>
        </w:rPr>
      </w:pPr>
      <w:r w:rsidRPr="00701DC4">
        <w:rPr>
          <w:rFonts w:ascii="Arial" w:eastAsia="Times New Roman" w:hAnsi="Arial" w:cs="Arial"/>
          <w:sz w:val="24"/>
          <w:szCs w:val="24"/>
        </w:rPr>
        <w:t>Routine Bibliometric Monitoring: Establish a permanent tracking mechanism within the university library system to conduct regular bibliometric reviews of the institutional repository. Continuous monitoring will allow administrators to evaluate research trends in real time, ensuring steady alignment with global development goals and the university's spiritual mission.</w:t>
      </w:r>
    </w:p>
    <w:p w:rsidR="004205BB" w:rsidRPr="00701DC4" w:rsidRDefault="004205BB" w:rsidP="004205BB">
      <w:pPr>
        <w:spacing w:after="0" w:line="240" w:lineRule="auto"/>
        <w:jc w:val="both"/>
        <w:rPr>
          <w:rFonts w:ascii="Arial" w:eastAsia="Times New Roman" w:hAnsi="Arial" w:cs="Arial"/>
          <w:sz w:val="24"/>
          <w:szCs w:val="24"/>
        </w:rPr>
      </w:pPr>
    </w:p>
    <w:p w:rsidR="00597B7F" w:rsidRPr="00701DC4" w:rsidRDefault="00597B7F" w:rsidP="004205BB">
      <w:pPr>
        <w:spacing w:after="0" w:line="240" w:lineRule="auto"/>
        <w:rPr>
          <w:rFonts w:ascii="Arial" w:eastAsia="Times New Roman" w:hAnsi="Arial" w:cs="Arial"/>
          <w:sz w:val="24"/>
          <w:szCs w:val="24"/>
        </w:rPr>
      </w:pPr>
    </w:p>
    <w:p w:rsidR="00597B7F" w:rsidRPr="00701DC4" w:rsidRDefault="00597B7F" w:rsidP="004205BB">
      <w:pPr>
        <w:spacing w:after="0" w:line="240" w:lineRule="auto"/>
        <w:rPr>
          <w:rFonts w:ascii="Arial" w:eastAsia="Times New Roman" w:hAnsi="Arial" w:cs="Arial"/>
          <w:b/>
          <w:sz w:val="24"/>
          <w:szCs w:val="24"/>
        </w:rPr>
      </w:pPr>
      <w:r w:rsidRPr="00701DC4">
        <w:rPr>
          <w:rFonts w:ascii="Arial" w:eastAsia="Times New Roman" w:hAnsi="Arial" w:cs="Arial"/>
          <w:b/>
          <w:sz w:val="24"/>
          <w:szCs w:val="24"/>
        </w:rPr>
        <w:t>References</w:t>
      </w:r>
    </w:p>
    <w:p w:rsidR="00597B7F" w:rsidRPr="00701DC4" w:rsidRDefault="00597B7F" w:rsidP="004205BB">
      <w:pPr>
        <w:spacing w:after="0" w:line="240" w:lineRule="auto"/>
        <w:rPr>
          <w:rFonts w:ascii="Arial" w:eastAsia="Times New Roman" w:hAnsi="Arial" w:cs="Arial"/>
          <w:b/>
          <w:sz w:val="24"/>
          <w:szCs w:val="24"/>
        </w:rPr>
      </w:pPr>
    </w:p>
    <w:p w:rsidR="003D009C" w:rsidRPr="00701DC4" w:rsidRDefault="00F23CCF" w:rsidP="003D009C">
      <w:pPr>
        <w:spacing w:after="0" w:line="240" w:lineRule="auto"/>
        <w:ind w:left="360" w:hanging="360"/>
        <w:rPr>
          <w:rFonts w:ascii="Arial" w:eastAsia="Times New Roman" w:hAnsi="Arial" w:cs="Arial"/>
          <w:sz w:val="24"/>
          <w:szCs w:val="24"/>
        </w:rPr>
      </w:pPr>
      <w:r w:rsidRPr="00701DC4">
        <w:rPr>
          <w:rFonts w:ascii="Arial" w:eastAsia="Times New Roman" w:hAnsi="Arial" w:cs="Arial"/>
          <w:sz w:val="24"/>
          <w:szCs w:val="24"/>
        </w:rPr>
        <w:t>Aksnes, D. W., Langfeldt, L., &amp; Wouters, P. (2019). Citations, citation indicators, and research quality: An overview of basic concepts and theories. SAGE Open, 9(1), 1–17. https://doi.org/10.1177/2158244019829575</w:t>
      </w:r>
    </w:p>
    <w:p w:rsidR="00F23CCF" w:rsidRPr="00701DC4" w:rsidRDefault="00F23CCF" w:rsidP="003D009C">
      <w:pPr>
        <w:spacing w:after="0" w:line="240" w:lineRule="auto"/>
        <w:ind w:left="360" w:hanging="360"/>
        <w:rPr>
          <w:rFonts w:ascii="Arial" w:eastAsia="Times New Roman" w:hAnsi="Arial" w:cs="Arial"/>
          <w:sz w:val="24"/>
          <w:szCs w:val="24"/>
        </w:rPr>
      </w:pPr>
    </w:p>
    <w:p w:rsidR="003D009C" w:rsidRPr="00701DC4" w:rsidRDefault="003D009C" w:rsidP="003D009C">
      <w:pPr>
        <w:spacing w:after="0" w:line="240" w:lineRule="auto"/>
        <w:ind w:left="360" w:hanging="360"/>
        <w:rPr>
          <w:rFonts w:ascii="Arial" w:eastAsia="Times New Roman" w:hAnsi="Arial" w:cs="Arial"/>
          <w:sz w:val="24"/>
          <w:szCs w:val="24"/>
        </w:rPr>
      </w:pPr>
      <w:r w:rsidRPr="00701DC4">
        <w:rPr>
          <w:rFonts w:ascii="Arial" w:eastAsia="Times New Roman" w:hAnsi="Arial" w:cs="Arial"/>
          <w:sz w:val="24"/>
          <w:szCs w:val="24"/>
        </w:rPr>
        <w:t>Donthu, N., Kumar, S., Mukherjee, D., Pandey, N., &amp; Lim, W. M. (2021). How to conduct a bibliometric analysis: An overview and guidelines. Journal of Business Research, 133, 285–296. https://doi.org/10.1016/j.jbusres.2021.04.070</w:t>
      </w:r>
    </w:p>
    <w:p w:rsidR="003D009C" w:rsidRPr="00701DC4" w:rsidRDefault="003D009C" w:rsidP="003D009C">
      <w:pPr>
        <w:spacing w:after="0" w:line="240" w:lineRule="auto"/>
        <w:ind w:left="360" w:hanging="360"/>
        <w:rPr>
          <w:rFonts w:ascii="Arial" w:eastAsia="Times New Roman" w:hAnsi="Arial" w:cs="Arial"/>
          <w:sz w:val="24"/>
          <w:szCs w:val="24"/>
        </w:rPr>
      </w:pPr>
    </w:p>
    <w:p w:rsidR="003D009C" w:rsidRPr="00701DC4" w:rsidRDefault="003D009C" w:rsidP="003D009C">
      <w:pPr>
        <w:spacing w:after="0" w:line="240" w:lineRule="auto"/>
        <w:ind w:left="360" w:hanging="360"/>
        <w:rPr>
          <w:rFonts w:ascii="Arial" w:eastAsia="Times New Roman" w:hAnsi="Arial" w:cs="Arial"/>
          <w:sz w:val="24"/>
          <w:szCs w:val="24"/>
        </w:rPr>
      </w:pPr>
      <w:r w:rsidRPr="00701DC4">
        <w:rPr>
          <w:rFonts w:ascii="Arial" w:eastAsia="Times New Roman" w:hAnsi="Arial" w:cs="Arial"/>
          <w:sz w:val="24"/>
          <w:szCs w:val="24"/>
        </w:rPr>
        <w:t>Francis, Pope. (2015). Laudato si’: On care for our common home [Encyclical letter]. Our Sunday Visitor.</w:t>
      </w:r>
    </w:p>
    <w:p w:rsidR="003D009C" w:rsidRPr="00701DC4" w:rsidRDefault="003D009C" w:rsidP="003D009C">
      <w:pPr>
        <w:spacing w:after="0" w:line="240" w:lineRule="auto"/>
        <w:ind w:left="360" w:hanging="360"/>
        <w:rPr>
          <w:rFonts w:ascii="Arial" w:eastAsia="Times New Roman" w:hAnsi="Arial" w:cs="Arial"/>
          <w:sz w:val="24"/>
          <w:szCs w:val="24"/>
        </w:rPr>
      </w:pPr>
    </w:p>
    <w:p w:rsidR="003D009C" w:rsidRPr="00701DC4" w:rsidRDefault="003D009C" w:rsidP="003D009C">
      <w:pPr>
        <w:spacing w:after="0" w:line="240" w:lineRule="auto"/>
        <w:ind w:left="360" w:hanging="360"/>
        <w:rPr>
          <w:rFonts w:ascii="Arial" w:eastAsia="Times New Roman" w:hAnsi="Arial" w:cs="Arial"/>
          <w:sz w:val="24"/>
          <w:szCs w:val="24"/>
        </w:rPr>
      </w:pPr>
      <w:r w:rsidRPr="00701DC4">
        <w:rPr>
          <w:rFonts w:ascii="Arial" w:eastAsia="Times New Roman" w:hAnsi="Arial" w:cs="Arial"/>
          <w:sz w:val="24"/>
          <w:szCs w:val="24"/>
        </w:rPr>
        <w:t>Leal Filho, W., Shiel, C., Paço, A., Mifsud, M., Ávila, L. V., Brandli, L. L., Molthan-Hill, P., Pace, P., Azeiteiro, U. M., Vargas, V. R., &amp; Caeiro, S. (2019). Sustainable Development Goals and sustainability teaching at universities: Falling behind or putting the world on the right path? Journal of Cleaner Production, 232, 285–294. https://doi.org/10.1016/j.jclepro.2019.05.292</w:t>
      </w:r>
    </w:p>
    <w:p w:rsidR="003D009C" w:rsidRPr="00701DC4" w:rsidRDefault="003D009C" w:rsidP="003D009C">
      <w:pPr>
        <w:spacing w:after="0" w:line="240" w:lineRule="auto"/>
        <w:ind w:left="360" w:hanging="360"/>
        <w:rPr>
          <w:rFonts w:ascii="Arial" w:eastAsia="Times New Roman" w:hAnsi="Arial" w:cs="Arial"/>
          <w:sz w:val="24"/>
          <w:szCs w:val="24"/>
        </w:rPr>
      </w:pPr>
    </w:p>
    <w:p w:rsidR="006757FB" w:rsidRPr="00701DC4" w:rsidRDefault="00F23CCF" w:rsidP="00F23CCF">
      <w:pPr>
        <w:spacing w:after="0" w:line="240" w:lineRule="auto"/>
        <w:ind w:left="360" w:hanging="360"/>
        <w:rPr>
          <w:rFonts w:ascii="Arial" w:hAnsi="Arial" w:cs="Arial"/>
          <w:sz w:val="24"/>
          <w:szCs w:val="24"/>
        </w:rPr>
      </w:pPr>
      <w:r w:rsidRPr="00701DC4">
        <w:rPr>
          <w:rFonts w:ascii="Arial" w:eastAsia="Times New Roman" w:hAnsi="Arial" w:cs="Arial"/>
          <w:sz w:val="24"/>
          <w:szCs w:val="24"/>
        </w:rPr>
        <w:t>Ocaña-Zuñiga, C., Tineo, M., Fernandez-Zarate, H., Quiñones-Huatangari, L., Huaccha-Castillo, A. E., Morales-Rojas, E., &amp; Miguel-Miguel, H. (2023). Implementing the Sustainable Development Goals in university higher education: A systematic review. International Journal of Sustainable Development and Planning, 18(6), 1761–1772. https://doi.org/10.18280/ijsdp.180612</w:t>
      </w:r>
    </w:p>
    <w:sectPr w:rsidR="006757FB" w:rsidRPr="00701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320B6"/>
    <w:multiLevelType w:val="hybridMultilevel"/>
    <w:tmpl w:val="48D68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B76DBC"/>
    <w:multiLevelType w:val="multilevel"/>
    <w:tmpl w:val="4F2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DC3F13"/>
    <w:multiLevelType w:val="multilevel"/>
    <w:tmpl w:val="DEDA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FF440F"/>
    <w:multiLevelType w:val="multilevel"/>
    <w:tmpl w:val="5510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4D473C"/>
    <w:multiLevelType w:val="hybridMultilevel"/>
    <w:tmpl w:val="261C5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E47E08"/>
    <w:multiLevelType w:val="hybridMultilevel"/>
    <w:tmpl w:val="BDEE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1B71DD"/>
    <w:multiLevelType w:val="hybridMultilevel"/>
    <w:tmpl w:val="E90C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31"/>
    <w:rsid w:val="00104C19"/>
    <w:rsid w:val="00111500"/>
    <w:rsid w:val="002679A3"/>
    <w:rsid w:val="003075B3"/>
    <w:rsid w:val="003D009C"/>
    <w:rsid w:val="004205BB"/>
    <w:rsid w:val="004D1C57"/>
    <w:rsid w:val="00597B7F"/>
    <w:rsid w:val="006757FB"/>
    <w:rsid w:val="00701DC4"/>
    <w:rsid w:val="00752735"/>
    <w:rsid w:val="007A1C2F"/>
    <w:rsid w:val="00831AA5"/>
    <w:rsid w:val="00881931"/>
    <w:rsid w:val="008D3D17"/>
    <w:rsid w:val="008F7691"/>
    <w:rsid w:val="00996046"/>
    <w:rsid w:val="009B44DA"/>
    <w:rsid w:val="00E91E6F"/>
    <w:rsid w:val="00F23CCF"/>
    <w:rsid w:val="00FC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9CE6C-0674-4682-8E95-6583D867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931"/>
    <w:rPr>
      <w:color w:val="0563C1" w:themeColor="hyperlink"/>
      <w:u w:val="single"/>
    </w:rPr>
  </w:style>
  <w:style w:type="paragraph" w:styleId="NormalWeb">
    <w:name w:val="Normal (Web)"/>
    <w:basedOn w:val="Normal"/>
    <w:uiPriority w:val="99"/>
    <w:semiHidden/>
    <w:unhideWhenUsed/>
    <w:rsid w:val="006757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57FB"/>
    <w:rPr>
      <w:b/>
      <w:bCs/>
    </w:rPr>
  </w:style>
  <w:style w:type="character" w:styleId="Emphasis">
    <w:name w:val="Emphasis"/>
    <w:basedOn w:val="DefaultParagraphFont"/>
    <w:uiPriority w:val="20"/>
    <w:qFormat/>
    <w:rsid w:val="006757FB"/>
    <w:rPr>
      <w:i/>
      <w:iCs/>
    </w:rPr>
  </w:style>
  <w:style w:type="paragraph" w:styleId="ListParagraph">
    <w:name w:val="List Paragraph"/>
    <w:basedOn w:val="Normal"/>
    <w:uiPriority w:val="34"/>
    <w:qFormat/>
    <w:rsid w:val="00597B7F"/>
    <w:pPr>
      <w:ind w:left="720"/>
      <w:contextualSpacing/>
    </w:pPr>
  </w:style>
  <w:style w:type="paragraph" w:styleId="BalloonText">
    <w:name w:val="Balloon Text"/>
    <w:basedOn w:val="Normal"/>
    <w:link w:val="BalloonTextChar"/>
    <w:uiPriority w:val="99"/>
    <w:semiHidden/>
    <w:unhideWhenUsed/>
    <w:rsid w:val="00111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500"/>
    <w:rPr>
      <w:rFonts w:ascii="Segoe UI" w:hAnsi="Segoe UI" w:cs="Segoe UI"/>
      <w:sz w:val="18"/>
      <w:szCs w:val="18"/>
    </w:rPr>
  </w:style>
  <w:style w:type="character" w:customStyle="1" w:styleId="math-inline">
    <w:name w:val="math-inline"/>
    <w:basedOn w:val="DefaultParagraphFont"/>
    <w:rsid w:val="009B4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6467">
      <w:bodyDiv w:val="1"/>
      <w:marLeft w:val="0"/>
      <w:marRight w:val="0"/>
      <w:marTop w:val="0"/>
      <w:marBottom w:val="0"/>
      <w:divBdr>
        <w:top w:val="none" w:sz="0" w:space="0" w:color="auto"/>
        <w:left w:val="none" w:sz="0" w:space="0" w:color="auto"/>
        <w:bottom w:val="none" w:sz="0" w:space="0" w:color="auto"/>
        <w:right w:val="none" w:sz="0" w:space="0" w:color="auto"/>
      </w:divBdr>
    </w:div>
    <w:div w:id="375815011">
      <w:bodyDiv w:val="1"/>
      <w:marLeft w:val="0"/>
      <w:marRight w:val="0"/>
      <w:marTop w:val="0"/>
      <w:marBottom w:val="0"/>
      <w:divBdr>
        <w:top w:val="none" w:sz="0" w:space="0" w:color="auto"/>
        <w:left w:val="none" w:sz="0" w:space="0" w:color="auto"/>
        <w:bottom w:val="none" w:sz="0" w:space="0" w:color="auto"/>
        <w:right w:val="none" w:sz="0" w:space="0" w:color="auto"/>
      </w:divBdr>
    </w:div>
    <w:div w:id="556357637">
      <w:bodyDiv w:val="1"/>
      <w:marLeft w:val="0"/>
      <w:marRight w:val="0"/>
      <w:marTop w:val="0"/>
      <w:marBottom w:val="0"/>
      <w:divBdr>
        <w:top w:val="none" w:sz="0" w:space="0" w:color="auto"/>
        <w:left w:val="none" w:sz="0" w:space="0" w:color="auto"/>
        <w:bottom w:val="none" w:sz="0" w:space="0" w:color="auto"/>
        <w:right w:val="none" w:sz="0" w:space="0" w:color="auto"/>
      </w:divBdr>
    </w:div>
    <w:div w:id="614488421">
      <w:bodyDiv w:val="1"/>
      <w:marLeft w:val="0"/>
      <w:marRight w:val="0"/>
      <w:marTop w:val="0"/>
      <w:marBottom w:val="0"/>
      <w:divBdr>
        <w:top w:val="none" w:sz="0" w:space="0" w:color="auto"/>
        <w:left w:val="none" w:sz="0" w:space="0" w:color="auto"/>
        <w:bottom w:val="none" w:sz="0" w:space="0" w:color="auto"/>
        <w:right w:val="none" w:sz="0" w:space="0" w:color="auto"/>
      </w:divBdr>
    </w:div>
    <w:div w:id="696733950">
      <w:bodyDiv w:val="1"/>
      <w:marLeft w:val="0"/>
      <w:marRight w:val="0"/>
      <w:marTop w:val="0"/>
      <w:marBottom w:val="0"/>
      <w:divBdr>
        <w:top w:val="none" w:sz="0" w:space="0" w:color="auto"/>
        <w:left w:val="none" w:sz="0" w:space="0" w:color="auto"/>
        <w:bottom w:val="none" w:sz="0" w:space="0" w:color="auto"/>
        <w:right w:val="none" w:sz="0" w:space="0" w:color="auto"/>
      </w:divBdr>
    </w:div>
    <w:div w:id="850487849">
      <w:bodyDiv w:val="1"/>
      <w:marLeft w:val="0"/>
      <w:marRight w:val="0"/>
      <w:marTop w:val="0"/>
      <w:marBottom w:val="0"/>
      <w:divBdr>
        <w:top w:val="none" w:sz="0" w:space="0" w:color="auto"/>
        <w:left w:val="none" w:sz="0" w:space="0" w:color="auto"/>
        <w:bottom w:val="none" w:sz="0" w:space="0" w:color="auto"/>
        <w:right w:val="none" w:sz="0" w:space="0" w:color="auto"/>
      </w:divBdr>
    </w:div>
    <w:div w:id="935939588">
      <w:bodyDiv w:val="1"/>
      <w:marLeft w:val="0"/>
      <w:marRight w:val="0"/>
      <w:marTop w:val="0"/>
      <w:marBottom w:val="0"/>
      <w:divBdr>
        <w:top w:val="none" w:sz="0" w:space="0" w:color="auto"/>
        <w:left w:val="none" w:sz="0" w:space="0" w:color="auto"/>
        <w:bottom w:val="none" w:sz="0" w:space="0" w:color="auto"/>
        <w:right w:val="none" w:sz="0" w:space="0" w:color="auto"/>
      </w:divBdr>
    </w:div>
    <w:div w:id="1057820387">
      <w:bodyDiv w:val="1"/>
      <w:marLeft w:val="0"/>
      <w:marRight w:val="0"/>
      <w:marTop w:val="0"/>
      <w:marBottom w:val="0"/>
      <w:divBdr>
        <w:top w:val="none" w:sz="0" w:space="0" w:color="auto"/>
        <w:left w:val="none" w:sz="0" w:space="0" w:color="auto"/>
        <w:bottom w:val="none" w:sz="0" w:space="0" w:color="auto"/>
        <w:right w:val="none" w:sz="0" w:space="0" w:color="auto"/>
      </w:divBdr>
      <w:divsChild>
        <w:div w:id="1827434339">
          <w:marLeft w:val="0"/>
          <w:marRight w:val="0"/>
          <w:marTop w:val="0"/>
          <w:marBottom w:val="0"/>
          <w:divBdr>
            <w:top w:val="none" w:sz="0" w:space="0" w:color="auto"/>
            <w:left w:val="none" w:sz="0" w:space="0" w:color="auto"/>
            <w:bottom w:val="none" w:sz="0" w:space="0" w:color="auto"/>
            <w:right w:val="none" w:sz="0" w:space="0" w:color="auto"/>
          </w:divBdr>
        </w:div>
        <w:div w:id="1617713266">
          <w:marLeft w:val="0"/>
          <w:marRight w:val="0"/>
          <w:marTop w:val="0"/>
          <w:marBottom w:val="0"/>
          <w:divBdr>
            <w:top w:val="none" w:sz="0" w:space="0" w:color="auto"/>
            <w:left w:val="none" w:sz="0" w:space="0" w:color="auto"/>
            <w:bottom w:val="none" w:sz="0" w:space="0" w:color="auto"/>
            <w:right w:val="none" w:sz="0" w:space="0" w:color="auto"/>
          </w:divBdr>
        </w:div>
        <w:div w:id="581336362">
          <w:marLeft w:val="0"/>
          <w:marRight w:val="0"/>
          <w:marTop w:val="0"/>
          <w:marBottom w:val="0"/>
          <w:divBdr>
            <w:top w:val="none" w:sz="0" w:space="0" w:color="auto"/>
            <w:left w:val="none" w:sz="0" w:space="0" w:color="auto"/>
            <w:bottom w:val="none" w:sz="0" w:space="0" w:color="auto"/>
            <w:right w:val="none" w:sz="0" w:space="0" w:color="auto"/>
          </w:divBdr>
        </w:div>
        <w:div w:id="1783458638">
          <w:marLeft w:val="0"/>
          <w:marRight w:val="0"/>
          <w:marTop w:val="0"/>
          <w:marBottom w:val="0"/>
          <w:divBdr>
            <w:top w:val="none" w:sz="0" w:space="0" w:color="auto"/>
            <w:left w:val="none" w:sz="0" w:space="0" w:color="auto"/>
            <w:bottom w:val="none" w:sz="0" w:space="0" w:color="auto"/>
            <w:right w:val="none" w:sz="0" w:space="0" w:color="auto"/>
          </w:divBdr>
        </w:div>
      </w:divsChild>
    </w:div>
    <w:div w:id="1199665362">
      <w:bodyDiv w:val="1"/>
      <w:marLeft w:val="0"/>
      <w:marRight w:val="0"/>
      <w:marTop w:val="0"/>
      <w:marBottom w:val="0"/>
      <w:divBdr>
        <w:top w:val="none" w:sz="0" w:space="0" w:color="auto"/>
        <w:left w:val="none" w:sz="0" w:space="0" w:color="auto"/>
        <w:bottom w:val="none" w:sz="0" w:space="0" w:color="auto"/>
        <w:right w:val="none" w:sz="0" w:space="0" w:color="auto"/>
      </w:divBdr>
    </w:div>
    <w:div w:id="1263489339">
      <w:bodyDiv w:val="1"/>
      <w:marLeft w:val="0"/>
      <w:marRight w:val="0"/>
      <w:marTop w:val="0"/>
      <w:marBottom w:val="0"/>
      <w:divBdr>
        <w:top w:val="none" w:sz="0" w:space="0" w:color="auto"/>
        <w:left w:val="none" w:sz="0" w:space="0" w:color="auto"/>
        <w:bottom w:val="none" w:sz="0" w:space="0" w:color="auto"/>
        <w:right w:val="none" w:sz="0" w:space="0" w:color="auto"/>
      </w:divBdr>
    </w:div>
    <w:div w:id="1297493623">
      <w:bodyDiv w:val="1"/>
      <w:marLeft w:val="0"/>
      <w:marRight w:val="0"/>
      <w:marTop w:val="0"/>
      <w:marBottom w:val="0"/>
      <w:divBdr>
        <w:top w:val="none" w:sz="0" w:space="0" w:color="auto"/>
        <w:left w:val="none" w:sz="0" w:space="0" w:color="auto"/>
        <w:bottom w:val="none" w:sz="0" w:space="0" w:color="auto"/>
        <w:right w:val="none" w:sz="0" w:space="0" w:color="auto"/>
      </w:divBdr>
    </w:div>
    <w:div w:id="1411151756">
      <w:bodyDiv w:val="1"/>
      <w:marLeft w:val="0"/>
      <w:marRight w:val="0"/>
      <w:marTop w:val="0"/>
      <w:marBottom w:val="0"/>
      <w:divBdr>
        <w:top w:val="none" w:sz="0" w:space="0" w:color="auto"/>
        <w:left w:val="none" w:sz="0" w:space="0" w:color="auto"/>
        <w:bottom w:val="none" w:sz="0" w:space="0" w:color="auto"/>
        <w:right w:val="none" w:sz="0" w:space="0" w:color="auto"/>
      </w:divBdr>
    </w:div>
    <w:div w:id="1426532768">
      <w:bodyDiv w:val="1"/>
      <w:marLeft w:val="0"/>
      <w:marRight w:val="0"/>
      <w:marTop w:val="0"/>
      <w:marBottom w:val="0"/>
      <w:divBdr>
        <w:top w:val="none" w:sz="0" w:space="0" w:color="auto"/>
        <w:left w:val="none" w:sz="0" w:space="0" w:color="auto"/>
        <w:bottom w:val="none" w:sz="0" w:space="0" w:color="auto"/>
        <w:right w:val="none" w:sz="0" w:space="0" w:color="auto"/>
      </w:divBdr>
    </w:div>
    <w:div w:id="1437825056">
      <w:bodyDiv w:val="1"/>
      <w:marLeft w:val="0"/>
      <w:marRight w:val="0"/>
      <w:marTop w:val="0"/>
      <w:marBottom w:val="0"/>
      <w:divBdr>
        <w:top w:val="none" w:sz="0" w:space="0" w:color="auto"/>
        <w:left w:val="none" w:sz="0" w:space="0" w:color="auto"/>
        <w:bottom w:val="none" w:sz="0" w:space="0" w:color="auto"/>
        <w:right w:val="none" w:sz="0" w:space="0" w:color="auto"/>
      </w:divBdr>
    </w:div>
    <w:div w:id="1689601398">
      <w:bodyDiv w:val="1"/>
      <w:marLeft w:val="0"/>
      <w:marRight w:val="0"/>
      <w:marTop w:val="0"/>
      <w:marBottom w:val="0"/>
      <w:divBdr>
        <w:top w:val="none" w:sz="0" w:space="0" w:color="auto"/>
        <w:left w:val="none" w:sz="0" w:space="0" w:color="auto"/>
        <w:bottom w:val="none" w:sz="0" w:space="0" w:color="auto"/>
        <w:right w:val="none" w:sz="0" w:space="0" w:color="auto"/>
      </w:divBdr>
    </w:div>
    <w:div w:id="1892037791">
      <w:bodyDiv w:val="1"/>
      <w:marLeft w:val="0"/>
      <w:marRight w:val="0"/>
      <w:marTop w:val="0"/>
      <w:marBottom w:val="0"/>
      <w:divBdr>
        <w:top w:val="none" w:sz="0" w:space="0" w:color="auto"/>
        <w:left w:val="none" w:sz="0" w:space="0" w:color="auto"/>
        <w:bottom w:val="none" w:sz="0" w:space="0" w:color="auto"/>
        <w:right w:val="none" w:sz="0" w:space="0" w:color="auto"/>
      </w:divBdr>
    </w:div>
    <w:div w:id="2012491678">
      <w:bodyDiv w:val="1"/>
      <w:marLeft w:val="0"/>
      <w:marRight w:val="0"/>
      <w:marTop w:val="0"/>
      <w:marBottom w:val="0"/>
      <w:divBdr>
        <w:top w:val="none" w:sz="0" w:space="0" w:color="auto"/>
        <w:left w:val="none" w:sz="0" w:space="0" w:color="auto"/>
        <w:bottom w:val="none" w:sz="0" w:space="0" w:color="auto"/>
        <w:right w:val="none" w:sz="0" w:space="0" w:color="auto"/>
      </w:divBdr>
    </w:div>
    <w:div w:id="21298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15</Pages>
  <Words>5365</Words>
  <Characters>30581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CinenseLibrary</dc:creator>
  <cp:keywords/>
  <dc:description/>
  <cp:lastModifiedBy>CinenseLibrary</cp:lastModifiedBy>
  <cp:revision>9</cp:revision>
  <cp:lastPrinted>2026-06-22T06:40:00Z</cp:lastPrinted>
  <dcterms:created xsi:type="dcterms:W3CDTF">2026-05-28T02:53:00Z</dcterms:created>
  <dcterms:modified xsi:type="dcterms:W3CDTF">2026-06-22T06:55:00Z</dcterms:modified>
</cp:coreProperties>
</file>