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AEF9" w14:textId="0C32A464" w:rsidR="0050677F" w:rsidRPr="009307E9" w:rsidRDefault="00497876" w:rsidP="009307E9">
      <w:pPr>
        <w:jc w:val="center"/>
        <w:rPr>
          <w:b/>
          <w:sz w:val="36"/>
        </w:rPr>
      </w:pPr>
      <w:r w:rsidRPr="009307E9">
        <w:rPr>
          <w:b/>
          <w:sz w:val="36"/>
        </w:rPr>
        <w:t xml:space="preserve">Influence </w:t>
      </w:r>
      <w:r w:rsidR="004C4470" w:rsidRPr="009307E9">
        <w:rPr>
          <w:b/>
          <w:sz w:val="36"/>
        </w:rPr>
        <w:t xml:space="preserve">of </w:t>
      </w:r>
      <w:r w:rsidRPr="009307E9">
        <w:rPr>
          <w:b/>
          <w:sz w:val="36"/>
        </w:rPr>
        <w:t xml:space="preserve">Guidance </w:t>
      </w:r>
      <w:r w:rsidR="001733CA" w:rsidRPr="009307E9">
        <w:rPr>
          <w:b/>
          <w:sz w:val="36"/>
        </w:rPr>
        <w:t>and</w:t>
      </w:r>
      <w:r w:rsidR="003673F9" w:rsidRPr="009307E9">
        <w:rPr>
          <w:b/>
          <w:sz w:val="36"/>
        </w:rPr>
        <w:t xml:space="preserve"> Counselling Programmes </w:t>
      </w:r>
      <w:r w:rsidR="001733CA" w:rsidRPr="009307E9">
        <w:rPr>
          <w:b/>
          <w:sz w:val="36"/>
        </w:rPr>
        <w:t>on</w:t>
      </w:r>
      <w:r w:rsidR="003673F9" w:rsidRPr="009307E9">
        <w:rPr>
          <w:b/>
          <w:sz w:val="36"/>
        </w:rPr>
        <w:t xml:space="preserve"> Emotional </w:t>
      </w:r>
      <w:r w:rsidR="0050677F" w:rsidRPr="009307E9">
        <w:rPr>
          <w:b/>
          <w:sz w:val="36"/>
        </w:rPr>
        <w:t>Re</w:t>
      </w:r>
      <w:r w:rsidR="0006790F" w:rsidRPr="009307E9">
        <w:rPr>
          <w:b/>
          <w:sz w:val="36"/>
        </w:rPr>
        <w:t>gulation</w:t>
      </w:r>
      <w:r w:rsidR="0050677F" w:rsidRPr="009307E9">
        <w:rPr>
          <w:b/>
          <w:sz w:val="36"/>
        </w:rPr>
        <w:t xml:space="preserve"> Among Students </w:t>
      </w:r>
      <w:r w:rsidR="001733CA" w:rsidRPr="009307E9">
        <w:rPr>
          <w:b/>
          <w:sz w:val="36"/>
        </w:rPr>
        <w:t>in</w:t>
      </w:r>
      <w:r w:rsidR="003673F9" w:rsidRPr="009307E9">
        <w:rPr>
          <w:b/>
          <w:sz w:val="36"/>
        </w:rPr>
        <w:t xml:space="preserve"> </w:t>
      </w:r>
      <w:r w:rsidR="0050677F" w:rsidRPr="009307E9">
        <w:rPr>
          <w:b/>
          <w:sz w:val="36"/>
        </w:rPr>
        <w:t xml:space="preserve">Public Secondary Schools </w:t>
      </w:r>
      <w:r w:rsidR="001733CA" w:rsidRPr="009307E9">
        <w:rPr>
          <w:b/>
          <w:sz w:val="36"/>
        </w:rPr>
        <w:t>in</w:t>
      </w:r>
      <w:r w:rsidR="003673F9" w:rsidRPr="009307E9">
        <w:rPr>
          <w:b/>
          <w:sz w:val="36"/>
        </w:rPr>
        <w:t xml:space="preserve"> </w:t>
      </w:r>
      <w:r w:rsidR="0050677F" w:rsidRPr="009307E9">
        <w:rPr>
          <w:b/>
          <w:sz w:val="36"/>
        </w:rPr>
        <w:t>Westlands Sub</w:t>
      </w:r>
      <w:r w:rsidR="003673F9" w:rsidRPr="009307E9">
        <w:rPr>
          <w:b/>
          <w:sz w:val="36"/>
        </w:rPr>
        <w:t>-</w:t>
      </w:r>
      <w:r w:rsidR="0050677F" w:rsidRPr="009307E9">
        <w:rPr>
          <w:b/>
          <w:sz w:val="36"/>
        </w:rPr>
        <w:t>County</w:t>
      </w:r>
      <w:r w:rsidR="003673F9" w:rsidRPr="009307E9">
        <w:rPr>
          <w:b/>
          <w:sz w:val="36"/>
        </w:rPr>
        <w:t xml:space="preserve">, </w:t>
      </w:r>
      <w:r w:rsidR="0050677F" w:rsidRPr="009307E9">
        <w:rPr>
          <w:b/>
          <w:sz w:val="36"/>
        </w:rPr>
        <w:t>Nairobi County</w:t>
      </w:r>
      <w:r w:rsidR="003673F9" w:rsidRPr="009307E9">
        <w:rPr>
          <w:b/>
          <w:sz w:val="36"/>
        </w:rPr>
        <w:t xml:space="preserve">, </w:t>
      </w:r>
      <w:r w:rsidR="0050677F" w:rsidRPr="009307E9">
        <w:rPr>
          <w:b/>
          <w:sz w:val="36"/>
        </w:rPr>
        <w:t>Kenya.</w:t>
      </w:r>
    </w:p>
    <w:p w14:paraId="18F74E64" w14:textId="7C4AB022" w:rsidR="0050677F" w:rsidRPr="00796CF8" w:rsidRDefault="00F94ED8" w:rsidP="00796CF8">
      <w:pPr>
        <w:jc w:val="center"/>
        <w:rPr>
          <w:b/>
          <w:vertAlign w:val="superscript"/>
          <w:lang w:eastAsia="en-GB"/>
        </w:rPr>
      </w:pPr>
      <w:r w:rsidRPr="00796CF8">
        <w:rPr>
          <w:b/>
          <w:lang w:eastAsia="en-GB"/>
        </w:rPr>
        <w:t/>
      </w:r>
      <w:r w:rsidR="0050677F" w:rsidRPr="00796CF8">
        <w:rPr>
          <w:b/>
          <w:lang w:eastAsia="en-GB"/>
        </w:rPr>
        <w:t xml:space="preserve"/>
      </w:r>
      <w:r w:rsidR="0050677F" w:rsidRPr="00796CF8">
        <w:rPr>
          <w:b/>
          <w:vertAlign w:val="superscript"/>
          <w:lang w:eastAsia="en-GB"/>
        </w:rPr>
        <w:t/>
      </w:r>
    </w:p>
    <w:p w14:paraId="62871430" w14:textId="5338230E" w:rsidR="0050677F" w:rsidRPr="00796CF8" w:rsidRDefault="0050677F" w:rsidP="00796CF8">
      <w:pPr>
        <w:jc w:val="center"/>
        <w:rPr>
          <w:b/>
        </w:rPr>
      </w:pPr>
      <w:r w:rsidRPr="00796CF8">
        <w:rPr>
          <w:b/>
        </w:rPr>
        <w:t/>
      </w:r>
    </w:p>
    <w:p w14:paraId="6960160F" w14:textId="58540E3F" w:rsidR="002C35CA" w:rsidRPr="00796CF8" w:rsidRDefault="00000000" w:rsidP="00796CF8">
      <w:pPr>
        <w:jc w:val="center"/>
        <w:rPr>
          <w:b/>
          <w:lang w:eastAsia="en-GB"/>
        </w:rPr>
      </w:pPr>
      <w:hyperlink r:id="rId7" w:history="1">
        <w:r w:rsidR="0050677F" w:rsidRPr="00796CF8">
          <w:rPr>
            <w:rStyle w:val="Hyperlink"/>
            <w:rFonts w:eastAsia="Times New Roman" w:cs="Times New Roman"/>
            <w:b/>
            <w:bCs/>
            <w:szCs w:val="24"/>
            <w:lang w:eastAsia="en-GB"/>
          </w:rPr>
          <w:t/>
        </w:r>
      </w:hyperlink>
    </w:p>
    <w:p w14:paraId="70A29C9F" w14:textId="35FFEC9E" w:rsidR="0050677F" w:rsidRPr="00796CF8" w:rsidRDefault="002C35CA" w:rsidP="00796CF8">
      <w:pPr>
        <w:jc w:val="center"/>
        <w:rPr>
          <w:b/>
          <w:lang w:eastAsia="en-GB"/>
        </w:rPr>
      </w:pPr>
      <w:r w:rsidRPr="00796CF8">
        <w:rPr>
          <w:b/>
          <w:lang w:eastAsia="en-GB"/>
        </w:rPr>
        <w:t/>
      </w:r>
      <w:r w:rsidRPr="00796CF8">
        <w:rPr>
          <w:b/>
          <w:vertAlign w:val="superscript"/>
          <w:lang w:eastAsia="en-GB"/>
        </w:rPr>
        <w:t/>
      </w:r>
    </w:p>
    <w:p w14:paraId="01AF1D33" w14:textId="77777777" w:rsidR="002C35CA" w:rsidRPr="00796CF8" w:rsidRDefault="002C35CA" w:rsidP="00796CF8">
      <w:pPr>
        <w:jc w:val="center"/>
        <w:rPr>
          <w:b/>
        </w:rPr>
      </w:pPr>
      <w:r w:rsidRPr="00796CF8">
        <w:rPr>
          <w:b/>
        </w:rPr>
        <w:t/>
      </w:r>
    </w:p>
    <w:p w14:paraId="44AB7B89" w14:textId="77777777" w:rsidR="002C35CA" w:rsidRPr="00593491" w:rsidRDefault="002C35CA" w:rsidP="00796CF8"/>
    <w:p w14:paraId="295F6FA2" w14:textId="3A661FBA" w:rsidR="0050677F" w:rsidRPr="00D867E9" w:rsidRDefault="0098407D" w:rsidP="00D867E9">
      <w:pPr>
        <w:pStyle w:val="Heading1"/>
      </w:pPr>
      <w:r w:rsidRPr="00D867E9">
        <w:t>ABSTRACT</w:t>
      </w:r>
    </w:p>
    <w:p w14:paraId="4D4A54AB" w14:textId="128DAD9E" w:rsidR="003673F9" w:rsidRPr="000309F8" w:rsidRDefault="0050677F" w:rsidP="000309F8">
      <w:r w:rsidRPr="000309F8">
        <w:t>Emotional r</w:t>
      </w:r>
      <w:r w:rsidR="00791953" w:rsidRPr="000309F8">
        <w:t>egulation</w:t>
      </w:r>
      <w:r w:rsidRPr="000309F8">
        <w:t xml:space="preserve"> is critical to student</w:t>
      </w:r>
      <w:r w:rsidR="003673F9" w:rsidRPr="000309F8">
        <w:t>s’</w:t>
      </w:r>
      <w:r w:rsidRPr="000309F8">
        <w:t xml:space="preserve"> development, influencing how they cope with stress, manage emotions and succeed in academic and social environments</w:t>
      </w:r>
      <w:r w:rsidR="003673F9" w:rsidRPr="000309F8">
        <w:t>.</w:t>
      </w:r>
      <w:r w:rsidRPr="000309F8">
        <w:t xml:space="preserve"> However, there is limited empirical data on the</w:t>
      </w:r>
      <w:r w:rsidR="0006790F" w:rsidRPr="000309F8">
        <w:t xml:space="preserve"> influence</w:t>
      </w:r>
      <w:r w:rsidRPr="000309F8">
        <w:t xml:space="preserve"> of guidance and counselling programmes</w:t>
      </w:r>
      <w:r w:rsidR="005A64DA" w:rsidRPr="000309F8">
        <w:t xml:space="preserve"> on</w:t>
      </w:r>
      <w:r w:rsidRPr="000309F8">
        <w:t xml:space="preserve"> emotional </w:t>
      </w:r>
      <w:r w:rsidR="00791953" w:rsidRPr="000309F8">
        <w:t>regulation</w:t>
      </w:r>
      <w:r w:rsidRPr="000309F8">
        <w:t xml:space="preserve"> among</w:t>
      </w:r>
      <w:r w:rsidR="005A64DA" w:rsidRPr="000309F8">
        <w:t xml:space="preserve"> students in </w:t>
      </w:r>
      <w:r w:rsidRPr="000309F8">
        <w:t>public secondary school</w:t>
      </w:r>
      <w:r w:rsidR="005A64DA" w:rsidRPr="000309F8">
        <w:t>s</w:t>
      </w:r>
      <w:r w:rsidRPr="000309F8">
        <w:t xml:space="preserve"> </w:t>
      </w:r>
      <w:r w:rsidR="005A64DA" w:rsidRPr="000309F8">
        <w:t xml:space="preserve">in </w:t>
      </w:r>
      <w:r w:rsidRPr="000309F8">
        <w:t>Westlands Sub-County</w:t>
      </w:r>
      <w:r w:rsidR="005A64DA" w:rsidRPr="000309F8">
        <w:t>, Nairobi County, Kenya</w:t>
      </w:r>
      <w:r w:rsidRPr="000309F8">
        <w:t>. Th</w:t>
      </w:r>
      <w:r w:rsidR="005A64DA" w:rsidRPr="000309F8">
        <w:t>e objective of the</w:t>
      </w:r>
      <w:r w:rsidRPr="000309F8">
        <w:t xml:space="preserve"> study </w:t>
      </w:r>
      <w:r w:rsidR="005A64DA" w:rsidRPr="000309F8">
        <w:t xml:space="preserve">was to </w:t>
      </w:r>
      <w:r w:rsidRPr="000309F8">
        <w:t>examine</w:t>
      </w:r>
      <w:r w:rsidR="005A64DA" w:rsidRPr="000309F8">
        <w:t xml:space="preserve"> the influence of guidance and counselling</w:t>
      </w:r>
      <w:r w:rsidR="009D7C24" w:rsidRPr="000309F8">
        <w:t xml:space="preserve"> programmes</w:t>
      </w:r>
      <w:r w:rsidR="005A64DA" w:rsidRPr="000309F8">
        <w:t xml:space="preserve"> on </w:t>
      </w:r>
      <w:r w:rsidRPr="000309F8">
        <w:t>emotional r</w:t>
      </w:r>
      <w:r w:rsidR="005A64DA" w:rsidRPr="000309F8">
        <w:t>egulation</w:t>
      </w:r>
      <w:r w:rsidRPr="000309F8">
        <w:t xml:space="preserve"> among students in public secondary schools in Westlands Sub-County</w:t>
      </w:r>
      <w:r w:rsidR="005A64DA" w:rsidRPr="000309F8">
        <w:t>, Nairobi County, Kenya.</w:t>
      </w:r>
      <w:r w:rsidRPr="000309F8">
        <w:t xml:space="preserve"> A descriptive survey design was adopted</w:t>
      </w:r>
      <w:r w:rsidR="00C71E70" w:rsidRPr="000309F8">
        <w:t xml:space="preserve"> targeting 10,072 respondents (9,647 students, 411 class teachers, and 14 H.</w:t>
      </w:r>
      <w:r w:rsidR="00D71F0D" w:rsidRPr="000309F8">
        <w:t>O. Ds Guidance</w:t>
      </w:r>
      <w:r w:rsidR="00C71E70" w:rsidRPr="000309F8">
        <w:t xml:space="preserve"> and Counselling) from 14 public secondary schools in Westlands Sub-County, Kenya</w:t>
      </w:r>
      <w:r w:rsidRPr="000309F8">
        <w:t xml:space="preserve">. Using </w:t>
      </w:r>
      <w:r w:rsidR="00C71E70" w:rsidRPr="000309F8">
        <w:t>Proportionate stratified random sampling and purposive sampling</w:t>
      </w:r>
      <w:r w:rsidRPr="000309F8">
        <w:t xml:space="preserve">, a sample of 385 </w:t>
      </w:r>
      <w:r w:rsidR="00C71E70" w:rsidRPr="000309F8">
        <w:t>participants</w:t>
      </w:r>
      <w:r w:rsidRPr="000309F8">
        <w:t xml:space="preserve"> was selected to ensure representation across schools. Quantitative data was </w:t>
      </w:r>
      <w:r w:rsidR="00836E1B" w:rsidRPr="000309F8">
        <w:t>analysed</w:t>
      </w:r>
      <w:r w:rsidRPr="000309F8">
        <w:t xml:space="preserve"> using descriptive statistics and inferential analysis.</w:t>
      </w:r>
      <w:r w:rsidR="00C71E70" w:rsidRPr="000309F8">
        <w:t xml:space="preserve"> </w:t>
      </w:r>
      <w:bookmarkStart w:id="0" w:name="_Hlk231901536"/>
      <w:r w:rsidR="00C71E70" w:rsidRPr="000309F8">
        <w:t>Piloting was conducted to test the instrument’s reliability obtaining 0.835 and 0.815 reliability coefficients with students’ and teachers’ questionnaire respectively using Cronbach’s alpha.</w:t>
      </w:r>
      <w:bookmarkEnd w:id="0"/>
      <w:r w:rsidR="00C71E70" w:rsidRPr="000309F8">
        <w:t xml:space="preserve"> Dependability of the qualitative tools was established through interviews that yielded consistent insights. Credibility was enhanced by cross-checking the interview data with questionnaire results to ensure accuracy and trustworthiness. Content and construct validity was ascertained through expert evaluation of the instruments.</w:t>
      </w:r>
      <w:r w:rsidRPr="000309F8">
        <w:t xml:space="preserve"> The findings</w:t>
      </w:r>
      <w:r w:rsidR="003673F9" w:rsidRPr="000309F8">
        <w:t xml:space="preserve"> revealed that guidance and counselling programmes moderately supported students’ emotional regulation, though statistical tests showed no significant difference between teacher and student perceptions and qualitative data revealed gaps in implementation and staffing.</w:t>
      </w:r>
      <w:r w:rsidR="00E15C0C" w:rsidRPr="000309F8">
        <w:t xml:space="preserve"> The study concludes that </w:t>
      </w:r>
      <w:r w:rsidR="003673F9" w:rsidRPr="000309F8">
        <w:t xml:space="preserve">Guidance and counselling programmes in the schools have a generally positive but limited and inconsistent </w:t>
      </w:r>
      <w:r w:rsidR="00E15C0C" w:rsidRPr="000309F8">
        <w:t xml:space="preserve">influence </w:t>
      </w:r>
      <w:r w:rsidR="003673F9" w:rsidRPr="000309F8">
        <w:t>on students’ ability to manage their emotions effectively.</w:t>
      </w:r>
      <w:r w:rsidR="00E15C0C" w:rsidRPr="000309F8">
        <w:t xml:space="preserve"> The study recommends that </w:t>
      </w:r>
      <w:r w:rsidR="003673F9" w:rsidRPr="000309F8">
        <w:t>Schools should strengthen guidance and counselling</w:t>
      </w:r>
      <w:r w:rsidR="001733CA" w:rsidRPr="000309F8">
        <w:t xml:space="preserve"> </w:t>
      </w:r>
      <w:r w:rsidR="005A64DA" w:rsidRPr="000309F8">
        <w:t>programmes</w:t>
      </w:r>
      <w:r w:rsidR="003673F9" w:rsidRPr="000309F8">
        <w:t xml:space="preserve"> by ensuring consistent delivery, adequate staffing, proper training and structured follow-up to enhance their effectiveness in fostering emotional regulation.</w:t>
      </w:r>
    </w:p>
    <w:p w14:paraId="6CE2D11C" w14:textId="0F396C29" w:rsidR="0050677F" w:rsidRPr="00773249" w:rsidRDefault="0050677F" w:rsidP="001D6167">
      <w:pPr>
        <w:pStyle w:val="NormalWeb"/>
        <w:tabs>
          <w:tab w:val="left" w:pos="1530"/>
          <w:tab w:val="left" w:pos="1620"/>
          <w:tab w:val="left" w:pos="1800"/>
          <w:tab w:val="left" w:pos="12870"/>
        </w:tabs>
        <w:spacing w:before="240" w:beforeAutospacing="0" w:after="240" w:afterAutospacing="0"/>
      </w:pPr>
      <w:r w:rsidRPr="00773249">
        <w:rPr>
          <w:b/>
        </w:rPr>
        <w:t>Key Words:</w:t>
      </w:r>
      <w:r w:rsidRPr="00773249">
        <w:t xml:space="preserve"> Emotional Resilience,</w:t>
      </w:r>
      <w:r w:rsidRPr="00773249">
        <w:rPr>
          <w:b/>
          <w:bCs/>
        </w:rPr>
        <w:t xml:space="preserve"> </w:t>
      </w:r>
      <w:r w:rsidRPr="00773249">
        <w:t>Guidance and counselling programmes, Public Secondary school students, Emotional regulation</w:t>
      </w:r>
      <w:r w:rsidR="005507EF" w:rsidRPr="00773249">
        <w:t>.</w:t>
      </w:r>
      <w:r w:rsidRPr="00773249">
        <w:t xml:space="preserve"> </w:t>
      </w:r>
    </w:p>
    <w:p w14:paraId="547D121C" w14:textId="77777777" w:rsidR="0030722B" w:rsidRPr="00773249" w:rsidRDefault="0050677F" w:rsidP="00EA6C9F">
      <w:pPr>
        <w:pStyle w:val="Heading1"/>
      </w:pPr>
      <w:r w:rsidRPr="00773249">
        <w:t>INTRODUCTION</w:t>
      </w:r>
    </w:p>
    <w:p w14:paraId="5D2CAE96" w14:textId="757B853F" w:rsidR="0030722B" w:rsidRPr="00773249" w:rsidRDefault="0030722B" w:rsidP="001D6167">
      <w:pPr>
        <w:rPr>
          <w:rFonts w:eastAsia="Times New Roman" w:cs="Times New Roman"/>
          <w:szCs w:val="24"/>
          <w:lang w:val="en-US"/>
        </w:rPr>
      </w:pPr>
      <w:r w:rsidRPr="00773249">
        <w:rPr>
          <w:rFonts w:eastAsia="Times New Roman" w:cs="Times New Roman"/>
          <w:szCs w:val="24"/>
          <w:lang w:val="en-US"/>
        </w:rPr>
        <w:t xml:space="preserve"> Students' mental health and academic performance are greatly influenced by emotional </w:t>
      </w:r>
      <w:r w:rsidR="005B5B6C" w:rsidRPr="00773249">
        <w:rPr>
          <w:rFonts w:eastAsia="Times New Roman" w:cs="Times New Roman"/>
          <w:szCs w:val="24"/>
          <w:lang w:val="en-US"/>
        </w:rPr>
        <w:t>regulation</w:t>
      </w:r>
      <w:r w:rsidRPr="00773249">
        <w:rPr>
          <w:rFonts w:eastAsia="Times New Roman" w:cs="Times New Roman"/>
          <w:szCs w:val="24"/>
          <w:lang w:val="en-US"/>
        </w:rPr>
        <w:t>, which helps students to track, manage and appropriately express their feelings in the face of adversity, (Gross, 20</w:t>
      </w:r>
      <w:r w:rsidR="009019E2" w:rsidRPr="00773249">
        <w:rPr>
          <w:rFonts w:eastAsia="Times New Roman" w:cs="Times New Roman"/>
          <w:szCs w:val="24"/>
          <w:lang w:val="en-US"/>
        </w:rPr>
        <w:t>21</w:t>
      </w:r>
      <w:r w:rsidRPr="00773249">
        <w:rPr>
          <w:rFonts w:eastAsia="Times New Roman" w:cs="Times New Roman"/>
          <w:szCs w:val="24"/>
          <w:lang w:val="en-US"/>
        </w:rPr>
        <w:t>). Adolescents in public secondary schools frequently deal with peer dynamics, financial hardships, and academic pressure. These difficulties can result in stress, low motivation, and poor performance if one lacks good emotional control abilities (Masten, 20</w:t>
      </w:r>
      <w:r w:rsidR="009019E2" w:rsidRPr="00773249">
        <w:rPr>
          <w:rFonts w:eastAsia="Times New Roman" w:cs="Times New Roman"/>
          <w:szCs w:val="24"/>
          <w:lang w:val="en-US"/>
        </w:rPr>
        <w:t>23</w:t>
      </w:r>
      <w:r w:rsidRPr="00773249">
        <w:rPr>
          <w:rFonts w:eastAsia="Times New Roman" w:cs="Times New Roman"/>
          <w:szCs w:val="24"/>
          <w:lang w:val="en-US"/>
        </w:rPr>
        <w:t>). Guidance and counselling programme</w:t>
      </w:r>
      <w:r w:rsidR="00E15C0C" w:rsidRPr="00773249">
        <w:rPr>
          <w:rFonts w:eastAsia="Times New Roman" w:cs="Times New Roman"/>
          <w:szCs w:val="24"/>
          <w:lang w:val="en-US"/>
        </w:rPr>
        <w:t>s</w:t>
      </w:r>
      <w:r w:rsidRPr="00773249">
        <w:rPr>
          <w:rFonts w:eastAsia="Times New Roman" w:cs="Times New Roman"/>
          <w:szCs w:val="24"/>
          <w:lang w:val="en-US"/>
        </w:rPr>
        <w:t xml:space="preserve"> have been recognized globally as successful interventions that facilitate the development of these resilience-enhancing skills. </w:t>
      </w:r>
    </w:p>
    <w:p w14:paraId="16329858" w14:textId="77777777" w:rsidR="0030722B" w:rsidRPr="00773249" w:rsidRDefault="0030722B" w:rsidP="001D6167">
      <w:pPr>
        <w:rPr>
          <w:rFonts w:eastAsia="Times New Roman" w:cs="Times New Roman"/>
          <w:szCs w:val="24"/>
          <w:lang w:val="en-US"/>
        </w:rPr>
      </w:pPr>
      <w:r w:rsidRPr="00773249">
        <w:rPr>
          <w:rFonts w:eastAsia="Times New Roman" w:cs="Times New Roman"/>
          <w:szCs w:val="24"/>
          <w:lang w:val="en-US"/>
        </w:rPr>
        <w:lastRenderedPageBreak/>
        <w:t>Guidance and counsel</w:t>
      </w:r>
      <w:r w:rsidR="009019E2" w:rsidRPr="00773249">
        <w:rPr>
          <w:rFonts w:eastAsia="Times New Roman" w:cs="Times New Roman"/>
          <w:szCs w:val="24"/>
          <w:lang w:val="en-US"/>
        </w:rPr>
        <w:t>l</w:t>
      </w:r>
      <w:r w:rsidRPr="00773249">
        <w:rPr>
          <w:rFonts w:eastAsia="Times New Roman" w:cs="Times New Roman"/>
          <w:szCs w:val="24"/>
          <w:lang w:val="en-US"/>
        </w:rPr>
        <w:t>ing</w:t>
      </w:r>
      <w:r w:rsidR="00C3703A" w:rsidRPr="00773249">
        <w:rPr>
          <w:rFonts w:eastAsia="Times New Roman" w:cs="Times New Roman"/>
          <w:szCs w:val="24"/>
          <w:lang w:val="en-US"/>
        </w:rPr>
        <w:t xml:space="preserve"> programmes</w:t>
      </w:r>
      <w:r w:rsidRPr="00773249">
        <w:rPr>
          <w:rFonts w:eastAsia="Times New Roman" w:cs="Times New Roman"/>
          <w:szCs w:val="24"/>
          <w:lang w:val="en-US"/>
        </w:rPr>
        <w:t xml:space="preserve"> are emphasized by Kenya's Ministry of Education as a crucial tactic for addressing students' psychosocial needs and providing them with flexible coping skills (Wambui &amp; Kyalo, 2020). Public secondary schools in Nairobi County's Westlands Sub-County serve students from a variety of socioeconomic backgrounds, many of whom deal with situations that can impair their emotional fortitude. Effective school-based guidance and counselling programmes can improve emotional regulation abilities like perspective-taking, positive refocusing and acceptance (</w:t>
      </w:r>
      <w:proofErr w:type="spellStart"/>
      <w:r w:rsidRPr="00773249">
        <w:rPr>
          <w:rFonts w:eastAsia="Times New Roman" w:cs="Times New Roman"/>
          <w:szCs w:val="24"/>
          <w:lang w:val="en-US"/>
        </w:rPr>
        <w:t>Garnefski</w:t>
      </w:r>
      <w:proofErr w:type="spellEnd"/>
      <w:r w:rsidRPr="00773249">
        <w:rPr>
          <w:rFonts w:eastAsia="Times New Roman" w:cs="Times New Roman"/>
          <w:szCs w:val="24"/>
          <w:lang w:val="en-US"/>
        </w:rPr>
        <w:t xml:space="preserve"> &amp; </w:t>
      </w:r>
      <w:proofErr w:type="spellStart"/>
      <w:r w:rsidRPr="00773249">
        <w:rPr>
          <w:rFonts w:eastAsia="Times New Roman" w:cs="Times New Roman"/>
          <w:szCs w:val="24"/>
          <w:lang w:val="en-US"/>
        </w:rPr>
        <w:t>Kraaij</w:t>
      </w:r>
      <w:proofErr w:type="spellEnd"/>
      <w:r w:rsidRPr="00773249">
        <w:rPr>
          <w:rFonts w:eastAsia="Times New Roman" w:cs="Times New Roman"/>
          <w:szCs w:val="24"/>
          <w:lang w:val="en-US"/>
        </w:rPr>
        <w:t>, 20</w:t>
      </w:r>
      <w:r w:rsidR="009019E2" w:rsidRPr="00773249">
        <w:rPr>
          <w:rFonts w:eastAsia="Times New Roman" w:cs="Times New Roman"/>
          <w:szCs w:val="24"/>
          <w:lang w:val="en-US"/>
        </w:rPr>
        <w:t>22</w:t>
      </w:r>
      <w:r w:rsidRPr="00773249">
        <w:rPr>
          <w:rFonts w:eastAsia="Times New Roman" w:cs="Times New Roman"/>
          <w:szCs w:val="24"/>
          <w:lang w:val="en-US"/>
        </w:rPr>
        <w:t>). These abilities in turn foster optimism and self-assurance.</w:t>
      </w:r>
    </w:p>
    <w:p w14:paraId="2E0B385E" w14:textId="77777777" w:rsidR="009019E2" w:rsidRPr="00773249" w:rsidRDefault="009019E2" w:rsidP="001D6167">
      <w:pPr>
        <w:rPr>
          <w:rFonts w:eastAsia="Times New Roman" w:cs="Times New Roman"/>
          <w:szCs w:val="24"/>
          <w:lang w:val="en-US"/>
        </w:rPr>
      </w:pPr>
    </w:p>
    <w:p w14:paraId="7F7E442A" w14:textId="103ABEC5" w:rsidR="0030722B" w:rsidRPr="00773249" w:rsidRDefault="0030722B" w:rsidP="001D6167">
      <w:pPr>
        <w:rPr>
          <w:rFonts w:eastAsia="Times New Roman" w:cs="Times New Roman"/>
          <w:szCs w:val="24"/>
          <w:lang w:val="en-US"/>
        </w:rPr>
      </w:pPr>
      <w:r w:rsidRPr="00773249">
        <w:rPr>
          <w:rFonts w:eastAsia="Times New Roman" w:cs="Times New Roman"/>
          <w:szCs w:val="24"/>
          <w:lang w:val="en-US"/>
        </w:rPr>
        <w:t xml:space="preserve">Although the policy framework acknowledges the significance of these programmes, there is still a lack of research on their specific influence on </w:t>
      </w:r>
      <w:proofErr w:type="spellStart"/>
      <w:r w:rsidRPr="00773249">
        <w:rPr>
          <w:rFonts w:eastAsia="Times New Roman" w:cs="Times New Roman"/>
          <w:szCs w:val="24"/>
          <w:lang w:val="en-US"/>
        </w:rPr>
        <w:t>students</w:t>
      </w:r>
      <w:r w:rsidR="005B5B6C" w:rsidRPr="00773249">
        <w:rPr>
          <w:rFonts w:eastAsia="Times New Roman" w:cs="Times New Roman"/>
          <w:szCs w:val="24"/>
          <w:lang w:val="en-US"/>
        </w:rPr>
        <w:t>’</w:t>
      </w:r>
      <w:r w:rsidRPr="00773249">
        <w:rPr>
          <w:rFonts w:eastAsia="Times New Roman" w:cs="Times New Roman"/>
          <w:szCs w:val="24"/>
          <w:lang w:val="en-US"/>
        </w:rPr>
        <w:t>emotional</w:t>
      </w:r>
      <w:proofErr w:type="spellEnd"/>
      <w:r w:rsidRPr="00773249">
        <w:rPr>
          <w:rFonts w:eastAsia="Times New Roman" w:cs="Times New Roman"/>
          <w:szCs w:val="24"/>
          <w:lang w:val="en-US"/>
        </w:rPr>
        <w:t xml:space="preserve"> regulation, in urban Kenyan public schools (Ng'ang'a &amp; </w:t>
      </w:r>
      <w:proofErr w:type="spellStart"/>
      <w:r w:rsidRPr="00773249">
        <w:rPr>
          <w:rFonts w:eastAsia="Times New Roman" w:cs="Times New Roman"/>
          <w:szCs w:val="24"/>
          <w:lang w:val="en-US"/>
        </w:rPr>
        <w:t>Thinguri</w:t>
      </w:r>
      <w:proofErr w:type="spellEnd"/>
      <w:r w:rsidRPr="00773249">
        <w:rPr>
          <w:rFonts w:eastAsia="Times New Roman" w:cs="Times New Roman"/>
          <w:szCs w:val="24"/>
          <w:lang w:val="en-US"/>
        </w:rPr>
        <w:t>, 20</w:t>
      </w:r>
      <w:r w:rsidR="009019E2" w:rsidRPr="00773249">
        <w:rPr>
          <w:rFonts w:eastAsia="Times New Roman" w:cs="Times New Roman"/>
          <w:szCs w:val="24"/>
          <w:lang w:val="en-US"/>
        </w:rPr>
        <w:t>20</w:t>
      </w:r>
      <w:r w:rsidRPr="00773249">
        <w:rPr>
          <w:rFonts w:eastAsia="Times New Roman" w:cs="Times New Roman"/>
          <w:szCs w:val="24"/>
          <w:lang w:val="en-US"/>
        </w:rPr>
        <w:t xml:space="preserve">). Examining this influence is critical for enhancing programmes design and ensuring that interventions address the real obstacles that learners encounter. This study looked into how guidance and counselling programmes influence emotional regulation among students in public secondary schools in Westlands Sub-County, Nairobi County, Kenya. </w:t>
      </w:r>
    </w:p>
    <w:p w14:paraId="59DCC32B" w14:textId="77777777" w:rsidR="001F5620" w:rsidRPr="00773249" w:rsidRDefault="00793D91" w:rsidP="00EA6C9F">
      <w:pPr>
        <w:pStyle w:val="Heading1"/>
        <w:rPr>
          <w:rFonts w:eastAsia="Times New Roman"/>
          <w:lang w:eastAsia="en-GB"/>
        </w:rPr>
      </w:pPr>
      <w:r w:rsidRPr="00773249">
        <w:t>METHODOLOGY</w:t>
      </w:r>
      <w:r w:rsidR="001F5620" w:rsidRPr="00773249">
        <w:rPr>
          <w:rFonts w:eastAsia="Times New Roman"/>
          <w:lang w:eastAsia="en-GB"/>
        </w:rPr>
        <w:t xml:space="preserve"> </w:t>
      </w:r>
    </w:p>
    <w:p w14:paraId="05383113" w14:textId="0388F9E4" w:rsidR="001F5620" w:rsidRPr="00773249" w:rsidRDefault="001F5620" w:rsidP="001D6167">
      <w:pPr>
        <w:tabs>
          <w:tab w:val="left" w:pos="2790"/>
          <w:tab w:val="left" w:pos="3600"/>
        </w:tabs>
        <w:rPr>
          <w:rFonts w:eastAsia="Times New Roman" w:cs="Times New Roman"/>
          <w:szCs w:val="24"/>
          <w:lang w:eastAsia="en-GB"/>
        </w:rPr>
      </w:pPr>
      <w:r w:rsidRPr="00773249">
        <w:rPr>
          <w:rFonts w:eastAsia="Times New Roman" w:cs="Times New Roman"/>
          <w:szCs w:val="24"/>
          <w:lang w:eastAsia="en-GB"/>
        </w:rPr>
        <w:t xml:space="preserve">The study was guided by </w:t>
      </w:r>
      <w:r w:rsidR="00670B14" w:rsidRPr="00773249">
        <w:rPr>
          <w:rFonts w:eastAsia="Times New Roman" w:cs="Times New Roman"/>
          <w:bCs/>
          <w:szCs w:val="24"/>
          <w:lang w:eastAsia="en-GB"/>
        </w:rPr>
        <w:t>Ungar’s socioecological model of resilienc</w:t>
      </w:r>
      <w:r w:rsidRPr="00773249">
        <w:rPr>
          <w:rFonts w:eastAsia="Times New Roman" w:cs="Times New Roman"/>
          <w:bCs/>
          <w:szCs w:val="24"/>
          <w:lang w:eastAsia="en-GB"/>
        </w:rPr>
        <w:t>e</w:t>
      </w:r>
      <w:r w:rsidRPr="00773249">
        <w:rPr>
          <w:rFonts w:eastAsia="Times New Roman" w:cs="Times New Roman"/>
          <w:szCs w:val="24"/>
          <w:lang w:eastAsia="en-GB"/>
        </w:rPr>
        <w:t xml:space="preserve">. The research was conducted in Westlands Sub-County, an urban area characterized by wide socio-economic diversity and rising psychosocial stressors among school-going adolescents. A </w:t>
      </w:r>
      <w:r w:rsidRPr="00773249">
        <w:rPr>
          <w:rFonts w:eastAsia="Times New Roman" w:cs="Times New Roman"/>
          <w:bCs/>
          <w:szCs w:val="24"/>
          <w:lang w:eastAsia="en-GB"/>
        </w:rPr>
        <w:t>descriptive survey design</w:t>
      </w:r>
      <w:r w:rsidRPr="00773249">
        <w:rPr>
          <w:rFonts w:eastAsia="Times New Roman" w:cs="Times New Roman"/>
          <w:szCs w:val="24"/>
          <w:lang w:eastAsia="en-GB"/>
        </w:rPr>
        <w:t xml:space="preserve"> was adopted. The study targeted a population of </w:t>
      </w:r>
      <w:r w:rsidRPr="00773249">
        <w:rPr>
          <w:rFonts w:eastAsia="Times New Roman" w:cs="Times New Roman"/>
          <w:bCs/>
          <w:szCs w:val="24"/>
          <w:lang w:eastAsia="en-GB"/>
        </w:rPr>
        <w:t>Form</w:t>
      </w:r>
      <w:r w:rsidR="00775185" w:rsidRPr="00773249">
        <w:rPr>
          <w:rFonts w:eastAsia="Times New Roman" w:cs="Times New Roman"/>
          <w:bCs/>
          <w:szCs w:val="24"/>
          <w:lang w:eastAsia="en-GB"/>
        </w:rPr>
        <w:t>s</w:t>
      </w:r>
      <w:r w:rsidRPr="00773249">
        <w:rPr>
          <w:rFonts w:eastAsia="Times New Roman" w:cs="Times New Roman"/>
          <w:bCs/>
          <w:szCs w:val="24"/>
          <w:lang w:eastAsia="en-GB"/>
        </w:rPr>
        <w:t xml:space="preserve"> 2</w:t>
      </w:r>
      <w:r w:rsidR="00775185" w:rsidRPr="00773249">
        <w:rPr>
          <w:rFonts w:eastAsia="Times New Roman" w:cs="Times New Roman"/>
          <w:bCs/>
          <w:szCs w:val="24"/>
          <w:lang w:eastAsia="en-GB"/>
        </w:rPr>
        <w:t>,3</w:t>
      </w:r>
      <w:r w:rsidRPr="00773249">
        <w:rPr>
          <w:rFonts w:eastAsia="Times New Roman" w:cs="Times New Roman"/>
          <w:bCs/>
          <w:szCs w:val="24"/>
          <w:lang w:eastAsia="en-GB"/>
        </w:rPr>
        <w:t xml:space="preserve"> and </w:t>
      </w:r>
      <w:r w:rsidR="00775185" w:rsidRPr="00773249">
        <w:rPr>
          <w:rFonts w:eastAsia="Times New Roman" w:cs="Times New Roman"/>
          <w:bCs/>
          <w:szCs w:val="24"/>
          <w:lang w:eastAsia="en-GB"/>
        </w:rPr>
        <w:t>4</w:t>
      </w:r>
      <w:r w:rsidRPr="00773249">
        <w:rPr>
          <w:rFonts w:eastAsia="Times New Roman" w:cs="Times New Roman"/>
          <w:bCs/>
          <w:szCs w:val="24"/>
          <w:lang w:eastAsia="en-GB"/>
        </w:rPr>
        <w:t xml:space="preserve"> students</w:t>
      </w:r>
      <w:r w:rsidR="002A193C" w:rsidRPr="00773249">
        <w:rPr>
          <w:rFonts w:eastAsia="Times New Roman" w:cs="Times New Roman"/>
          <w:bCs/>
          <w:szCs w:val="24"/>
          <w:lang w:eastAsia="en-GB"/>
        </w:rPr>
        <w:t xml:space="preserve">, </w:t>
      </w:r>
      <w:r w:rsidR="00585A2D" w:rsidRPr="00773249">
        <w:rPr>
          <w:rFonts w:eastAsia="Times New Roman" w:cs="Times New Roman"/>
          <w:bCs/>
          <w:szCs w:val="24"/>
          <w:lang w:eastAsia="en-GB"/>
        </w:rPr>
        <w:t>class teachers</w:t>
      </w:r>
      <w:r w:rsidR="002A193C" w:rsidRPr="00773249">
        <w:rPr>
          <w:rFonts w:eastAsia="Times New Roman" w:cs="Times New Roman"/>
          <w:bCs/>
          <w:szCs w:val="24"/>
          <w:lang w:eastAsia="en-GB"/>
        </w:rPr>
        <w:t xml:space="preserve"> and </w:t>
      </w:r>
      <w:bookmarkStart w:id="1" w:name="_Hlk206022975"/>
      <w:r w:rsidR="00775185" w:rsidRPr="00773249">
        <w:rPr>
          <w:rFonts w:eastAsia="Times New Roman" w:cs="Times New Roman"/>
          <w:bCs/>
          <w:szCs w:val="24"/>
          <w:lang w:eastAsia="en-GB"/>
        </w:rPr>
        <w:t>H.</w:t>
      </w:r>
      <w:proofErr w:type="gramStart"/>
      <w:r w:rsidR="00775185" w:rsidRPr="00773249">
        <w:rPr>
          <w:rFonts w:eastAsia="Times New Roman" w:cs="Times New Roman"/>
          <w:bCs/>
          <w:szCs w:val="24"/>
          <w:lang w:eastAsia="en-GB"/>
        </w:rPr>
        <w:t>O.D</w:t>
      </w:r>
      <w:r w:rsidR="00670B14" w:rsidRPr="00773249">
        <w:rPr>
          <w:rFonts w:eastAsia="Times New Roman" w:cs="Times New Roman"/>
          <w:bCs/>
          <w:szCs w:val="24"/>
          <w:lang w:eastAsia="en-GB"/>
        </w:rPr>
        <w:t>s</w:t>
      </w:r>
      <w:proofErr w:type="gramEnd"/>
      <w:r w:rsidR="00775185" w:rsidRPr="00773249">
        <w:rPr>
          <w:rFonts w:eastAsia="Times New Roman" w:cs="Times New Roman"/>
          <w:bCs/>
          <w:szCs w:val="24"/>
          <w:lang w:eastAsia="en-GB"/>
        </w:rPr>
        <w:t xml:space="preserve"> guidance and counselling</w:t>
      </w:r>
      <w:r w:rsidR="002A193C" w:rsidRPr="00773249">
        <w:rPr>
          <w:rFonts w:eastAsia="Times New Roman" w:cs="Times New Roman"/>
          <w:bCs/>
          <w:szCs w:val="24"/>
          <w:lang w:eastAsia="en-GB"/>
        </w:rPr>
        <w:t xml:space="preserve"> </w:t>
      </w:r>
      <w:bookmarkEnd w:id="1"/>
      <w:r w:rsidRPr="00773249">
        <w:rPr>
          <w:rFonts w:eastAsia="Times New Roman" w:cs="Times New Roman"/>
          <w:szCs w:val="24"/>
          <w:lang w:eastAsia="en-GB"/>
        </w:rPr>
        <w:t>in public secondary schools within the sub-county. Using</w:t>
      </w:r>
      <w:r w:rsidR="005B5B6C" w:rsidRPr="00773249">
        <w:rPr>
          <w:rFonts w:eastAsia="Times New Roman" w:cs="Times New Roman"/>
          <w:szCs w:val="24"/>
          <w:lang w:eastAsia="en-GB"/>
        </w:rPr>
        <w:t xml:space="preserve"> prop</w:t>
      </w:r>
      <w:r w:rsidR="00D71F0D" w:rsidRPr="00773249">
        <w:rPr>
          <w:rFonts w:eastAsia="Times New Roman" w:cs="Times New Roman"/>
          <w:szCs w:val="24"/>
          <w:lang w:eastAsia="en-GB"/>
        </w:rPr>
        <w:t>o</w:t>
      </w:r>
      <w:r w:rsidR="005B5B6C" w:rsidRPr="00773249">
        <w:rPr>
          <w:rFonts w:eastAsia="Times New Roman" w:cs="Times New Roman"/>
          <w:szCs w:val="24"/>
          <w:lang w:eastAsia="en-GB"/>
        </w:rPr>
        <w:t>rtionate</w:t>
      </w:r>
      <w:r w:rsidRPr="00773249">
        <w:rPr>
          <w:rFonts w:eastAsia="Times New Roman" w:cs="Times New Roman"/>
          <w:szCs w:val="24"/>
          <w:lang w:eastAsia="en-GB"/>
        </w:rPr>
        <w:t xml:space="preserve"> </w:t>
      </w:r>
      <w:r w:rsidRPr="00773249">
        <w:rPr>
          <w:rFonts w:eastAsia="Times New Roman" w:cs="Times New Roman"/>
          <w:bCs/>
          <w:szCs w:val="24"/>
          <w:lang w:eastAsia="en-GB"/>
        </w:rPr>
        <w:t>stratified random sampling</w:t>
      </w:r>
      <w:r w:rsidRPr="00773249">
        <w:rPr>
          <w:rFonts w:eastAsia="Times New Roman" w:cs="Times New Roman"/>
          <w:szCs w:val="24"/>
          <w:lang w:eastAsia="en-GB"/>
        </w:rPr>
        <w:t>, a sample</w:t>
      </w:r>
      <w:r w:rsidR="00585A2D" w:rsidRPr="00773249">
        <w:rPr>
          <w:rFonts w:eastAsia="Times New Roman" w:cs="Times New Roman"/>
          <w:szCs w:val="24"/>
          <w:lang w:eastAsia="en-GB"/>
        </w:rPr>
        <w:t xml:space="preserve"> size</w:t>
      </w:r>
      <w:r w:rsidRPr="00773249">
        <w:rPr>
          <w:rFonts w:eastAsia="Times New Roman" w:cs="Times New Roman"/>
          <w:szCs w:val="24"/>
          <w:lang w:eastAsia="en-GB"/>
        </w:rPr>
        <w:t xml:space="preserve"> of </w:t>
      </w:r>
      <w:r w:rsidR="00775185" w:rsidRPr="00773249">
        <w:rPr>
          <w:rFonts w:eastAsia="Times New Roman" w:cs="Times New Roman"/>
          <w:bCs/>
          <w:szCs w:val="24"/>
          <w:lang w:eastAsia="en-GB"/>
        </w:rPr>
        <w:t>385</w:t>
      </w:r>
      <w:r w:rsidR="002A193C" w:rsidRPr="00773249">
        <w:rPr>
          <w:rFonts w:eastAsia="Times New Roman" w:cs="Times New Roman"/>
          <w:bCs/>
          <w:szCs w:val="24"/>
          <w:lang w:eastAsia="en-GB"/>
        </w:rPr>
        <w:t xml:space="preserve"> </w:t>
      </w:r>
      <w:r w:rsidR="00941711" w:rsidRPr="00773249">
        <w:rPr>
          <w:rFonts w:eastAsia="Times New Roman" w:cs="Times New Roman"/>
          <w:bCs/>
          <w:szCs w:val="24"/>
          <w:lang w:eastAsia="en-GB"/>
        </w:rPr>
        <w:t>students’</w:t>
      </w:r>
      <w:r w:rsidR="002A193C" w:rsidRPr="00773249">
        <w:rPr>
          <w:rFonts w:eastAsia="Times New Roman" w:cs="Times New Roman"/>
          <w:bCs/>
          <w:szCs w:val="24"/>
          <w:lang w:eastAsia="en-GB"/>
        </w:rPr>
        <w:t xml:space="preserve"> participants</w:t>
      </w:r>
      <w:r w:rsidRPr="00773249">
        <w:rPr>
          <w:rFonts w:eastAsia="Times New Roman" w:cs="Times New Roman"/>
          <w:szCs w:val="24"/>
          <w:lang w:eastAsia="en-GB"/>
        </w:rPr>
        <w:t xml:space="preserve"> was selected to ensure representation across schools.</w:t>
      </w:r>
      <w:r w:rsidR="002A193C" w:rsidRPr="00773249">
        <w:rPr>
          <w:rFonts w:eastAsia="Times New Roman" w:cs="Times New Roman"/>
          <w:szCs w:val="24"/>
          <w:lang w:eastAsia="en-GB"/>
        </w:rPr>
        <w:t xml:space="preserve"> </w:t>
      </w:r>
      <w:r w:rsidR="00585A2D" w:rsidRPr="00773249">
        <w:rPr>
          <w:rFonts w:eastAsia="Times New Roman" w:cs="Times New Roman"/>
          <w:szCs w:val="24"/>
          <w:lang w:eastAsia="en-GB"/>
        </w:rPr>
        <w:t>P</w:t>
      </w:r>
      <w:r w:rsidR="002A193C" w:rsidRPr="00773249">
        <w:rPr>
          <w:rFonts w:eastAsia="Times New Roman" w:cs="Times New Roman"/>
          <w:szCs w:val="24"/>
          <w:lang w:eastAsia="en-GB"/>
        </w:rPr>
        <w:t>urposive sampling technique was used to select</w:t>
      </w:r>
      <w:r w:rsidR="00585A2D" w:rsidRPr="00773249">
        <w:rPr>
          <w:rFonts w:eastAsia="Times New Roman" w:cs="Times New Roman"/>
          <w:bCs/>
          <w:szCs w:val="24"/>
          <w:lang w:eastAsia="en-GB"/>
        </w:rPr>
        <w:t xml:space="preserve"> H.</w:t>
      </w:r>
      <w:proofErr w:type="gramStart"/>
      <w:r w:rsidR="00585A2D" w:rsidRPr="00773249">
        <w:rPr>
          <w:rFonts w:eastAsia="Times New Roman" w:cs="Times New Roman"/>
          <w:bCs/>
          <w:szCs w:val="24"/>
          <w:lang w:eastAsia="en-GB"/>
        </w:rPr>
        <w:t>O.D</w:t>
      </w:r>
      <w:r w:rsidR="00F150A4" w:rsidRPr="00773249">
        <w:rPr>
          <w:rFonts w:eastAsia="Times New Roman" w:cs="Times New Roman"/>
          <w:bCs/>
          <w:szCs w:val="24"/>
          <w:lang w:eastAsia="en-GB"/>
        </w:rPr>
        <w:t>s</w:t>
      </w:r>
      <w:proofErr w:type="gramEnd"/>
      <w:r w:rsidR="00585A2D" w:rsidRPr="00773249">
        <w:rPr>
          <w:rFonts w:eastAsia="Times New Roman" w:cs="Times New Roman"/>
          <w:bCs/>
          <w:szCs w:val="24"/>
          <w:lang w:eastAsia="en-GB"/>
        </w:rPr>
        <w:t xml:space="preserve"> guidance and counsellin</w:t>
      </w:r>
      <w:r w:rsidR="00F150A4" w:rsidRPr="00773249">
        <w:rPr>
          <w:rFonts w:eastAsia="Times New Roman" w:cs="Times New Roman"/>
          <w:bCs/>
          <w:szCs w:val="24"/>
          <w:lang w:eastAsia="en-GB"/>
        </w:rPr>
        <w:t>g, class teachers were randomly selected and proportionate random sampling was used to obtain students respondents</w:t>
      </w:r>
      <w:r w:rsidR="002A193C" w:rsidRPr="00773249">
        <w:rPr>
          <w:rFonts w:eastAsia="Times New Roman" w:cs="Times New Roman"/>
          <w:szCs w:val="24"/>
          <w:lang w:eastAsia="en-GB"/>
        </w:rPr>
        <w:t>.</w:t>
      </w:r>
      <w:r w:rsidRPr="00773249">
        <w:rPr>
          <w:rFonts w:eastAsia="Times New Roman" w:cs="Times New Roman"/>
          <w:szCs w:val="24"/>
          <w:lang w:eastAsia="en-GB"/>
        </w:rPr>
        <w:t xml:space="preserve"> A </w:t>
      </w:r>
      <w:r w:rsidRPr="00773249">
        <w:rPr>
          <w:rFonts w:eastAsia="Times New Roman" w:cs="Times New Roman"/>
          <w:bCs/>
          <w:szCs w:val="24"/>
          <w:lang w:eastAsia="en-GB"/>
        </w:rPr>
        <w:t>pilot study</w:t>
      </w:r>
      <w:r w:rsidRPr="00773249">
        <w:rPr>
          <w:rFonts w:eastAsia="Times New Roman" w:cs="Times New Roman"/>
          <w:szCs w:val="24"/>
          <w:lang w:eastAsia="en-GB"/>
        </w:rPr>
        <w:t xml:space="preserve"> was conducted in a comparable school outside the study area to assess the effectiveness of the research instruments. </w:t>
      </w:r>
      <w:r w:rsidRPr="00773249">
        <w:rPr>
          <w:rFonts w:eastAsia="Times New Roman" w:cs="Times New Roman"/>
          <w:bCs/>
          <w:szCs w:val="24"/>
          <w:lang w:eastAsia="en-GB"/>
        </w:rPr>
        <w:t>Content validity</w:t>
      </w:r>
      <w:r w:rsidRPr="00773249">
        <w:rPr>
          <w:rFonts w:eastAsia="Times New Roman" w:cs="Times New Roman"/>
          <w:szCs w:val="24"/>
          <w:lang w:eastAsia="en-GB"/>
        </w:rPr>
        <w:t xml:space="preserve"> was ensured through expert review, while </w:t>
      </w:r>
      <w:r w:rsidRPr="00773249">
        <w:rPr>
          <w:rFonts w:eastAsia="Times New Roman" w:cs="Times New Roman"/>
          <w:bCs/>
          <w:szCs w:val="24"/>
          <w:lang w:eastAsia="en-GB"/>
        </w:rPr>
        <w:t>reliability</w:t>
      </w:r>
      <w:r w:rsidRPr="00773249">
        <w:rPr>
          <w:rFonts w:eastAsia="Times New Roman" w:cs="Times New Roman"/>
          <w:szCs w:val="24"/>
          <w:lang w:eastAsia="en-GB"/>
        </w:rPr>
        <w:t xml:space="preserve"> of the instrument was confirmed with</w:t>
      </w:r>
      <w:r w:rsidR="00E42B01" w:rsidRPr="00773249">
        <w:rPr>
          <w:rFonts w:eastAsia="Times New Roman" w:cs="Times New Roman"/>
          <w:szCs w:val="24"/>
          <w:lang w:eastAsia="en-GB"/>
        </w:rPr>
        <w:t xml:space="preserve"> a </w:t>
      </w:r>
      <w:r w:rsidRPr="00773249">
        <w:rPr>
          <w:rFonts w:eastAsia="Times New Roman" w:cs="Times New Roman"/>
          <w:bCs/>
          <w:szCs w:val="24"/>
          <w:lang w:eastAsia="en-GB"/>
        </w:rPr>
        <w:t xml:space="preserve">Cronbach’s alpha </w:t>
      </w:r>
      <w:r w:rsidR="00D71F0D" w:rsidRPr="00773249">
        <w:rPr>
          <w:rFonts w:eastAsia="Times New Roman" w:cs="Times New Roman"/>
          <w:bCs/>
          <w:szCs w:val="24"/>
          <w:lang w:eastAsia="en-GB"/>
        </w:rPr>
        <w:t>obtaining 0.835 and 0.815 reliability coefficients with students’ and teachers’ questionnaire respectively</w:t>
      </w:r>
      <w:r w:rsidRPr="00773249">
        <w:rPr>
          <w:rFonts w:eastAsia="Times New Roman" w:cs="Times New Roman"/>
          <w:szCs w:val="24"/>
          <w:lang w:eastAsia="en-GB"/>
        </w:rPr>
        <w:t xml:space="preserve">. </w:t>
      </w:r>
      <w:r w:rsidR="00F150A4" w:rsidRPr="00773249">
        <w:rPr>
          <w:rFonts w:eastAsia="Times New Roman" w:cs="Times New Roman"/>
          <w:szCs w:val="24"/>
          <w:lang w:eastAsia="en-GB"/>
        </w:rPr>
        <w:t xml:space="preserve"> Questionnaires were used to collect data from students and class teachers while interview schedule was used to collect data from H.</w:t>
      </w:r>
      <w:proofErr w:type="gramStart"/>
      <w:r w:rsidR="00F150A4" w:rsidRPr="00773249">
        <w:rPr>
          <w:rFonts w:eastAsia="Times New Roman" w:cs="Times New Roman"/>
          <w:szCs w:val="24"/>
          <w:lang w:eastAsia="en-GB"/>
        </w:rPr>
        <w:t>O.Ds</w:t>
      </w:r>
      <w:proofErr w:type="gramEnd"/>
      <w:r w:rsidR="00F150A4" w:rsidRPr="00773249">
        <w:rPr>
          <w:rFonts w:eastAsia="Times New Roman" w:cs="Times New Roman"/>
          <w:szCs w:val="24"/>
          <w:lang w:eastAsia="en-GB"/>
        </w:rPr>
        <w:t xml:space="preserve"> guidance and counselling. </w:t>
      </w:r>
      <w:r w:rsidRPr="00773249">
        <w:rPr>
          <w:rFonts w:eastAsia="Times New Roman" w:cs="Times New Roman"/>
          <w:szCs w:val="24"/>
          <w:lang w:eastAsia="en-GB"/>
        </w:rPr>
        <w:t xml:space="preserve">Quantitative data were analysed using </w:t>
      </w:r>
      <w:r w:rsidRPr="00773249">
        <w:rPr>
          <w:rFonts w:eastAsia="Times New Roman" w:cs="Times New Roman"/>
          <w:bCs/>
          <w:szCs w:val="24"/>
          <w:lang w:eastAsia="en-GB"/>
        </w:rPr>
        <w:t xml:space="preserve">descriptive </w:t>
      </w:r>
      <w:r w:rsidR="00F150A4" w:rsidRPr="00773249">
        <w:rPr>
          <w:rFonts w:eastAsia="Times New Roman" w:cs="Times New Roman"/>
          <w:bCs/>
          <w:szCs w:val="24"/>
          <w:lang w:eastAsia="en-GB"/>
        </w:rPr>
        <w:t>statistics (</w:t>
      </w:r>
      <w:r w:rsidR="00585A2D" w:rsidRPr="00773249">
        <w:rPr>
          <w:rFonts w:eastAsia="Times New Roman" w:cs="Times New Roman"/>
          <w:bCs/>
          <w:szCs w:val="24"/>
          <w:lang w:eastAsia="en-GB"/>
        </w:rPr>
        <w:t>means, frequencies and percentages)</w:t>
      </w:r>
      <w:r w:rsidRPr="00773249">
        <w:rPr>
          <w:rFonts w:eastAsia="Times New Roman" w:cs="Times New Roman"/>
          <w:szCs w:val="24"/>
          <w:lang w:eastAsia="en-GB"/>
        </w:rPr>
        <w:t xml:space="preserve"> and </w:t>
      </w:r>
      <w:r w:rsidRPr="00773249">
        <w:rPr>
          <w:rFonts w:eastAsia="Times New Roman" w:cs="Times New Roman"/>
          <w:bCs/>
          <w:szCs w:val="24"/>
          <w:lang w:eastAsia="en-GB"/>
        </w:rPr>
        <w:t xml:space="preserve">inferential </w:t>
      </w:r>
      <w:r w:rsidR="00F150A4" w:rsidRPr="00773249">
        <w:rPr>
          <w:rFonts w:eastAsia="Times New Roman" w:cs="Times New Roman"/>
          <w:bCs/>
          <w:szCs w:val="24"/>
          <w:lang w:eastAsia="en-GB"/>
        </w:rPr>
        <w:t>analy</w:t>
      </w:r>
      <w:r w:rsidR="00F150A4" w:rsidRPr="00773249">
        <w:rPr>
          <w:rFonts w:eastAsia="Times New Roman" w:cs="Times New Roman"/>
          <w:b/>
          <w:bCs/>
          <w:szCs w:val="24"/>
          <w:lang w:eastAsia="en-GB"/>
        </w:rPr>
        <w:t>s</w:t>
      </w:r>
      <w:r w:rsidR="00F150A4" w:rsidRPr="00773249">
        <w:rPr>
          <w:rFonts w:eastAsia="Times New Roman" w:cs="Times New Roman"/>
          <w:bCs/>
          <w:szCs w:val="24"/>
          <w:lang w:eastAsia="en-GB"/>
        </w:rPr>
        <w:t>is (</w:t>
      </w:r>
      <w:r w:rsidR="00585A2D" w:rsidRPr="00773249">
        <w:rPr>
          <w:rFonts w:eastAsia="Times New Roman" w:cs="Times New Roman"/>
          <w:bCs/>
          <w:szCs w:val="24"/>
          <w:lang w:eastAsia="en-GB"/>
        </w:rPr>
        <w:t xml:space="preserve">One-way </w:t>
      </w:r>
      <w:proofErr w:type="spellStart"/>
      <w:r w:rsidR="00585A2D" w:rsidRPr="00773249">
        <w:rPr>
          <w:rFonts w:eastAsia="Times New Roman" w:cs="Times New Roman"/>
          <w:bCs/>
          <w:szCs w:val="24"/>
          <w:lang w:eastAsia="en-GB"/>
        </w:rPr>
        <w:t>Anova</w:t>
      </w:r>
      <w:proofErr w:type="spellEnd"/>
      <w:r w:rsidR="00585A2D" w:rsidRPr="00773249">
        <w:rPr>
          <w:rFonts w:eastAsia="Times New Roman" w:cs="Times New Roman"/>
          <w:bCs/>
          <w:szCs w:val="24"/>
          <w:lang w:eastAsia="en-GB"/>
        </w:rPr>
        <w:t>)</w:t>
      </w:r>
      <w:r w:rsidRPr="00773249">
        <w:rPr>
          <w:rFonts w:eastAsia="Times New Roman" w:cs="Times New Roman"/>
          <w:szCs w:val="24"/>
          <w:lang w:eastAsia="en-GB"/>
        </w:rPr>
        <w:t xml:space="preserve"> </w:t>
      </w:r>
      <w:r w:rsidR="00F20A55" w:rsidRPr="00773249">
        <w:rPr>
          <w:rFonts w:eastAsia="Times New Roman" w:cs="Times New Roman"/>
          <w:szCs w:val="24"/>
          <w:lang w:eastAsia="en-GB"/>
        </w:rPr>
        <w:t>while qualitative data was analysed thematically</w:t>
      </w:r>
      <w:r w:rsidR="00F150A4" w:rsidRPr="00773249">
        <w:rPr>
          <w:rFonts w:eastAsia="Times New Roman" w:cs="Times New Roman"/>
          <w:szCs w:val="24"/>
          <w:lang w:eastAsia="en-GB"/>
        </w:rPr>
        <w:t xml:space="preserve"> using </w:t>
      </w:r>
      <w:proofErr w:type="spellStart"/>
      <w:r w:rsidR="00F150A4" w:rsidRPr="00773249">
        <w:rPr>
          <w:rFonts w:eastAsia="Times New Roman" w:cs="Times New Roman"/>
          <w:szCs w:val="24"/>
          <w:lang w:eastAsia="en-GB"/>
        </w:rPr>
        <w:t>Nvivo</w:t>
      </w:r>
      <w:proofErr w:type="spellEnd"/>
      <w:r w:rsidR="00F150A4" w:rsidRPr="00773249">
        <w:rPr>
          <w:rFonts w:eastAsia="Times New Roman" w:cs="Times New Roman"/>
          <w:szCs w:val="24"/>
          <w:lang w:eastAsia="en-GB"/>
        </w:rPr>
        <w:t xml:space="preserve"> software.</w:t>
      </w:r>
      <w:r w:rsidR="005C38F1" w:rsidRPr="00773249">
        <w:rPr>
          <w:rFonts w:cs="Times New Roman"/>
          <w:szCs w:val="24"/>
        </w:rPr>
        <w:t xml:space="preserve"> </w:t>
      </w:r>
      <w:r w:rsidR="00791953" w:rsidRPr="00773249">
        <w:rPr>
          <w:rFonts w:eastAsia="Times New Roman" w:cs="Times New Roman"/>
          <w:szCs w:val="24"/>
          <w:lang w:eastAsia="en-GB"/>
        </w:rPr>
        <w:t>Approval was sought from the Chuka University Ethics Committee and a research permit obtained from NACOSTI. Participants were informed of the study purpose before data collection. Confidentiality was upheld by not disclosing respondents’ or schools’ identities</w:t>
      </w:r>
      <w:r w:rsidR="005C38F1" w:rsidRPr="00773249">
        <w:rPr>
          <w:rFonts w:eastAsia="Times New Roman" w:cs="Times New Roman"/>
          <w:szCs w:val="24"/>
          <w:lang w:eastAsia="en-GB"/>
        </w:rPr>
        <w:t>.</w:t>
      </w:r>
      <w:r w:rsidR="00791953" w:rsidRPr="00773249">
        <w:rPr>
          <w:rFonts w:eastAsia="Times New Roman" w:cs="Times New Roman"/>
          <w:szCs w:val="24"/>
          <w:lang w:eastAsia="en-GB"/>
        </w:rPr>
        <w:t xml:space="preserve"> </w:t>
      </w:r>
      <w:r w:rsidR="005C38F1" w:rsidRPr="00773249">
        <w:rPr>
          <w:rFonts w:eastAsia="Times New Roman" w:cs="Times New Roman"/>
          <w:szCs w:val="24"/>
          <w:lang w:eastAsia="en-GB"/>
        </w:rPr>
        <w:t xml:space="preserve">The author declares that there were no competing interests associated with this publication. </w:t>
      </w:r>
    </w:p>
    <w:p w14:paraId="57BF6152" w14:textId="77777777" w:rsidR="00497876" w:rsidRPr="00EA6C9F" w:rsidRDefault="00497876" w:rsidP="00EA6C9F">
      <w:pPr>
        <w:pStyle w:val="Heading1"/>
      </w:pPr>
      <w:bookmarkStart w:id="2" w:name="_Toc205894985"/>
      <w:r w:rsidRPr="00EA6C9F">
        <w:t>RESULTS AND DISCUSSION</w:t>
      </w:r>
      <w:bookmarkEnd w:id="2"/>
    </w:p>
    <w:p w14:paraId="64056233" w14:textId="77777777" w:rsidR="00497876" w:rsidRPr="00773249" w:rsidRDefault="00497876" w:rsidP="001D6167">
      <w:pPr>
        <w:pStyle w:val="Heading2"/>
        <w:rPr>
          <w:rFonts w:eastAsia="Calibri" w:cs="Times New Roman"/>
          <w:b w:val="0"/>
          <w:szCs w:val="24"/>
        </w:rPr>
      </w:pPr>
      <w:bookmarkStart w:id="3" w:name="_Toc205894986"/>
      <w:r w:rsidRPr="00773249">
        <w:rPr>
          <w:rFonts w:eastAsia="Calibri" w:cs="Times New Roman"/>
          <w:szCs w:val="24"/>
        </w:rPr>
        <w:t>Response Rate</w:t>
      </w:r>
      <w:bookmarkEnd w:id="3"/>
    </w:p>
    <w:p w14:paraId="3D952F72" w14:textId="77777777" w:rsidR="00497876" w:rsidRPr="00773249" w:rsidRDefault="00497876" w:rsidP="001D6167">
      <w:pPr>
        <w:rPr>
          <w:rFonts w:eastAsia="Calibri" w:cs="Times New Roman"/>
          <w:szCs w:val="24"/>
        </w:rPr>
      </w:pPr>
      <w:r w:rsidRPr="00773249">
        <w:rPr>
          <w:rFonts w:eastAsia="Calibri" w:cs="Times New Roman"/>
          <w:szCs w:val="24"/>
        </w:rPr>
        <w:t xml:space="preserve">The response rate was calculated as the proportion of respondents who participated out of those invited.  It is an important indicator of the study’s reliability and efficacy.  Table </w:t>
      </w:r>
      <w:r w:rsidR="009019E2" w:rsidRPr="00773249">
        <w:rPr>
          <w:rFonts w:eastAsia="Calibri" w:cs="Times New Roman"/>
          <w:szCs w:val="24"/>
        </w:rPr>
        <w:t>1</w:t>
      </w:r>
      <w:r w:rsidRPr="00773249">
        <w:rPr>
          <w:rFonts w:eastAsia="Calibri" w:cs="Times New Roman"/>
          <w:szCs w:val="24"/>
        </w:rPr>
        <w:t xml:space="preserve"> shows the results of the empirical survey conducted during the project's first phase.</w:t>
      </w:r>
    </w:p>
    <w:p w14:paraId="73BB7B00" w14:textId="77777777" w:rsidR="00497876" w:rsidRPr="00773249" w:rsidRDefault="00497876" w:rsidP="001D6167">
      <w:pPr>
        <w:pStyle w:val="Caption"/>
        <w:keepNext/>
        <w:spacing w:after="240" w:line="240" w:lineRule="auto"/>
        <w:rPr>
          <w:b w:val="0"/>
          <w:color w:val="auto"/>
          <w:szCs w:val="24"/>
        </w:rPr>
      </w:pPr>
      <w:bookmarkStart w:id="4" w:name="_Toc205714115"/>
      <w:bookmarkStart w:id="5" w:name="_Toc205894578"/>
      <w:r w:rsidRPr="00773249">
        <w:rPr>
          <w:b w:val="0"/>
          <w:color w:val="auto"/>
          <w:szCs w:val="24"/>
        </w:rPr>
        <w:t>Table 1: Response Rate</w:t>
      </w:r>
      <w:bookmarkEnd w:id="4"/>
      <w:bookmarkEnd w:id="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075"/>
        <w:gridCol w:w="2071"/>
        <w:gridCol w:w="3587"/>
      </w:tblGrid>
      <w:tr w:rsidR="00497876" w:rsidRPr="00773249" w14:paraId="63D2A552" w14:textId="77777777">
        <w:trPr>
          <w:trHeight w:val="70"/>
        </w:trPr>
        <w:tc>
          <w:tcPr>
            <w:tcW w:w="1385" w:type="pct"/>
            <w:tcBorders>
              <w:top w:val="single" w:sz="4" w:space="0" w:color="auto"/>
              <w:bottom w:val="single" w:sz="4" w:space="0" w:color="auto"/>
            </w:tcBorders>
            <w:hideMark/>
          </w:tcPr>
          <w:p w14:paraId="7A6AA3E3" w14:textId="77777777" w:rsidR="00497876" w:rsidRPr="00773249" w:rsidRDefault="00497876" w:rsidP="002C35CA">
            <w:pPr>
              <w:spacing w:before="0" w:after="0"/>
              <w:rPr>
                <w:rFonts w:eastAsia="Calibri" w:cs="Times New Roman"/>
                <w:bCs/>
                <w:szCs w:val="24"/>
              </w:rPr>
            </w:pPr>
            <w:r w:rsidRPr="00773249">
              <w:rPr>
                <w:rFonts w:eastAsia="Calibri" w:cs="Times New Roman"/>
                <w:bCs/>
                <w:szCs w:val="24"/>
              </w:rPr>
              <w:t>Population group</w:t>
            </w:r>
          </w:p>
        </w:tc>
        <w:tc>
          <w:tcPr>
            <w:tcW w:w="970" w:type="pct"/>
            <w:tcBorders>
              <w:top w:val="single" w:sz="4" w:space="0" w:color="auto"/>
              <w:bottom w:val="single" w:sz="4" w:space="0" w:color="auto"/>
            </w:tcBorders>
          </w:tcPr>
          <w:p w14:paraId="681E2317" w14:textId="77777777" w:rsidR="00497876" w:rsidRPr="00773249" w:rsidRDefault="00497876" w:rsidP="002C35CA">
            <w:pPr>
              <w:spacing w:before="0" w:after="0"/>
              <w:jc w:val="center"/>
              <w:rPr>
                <w:rFonts w:eastAsia="Calibri" w:cs="Times New Roman"/>
                <w:bCs/>
                <w:szCs w:val="24"/>
              </w:rPr>
            </w:pPr>
            <w:r w:rsidRPr="00773249">
              <w:rPr>
                <w:rFonts w:eastAsia="Calibri" w:cs="Times New Roman"/>
                <w:bCs/>
                <w:szCs w:val="24"/>
              </w:rPr>
              <w:t>Sample</w:t>
            </w:r>
          </w:p>
        </w:tc>
        <w:tc>
          <w:tcPr>
            <w:tcW w:w="968" w:type="pct"/>
            <w:tcBorders>
              <w:top w:val="single" w:sz="4" w:space="0" w:color="auto"/>
              <w:bottom w:val="single" w:sz="4" w:space="0" w:color="auto"/>
            </w:tcBorders>
          </w:tcPr>
          <w:p w14:paraId="67350B49" w14:textId="77777777" w:rsidR="00497876" w:rsidRPr="00773249" w:rsidRDefault="00497876" w:rsidP="002C35CA">
            <w:pPr>
              <w:spacing w:before="0" w:after="0"/>
              <w:jc w:val="center"/>
              <w:rPr>
                <w:rFonts w:eastAsia="Calibri" w:cs="Times New Roman"/>
                <w:bCs/>
                <w:szCs w:val="24"/>
              </w:rPr>
            </w:pPr>
            <w:r w:rsidRPr="00773249">
              <w:rPr>
                <w:rFonts w:eastAsia="Calibri" w:cs="Times New Roman"/>
                <w:szCs w:val="24"/>
              </w:rPr>
              <w:t>Responded</w:t>
            </w:r>
          </w:p>
        </w:tc>
        <w:tc>
          <w:tcPr>
            <w:tcW w:w="1677" w:type="pct"/>
            <w:tcBorders>
              <w:top w:val="single" w:sz="4" w:space="0" w:color="auto"/>
              <w:bottom w:val="single" w:sz="4" w:space="0" w:color="auto"/>
            </w:tcBorders>
          </w:tcPr>
          <w:p w14:paraId="78FED8DE" w14:textId="77777777" w:rsidR="00497876" w:rsidRPr="00773249" w:rsidRDefault="00497876" w:rsidP="002C35CA">
            <w:pPr>
              <w:spacing w:before="0" w:after="0"/>
              <w:rPr>
                <w:rFonts w:eastAsia="Calibri" w:cs="Times New Roman"/>
                <w:szCs w:val="24"/>
              </w:rPr>
            </w:pPr>
            <w:r w:rsidRPr="00773249">
              <w:rPr>
                <w:rFonts w:eastAsia="Calibri" w:cs="Times New Roman"/>
                <w:szCs w:val="24"/>
              </w:rPr>
              <w:t>Percentage Response</w:t>
            </w:r>
          </w:p>
        </w:tc>
      </w:tr>
      <w:tr w:rsidR="00497876" w:rsidRPr="00773249" w14:paraId="7983A992" w14:textId="77777777">
        <w:trPr>
          <w:trHeight w:val="70"/>
        </w:trPr>
        <w:tc>
          <w:tcPr>
            <w:tcW w:w="1385" w:type="pct"/>
            <w:tcBorders>
              <w:top w:val="single" w:sz="4" w:space="0" w:color="auto"/>
            </w:tcBorders>
            <w:hideMark/>
          </w:tcPr>
          <w:p w14:paraId="231D318D" w14:textId="77777777" w:rsidR="00497876" w:rsidRPr="00773249" w:rsidRDefault="00497876" w:rsidP="002C35CA">
            <w:pPr>
              <w:spacing w:before="0" w:after="0"/>
              <w:rPr>
                <w:rFonts w:eastAsia="Calibri" w:cs="Times New Roman"/>
                <w:szCs w:val="24"/>
              </w:rPr>
            </w:pPr>
            <w:r w:rsidRPr="00773249">
              <w:rPr>
                <w:rFonts w:eastAsia="Calibri" w:cs="Times New Roman"/>
                <w:szCs w:val="24"/>
              </w:rPr>
              <w:t>Students</w:t>
            </w:r>
          </w:p>
        </w:tc>
        <w:tc>
          <w:tcPr>
            <w:tcW w:w="970" w:type="pct"/>
            <w:tcBorders>
              <w:top w:val="single" w:sz="4" w:space="0" w:color="auto"/>
            </w:tcBorders>
          </w:tcPr>
          <w:p w14:paraId="3202C43E"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360</w:t>
            </w:r>
          </w:p>
        </w:tc>
        <w:tc>
          <w:tcPr>
            <w:tcW w:w="968" w:type="pct"/>
            <w:tcBorders>
              <w:top w:val="single" w:sz="4" w:space="0" w:color="auto"/>
            </w:tcBorders>
          </w:tcPr>
          <w:p w14:paraId="2F2F4615"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350</w:t>
            </w:r>
          </w:p>
        </w:tc>
        <w:tc>
          <w:tcPr>
            <w:tcW w:w="1677" w:type="pct"/>
            <w:tcBorders>
              <w:top w:val="single" w:sz="4" w:space="0" w:color="auto"/>
            </w:tcBorders>
          </w:tcPr>
          <w:p w14:paraId="43A05903"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 xml:space="preserve">   97.2%</w:t>
            </w:r>
          </w:p>
        </w:tc>
      </w:tr>
      <w:tr w:rsidR="00497876" w:rsidRPr="00773249" w14:paraId="5DA64EDF" w14:textId="77777777">
        <w:trPr>
          <w:trHeight w:val="70"/>
        </w:trPr>
        <w:tc>
          <w:tcPr>
            <w:tcW w:w="1385" w:type="pct"/>
          </w:tcPr>
          <w:p w14:paraId="4B0D2BF1" w14:textId="77777777" w:rsidR="00497876" w:rsidRPr="00773249" w:rsidRDefault="00497876" w:rsidP="002C35CA">
            <w:pPr>
              <w:spacing w:before="0" w:after="0"/>
              <w:rPr>
                <w:rFonts w:eastAsia="Calibri" w:cs="Times New Roman"/>
                <w:szCs w:val="24"/>
              </w:rPr>
            </w:pPr>
            <w:r w:rsidRPr="00773249">
              <w:rPr>
                <w:rFonts w:eastAsia="Calibri" w:cs="Times New Roman"/>
                <w:szCs w:val="24"/>
              </w:rPr>
              <w:t>Teachers</w:t>
            </w:r>
          </w:p>
        </w:tc>
        <w:tc>
          <w:tcPr>
            <w:tcW w:w="970" w:type="pct"/>
          </w:tcPr>
          <w:p w14:paraId="535B9796"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 xml:space="preserve">  20</w:t>
            </w:r>
          </w:p>
        </w:tc>
        <w:tc>
          <w:tcPr>
            <w:tcW w:w="968" w:type="pct"/>
          </w:tcPr>
          <w:p w14:paraId="7BD349ED"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 xml:space="preserve">  20</w:t>
            </w:r>
          </w:p>
        </w:tc>
        <w:tc>
          <w:tcPr>
            <w:tcW w:w="1677" w:type="pct"/>
          </w:tcPr>
          <w:p w14:paraId="73C813A3"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100.0%</w:t>
            </w:r>
          </w:p>
        </w:tc>
      </w:tr>
      <w:tr w:rsidR="00497876" w:rsidRPr="00773249" w14:paraId="5B22305B" w14:textId="77777777">
        <w:trPr>
          <w:trHeight w:val="70"/>
        </w:trPr>
        <w:tc>
          <w:tcPr>
            <w:tcW w:w="1385" w:type="pct"/>
          </w:tcPr>
          <w:p w14:paraId="502CA830" w14:textId="77777777" w:rsidR="00497876" w:rsidRPr="00773249" w:rsidRDefault="00497876" w:rsidP="002C35CA">
            <w:pPr>
              <w:spacing w:before="0" w:after="0"/>
              <w:rPr>
                <w:rFonts w:eastAsia="Calibri" w:cs="Times New Roman"/>
                <w:szCs w:val="24"/>
              </w:rPr>
            </w:pPr>
            <w:r w:rsidRPr="00773249">
              <w:rPr>
                <w:rFonts w:eastAsia="Calibri" w:cs="Times New Roman"/>
                <w:szCs w:val="24"/>
              </w:rPr>
              <w:t>H.O.Ds guidance and counselling</w:t>
            </w:r>
          </w:p>
        </w:tc>
        <w:tc>
          <w:tcPr>
            <w:tcW w:w="970" w:type="pct"/>
          </w:tcPr>
          <w:p w14:paraId="5C3D17D9"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5</w:t>
            </w:r>
          </w:p>
        </w:tc>
        <w:tc>
          <w:tcPr>
            <w:tcW w:w="968" w:type="pct"/>
          </w:tcPr>
          <w:p w14:paraId="2EC8B494"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5</w:t>
            </w:r>
          </w:p>
        </w:tc>
        <w:tc>
          <w:tcPr>
            <w:tcW w:w="1677" w:type="pct"/>
          </w:tcPr>
          <w:p w14:paraId="64C455F3" w14:textId="77777777" w:rsidR="00497876" w:rsidRPr="00773249" w:rsidRDefault="00497876" w:rsidP="002C35CA">
            <w:pPr>
              <w:spacing w:before="0" w:after="0"/>
              <w:jc w:val="center"/>
              <w:rPr>
                <w:rFonts w:eastAsia="Calibri" w:cs="Times New Roman"/>
                <w:szCs w:val="24"/>
              </w:rPr>
            </w:pPr>
            <w:r w:rsidRPr="00773249">
              <w:rPr>
                <w:rFonts w:eastAsia="Calibri" w:cs="Times New Roman"/>
                <w:szCs w:val="24"/>
              </w:rPr>
              <w:t>100.0%</w:t>
            </w:r>
          </w:p>
        </w:tc>
      </w:tr>
      <w:tr w:rsidR="00497876" w:rsidRPr="00773249" w14:paraId="138F4D7D" w14:textId="77777777">
        <w:trPr>
          <w:trHeight w:val="50"/>
        </w:trPr>
        <w:tc>
          <w:tcPr>
            <w:tcW w:w="1385" w:type="pct"/>
            <w:hideMark/>
          </w:tcPr>
          <w:p w14:paraId="49A5EE2C" w14:textId="77777777" w:rsidR="00497876" w:rsidRPr="00773249" w:rsidRDefault="00497876" w:rsidP="002C35CA">
            <w:pPr>
              <w:spacing w:before="0" w:after="0"/>
              <w:rPr>
                <w:rFonts w:eastAsia="Calibri" w:cs="Times New Roman"/>
                <w:bCs/>
                <w:szCs w:val="24"/>
              </w:rPr>
            </w:pPr>
            <w:r w:rsidRPr="00773249">
              <w:rPr>
                <w:rFonts w:eastAsia="Calibri" w:cs="Times New Roman"/>
                <w:bCs/>
                <w:szCs w:val="24"/>
              </w:rPr>
              <w:t>Total</w:t>
            </w:r>
          </w:p>
        </w:tc>
        <w:tc>
          <w:tcPr>
            <w:tcW w:w="970" w:type="pct"/>
          </w:tcPr>
          <w:p w14:paraId="7DAEE306" w14:textId="77777777" w:rsidR="00497876" w:rsidRPr="00773249" w:rsidRDefault="00497876" w:rsidP="002C35CA">
            <w:pPr>
              <w:spacing w:before="0" w:after="0"/>
              <w:jc w:val="center"/>
              <w:rPr>
                <w:rFonts w:eastAsia="Calibri" w:cs="Times New Roman"/>
                <w:bCs/>
                <w:szCs w:val="24"/>
              </w:rPr>
            </w:pPr>
            <w:r w:rsidRPr="00773249">
              <w:rPr>
                <w:rFonts w:eastAsia="Calibri" w:cs="Times New Roman"/>
                <w:bCs/>
                <w:szCs w:val="24"/>
              </w:rPr>
              <w:t>385</w:t>
            </w:r>
          </w:p>
        </w:tc>
        <w:tc>
          <w:tcPr>
            <w:tcW w:w="968" w:type="pct"/>
          </w:tcPr>
          <w:p w14:paraId="3948639A" w14:textId="77777777" w:rsidR="00497876" w:rsidRPr="00773249" w:rsidRDefault="00497876" w:rsidP="002C35CA">
            <w:pPr>
              <w:spacing w:before="0" w:after="0"/>
              <w:jc w:val="center"/>
              <w:rPr>
                <w:rFonts w:eastAsia="Calibri" w:cs="Times New Roman"/>
                <w:bCs/>
                <w:szCs w:val="24"/>
              </w:rPr>
            </w:pPr>
            <w:r w:rsidRPr="00773249">
              <w:rPr>
                <w:rFonts w:eastAsia="Calibri" w:cs="Times New Roman"/>
                <w:bCs/>
                <w:szCs w:val="24"/>
              </w:rPr>
              <w:t>375</w:t>
            </w:r>
          </w:p>
        </w:tc>
        <w:tc>
          <w:tcPr>
            <w:tcW w:w="1677" w:type="pct"/>
          </w:tcPr>
          <w:p w14:paraId="2921DFB1" w14:textId="77777777" w:rsidR="00497876" w:rsidRPr="00773249" w:rsidRDefault="00497876" w:rsidP="002C35CA">
            <w:pPr>
              <w:spacing w:before="0" w:after="0"/>
              <w:jc w:val="center"/>
              <w:rPr>
                <w:rFonts w:eastAsia="Calibri" w:cs="Times New Roman"/>
                <w:bCs/>
                <w:szCs w:val="24"/>
              </w:rPr>
            </w:pPr>
            <w:r w:rsidRPr="00773249">
              <w:rPr>
                <w:rFonts w:eastAsia="Calibri" w:cs="Times New Roman"/>
                <w:bCs/>
                <w:szCs w:val="24"/>
              </w:rPr>
              <w:t>97.4%</w:t>
            </w:r>
          </w:p>
        </w:tc>
      </w:tr>
    </w:tbl>
    <w:p w14:paraId="7B9C731F" w14:textId="77777777" w:rsidR="00497876" w:rsidRPr="00773249" w:rsidRDefault="00497876" w:rsidP="00E8570D">
      <w:pPr>
        <w:spacing w:before="0"/>
        <w:rPr>
          <w:rFonts w:cs="Times New Roman"/>
          <w:szCs w:val="24"/>
        </w:rPr>
      </w:pPr>
      <w:r w:rsidRPr="00773249">
        <w:rPr>
          <w:rFonts w:cs="Times New Roman"/>
          <w:szCs w:val="24"/>
        </w:rPr>
        <w:t>Source: Field Data (2025)</w:t>
      </w:r>
    </w:p>
    <w:p w14:paraId="6AF3C0B4" w14:textId="77777777" w:rsidR="00497876" w:rsidRPr="00773249" w:rsidRDefault="00497876" w:rsidP="001D6167">
      <w:pPr>
        <w:rPr>
          <w:rFonts w:cs="Times New Roman"/>
          <w:szCs w:val="24"/>
        </w:rPr>
      </w:pPr>
      <w:r w:rsidRPr="00773249">
        <w:rPr>
          <w:rFonts w:cs="Times New Roman"/>
          <w:szCs w:val="24"/>
        </w:rPr>
        <w:lastRenderedPageBreak/>
        <w:t>As shown in Table 1, the response rate for the study was 9</w:t>
      </w:r>
      <w:r w:rsidR="00C3703A" w:rsidRPr="00773249">
        <w:rPr>
          <w:rFonts w:cs="Times New Roman"/>
          <w:szCs w:val="24"/>
        </w:rPr>
        <w:t>7.2</w:t>
      </w:r>
      <w:r w:rsidRPr="00773249">
        <w:rPr>
          <w:rFonts w:cs="Times New Roman"/>
          <w:szCs w:val="24"/>
        </w:rPr>
        <w:t>% of students while that of teachers was 100.00%. The high response rates observed in the study suggesting effective engagement with the respondents. Several measures contributed to achieving this high response rate. The study ensured clear and consistent communication about its purpose and importance, which helped motivate participants to engage. Deputy Head teachers coordinated administration of the questionnaires thereby creating a feasible environment that made participation easier and more accessible. Follow-up reminders encouraged completion of the questionnaires that were administered at convenient times such as during break time.</w:t>
      </w:r>
    </w:p>
    <w:p w14:paraId="10EFA586" w14:textId="4680C9C9" w:rsidR="00497876" w:rsidRPr="00773249" w:rsidRDefault="00497876" w:rsidP="001D6167">
      <w:pPr>
        <w:pStyle w:val="Heading2"/>
        <w:rPr>
          <w:rFonts w:cs="Times New Roman"/>
          <w:b w:val="0"/>
          <w:szCs w:val="24"/>
        </w:rPr>
      </w:pPr>
      <w:bookmarkStart w:id="6" w:name="_Toc205894987"/>
      <w:r w:rsidRPr="00773249">
        <w:rPr>
          <w:rFonts w:cs="Times New Roman"/>
          <w:szCs w:val="24"/>
        </w:rPr>
        <w:t>Demographic Profile of the Respondents</w:t>
      </w:r>
      <w:bookmarkEnd w:id="6"/>
    </w:p>
    <w:p w14:paraId="54ADC9DD" w14:textId="77777777" w:rsidR="00497876" w:rsidRPr="00773249" w:rsidRDefault="00497876" w:rsidP="001D6167">
      <w:pPr>
        <w:rPr>
          <w:rFonts w:cs="Times New Roman"/>
          <w:szCs w:val="24"/>
        </w:rPr>
      </w:pPr>
      <w:r w:rsidRPr="00773249">
        <w:rPr>
          <w:rFonts w:cs="Times New Roman"/>
          <w:szCs w:val="24"/>
        </w:rPr>
        <w:t>Demographic information gives researchers insight into the characteristics of the respondents and allows them to examine how various demographic groups answered survey questions. The study captured gender and interaction of respondents with guidance and counselling services as shared elements, enabling comparison across groups. However, the student questionnaire includes personal and school-related variables (age, gender, class and school category), while the teacher questionnaire focused more on professional role and qualifications related to counselling. These demographic factors are summarized in the next sections.</w:t>
      </w:r>
    </w:p>
    <w:p w14:paraId="101BB2E7" w14:textId="55C9EECC" w:rsidR="00497876" w:rsidRPr="00773249" w:rsidRDefault="00497876" w:rsidP="001D6167">
      <w:pPr>
        <w:pStyle w:val="Heading3"/>
        <w:spacing w:before="240" w:after="240" w:line="240" w:lineRule="auto"/>
        <w:rPr>
          <w:rFonts w:cs="Times New Roman"/>
          <w:b/>
          <w:color w:val="auto"/>
          <w:sz w:val="24"/>
          <w:szCs w:val="24"/>
        </w:rPr>
      </w:pPr>
      <w:bookmarkStart w:id="7" w:name="_Toc205894988"/>
      <w:r w:rsidRPr="00773249">
        <w:rPr>
          <w:rFonts w:cs="Times New Roman"/>
          <w:b/>
          <w:color w:val="auto"/>
          <w:sz w:val="24"/>
          <w:szCs w:val="24"/>
        </w:rPr>
        <w:t>Age Distribution of Students</w:t>
      </w:r>
      <w:bookmarkEnd w:id="7"/>
    </w:p>
    <w:p w14:paraId="11AAF69A" w14:textId="00145A0F" w:rsidR="00497876" w:rsidRPr="00773249" w:rsidRDefault="00497876" w:rsidP="001D6167">
      <w:pPr>
        <w:rPr>
          <w:rFonts w:cs="Times New Roman"/>
          <w:szCs w:val="24"/>
        </w:rPr>
      </w:pPr>
      <w:r w:rsidRPr="00773249">
        <w:rPr>
          <w:rFonts w:cs="Times New Roman"/>
          <w:szCs w:val="24"/>
        </w:rPr>
        <w:t>The age breakdown for the students was collected. Table presents the data obtained.</w:t>
      </w:r>
    </w:p>
    <w:p w14:paraId="66C32BA3" w14:textId="77777777" w:rsidR="00497876" w:rsidRPr="00773249" w:rsidRDefault="00497876" w:rsidP="001D6167">
      <w:pPr>
        <w:pStyle w:val="Caption"/>
        <w:keepNext/>
        <w:spacing w:after="240" w:line="240" w:lineRule="auto"/>
        <w:rPr>
          <w:b w:val="0"/>
          <w:color w:val="auto"/>
          <w:szCs w:val="24"/>
        </w:rPr>
      </w:pPr>
      <w:bookmarkStart w:id="8" w:name="_Toc205894579"/>
      <w:r w:rsidRPr="00773249">
        <w:rPr>
          <w:b w:val="0"/>
          <w:color w:val="auto"/>
          <w:szCs w:val="24"/>
        </w:rPr>
        <w:t xml:space="preserve">Table </w:t>
      </w:r>
      <w:r w:rsidR="00C2043F" w:rsidRPr="00773249">
        <w:rPr>
          <w:b w:val="0"/>
          <w:color w:val="auto"/>
          <w:szCs w:val="24"/>
        </w:rPr>
        <w:t>2</w:t>
      </w:r>
      <w:r w:rsidRPr="00773249">
        <w:rPr>
          <w:b w:val="0"/>
          <w:color w:val="auto"/>
          <w:szCs w:val="24"/>
        </w:rPr>
        <w:t>: Age distribution of Students</w:t>
      </w:r>
      <w:bookmarkEnd w:id="8"/>
    </w:p>
    <w:tbl>
      <w:tblPr>
        <w:tblStyle w:val="TableGrid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566"/>
        <w:gridCol w:w="3564"/>
      </w:tblGrid>
      <w:tr w:rsidR="00497876" w:rsidRPr="00773249" w14:paraId="335A237F" w14:textId="77777777">
        <w:tc>
          <w:tcPr>
            <w:tcW w:w="1667" w:type="pct"/>
            <w:tcBorders>
              <w:bottom w:val="single" w:sz="4" w:space="0" w:color="auto"/>
            </w:tcBorders>
          </w:tcPr>
          <w:p w14:paraId="686E072C" w14:textId="77777777" w:rsidR="00497876" w:rsidRPr="00773249" w:rsidRDefault="00CA6250" w:rsidP="00D1392B">
            <w:pPr>
              <w:spacing w:before="0" w:after="0"/>
              <w:rPr>
                <w:szCs w:val="24"/>
              </w:rPr>
            </w:pPr>
            <w:r w:rsidRPr="00773249">
              <w:rPr>
                <w:szCs w:val="24"/>
              </w:rPr>
              <w:t>A</w:t>
            </w:r>
            <w:r w:rsidR="00497876" w:rsidRPr="00773249">
              <w:rPr>
                <w:szCs w:val="24"/>
              </w:rPr>
              <w:t>ge</w:t>
            </w:r>
          </w:p>
        </w:tc>
        <w:tc>
          <w:tcPr>
            <w:tcW w:w="1667" w:type="pct"/>
            <w:tcBorders>
              <w:bottom w:val="single" w:sz="4" w:space="0" w:color="auto"/>
            </w:tcBorders>
          </w:tcPr>
          <w:p w14:paraId="6015FF98" w14:textId="77777777" w:rsidR="00497876" w:rsidRPr="00773249" w:rsidRDefault="00497876" w:rsidP="00D1392B">
            <w:pPr>
              <w:spacing w:before="0" w:after="0"/>
              <w:jc w:val="center"/>
              <w:rPr>
                <w:szCs w:val="24"/>
              </w:rPr>
            </w:pPr>
            <w:r w:rsidRPr="00773249">
              <w:rPr>
                <w:szCs w:val="24"/>
              </w:rPr>
              <w:t>N=350</w:t>
            </w:r>
          </w:p>
        </w:tc>
        <w:tc>
          <w:tcPr>
            <w:tcW w:w="1666" w:type="pct"/>
            <w:tcBorders>
              <w:bottom w:val="single" w:sz="4" w:space="0" w:color="auto"/>
            </w:tcBorders>
          </w:tcPr>
          <w:p w14:paraId="46FB578A" w14:textId="77777777" w:rsidR="00497876" w:rsidRPr="00773249" w:rsidRDefault="00497876" w:rsidP="00D1392B">
            <w:pPr>
              <w:spacing w:before="0" w:after="0"/>
              <w:jc w:val="center"/>
              <w:rPr>
                <w:szCs w:val="24"/>
              </w:rPr>
            </w:pPr>
            <w:r w:rsidRPr="00773249">
              <w:rPr>
                <w:szCs w:val="24"/>
              </w:rPr>
              <w:t>%</w:t>
            </w:r>
          </w:p>
        </w:tc>
      </w:tr>
      <w:tr w:rsidR="00497876" w:rsidRPr="00773249" w14:paraId="3302EE91" w14:textId="77777777">
        <w:tc>
          <w:tcPr>
            <w:tcW w:w="1667" w:type="pct"/>
            <w:tcBorders>
              <w:top w:val="single" w:sz="4" w:space="0" w:color="auto"/>
              <w:bottom w:val="nil"/>
            </w:tcBorders>
          </w:tcPr>
          <w:p w14:paraId="24109B3A" w14:textId="77777777" w:rsidR="00497876" w:rsidRPr="00773249" w:rsidRDefault="00497876" w:rsidP="00D1392B">
            <w:pPr>
              <w:spacing w:before="0" w:after="0"/>
              <w:rPr>
                <w:szCs w:val="24"/>
              </w:rPr>
            </w:pPr>
            <w:r w:rsidRPr="00773249">
              <w:rPr>
                <w:szCs w:val="24"/>
              </w:rPr>
              <w:t>13-14</w:t>
            </w:r>
          </w:p>
        </w:tc>
        <w:tc>
          <w:tcPr>
            <w:tcW w:w="1667" w:type="pct"/>
            <w:tcBorders>
              <w:top w:val="single" w:sz="4" w:space="0" w:color="auto"/>
              <w:bottom w:val="nil"/>
            </w:tcBorders>
          </w:tcPr>
          <w:p w14:paraId="2C1FBC9D" w14:textId="77777777" w:rsidR="00497876" w:rsidRPr="00773249" w:rsidRDefault="00497876" w:rsidP="00D1392B">
            <w:pPr>
              <w:spacing w:before="0" w:after="0"/>
              <w:jc w:val="center"/>
              <w:rPr>
                <w:szCs w:val="24"/>
              </w:rPr>
            </w:pPr>
            <w:r w:rsidRPr="00773249">
              <w:rPr>
                <w:szCs w:val="24"/>
              </w:rPr>
              <w:t>85</w:t>
            </w:r>
          </w:p>
        </w:tc>
        <w:tc>
          <w:tcPr>
            <w:tcW w:w="1666" w:type="pct"/>
            <w:tcBorders>
              <w:top w:val="single" w:sz="4" w:space="0" w:color="auto"/>
              <w:bottom w:val="nil"/>
            </w:tcBorders>
          </w:tcPr>
          <w:p w14:paraId="5893A3E2" w14:textId="77777777" w:rsidR="00497876" w:rsidRPr="00773249" w:rsidRDefault="00497876" w:rsidP="00D1392B">
            <w:pPr>
              <w:spacing w:before="0" w:after="0"/>
              <w:jc w:val="center"/>
              <w:rPr>
                <w:szCs w:val="24"/>
              </w:rPr>
            </w:pPr>
            <w:r w:rsidRPr="00773249">
              <w:rPr>
                <w:szCs w:val="24"/>
              </w:rPr>
              <w:t>24.2%</w:t>
            </w:r>
          </w:p>
        </w:tc>
      </w:tr>
      <w:tr w:rsidR="00497876" w:rsidRPr="00773249" w14:paraId="4158239B" w14:textId="77777777">
        <w:tc>
          <w:tcPr>
            <w:tcW w:w="1667" w:type="pct"/>
            <w:tcBorders>
              <w:top w:val="nil"/>
            </w:tcBorders>
          </w:tcPr>
          <w:p w14:paraId="128705DF" w14:textId="77777777" w:rsidR="00497876" w:rsidRPr="00773249" w:rsidRDefault="00497876" w:rsidP="00D1392B">
            <w:pPr>
              <w:spacing w:before="0" w:after="0"/>
              <w:rPr>
                <w:szCs w:val="24"/>
              </w:rPr>
            </w:pPr>
            <w:r w:rsidRPr="00773249">
              <w:rPr>
                <w:szCs w:val="24"/>
              </w:rPr>
              <w:t>15-17</w:t>
            </w:r>
          </w:p>
        </w:tc>
        <w:tc>
          <w:tcPr>
            <w:tcW w:w="1667" w:type="pct"/>
            <w:tcBorders>
              <w:top w:val="nil"/>
            </w:tcBorders>
          </w:tcPr>
          <w:p w14:paraId="60F903A4" w14:textId="77777777" w:rsidR="00497876" w:rsidRPr="00773249" w:rsidRDefault="00497876" w:rsidP="00D1392B">
            <w:pPr>
              <w:spacing w:before="0" w:after="0"/>
              <w:jc w:val="center"/>
              <w:rPr>
                <w:szCs w:val="24"/>
              </w:rPr>
            </w:pPr>
            <w:r w:rsidRPr="00773249">
              <w:rPr>
                <w:szCs w:val="24"/>
              </w:rPr>
              <w:t>215</w:t>
            </w:r>
          </w:p>
        </w:tc>
        <w:tc>
          <w:tcPr>
            <w:tcW w:w="1666" w:type="pct"/>
            <w:tcBorders>
              <w:top w:val="nil"/>
            </w:tcBorders>
          </w:tcPr>
          <w:p w14:paraId="4C0D9D4B" w14:textId="77777777" w:rsidR="00497876" w:rsidRPr="00773249" w:rsidRDefault="00497876" w:rsidP="00D1392B">
            <w:pPr>
              <w:spacing w:before="0" w:after="0"/>
              <w:jc w:val="center"/>
              <w:rPr>
                <w:szCs w:val="24"/>
              </w:rPr>
            </w:pPr>
            <w:r w:rsidRPr="00773249">
              <w:rPr>
                <w:szCs w:val="24"/>
              </w:rPr>
              <w:t>61.4%</w:t>
            </w:r>
          </w:p>
        </w:tc>
      </w:tr>
      <w:tr w:rsidR="00497876" w:rsidRPr="00773249" w14:paraId="4376E500" w14:textId="77777777">
        <w:tc>
          <w:tcPr>
            <w:tcW w:w="1667" w:type="pct"/>
          </w:tcPr>
          <w:p w14:paraId="6D5AD795" w14:textId="77777777" w:rsidR="00497876" w:rsidRPr="00773249" w:rsidRDefault="00497876" w:rsidP="00D1392B">
            <w:pPr>
              <w:spacing w:before="0" w:after="0"/>
              <w:rPr>
                <w:szCs w:val="24"/>
              </w:rPr>
            </w:pPr>
            <w:r w:rsidRPr="00773249">
              <w:rPr>
                <w:szCs w:val="24"/>
              </w:rPr>
              <w:t>18 and above</w:t>
            </w:r>
          </w:p>
        </w:tc>
        <w:tc>
          <w:tcPr>
            <w:tcW w:w="1667" w:type="pct"/>
          </w:tcPr>
          <w:p w14:paraId="510D6D02" w14:textId="77777777" w:rsidR="00497876" w:rsidRPr="00773249" w:rsidRDefault="00497876" w:rsidP="00D1392B">
            <w:pPr>
              <w:spacing w:before="0" w:after="0"/>
              <w:jc w:val="center"/>
              <w:rPr>
                <w:szCs w:val="24"/>
              </w:rPr>
            </w:pPr>
            <w:r w:rsidRPr="00773249">
              <w:rPr>
                <w:szCs w:val="24"/>
              </w:rPr>
              <w:t>50</w:t>
            </w:r>
          </w:p>
        </w:tc>
        <w:tc>
          <w:tcPr>
            <w:tcW w:w="1666" w:type="pct"/>
          </w:tcPr>
          <w:p w14:paraId="0B1BC590" w14:textId="77777777" w:rsidR="00497876" w:rsidRPr="00773249" w:rsidRDefault="00497876" w:rsidP="00D1392B">
            <w:pPr>
              <w:spacing w:before="0" w:after="0"/>
              <w:jc w:val="center"/>
              <w:rPr>
                <w:szCs w:val="24"/>
              </w:rPr>
            </w:pPr>
            <w:r w:rsidRPr="00773249">
              <w:rPr>
                <w:szCs w:val="24"/>
              </w:rPr>
              <w:t>14.4%</w:t>
            </w:r>
          </w:p>
        </w:tc>
      </w:tr>
    </w:tbl>
    <w:p w14:paraId="433C19FA" w14:textId="77777777" w:rsidR="00497876" w:rsidRPr="00773249" w:rsidRDefault="00497876" w:rsidP="00D1392B">
      <w:pPr>
        <w:spacing w:before="0"/>
        <w:rPr>
          <w:rFonts w:cs="Times New Roman"/>
          <w:szCs w:val="24"/>
        </w:rPr>
      </w:pPr>
      <w:r w:rsidRPr="00773249">
        <w:rPr>
          <w:rFonts w:cs="Times New Roman"/>
          <w:szCs w:val="24"/>
        </w:rPr>
        <w:t>Source: Field Data (2025)</w:t>
      </w:r>
    </w:p>
    <w:p w14:paraId="40F25899" w14:textId="27CF9C4F" w:rsidR="00497876" w:rsidRPr="00773249" w:rsidRDefault="00497876" w:rsidP="001D6167">
      <w:pPr>
        <w:rPr>
          <w:rFonts w:cs="Times New Roman"/>
          <w:szCs w:val="24"/>
        </w:rPr>
      </w:pPr>
      <w:r w:rsidRPr="00773249">
        <w:rPr>
          <w:rFonts w:cs="Times New Roman"/>
          <w:szCs w:val="24"/>
        </w:rPr>
        <w:t>The study sought to establish the demographic characteristics and</w:t>
      </w:r>
      <w:r w:rsidR="00585A2D" w:rsidRPr="00773249">
        <w:rPr>
          <w:rFonts w:cs="Times New Roman"/>
          <w:szCs w:val="24"/>
        </w:rPr>
        <w:t xml:space="preserve"> guidance and </w:t>
      </w:r>
      <w:r w:rsidRPr="00773249">
        <w:rPr>
          <w:rFonts w:cs="Times New Roman"/>
          <w:szCs w:val="24"/>
        </w:rPr>
        <w:t xml:space="preserve">counselling participation levels among students in public secondary schools. In terms of </w:t>
      </w:r>
      <w:r w:rsidRPr="00773249">
        <w:rPr>
          <w:rStyle w:val="Strong"/>
          <w:rFonts w:cs="Times New Roman"/>
          <w:b w:val="0"/>
          <w:bCs w:val="0"/>
          <w:szCs w:val="24"/>
        </w:rPr>
        <w:t>age distribution</w:t>
      </w:r>
      <w:r w:rsidRPr="00773249">
        <w:rPr>
          <w:rFonts w:cs="Times New Roman"/>
          <w:b/>
          <w:bCs/>
          <w:szCs w:val="24"/>
        </w:rPr>
        <w:t>,</w:t>
      </w:r>
      <w:r w:rsidRPr="00773249">
        <w:rPr>
          <w:rFonts w:cs="Times New Roman"/>
          <w:szCs w:val="24"/>
        </w:rPr>
        <w:t xml:space="preserve"> a majority of the students (61.4%) were aged between </w:t>
      </w:r>
      <w:r w:rsidRPr="00773249">
        <w:rPr>
          <w:rStyle w:val="Strong"/>
          <w:rFonts w:cs="Times New Roman"/>
          <w:b w:val="0"/>
          <w:bCs w:val="0"/>
          <w:szCs w:val="24"/>
        </w:rPr>
        <w:t>15-17</w:t>
      </w:r>
      <w:r w:rsidRPr="00773249">
        <w:rPr>
          <w:rFonts w:cs="Times New Roman"/>
          <w:szCs w:val="24"/>
        </w:rPr>
        <w:t xml:space="preserve">, followed by those aged </w:t>
      </w:r>
      <w:r w:rsidRPr="00773249">
        <w:rPr>
          <w:rStyle w:val="Strong"/>
          <w:rFonts w:cs="Times New Roman"/>
          <w:b w:val="0"/>
          <w:bCs w:val="0"/>
          <w:szCs w:val="24"/>
        </w:rPr>
        <w:t>18 and above years</w:t>
      </w:r>
      <w:r w:rsidRPr="00773249">
        <w:rPr>
          <w:rFonts w:cs="Times New Roman"/>
          <w:szCs w:val="24"/>
        </w:rPr>
        <w:t xml:space="preserve"> at 14.4%, and the youngest group, </w:t>
      </w:r>
      <w:r w:rsidRPr="00773249">
        <w:rPr>
          <w:rStyle w:val="Strong"/>
          <w:rFonts w:cs="Times New Roman"/>
          <w:b w:val="0"/>
          <w:bCs w:val="0"/>
          <w:szCs w:val="24"/>
        </w:rPr>
        <w:t>13-14</w:t>
      </w:r>
      <w:r w:rsidRPr="00773249">
        <w:rPr>
          <w:rStyle w:val="Strong"/>
          <w:rFonts w:cs="Times New Roman"/>
          <w:szCs w:val="24"/>
        </w:rPr>
        <w:t xml:space="preserve"> </w:t>
      </w:r>
      <w:r w:rsidRPr="00773249">
        <w:rPr>
          <w:rStyle w:val="Strong"/>
          <w:rFonts w:cs="Times New Roman"/>
          <w:b w:val="0"/>
          <w:bCs w:val="0"/>
          <w:szCs w:val="24"/>
        </w:rPr>
        <w:t>years</w:t>
      </w:r>
      <w:r w:rsidRPr="00773249">
        <w:rPr>
          <w:rFonts w:cs="Times New Roman"/>
          <w:szCs w:val="24"/>
        </w:rPr>
        <w:t xml:space="preserve"> constituted 24.2%. This indicated that most of the participants were mid-adolescents, a critical developmental stage where emotional, social, and academic pressures were typically high, making guidance and counselling services particularly relevant</w:t>
      </w:r>
    </w:p>
    <w:p w14:paraId="560279A2" w14:textId="77777777" w:rsidR="00497876" w:rsidRPr="00773249" w:rsidRDefault="00497876" w:rsidP="001D6167">
      <w:pPr>
        <w:pStyle w:val="Heading3"/>
        <w:spacing w:before="240" w:after="240" w:line="240" w:lineRule="auto"/>
        <w:rPr>
          <w:rFonts w:cs="Times New Roman"/>
          <w:b/>
          <w:color w:val="auto"/>
          <w:sz w:val="24"/>
          <w:szCs w:val="24"/>
        </w:rPr>
      </w:pPr>
      <w:bookmarkStart w:id="9" w:name="_Toc205894989"/>
      <w:r w:rsidRPr="00773249">
        <w:rPr>
          <w:rFonts w:cs="Times New Roman"/>
          <w:b/>
          <w:color w:val="auto"/>
          <w:sz w:val="24"/>
          <w:szCs w:val="24"/>
        </w:rPr>
        <w:t>Gender Distribution of Respondents</w:t>
      </w:r>
      <w:bookmarkEnd w:id="9"/>
      <w:r w:rsidRPr="00773249">
        <w:rPr>
          <w:rFonts w:cs="Times New Roman"/>
          <w:b/>
          <w:color w:val="auto"/>
          <w:sz w:val="24"/>
          <w:szCs w:val="24"/>
        </w:rPr>
        <w:t xml:space="preserve">  </w:t>
      </w:r>
    </w:p>
    <w:p w14:paraId="3801170A" w14:textId="77777777" w:rsidR="00497876" w:rsidRPr="00773249" w:rsidRDefault="00497876" w:rsidP="001D6167">
      <w:pPr>
        <w:rPr>
          <w:rFonts w:cs="Times New Roman"/>
          <w:szCs w:val="24"/>
        </w:rPr>
      </w:pPr>
      <w:r w:rsidRPr="00773249">
        <w:rPr>
          <w:rFonts w:cs="Times New Roman"/>
          <w:szCs w:val="24"/>
        </w:rPr>
        <w:t xml:space="preserve">The gender breakdown of participants in the survey was collected separately. The data obtained is presented in Table </w:t>
      </w:r>
      <w:r w:rsidR="00C2043F" w:rsidRPr="00773249">
        <w:rPr>
          <w:rFonts w:cs="Times New Roman"/>
          <w:szCs w:val="24"/>
        </w:rPr>
        <w:t>3</w:t>
      </w:r>
    </w:p>
    <w:p w14:paraId="00B4B3E2" w14:textId="77777777" w:rsidR="00497876" w:rsidRPr="00773249" w:rsidRDefault="00497876" w:rsidP="001D6167">
      <w:pPr>
        <w:pStyle w:val="Caption"/>
        <w:keepNext/>
        <w:spacing w:after="240" w:line="240" w:lineRule="auto"/>
        <w:rPr>
          <w:b w:val="0"/>
          <w:color w:val="auto"/>
          <w:szCs w:val="24"/>
        </w:rPr>
      </w:pPr>
      <w:bookmarkStart w:id="10" w:name="_Toc205894580"/>
      <w:r w:rsidRPr="00773249">
        <w:rPr>
          <w:b w:val="0"/>
          <w:color w:val="auto"/>
          <w:szCs w:val="24"/>
        </w:rPr>
        <w:t>Table</w:t>
      </w:r>
      <w:r w:rsidR="00C2043F" w:rsidRPr="00773249">
        <w:rPr>
          <w:b w:val="0"/>
          <w:color w:val="auto"/>
          <w:szCs w:val="24"/>
        </w:rPr>
        <w:t xml:space="preserve"> 3</w:t>
      </w:r>
      <w:r w:rsidRPr="00773249">
        <w:rPr>
          <w:b w:val="0"/>
          <w:color w:val="auto"/>
          <w:szCs w:val="24"/>
        </w:rPr>
        <w:t>: Gender Distribution of Respondents</w:t>
      </w:r>
      <w:bookmarkEnd w:id="10"/>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530"/>
        <w:gridCol w:w="2037"/>
        <w:gridCol w:w="1664"/>
        <w:gridCol w:w="1900"/>
      </w:tblGrid>
      <w:tr w:rsidR="00497876" w:rsidRPr="00773249" w14:paraId="7FB1B56B" w14:textId="77777777">
        <w:trPr>
          <w:trHeight w:val="20"/>
        </w:trPr>
        <w:tc>
          <w:tcPr>
            <w:tcW w:w="1667" w:type="pct"/>
            <w:vMerge w:val="restart"/>
            <w:tcBorders>
              <w:top w:val="single" w:sz="4" w:space="0" w:color="auto"/>
              <w:bottom w:val="nil"/>
            </w:tcBorders>
          </w:tcPr>
          <w:p w14:paraId="2F6593B5" w14:textId="77777777" w:rsidR="00497876" w:rsidRPr="00773249" w:rsidRDefault="00497876" w:rsidP="00D1392B">
            <w:pPr>
              <w:spacing w:before="0" w:after="0"/>
              <w:rPr>
                <w:rFonts w:cs="Times New Roman"/>
                <w:szCs w:val="24"/>
              </w:rPr>
            </w:pPr>
            <w:r w:rsidRPr="00773249">
              <w:rPr>
                <w:rFonts w:cs="Times New Roman"/>
                <w:szCs w:val="24"/>
              </w:rPr>
              <w:t>Gender</w:t>
            </w:r>
          </w:p>
        </w:tc>
        <w:tc>
          <w:tcPr>
            <w:tcW w:w="1667" w:type="pct"/>
            <w:gridSpan w:val="2"/>
            <w:tcBorders>
              <w:top w:val="single" w:sz="4" w:space="0" w:color="auto"/>
              <w:bottom w:val="nil"/>
            </w:tcBorders>
          </w:tcPr>
          <w:p w14:paraId="66E05FD8" w14:textId="77777777" w:rsidR="00497876" w:rsidRPr="00773249" w:rsidRDefault="00497876" w:rsidP="00D1392B">
            <w:pPr>
              <w:spacing w:before="0" w:after="0"/>
              <w:rPr>
                <w:rFonts w:cs="Times New Roman"/>
                <w:szCs w:val="24"/>
              </w:rPr>
            </w:pPr>
            <w:r w:rsidRPr="00773249">
              <w:rPr>
                <w:rFonts w:cs="Times New Roman"/>
                <w:szCs w:val="24"/>
              </w:rPr>
              <w:t>Students (n=350)</w:t>
            </w:r>
          </w:p>
        </w:tc>
        <w:tc>
          <w:tcPr>
            <w:tcW w:w="1666" w:type="pct"/>
            <w:gridSpan w:val="2"/>
            <w:tcBorders>
              <w:top w:val="single" w:sz="4" w:space="0" w:color="auto"/>
              <w:bottom w:val="nil"/>
            </w:tcBorders>
          </w:tcPr>
          <w:p w14:paraId="48C9C5AF" w14:textId="77777777" w:rsidR="00497876" w:rsidRPr="00773249" w:rsidRDefault="00497876" w:rsidP="00D1392B">
            <w:pPr>
              <w:spacing w:before="0" w:after="0"/>
              <w:rPr>
                <w:rFonts w:cs="Times New Roman"/>
                <w:szCs w:val="24"/>
              </w:rPr>
            </w:pPr>
            <w:r w:rsidRPr="00773249">
              <w:rPr>
                <w:rFonts w:cs="Times New Roman"/>
                <w:szCs w:val="24"/>
              </w:rPr>
              <w:t>Teachers (n=20)</w:t>
            </w:r>
          </w:p>
        </w:tc>
      </w:tr>
      <w:tr w:rsidR="00497876" w:rsidRPr="00773249" w14:paraId="06DB7108" w14:textId="77777777">
        <w:trPr>
          <w:trHeight w:val="20"/>
        </w:trPr>
        <w:tc>
          <w:tcPr>
            <w:tcW w:w="1667" w:type="pct"/>
            <w:vMerge/>
            <w:tcBorders>
              <w:top w:val="nil"/>
              <w:bottom w:val="single" w:sz="4" w:space="0" w:color="auto"/>
            </w:tcBorders>
          </w:tcPr>
          <w:p w14:paraId="5F89CAD2" w14:textId="77777777" w:rsidR="00497876" w:rsidRPr="00773249" w:rsidRDefault="00497876" w:rsidP="00D1392B">
            <w:pPr>
              <w:spacing w:before="0" w:after="0"/>
              <w:jc w:val="center"/>
              <w:rPr>
                <w:rFonts w:cs="Times New Roman"/>
                <w:szCs w:val="24"/>
              </w:rPr>
            </w:pPr>
          </w:p>
        </w:tc>
        <w:tc>
          <w:tcPr>
            <w:tcW w:w="715" w:type="pct"/>
            <w:tcBorders>
              <w:top w:val="nil"/>
              <w:bottom w:val="single" w:sz="4" w:space="0" w:color="auto"/>
            </w:tcBorders>
          </w:tcPr>
          <w:p w14:paraId="4436CB5B" w14:textId="77777777" w:rsidR="00497876" w:rsidRPr="00773249" w:rsidRDefault="00497876" w:rsidP="00D1392B">
            <w:pPr>
              <w:spacing w:before="0" w:after="0"/>
              <w:jc w:val="center"/>
              <w:rPr>
                <w:rFonts w:cs="Times New Roman"/>
                <w:szCs w:val="24"/>
              </w:rPr>
            </w:pPr>
            <w:r w:rsidRPr="00773249">
              <w:rPr>
                <w:rFonts w:cs="Times New Roman"/>
                <w:szCs w:val="24"/>
              </w:rPr>
              <w:t>N</w:t>
            </w:r>
          </w:p>
        </w:tc>
        <w:tc>
          <w:tcPr>
            <w:tcW w:w="952" w:type="pct"/>
            <w:tcBorders>
              <w:top w:val="nil"/>
              <w:bottom w:val="single" w:sz="4" w:space="0" w:color="auto"/>
            </w:tcBorders>
          </w:tcPr>
          <w:p w14:paraId="05243F93" w14:textId="77777777" w:rsidR="00497876" w:rsidRPr="00773249" w:rsidRDefault="00497876" w:rsidP="00D1392B">
            <w:pPr>
              <w:spacing w:before="0" w:after="0"/>
              <w:ind w:left="297"/>
              <w:jc w:val="center"/>
              <w:rPr>
                <w:rFonts w:cs="Times New Roman"/>
                <w:szCs w:val="24"/>
              </w:rPr>
            </w:pPr>
            <w:r w:rsidRPr="00773249">
              <w:rPr>
                <w:rFonts w:cs="Times New Roman"/>
                <w:szCs w:val="24"/>
              </w:rPr>
              <w:t>%</w:t>
            </w:r>
          </w:p>
        </w:tc>
        <w:tc>
          <w:tcPr>
            <w:tcW w:w="778" w:type="pct"/>
            <w:tcBorders>
              <w:top w:val="nil"/>
              <w:bottom w:val="single" w:sz="4" w:space="0" w:color="auto"/>
            </w:tcBorders>
          </w:tcPr>
          <w:p w14:paraId="5AA791E3" w14:textId="77777777" w:rsidR="00497876" w:rsidRPr="00773249" w:rsidRDefault="00497876" w:rsidP="00D1392B">
            <w:pPr>
              <w:spacing w:before="0" w:after="0"/>
              <w:jc w:val="center"/>
              <w:rPr>
                <w:rFonts w:cs="Times New Roman"/>
                <w:szCs w:val="24"/>
              </w:rPr>
            </w:pPr>
            <w:r w:rsidRPr="00773249">
              <w:rPr>
                <w:rFonts w:cs="Times New Roman"/>
                <w:szCs w:val="24"/>
              </w:rPr>
              <w:t>N</w:t>
            </w:r>
          </w:p>
        </w:tc>
        <w:tc>
          <w:tcPr>
            <w:tcW w:w="888" w:type="pct"/>
            <w:tcBorders>
              <w:top w:val="nil"/>
              <w:bottom w:val="single" w:sz="4" w:space="0" w:color="auto"/>
            </w:tcBorders>
          </w:tcPr>
          <w:p w14:paraId="6994A71A" w14:textId="77777777" w:rsidR="00497876" w:rsidRPr="00773249" w:rsidRDefault="00497876" w:rsidP="00D1392B">
            <w:pPr>
              <w:spacing w:before="0" w:after="0"/>
              <w:ind w:left="267"/>
              <w:jc w:val="center"/>
              <w:rPr>
                <w:rFonts w:cs="Times New Roman"/>
                <w:szCs w:val="24"/>
              </w:rPr>
            </w:pPr>
            <w:r w:rsidRPr="00773249">
              <w:rPr>
                <w:rFonts w:cs="Times New Roman"/>
                <w:szCs w:val="24"/>
              </w:rPr>
              <w:t>%</w:t>
            </w:r>
          </w:p>
        </w:tc>
      </w:tr>
      <w:tr w:rsidR="00497876" w:rsidRPr="00773249" w14:paraId="46D44747" w14:textId="77777777">
        <w:trPr>
          <w:trHeight w:val="20"/>
        </w:trPr>
        <w:tc>
          <w:tcPr>
            <w:tcW w:w="1667" w:type="pct"/>
            <w:tcBorders>
              <w:top w:val="single" w:sz="4" w:space="0" w:color="auto"/>
            </w:tcBorders>
          </w:tcPr>
          <w:p w14:paraId="2B8BF88E" w14:textId="77777777" w:rsidR="00497876" w:rsidRPr="00773249" w:rsidRDefault="00497876" w:rsidP="00D1392B">
            <w:pPr>
              <w:spacing w:before="0" w:after="0"/>
              <w:rPr>
                <w:rFonts w:cs="Times New Roman"/>
                <w:szCs w:val="24"/>
              </w:rPr>
            </w:pPr>
            <w:r w:rsidRPr="00773249">
              <w:rPr>
                <w:rFonts w:cs="Times New Roman"/>
                <w:szCs w:val="24"/>
              </w:rPr>
              <w:t>Male</w:t>
            </w:r>
          </w:p>
        </w:tc>
        <w:tc>
          <w:tcPr>
            <w:tcW w:w="715" w:type="pct"/>
            <w:tcBorders>
              <w:top w:val="single" w:sz="4" w:space="0" w:color="auto"/>
            </w:tcBorders>
          </w:tcPr>
          <w:p w14:paraId="33CB1F5A" w14:textId="77777777" w:rsidR="00497876" w:rsidRPr="00773249" w:rsidRDefault="00497876" w:rsidP="00D1392B">
            <w:pPr>
              <w:spacing w:before="0" w:after="0"/>
              <w:jc w:val="center"/>
              <w:rPr>
                <w:rFonts w:cs="Times New Roman"/>
                <w:szCs w:val="24"/>
              </w:rPr>
            </w:pPr>
            <w:r w:rsidRPr="00773249">
              <w:rPr>
                <w:rFonts w:cs="Times New Roman"/>
                <w:szCs w:val="24"/>
              </w:rPr>
              <w:t>150</w:t>
            </w:r>
          </w:p>
        </w:tc>
        <w:tc>
          <w:tcPr>
            <w:tcW w:w="952" w:type="pct"/>
            <w:tcBorders>
              <w:top w:val="single" w:sz="4" w:space="0" w:color="auto"/>
            </w:tcBorders>
          </w:tcPr>
          <w:p w14:paraId="127E8947" w14:textId="77777777" w:rsidR="00497876" w:rsidRPr="00773249" w:rsidRDefault="00497876" w:rsidP="00D1392B">
            <w:pPr>
              <w:spacing w:before="0" w:after="0"/>
              <w:ind w:left="132"/>
              <w:jc w:val="center"/>
              <w:rPr>
                <w:rFonts w:cs="Times New Roman"/>
                <w:szCs w:val="24"/>
              </w:rPr>
            </w:pPr>
            <w:r w:rsidRPr="00773249">
              <w:rPr>
                <w:rFonts w:cs="Times New Roman"/>
                <w:szCs w:val="24"/>
              </w:rPr>
              <w:t>43</w:t>
            </w:r>
          </w:p>
        </w:tc>
        <w:tc>
          <w:tcPr>
            <w:tcW w:w="778" w:type="pct"/>
            <w:tcBorders>
              <w:top w:val="single" w:sz="4" w:space="0" w:color="auto"/>
            </w:tcBorders>
          </w:tcPr>
          <w:p w14:paraId="1B652A82" w14:textId="77777777" w:rsidR="00497876" w:rsidRPr="00773249" w:rsidRDefault="00497876" w:rsidP="00D1392B">
            <w:pPr>
              <w:spacing w:before="0" w:after="0"/>
              <w:jc w:val="center"/>
              <w:rPr>
                <w:rFonts w:cs="Times New Roman"/>
                <w:szCs w:val="24"/>
              </w:rPr>
            </w:pPr>
            <w:r w:rsidRPr="00773249">
              <w:rPr>
                <w:rFonts w:cs="Times New Roman"/>
                <w:szCs w:val="24"/>
              </w:rPr>
              <w:t>8</w:t>
            </w:r>
          </w:p>
        </w:tc>
        <w:tc>
          <w:tcPr>
            <w:tcW w:w="888" w:type="pct"/>
            <w:tcBorders>
              <w:top w:val="single" w:sz="4" w:space="0" w:color="auto"/>
            </w:tcBorders>
          </w:tcPr>
          <w:p w14:paraId="131C7C2B" w14:textId="77777777" w:rsidR="00497876" w:rsidRPr="00773249" w:rsidRDefault="00497876" w:rsidP="00D1392B">
            <w:pPr>
              <w:spacing w:before="0" w:after="0"/>
              <w:ind w:left="222"/>
              <w:jc w:val="center"/>
              <w:rPr>
                <w:rFonts w:cs="Times New Roman"/>
                <w:szCs w:val="24"/>
              </w:rPr>
            </w:pPr>
            <w:r w:rsidRPr="00773249">
              <w:rPr>
                <w:rFonts w:cs="Times New Roman"/>
                <w:szCs w:val="24"/>
              </w:rPr>
              <w:t>40</w:t>
            </w:r>
          </w:p>
        </w:tc>
      </w:tr>
      <w:tr w:rsidR="00497876" w:rsidRPr="00773249" w14:paraId="3C6E3147" w14:textId="77777777">
        <w:trPr>
          <w:trHeight w:val="20"/>
        </w:trPr>
        <w:tc>
          <w:tcPr>
            <w:tcW w:w="1667" w:type="pct"/>
          </w:tcPr>
          <w:p w14:paraId="58BF3779" w14:textId="77777777" w:rsidR="00497876" w:rsidRPr="00773249" w:rsidRDefault="00497876" w:rsidP="00D1392B">
            <w:pPr>
              <w:spacing w:before="0" w:after="0"/>
              <w:rPr>
                <w:rFonts w:cs="Times New Roman"/>
                <w:szCs w:val="24"/>
              </w:rPr>
            </w:pPr>
            <w:r w:rsidRPr="00773249">
              <w:rPr>
                <w:rFonts w:cs="Times New Roman"/>
                <w:szCs w:val="24"/>
              </w:rPr>
              <w:t>Female</w:t>
            </w:r>
          </w:p>
        </w:tc>
        <w:tc>
          <w:tcPr>
            <w:tcW w:w="715" w:type="pct"/>
          </w:tcPr>
          <w:p w14:paraId="3ABFFE24" w14:textId="77777777" w:rsidR="00497876" w:rsidRPr="00773249" w:rsidRDefault="00497876" w:rsidP="00D1392B">
            <w:pPr>
              <w:spacing w:before="0" w:after="0"/>
              <w:jc w:val="center"/>
              <w:rPr>
                <w:rFonts w:cs="Times New Roman"/>
                <w:szCs w:val="24"/>
              </w:rPr>
            </w:pPr>
            <w:r w:rsidRPr="00773249">
              <w:rPr>
                <w:rFonts w:cs="Times New Roman"/>
                <w:szCs w:val="24"/>
              </w:rPr>
              <w:t>200</w:t>
            </w:r>
          </w:p>
        </w:tc>
        <w:tc>
          <w:tcPr>
            <w:tcW w:w="952" w:type="pct"/>
          </w:tcPr>
          <w:p w14:paraId="7285751B" w14:textId="77777777" w:rsidR="00497876" w:rsidRPr="00773249" w:rsidRDefault="00497876" w:rsidP="00D1392B">
            <w:pPr>
              <w:spacing w:before="0" w:after="0"/>
              <w:ind w:left="132"/>
              <w:jc w:val="center"/>
              <w:rPr>
                <w:rFonts w:cs="Times New Roman"/>
                <w:szCs w:val="24"/>
              </w:rPr>
            </w:pPr>
            <w:r w:rsidRPr="00773249">
              <w:rPr>
                <w:rFonts w:cs="Times New Roman"/>
                <w:szCs w:val="24"/>
              </w:rPr>
              <w:t>57</w:t>
            </w:r>
          </w:p>
        </w:tc>
        <w:tc>
          <w:tcPr>
            <w:tcW w:w="778" w:type="pct"/>
          </w:tcPr>
          <w:p w14:paraId="04EA7856" w14:textId="77777777" w:rsidR="00497876" w:rsidRPr="00773249" w:rsidRDefault="00497876" w:rsidP="00D1392B">
            <w:pPr>
              <w:spacing w:before="0" w:after="0"/>
              <w:jc w:val="center"/>
              <w:rPr>
                <w:rFonts w:cs="Times New Roman"/>
                <w:szCs w:val="24"/>
              </w:rPr>
            </w:pPr>
            <w:r w:rsidRPr="00773249">
              <w:rPr>
                <w:rFonts w:cs="Times New Roman"/>
                <w:szCs w:val="24"/>
              </w:rPr>
              <w:t>12</w:t>
            </w:r>
          </w:p>
        </w:tc>
        <w:tc>
          <w:tcPr>
            <w:tcW w:w="888" w:type="pct"/>
          </w:tcPr>
          <w:p w14:paraId="32172188" w14:textId="77777777" w:rsidR="00497876" w:rsidRPr="00773249" w:rsidRDefault="00497876" w:rsidP="00D1392B">
            <w:pPr>
              <w:spacing w:before="0" w:after="0"/>
              <w:ind w:left="282"/>
              <w:jc w:val="center"/>
              <w:rPr>
                <w:rFonts w:cs="Times New Roman"/>
                <w:szCs w:val="24"/>
              </w:rPr>
            </w:pPr>
            <w:r w:rsidRPr="00773249">
              <w:rPr>
                <w:rFonts w:cs="Times New Roman"/>
                <w:szCs w:val="24"/>
              </w:rPr>
              <w:t>60</w:t>
            </w:r>
          </w:p>
        </w:tc>
      </w:tr>
      <w:tr w:rsidR="00497876" w:rsidRPr="00773249" w14:paraId="567AE81B" w14:textId="77777777">
        <w:trPr>
          <w:trHeight w:val="20"/>
        </w:trPr>
        <w:tc>
          <w:tcPr>
            <w:tcW w:w="1667" w:type="pct"/>
          </w:tcPr>
          <w:p w14:paraId="6A654695" w14:textId="77777777" w:rsidR="00497876" w:rsidRPr="00773249" w:rsidRDefault="00497876" w:rsidP="00D1392B">
            <w:pPr>
              <w:spacing w:before="0" w:after="0"/>
              <w:rPr>
                <w:rFonts w:cs="Times New Roman"/>
                <w:szCs w:val="24"/>
              </w:rPr>
            </w:pPr>
            <w:r w:rsidRPr="00773249">
              <w:rPr>
                <w:rFonts w:cs="Times New Roman"/>
                <w:szCs w:val="24"/>
              </w:rPr>
              <w:t>Total</w:t>
            </w:r>
          </w:p>
        </w:tc>
        <w:tc>
          <w:tcPr>
            <w:tcW w:w="715" w:type="pct"/>
          </w:tcPr>
          <w:p w14:paraId="4A51C182" w14:textId="77777777" w:rsidR="00497876" w:rsidRPr="00773249" w:rsidRDefault="00497876" w:rsidP="00D1392B">
            <w:pPr>
              <w:spacing w:before="0" w:after="0"/>
              <w:jc w:val="center"/>
              <w:rPr>
                <w:rFonts w:cs="Times New Roman"/>
                <w:szCs w:val="24"/>
              </w:rPr>
            </w:pPr>
            <w:r w:rsidRPr="00773249">
              <w:rPr>
                <w:rFonts w:cs="Times New Roman"/>
                <w:szCs w:val="24"/>
              </w:rPr>
              <w:t>350</w:t>
            </w:r>
          </w:p>
        </w:tc>
        <w:tc>
          <w:tcPr>
            <w:tcW w:w="952" w:type="pct"/>
          </w:tcPr>
          <w:p w14:paraId="3D7969F9" w14:textId="77777777" w:rsidR="00497876" w:rsidRPr="00773249" w:rsidRDefault="00497876" w:rsidP="00D1392B">
            <w:pPr>
              <w:spacing w:before="0" w:after="0"/>
              <w:ind w:left="132"/>
              <w:jc w:val="center"/>
              <w:rPr>
                <w:rFonts w:cs="Times New Roman"/>
                <w:szCs w:val="24"/>
              </w:rPr>
            </w:pPr>
            <w:r w:rsidRPr="00773249">
              <w:rPr>
                <w:rFonts w:cs="Times New Roman"/>
                <w:szCs w:val="24"/>
              </w:rPr>
              <w:t>100</w:t>
            </w:r>
          </w:p>
        </w:tc>
        <w:tc>
          <w:tcPr>
            <w:tcW w:w="778" w:type="pct"/>
          </w:tcPr>
          <w:p w14:paraId="75E355D0" w14:textId="77777777" w:rsidR="00497876" w:rsidRPr="00773249" w:rsidRDefault="00497876" w:rsidP="00D1392B">
            <w:pPr>
              <w:spacing w:before="0" w:after="0"/>
              <w:jc w:val="center"/>
              <w:rPr>
                <w:rFonts w:cs="Times New Roman"/>
                <w:szCs w:val="24"/>
              </w:rPr>
            </w:pPr>
            <w:r w:rsidRPr="00773249">
              <w:rPr>
                <w:rFonts w:cs="Times New Roman"/>
                <w:szCs w:val="24"/>
              </w:rPr>
              <w:t>20</w:t>
            </w:r>
          </w:p>
        </w:tc>
        <w:tc>
          <w:tcPr>
            <w:tcW w:w="888" w:type="pct"/>
          </w:tcPr>
          <w:p w14:paraId="2D5FFD08" w14:textId="77777777" w:rsidR="00497876" w:rsidRPr="00773249" w:rsidRDefault="00497876" w:rsidP="00D1392B">
            <w:pPr>
              <w:spacing w:before="0" w:after="0"/>
              <w:ind w:left="327"/>
              <w:jc w:val="center"/>
              <w:rPr>
                <w:rFonts w:cs="Times New Roman"/>
                <w:szCs w:val="24"/>
              </w:rPr>
            </w:pPr>
            <w:r w:rsidRPr="00773249">
              <w:rPr>
                <w:rFonts w:cs="Times New Roman"/>
                <w:szCs w:val="24"/>
              </w:rPr>
              <w:t>100</w:t>
            </w:r>
          </w:p>
        </w:tc>
      </w:tr>
    </w:tbl>
    <w:p w14:paraId="44274999" w14:textId="77777777" w:rsidR="00497876" w:rsidRPr="00773249" w:rsidRDefault="00497876" w:rsidP="00D1392B">
      <w:pPr>
        <w:spacing w:before="0"/>
        <w:rPr>
          <w:rFonts w:cs="Times New Roman"/>
          <w:szCs w:val="24"/>
        </w:rPr>
      </w:pPr>
      <w:bookmarkStart w:id="11" w:name="_Hlk205849909"/>
      <w:r w:rsidRPr="00773249">
        <w:rPr>
          <w:rFonts w:cs="Times New Roman"/>
          <w:szCs w:val="24"/>
        </w:rPr>
        <w:t>Source: Field Data (2025)</w:t>
      </w:r>
    </w:p>
    <w:bookmarkEnd w:id="11"/>
    <w:p w14:paraId="3EBD3B6D" w14:textId="77777777" w:rsidR="00497876" w:rsidRPr="00773249" w:rsidRDefault="00497876" w:rsidP="001D6167">
      <w:pPr>
        <w:rPr>
          <w:rFonts w:cs="Times New Roman"/>
          <w:szCs w:val="24"/>
        </w:rPr>
      </w:pPr>
      <w:r w:rsidRPr="00773249">
        <w:rPr>
          <w:rFonts w:cs="Times New Roman"/>
          <w:szCs w:val="24"/>
        </w:rPr>
        <w:t>The gender distribution of respondents, presented in Table</w:t>
      </w:r>
      <w:r w:rsidR="00C2043F" w:rsidRPr="00773249">
        <w:rPr>
          <w:rFonts w:cs="Times New Roman"/>
          <w:szCs w:val="24"/>
        </w:rPr>
        <w:t>3</w:t>
      </w:r>
      <w:r w:rsidRPr="00773249">
        <w:rPr>
          <w:rFonts w:cs="Times New Roman"/>
          <w:szCs w:val="24"/>
        </w:rPr>
        <w:t xml:space="preserve">, shows that </w:t>
      </w:r>
      <w:r w:rsidRPr="00773249">
        <w:rPr>
          <w:rFonts w:cs="Times New Roman"/>
          <w:bCs/>
          <w:szCs w:val="24"/>
        </w:rPr>
        <w:t>57% of the student participants were female</w:t>
      </w:r>
      <w:r w:rsidRPr="00773249">
        <w:rPr>
          <w:rFonts w:cs="Times New Roman"/>
          <w:szCs w:val="24"/>
        </w:rPr>
        <w:t xml:space="preserve"> and </w:t>
      </w:r>
      <w:r w:rsidRPr="00773249">
        <w:rPr>
          <w:rFonts w:cs="Times New Roman"/>
          <w:bCs/>
          <w:szCs w:val="24"/>
        </w:rPr>
        <w:t>43% were male</w:t>
      </w:r>
      <w:r w:rsidRPr="00773249">
        <w:rPr>
          <w:rFonts w:cs="Times New Roman"/>
          <w:szCs w:val="24"/>
        </w:rPr>
        <w:t xml:space="preserve">, while among teachers, </w:t>
      </w:r>
      <w:r w:rsidRPr="00773249">
        <w:rPr>
          <w:rFonts w:cs="Times New Roman"/>
          <w:bCs/>
          <w:szCs w:val="24"/>
        </w:rPr>
        <w:t>60% were female</w:t>
      </w:r>
      <w:r w:rsidRPr="00773249">
        <w:rPr>
          <w:rFonts w:cs="Times New Roman"/>
          <w:szCs w:val="24"/>
        </w:rPr>
        <w:t xml:space="preserve"> and </w:t>
      </w:r>
      <w:r w:rsidRPr="00773249">
        <w:rPr>
          <w:rFonts w:cs="Times New Roman"/>
          <w:bCs/>
          <w:szCs w:val="24"/>
        </w:rPr>
        <w:t>40% were male</w:t>
      </w:r>
      <w:r w:rsidRPr="00773249">
        <w:rPr>
          <w:rFonts w:cs="Times New Roman"/>
          <w:szCs w:val="24"/>
        </w:rPr>
        <w:t xml:space="preserve">. This gender imbalance has implications for understanding emotional resilience among students in Westlands Sub-County. Research by Hadad (2025) suggests that female students are generally more likely to seek emotional support and engage in guidance and counselling compared to male students. This aligns with the current data, where a higher number of female students were found to seek emotional help. Conversely, the lower male representation may reflect a </w:t>
      </w:r>
      <w:r w:rsidRPr="00773249">
        <w:rPr>
          <w:rFonts w:cs="Times New Roman"/>
          <w:szCs w:val="24"/>
        </w:rPr>
        <w:lastRenderedPageBreak/>
        <w:t>reluctance to engage with support services, highlighting a potential gap in how emotional resilience is developed and supported among boys.</w:t>
      </w:r>
    </w:p>
    <w:p w14:paraId="64FA9BC9" w14:textId="01B7A100" w:rsidR="00775185" w:rsidRPr="00773249" w:rsidRDefault="00497876" w:rsidP="001D6167">
      <w:pPr>
        <w:rPr>
          <w:rFonts w:cs="Times New Roman"/>
          <w:szCs w:val="24"/>
        </w:rPr>
      </w:pPr>
      <w:r w:rsidRPr="00773249">
        <w:rPr>
          <w:rFonts w:cs="Times New Roman"/>
          <w:szCs w:val="24"/>
        </w:rPr>
        <w:t xml:space="preserve">The predominance of female teachers may also influence student access to emotional support as previous studies have shown that students often find it easier to approach female educators for guidance. This could further contribute to a gendered pattern in the use of guidance and counselling programmes. These findings are consistent with those of </w:t>
      </w:r>
      <w:proofErr w:type="spellStart"/>
      <w:r w:rsidRPr="00773249">
        <w:rPr>
          <w:rFonts w:cs="Times New Roman"/>
          <w:bCs/>
          <w:szCs w:val="24"/>
        </w:rPr>
        <w:t>Olum</w:t>
      </w:r>
      <w:proofErr w:type="spellEnd"/>
      <w:r w:rsidRPr="00773249">
        <w:rPr>
          <w:rFonts w:cs="Times New Roman"/>
          <w:bCs/>
          <w:szCs w:val="24"/>
        </w:rPr>
        <w:t xml:space="preserve"> and Ochieng (2020)</w:t>
      </w:r>
      <w:r w:rsidRPr="00773249">
        <w:rPr>
          <w:rFonts w:cs="Times New Roman"/>
          <w:szCs w:val="24"/>
        </w:rPr>
        <w:t xml:space="preserve">, who reported that Kenyan female students tend to adopt more adaptive coping strategies. </w:t>
      </w:r>
      <w:bookmarkStart w:id="12" w:name="_Toc205894990"/>
    </w:p>
    <w:p w14:paraId="7D375711" w14:textId="77777777" w:rsidR="00497876" w:rsidRPr="00773249" w:rsidRDefault="00497876" w:rsidP="001D6167">
      <w:pPr>
        <w:pStyle w:val="Heading3"/>
        <w:spacing w:before="240" w:after="240" w:line="240" w:lineRule="auto"/>
        <w:rPr>
          <w:rFonts w:cs="Times New Roman"/>
          <w:b/>
          <w:color w:val="auto"/>
          <w:sz w:val="24"/>
          <w:szCs w:val="24"/>
        </w:rPr>
      </w:pPr>
      <w:r w:rsidRPr="00773249">
        <w:rPr>
          <w:rFonts w:cs="Times New Roman"/>
          <w:b/>
          <w:color w:val="auto"/>
          <w:sz w:val="24"/>
          <w:szCs w:val="24"/>
        </w:rPr>
        <w:t>Distribution of Students by Category of School</w:t>
      </w:r>
      <w:bookmarkEnd w:id="12"/>
    </w:p>
    <w:p w14:paraId="4F141A57" w14:textId="77777777" w:rsidR="00497876" w:rsidRPr="00773249" w:rsidRDefault="00497876" w:rsidP="001D6167">
      <w:pPr>
        <w:rPr>
          <w:rFonts w:cs="Times New Roman"/>
          <w:szCs w:val="24"/>
        </w:rPr>
      </w:pPr>
      <w:r w:rsidRPr="00773249">
        <w:rPr>
          <w:rFonts w:cs="Times New Roman"/>
          <w:szCs w:val="24"/>
        </w:rPr>
        <w:t>As part of the demographic section of the questionnaire, learners were asked to indicate the category of school they attend. The distribution of responses is presented in Table 8.</w:t>
      </w:r>
    </w:p>
    <w:p w14:paraId="203FFBEE" w14:textId="77777777" w:rsidR="00497876" w:rsidRPr="00773249" w:rsidRDefault="00497876" w:rsidP="001D6167">
      <w:pPr>
        <w:pStyle w:val="Caption"/>
        <w:keepNext/>
        <w:spacing w:after="240" w:line="240" w:lineRule="auto"/>
        <w:rPr>
          <w:b w:val="0"/>
          <w:color w:val="auto"/>
          <w:szCs w:val="24"/>
        </w:rPr>
      </w:pPr>
      <w:bookmarkStart w:id="13" w:name="_Toc205894581"/>
      <w:r w:rsidRPr="00773249">
        <w:rPr>
          <w:b w:val="0"/>
          <w:color w:val="auto"/>
          <w:szCs w:val="24"/>
        </w:rPr>
        <w:t xml:space="preserve">Table </w:t>
      </w:r>
      <w:r w:rsidR="00C2043F" w:rsidRPr="00773249">
        <w:rPr>
          <w:b w:val="0"/>
          <w:color w:val="auto"/>
          <w:szCs w:val="24"/>
        </w:rPr>
        <w:t>4</w:t>
      </w:r>
      <w:r w:rsidRPr="00773249">
        <w:rPr>
          <w:b w:val="0"/>
          <w:color w:val="auto"/>
          <w:szCs w:val="24"/>
        </w:rPr>
        <w:t>: Distribution of Students by Category of School</w:t>
      </w:r>
      <w:bookmarkEnd w:id="13"/>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3134"/>
        <w:gridCol w:w="3237"/>
      </w:tblGrid>
      <w:tr w:rsidR="00497876" w:rsidRPr="00773249" w14:paraId="267A58C1" w14:textId="77777777">
        <w:trPr>
          <w:trHeight w:val="20"/>
        </w:trPr>
        <w:tc>
          <w:tcPr>
            <w:tcW w:w="2022" w:type="pct"/>
            <w:tcBorders>
              <w:bottom w:val="single" w:sz="4" w:space="0" w:color="auto"/>
            </w:tcBorders>
            <w:hideMark/>
          </w:tcPr>
          <w:p w14:paraId="51B0AF1A" w14:textId="77777777" w:rsidR="00497876" w:rsidRPr="00773249" w:rsidRDefault="00497876" w:rsidP="00D1392B">
            <w:pPr>
              <w:spacing w:before="0" w:after="0"/>
              <w:rPr>
                <w:rFonts w:eastAsia="Times New Roman" w:cs="Times New Roman"/>
                <w:bCs/>
                <w:szCs w:val="24"/>
                <w:lang w:eastAsia="en-GB"/>
              </w:rPr>
            </w:pPr>
            <w:r w:rsidRPr="00773249">
              <w:rPr>
                <w:rFonts w:eastAsia="Times New Roman" w:cs="Times New Roman"/>
                <w:bCs/>
                <w:szCs w:val="24"/>
                <w:lang w:eastAsia="en-GB"/>
              </w:rPr>
              <w:t>Type of School</w:t>
            </w:r>
          </w:p>
        </w:tc>
        <w:tc>
          <w:tcPr>
            <w:tcW w:w="1465" w:type="pct"/>
            <w:tcBorders>
              <w:bottom w:val="single" w:sz="4" w:space="0" w:color="auto"/>
            </w:tcBorders>
            <w:hideMark/>
          </w:tcPr>
          <w:p w14:paraId="023A69E4" w14:textId="77777777" w:rsidR="00497876" w:rsidRPr="00773249" w:rsidRDefault="00497876" w:rsidP="00D1392B">
            <w:pPr>
              <w:spacing w:before="0" w:after="0"/>
              <w:jc w:val="center"/>
              <w:rPr>
                <w:rFonts w:eastAsia="Times New Roman" w:cs="Times New Roman"/>
                <w:bCs/>
                <w:szCs w:val="24"/>
                <w:lang w:eastAsia="en-GB"/>
              </w:rPr>
            </w:pPr>
            <w:r w:rsidRPr="00773249">
              <w:rPr>
                <w:rFonts w:eastAsia="Times New Roman" w:cs="Times New Roman"/>
                <w:bCs/>
                <w:szCs w:val="24"/>
                <w:lang w:eastAsia="en-GB"/>
              </w:rPr>
              <w:t>Frequency</w:t>
            </w:r>
          </w:p>
        </w:tc>
        <w:tc>
          <w:tcPr>
            <w:tcW w:w="1513" w:type="pct"/>
            <w:tcBorders>
              <w:bottom w:val="single" w:sz="4" w:space="0" w:color="auto"/>
            </w:tcBorders>
            <w:hideMark/>
          </w:tcPr>
          <w:p w14:paraId="15FD0375" w14:textId="77777777" w:rsidR="00497876" w:rsidRPr="00773249" w:rsidRDefault="00497876" w:rsidP="00D1392B">
            <w:pPr>
              <w:spacing w:before="0" w:after="0"/>
              <w:jc w:val="center"/>
              <w:rPr>
                <w:rFonts w:eastAsia="Times New Roman" w:cs="Times New Roman"/>
                <w:bCs/>
                <w:szCs w:val="24"/>
                <w:lang w:eastAsia="en-GB"/>
              </w:rPr>
            </w:pPr>
            <w:r w:rsidRPr="00773249">
              <w:rPr>
                <w:rFonts w:eastAsia="Times New Roman" w:cs="Times New Roman"/>
                <w:bCs/>
                <w:szCs w:val="24"/>
                <w:lang w:eastAsia="en-GB"/>
              </w:rPr>
              <w:t>Percentage</w:t>
            </w:r>
          </w:p>
        </w:tc>
      </w:tr>
      <w:tr w:rsidR="00497876" w:rsidRPr="00773249" w14:paraId="195A0048" w14:textId="77777777">
        <w:trPr>
          <w:trHeight w:val="20"/>
        </w:trPr>
        <w:tc>
          <w:tcPr>
            <w:tcW w:w="2022" w:type="pct"/>
            <w:tcBorders>
              <w:top w:val="single" w:sz="4" w:space="0" w:color="auto"/>
              <w:bottom w:val="nil"/>
            </w:tcBorders>
            <w:hideMark/>
          </w:tcPr>
          <w:p w14:paraId="3EABA5E7" w14:textId="77777777" w:rsidR="00497876" w:rsidRPr="00773249" w:rsidRDefault="00497876" w:rsidP="00D1392B">
            <w:pPr>
              <w:spacing w:before="0" w:after="0"/>
              <w:rPr>
                <w:rFonts w:eastAsia="Times New Roman" w:cs="Times New Roman"/>
                <w:szCs w:val="24"/>
                <w:lang w:eastAsia="en-GB"/>
              </w:rPr>
            </w:pPr>
            <w:r w:rsidRPr="00773249">
              <w:rPr>
                <w:rFonts w:eastAsia="Times New Roman" w:cs="Times New Roman"/>
                <w:szCs w:val="24"/>
                <w:lang w:eastAsia="en-GB"/>
              </w:rPr>
              <w:t>National</w:t>
            </w:r>
          </w:p>
        </w:tc>
        <w:tc>
          <w:tcPr>
            <w:tcW w:w="1465" w:type="pct"/>
            <w:tcBorders>
              <w:top w:val="single" w:sz="4" w:space="0" w:color="auto"/>
              <w:bottom w:val="nil"/>
            </w:tcBorders>
            <w:hideMark/>
          </w:tcPr>
          <w:p w14:paraId="5A0854D3"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102</w:t>
            </w:r>
          </w:p>
        </w:tc>
        <w:tc>
          <w:tcPr>
            <w:tcW w:w="1513" w:type="pct"/>
            <w:tcBorders>
              <w:top w:val="single" w:sz="4" w:space="0" w:color="auto"/>
              <w:bottom w:val="nil"/>
            </w:tcBorders>
            <w:hideMark/>
          </w:tcPr>
          <w:p w14:paraId="0CAB0E8D"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29.2%</w:t>
            </w:r>
          </w:p>
        </w:tc>
      </w:tr>
      <w:tr w:rsidR="00497876" w:rsidRPr="00773249" w14:paraId="6CFD3A1A" w14:textId="77777777">
        <w:trPr>
          <w:trHeight w:val="20"/>
        </w:trPr>
        <w:tc>
          <w:tcPr>
            <w:tcW w:w="2022" w:type="pct"/>
            <w:tcBorders>
              <w:top w:val="nil"/>
            </w:tcBorders>
            <w:hideMark/>
          </w:tcPr>
          <w:p w14:paraId="2CC98174" w14:textId="77777777" w:rsidR="00497876" w:rsidRPr="00773249" w:rsidRDefault="00497876" w:rsidP="00D1392B">
            <w:pPr>
              <w:spacing w:before="0" w:after="0"/>
              <w:rPr>
                <w:rFonts w:eastAsia="Times New Roman" w:cs="Times New Roman"/>
                <w:szCs w:val="24"/>
                <w:lang w:eastAsia="en-GB"/>
              </w:rPr>
            </w:pPr>
            <w:r w:rsidRPr="00773249">
              <w:rPr>
                <w:rFonts w:eastAsia="Times New Roman" w:cs="Times New Roman"/>
                <w:szCs w:val="24"/>
                <w:lang w:eastAsia="en-GB"/>
              </w:rPr>
              <w:t>Extra county</w:t>
            </w:r>
          </w:p>
        </w:tc>
        <w:tc>
          <w:tcPr>
            <w:tcW w:w="1465" w:type="pct"/>
            <w:tcBorders>
              <w:top w:val="nil"/>
            </w:tcBorders>
            <w:hideMark/>
          </w:tcPr>
          <w:p w14:paraId="49781AED"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167</w:t>
            </w:r>
          </w:p>
        </w:tc>
        <w:tc>
          <w:tcPr>
            <w:tcW w:w="1513" w:type="pct"/>
            <w:tcBorders>
              <w:top w:val="nil"/>
            </w:tcBorders>
            <w:hideMark/>
          </w:tcPr>
          <w:p w14:paraId="1FADE37F"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47.7%</w:t>
            </w:r>
          </w:p>
        </w:tc>
      </w:tr>
      <w:tr w:rsidR="00497876" w:rsidRPr="00773249" w14:paraId="47E8C08E" w14:textId="77777777">
        <w:trPr>
          <w:trHeight w:val="20"/>
        </w:trPr>
        <w:tc>
          <w:tcPr>
            <w:tcW w:w="2022" w:type="pct"/>
            <w:hideMark/>
          </w:tcPr>
          <w:p w14:paraId="49AAF5C6" w14:textId="77777777" w:rsidR="00497876" w:rsidRPr="00773249" w:rsidRDefault="00497876" w:rsidP="00D1392B">
            <w:pPr>
              <w:spacing w:before="0" w:after="0"/>
              <w:rPr>
                <w:rFonts w:eastAsia="Times New Roman" w:cs="Times New Roman"/>
                <w:szCs w:val="24"/>
                <w:lang w:eastAsia="en-GB"/>
              </w:rPr>
            </w:pPr>
            <w:r w:rsidRPr="00773249">
              <w:rPr>
                <w:rFonts w:eastAsia="Times New Roman" w:cs="Times New Roman"/>
                <w:szCs w:val="24"/>
                <w:lang w:eastAsia="en-GB"/>
              </w:rPr>
              <w:t>County</w:t>
            </w:r>
          </w:p>
        </w:tc>
        <w:tc>
          <w:tcPr>
            <w:tcW w:w="1465" w:type="pct"/>
            <w:hideMark/>
          </w:tcPr>
          <w:p w14:paraId="3EA3905C"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33</w:t>
            </w:r>
          </w:p>
        </w:tc>
        <w:tc>
          <w:tcPr>
            <w:tcW w:w="1513" w:type="pct"/>
            <w:hideMark/>
          </w:tcPr>
          <w:p w14:paraId="23E5F4B0"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9.4%</w:t>
            </w:r>
          </w:p>
        </w:tc>
      </w:tr>
      <w:tr w:rsidR="00497876" w:rsidRPr="00773249" w14:paraId="32045541" w14:textId="77777777">
        <w:trPr>
          <w:trHeight w:val="20"/>
        </w:trPr>
        <w:tc>
          <w:tcPr>
            <w:tcW w:w="2022" w:type="pct"/>
          </w:tcPr>
          <w:p w14:paraId="472FDF67" w14:textId="77777777" w:rsidR="00497876" w:rsidRPr="00773249" w:rsidRDefault="00497876" w:rsidP="00D1392B">
            <w:pPr>
              <w:spacing w:before="0" w:after="0"/>
              <w:rPr>
                <w:rFonts w:eastAsia="Times New Roman" w:cs="Times New Roman"/>
                <w:szCs w:val="24"/>
                <w:lang w:eastAsia="en-GB"/>
              </w:rPr>
            </w:pPr>
            <w:r w:rsidRPr="00773249">
              <w:rPr>
                <w:rFonts w:eastAsia="Times New Roman" w:cs="Times New Roman"/>
                <w:szCs w:val="24"/>
                <w:lang w:eastAsia="en-GB"/>
              </w:rPr>
              <w:t>Sub county</w:t>
            </w:r>
          </w:p>
        </w:tc>
        <w:tc>
          <w:tcPr>
            <w:tcW w:w="1465" w:type="pct"/>
          </w:tcPr>
          <w:p w14:paraId="129A47C4"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48</w:t>
            </w:r>
          </w:p>
        </w:tc>
        <w:tc>
          <w:tcPr>
            <w:tcW w:w="1513" w:type="pct"/>
          </w:tcPr>
          <w:p w14:paraId="43BFD968"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szCs w:val="24"/>
                <w:lang w:eastAsia="en-GB"/>
              </w:rPr>
              <w:t>13.7%</w:t>
            </w:r>
          </w:p>
        </w:tc>
      </w:tr>
      <w:tr w:rsidR="00497876" w:rsidRPr="00773249" w14:paraId="3849F14B" w14:textId="77777777">
        <w:trPr>
          <w:trHeight w:val="20"/>
        </w:trPr>
        <w:tc>
          <w:tcPr>
            <w:tcW w:w="2022" w:type="pct"/>
            <w:hideMark/>
          </w:tcPr>
          <w:p w14:paraId="6B477CB9" w14:textId="77777777" w:rsidR="00497876" w:rsidRPr="00773249" w:rsidRDefault="00497876" w:rsidP="00D1392B">
            <w:pPr>
              <w:spacing w:before="0" w:after="0"/>
              <w:rPr>
                <w:rFonts w:eastAsia="Times New Roman" w:cs="Times New Roman"/>
                <w:szCs w:val="24"/>
                <w:lang w:eastAsia="en-GB"/>
              </w:rPr>
            </w:pPr>
            <w:r w:rsidRPr="00773249">
              <w:rPr>
                <w:rFonts w:eastAsia="Times New Roman" w:cs="Times New Roman"/>
                <w:bCs/>
                <w:szCs w:val="24"/>
                <w:lang w:eastAsia="en-GB"/>
              </w:rPr>
              <w:t>Total</w:t>
            </w:r>
          </w:p>
        </w:tc>
        <w:tc>
          <w:tcPr>
            <w:tcW w:w="1465" w:type="pct"/>
            <w:hideMark/>
          </w:tcPr>
          <w:p w14:paraId="3088A471"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bCs/>
                <w:szCs w:val="24"/>
                <w:lang w:eastAsia="en-GB"/>
              </w:rPr>
              <w:t>350</w:t>
            </w:r>
          </w:p>
        </w:tc>
        <w:tc>
          <w:tcPr>
            <w:tcW w:w="1513" w:type="pct"/>
            <w:hideMark/>
          </w:tcPr>
          <w:p w14:paraId="051957CC" w14:textId="77777777" w:rsidR="00497876" w:rsidRPr="00773249" w:rsidRDefault="00497876" w:rsidP="00D1392B">
            <w:pPr>
              <w:spacing w:before="0" w:after="0"/>
              <w:jc w:val="center"/>
              <w:rPr>
                <w:rFonts w:eastAsia="Times New Roman" w:cs="Times New Roman"/>
                <w:szCs w:val="24"/>
                <w:lang w:eastAsia="en-GB"/>
              </w:rPr>
            </w:pPr>
            <w:r w:rsidRPr="00773249">
              <w:rPr>
                <w:rFonts w:eastAsia="Times New Roman" w:cs="Times New Roman"/>
                <w:bCs/>
                <w:szCs w:val="24"/>
                <w:lang w:eastAsia="en-GB"/>
              </w:rPr>
              <w:t>100.0</w:t>
            </w:r>
          </w:p>
        </w:tc>
      </w:tr>
    </w:tbl>
    <w:p w14:paraId="07BAAF54" w14:textId="77777777" w:rsidR="00497876" w:rsidRPr="00773249" w:rsidRDefault="00497876" w:rsidP="00D1392B">
      <w:pPr>
        <w:spacing w:before="0"/>
        <w:rPr>
          <w:rFonts w:cs="Times New Roman"/>
          <w:szCs w:val="24"/>
        </w:rPr>
      </w:pPr>
      <w:r w:rsidRPr="00773249">
        <w:rPr>
          <w:rFonts w:cs="Times New Roman"/>
          <w:szCs w:val="24"/>
        </w:rPr>
        <w:t>Source: Field Data (2025)</w:t>
      </w:r>
    </w:p>
    <w:p w14:paraId="2A2FABC0" w14:textId="08D1802C" w:rsidR="00497876" w:rsidRPr="00773249" w:rsidRDefault="00497876" w:rsidP="001D6167">
      <w:pPr>
        <w:rPr>
          <w:rFonts w:cs="Times New Roman"/>
          <w:szCs w:val="24"/>
        </w:rPr>
      </w:pPr>
      <w:r w:rsidRPr="00773249">
        <w:rPr>
          <w:rFonts w:cs="Times New Roman"/>
          <w:szCs w:val="24"/>
        </w:rPr>
        <w:t>The data shows that extra county schools accounted for 47.7%, national schools 29.</w:t>
      </w:r>
      <w:r w:rsidR="006B4577" w:rsidRPr="00773249">
        <w:rPr>
          <w:rFonts w:cs="Times New Roman"/>
          <w:szCs w:val="24"/>
        </w:rPr>
        <w:t>2</w:t>
      </w:r>
      <w:r w:rsidRPr="00773249">
        <w:rPr>
          <w:rFonts w:cs="Times New Roman"/>
          <w:szCs w:val="24"/>
        </w:rPr>
        <w:t xml:space="preserve">%, sub county schools 13.7% and county schools 9.4%. The higher representation of extra county and national schools is linked to their larger students’ enrolments and broader catchment areas. County and Subcounty schools, having comparatively smaller populations contributed to fewer responses. Learners were asked their current class, the result is as shown in Table </w:t>
      </w:r>
      <w:r w:rsidR="00C2043F" w:rsidRPr="00773249">
        <w:rPr>
          <w:rFonts w:cs="Times New Roman"/>
          <w:szCs w:val="24"/>
        </w:rPr>
        <w:t>5</w:t>
      </w:r>
    </w:p>
    <w:p w14:paraId="07B75003" w14:textId="77777777" w:rsidR="00497876" w:rsidRPr="00773249" w:rsidRDefault="00497876" w:rsidP="001D6167">
      <w:pPr>
        <w:pStyle w:val="Caption"/>
        <w:keepNext/>
        <w:spacing w:after="240" w:line="240" w:lineRule="auto"/>
        <w:rPr>
          <w:b w:val="0"/>
          <w:color w:val="auto"/>
          <w:szCs w:val="24"/>
        </w:rPr>
      </w:pPr>
      <w:bookmarkStart w:id="14" w:name="_Toc205894582"/>
      <w:r w:rsidRPr="00773249">
        <w:rPr>
          <w:b w:val="0"/>
          <w:color w:val="auto"/>
          <w:szCs w:val="24"/>
        </w:rPr>
        <w:t>Table</w:t>
      </w:r>
      <w:r w:rsidR="00C2043F" w:rsidRPr="00773249">
        <w:rPr>
          <w:b w:val="0"/>
          <w:color w:val="auto"/>
          <w:szCs w:val="24"/>
        </w:rPr>
        <w:t>5</w:t>
      </w:r>
      <w:r w:rsidRPr="00773249">
        <w:rPr>
          <w:b w:val="0"/>
          <w:color w:val="auto"/>
          <w:szCs w:val="24"/>
        </w:rPr>
        <w:t>: Distribution of Students by Class</w:t>
      </w:r>
      <w:bookmarkEnd w:id="14"/>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566"/>
        <w:gridCol w:w="3564"/>
      </w:tblGrid>
      <w:tr w:rsidR="00497876" w:rsidRPr="00773249" w14:paraId="719BB726" w14:textId="77777777">
        <w:tc>
          <w:tcPr>
            <w:tcW w:w="1667" w:type="pct"/>
            <w:tcBorders>
              <w:top w:val="single" w:sz="4" w:space="0" w:color="auto"/>
              <w:bottom w:val="single" w:sz="4" w:space="0" w:color="auto"/>
            </w:tcBorders>
          </w:tcPr>
          <w:p w14:paraId="1E853958" w14:textId="77777777" w:rsidR="00497876" w:rsidRPr="00773249" w:rsidRDefault="00497876" w:rsidP="00D1392B">
            <w:pPr>
              <w:spacing w:before="0" w:after="0"/>
              <w:rPr>
                <w:rFonts w:cs="Times New Roman"/>
                <w:szCs w:val="24"/>
              </w:rPr>
            </w:pPr>
            <w:r w:rsidRPr="00773249">
              <w:rPr>
                <w:rFonts w:cs="Times New Roman"/>
                <w:szCs w:val="24"/>
              </w:rPr>
              <w:t>Class</w:t>
            </w:r>
          </w:p>
        </w:tc>
        <w:tc>
          <w:tcPr>
            <w:tcW w:w="1667" w:type="pct"/>
            <w:tcBorders>
              <w:top w:val="single" w:sz="4" w:space="0" w:color="auto"/>
              <w:bottom w:val="single" w:sz="4" w:space="0" w:color="auto"/>
            </w:tcBorders>
          </w:tcPr>
          <w:p w14:paraId="77F59C8E" w14:textId="77777777" w:rsidR="00497876" w:rsidRPr="00773249" w:rsidRDefault="00497876" w:rsidP="00D1392B">
            <w:pPr>
              <w:spacing w:before="0" w:after="0"/>
              <w:jc w:val="center"/>
              <w:rPr>
                <w:rFonts w:cs="Times New Roman"/>
                <w:szCs w:val="24"/>
              </w:rPr>
            </w:pPr>
            <w:r w:rsidRPr="00773249">
              <w:rPr>
                <w:rFonts w:cs="Times New Roman"/>
                <w:szCs w:val="24"/>
              </w:rPr>
              <w:t>Frequency</w:t>
            </w:r>
          </w:p>
        </w:tc>
        <w:tc>
          <w:tcPr>
            <w:tcW w:w="1666" w:type="pct"/>
            <w:tcBorders>
              <w:top w:val="single" w:sz="4" w:space="0" w:color="auto"/>
              <w:bottom w:val="single" w:sz="4" w:space="0" w:color="auto"/>
            </w:tcBorders>
          </w:tcPr>
          <w:p w14:paraId="2483DC00" w14:textId="77777777" w:rsidR="00497876" w:rsidRPr="00773249" w:rsidRDefault="00497876" w:rsidP="00D1392B">
            <w:pPr>
              <w:spacing w:before="0" w:after="0"/>
              <w:jc w:val="center"/>
              <w:rPr>
                <w:rFonts w:cs="Times New Roman"/>
                <w:szCs w:val="24"/>
              </w:rPr>
            </w:pPr>
            <w:r w:rsidRPr="00773249">
              <w:rPr>
                <w:rFonts w:cs="Times New Roman"/>
                <w:szCs w:val="24"/>
              </w:rPr>
              <w:t>percentage</w:t>
            </w:r>
          </w:p>
        </w:tc>
      </w:tr>
      <w:tr w:rsidR="00497876" w:rsidRPr="00773249" w14:paraId="24E5238E" w14:textId="77777777">
        <w:tc>
          <w:tcPr>
            <w:tcW w:w="1667" w:type="pct"/>
            <w:tcBorders>
              <w:top w:val="single" w:sz="4" w:space="0" w:color="auto"/>
            </w:tcBorders>
          </w:tcPr>
          <w:p w14:paraId="7DCE341F" w14:textId="77777777" w:rsidR="00497876" w:rsidRPr="00773249" w:rsidRDefault="00497876" w:rsidP="00D1392B">
            <w:pPr>
              <w:spacing w:before="0" w:after="0"/>
              <w:rPr>
                <w:rFonts w:cs="Times New Roman"/>
                <w:szCs w:val="24"/>
              </w:rPr>
            </w:pPr>
            <w:r w:rsidRPr="00773249">
              <w:rPr>
                <w:rFonts w:cs="Times New Roman"/>
                <w:szCs w:val="24"/>
              </w:rPr>
              <w:t>Form two</w:t>
            </w:r>
          </w:p>
        </w:tc>
        <w:tc>
          <w:tcPr>
            <w:tcW w:w="1667" w:type="pct"/>
            <w:tcBorders>
              <w:top w:val="single" w:sz="4" w:space="0" w:color="auto"/>
            </w:tcBorders>
          </w:tcPr>
          <w:p w14:paraId="6AB28B43" w14:textId="77777777" w:rsidR="00497876" w:rsidRPr="00773249" w:rsidRDefault="00497876" w:rsidP="00D1392B">
            <w:pPr>
              <w:spacing w:before="0" w:after="0"/>
              <w:jc w:val="center"/>
              <w:rPr>
                <w:rFonts w:cs="Times New Roman"/>
                <w:szCs w:val="24"/>
              </w:rPr>
            </w:pPr>
            <w:r w:rsidRPr="00773249">
              <w:rPr>
                <w:rFonts w:cs="Times New Roman"/>
                <w:szCs w:val="24"/>
              </w:rPr>
              <w:t>120</w:t>
            </w:r>
          </w:p>
        </w:tc>
        <w:tc>
          <w:tcPr>
            <w:tcW w:w="1666" w:type="pct"/>
            <w:tcBorders>
              <w:top w:val="single" w:sz="4" w:space="0" w:color="auto"/>
            </w:tcBorders>
          </w:tcPr>
          <w:p w14:paraId="5E9568DF" w14:textId="77777777" w:rsidR="00497876" w:rsidRPr="00773249" w:rsidRDefault="00497876" w:rsidP="00D1392B">
            <w:pPr>
              <w:spacing w:before="0" w:after="0"/>
              <w:jc w:val="center"/>
              <w:rPr>
                <w:rFonts w:cs="Times New Roman"/>
                <w:szCs w:val="24"/>
              </w:rPr>
            </w:pPr>
            <w:r w:rsidRPr="00773249">
              <w:rPr>
                <w:rFonts w:cs="Times New Roman"/>
                <w:szCs w:val="24"/>
              </w:rPr>
              <w:t>34.3%</w:t>
            </w:r>
          </w:p>
        </w:tc>
      </w:tr>
      <w:tr w:rsidR="00497876" w:rsidRPr="00773249" w14:paraId="381E6B7B" w14:textId="77777777">
        <w:tc>
          <w:tcPr>
            <w:tcW w:w="1667" w:type="pct"/>
          </w:tcPr>
          <w:p w14:paraId="0591D1AF" w14:textId="77777777" w:rsidR="00497876" w:rsidRPr="00773249" w:rsidRDefault="00497876" w:rsidP="00D1392B">
            <w:pPr>
              <w:spacing w:before="0" w:after="0"/>
              <w:rPr>
                <w:rFonts w:cs="Times New Roman"/>
                <w:szCs w:val="24"/>
              </w:rPr>
            </w:pPr>
            <w:r w:rsidRPr="00773249">
              <w:rPr>
                <w:rFonts w:cs="Times New Roman"/>
                <w:szCs w:val="24"/>
              </w:rPr>
              <w:t>Form three</w:t>
            </w:r>
          </w:p>
        </w:tc>
        <w:tc>
          <w:tcPr>
            <w:tcW w:w="1667" w:type="pct"/>
          </w:tcPr>
          <w:p w14:paraId="4625EAE9" w14:textId="77777777" w:rsidR="00497876" w:rsidRPr="00773249" w:rsidRDefault="00497876" w:rsidP="00D1392B">
            <w:pPr>
              <w:spacing w:before="0" w:after="0"/>
              <w:jc w:val="center"/>
              <w:rPr>
                <w:rFonts w:cs="Times New Roman"/>
                <w:szCs w:val="24"/>
              </w:rPr>
            </w:pPr>
            <w:r w:rsidRPr="00773249">
              <w:rPr>
                <w:rFonts w:cs="Times New Roman"/>
                <w:szCs w:val="24"/>
              </w:rPr>
              <w:t>125</w:t>
            </w:r>
          </w:p>
        </w:tc>
        <w:tc>
          <w:tcPr>
            <w:tcW w:w="1666" w:type="pct"/>
          </w:tcPr>
          <w:p w14:paraId="37B1B94C" w14:textId="77777777" w:rsidR="00497876" w:rsidRPr="00773249" w:rsidRDefault="00497876" w:rsidP="00D1392B">
            <w:pPr>
              <w:spacing w:before="0" w:after="0"/>
              <w:jc w:val="center"/>
              <w:rPr>
                <w:rFonts w:cs="Times New Roman"/>
                <w:szCs w:val="24"/>
              </w:rPr>
            </w:pPr>
            <w:r w:rsidRPr="00773249">
              <w:rPr>
                <w:rFonts w:cs="Times New Roman"/>
                <w:szCs w:val="24"/>
              </w:rPr>
              <w:t>35.7%</w:t>
            </w:r>
          </w:p>
        </w:tc>
      </w:tr>
      <w:tr w:rsidR="00497876" w:rsidRPr="00773249" w14:paraId="18ADDD46" w14:textId="77777777">
        <w:tc>
          <w:tcPr>
            <w:tcW w:w="1667" w:type="pct"/>
          </w:tcPr>
          <w:p w14:paraId="020E237B" w14:textId="77777777" w:rsidR="00497876" w:rsidRPr="00773249" w:rsidRDefault="00497876" w:rsidP="00D1392B">
            <w:pPr>
              <w:spacing w:before="0" w:after="0"/>
              <w:rPr>
                <w:rFonts w:cs="Times New Roman"/>
                <w:szCs w:val="24"/>
              </w:rPr>
            </w:pPr>
            <w:r w:rsidRPr="00773249">
              <w:rPr>
                <w:rFonts w:cs="Times New Roman"/>
                <w:szCs w:val="24"/>
              </w:rPr>
              <w:t>Form four</w:t>
            </w:r>
          </w:p>
        </w:tc>
        <w:tc>
          <w:tcPr>
            <w:tcW w:w="1667" w:type="pct"/>
          </w:tcPr>
          <w:p w14:paraId="7373D855" w14:textId="77777777" w:rsidR="00497876" w:rsidRPr="00773249" w:rsidRDefault="00497876" w:rsidP="00D1392B">
            <w:pPr>
              <w:spacing w:before="0" w:after="0"/>
              <w:jc w:val="center"/>
              <w:rPr>
                <w:rFonts w:cs="Times New Roman"/>
                <w:szCs w:val="24"/>
              </w:rPr>
            </w:pPr>
            <w:r w:rsidRPr="00773249">
              <w:rPr>
                <w:rFonts w:cs="Times New Roman"/>
                <w:szCs w:val="24"/>
              </w:rPr>
              <w:t>105</w:t>
            </w:r>
          </w:p>
        </w:tc>
        <w:tc>
          <w:tcPr>
            <w:tcW w:w="1666" w:type="pct"/>
          </w:tcPr>
          <w:p w14:paraId="3E3F2CFE" w14:textId="77777777" w:rsidR="00497876" w:rsidRPr="00773249" w:rsidRDefault="00497876" w:rsidP="00D1392B">
            <w:pPr>
              <w:spacing w:before="0" w:after="0"/>
              <w:jc w:val="center"/>
              <w:rPr>
                <w:rFonts w:cs="Times New Roman"/>
                <w:szCs w:val="24"/>
              </w:rPr>
            </w:pPr>
            <w:r w:rsidRPr="00773249">
              <w:rPr>
                <w:rFonts w:cs="Times New Roman"/>
                <w:szCs w:val="24"/>
              </w:rPr>
              <w:t>30%</w:t>
            </w:r>
          </w:p>
        </w:tc>
      </w:tr>
      <w:tr w:rsidR="00497876" w:rsidRPr="00773249" w14:paraId="39DF91D5" w14:textId="77777777">
        <w:tc>
          <w:tcPr>
            <w:tcW w:w="1667" w:type="pct"/>
          </w:tcPr>
          <w:p w14:paraId="610E8777" w14:textId="77777777" w:rsidR="00497876" w:rsidRPr="00773249" w:rsidRDefault="00497876" w:rsidP="00D1392B">
            <w:pPr>
              <w:spacing w:before="0" w:after="0"/>
              <w:rPr>
                <w:rFonts w:cs="Times New Roman"/>
                <w:szCs w:val="24"/>
              </w:rPr>
            </w:pPr>
            <w:r w:rsidRPr="00773249">
              <w:rPr>
                <w:rFonts w:cs="Times New Roman"/>
                <w:szCs w:val="24"/>
              </w:rPr>
              <w:t xml:space="preserve">Total </w:t>
            </w:r>
          </w:p>
        </w:tc>
        <w:tc>
          <w:tcPr>
            <w:tcW w:w="1667" w:type="pct"/>
          </w:tcPr>
          <w:p w14:paraId="056FD38D" w14:textId="77777777" w:rsidR="00497876" w:rsidRPr="00773249" w:rsidRDefault="00497876" w:rsidP="00D1392B">
            <w:pPr>
              <w:spacing w:before="0" w:after="0"/>
              <w:jc w:val="center"/>
              <w:rPr>
                <w:rFonts w:cs="Times New Roman"/>
                <w:szCs w:val="24"/>
              </w:rPr>
            </w:pPr>
            <w:r w:rsidRPr="00773249">
              <w:rPr>
                <w:rFonts w:cs="Times New Roman"/>
                <w:szCs w:val="24"/>
              </w:rPr>
              <w:t>350</w:t>
            </w:r>
          </w:p>
        </w:tc>
        <w:tc>
          <w:tcPr>
            <w:tcW w:w="1666" w:type="pct"/>
          </w:tcPr>
          <w:p w14:paraId="2E136A3E" w14:textId="77777777" w:rsidR="00497876" w:rsidRPr="00773249" w:rsidRDefault="00497876" w:rsidP="00D1392B">
            <w:pPr>
              <w:spacing w:before="0" w:after="0"/>
              <w:jc w:val="center"/>
              <w:rPr>
                <w:rFonts w:cs="Times New Roman"/>
                <w:szCs w:val="24"/>
              </w:rPr>
            </w:pPr>
            <w:r w:rsidRPr="00773249">
              <w:rPr>
                <w:rFonts w:cs="Times New Roman"/>
                <w:szCs w:val="24"/>
              </w:rPr>
              <w:t>100</w:t>
            </w:r>
          </w:p>
        </w:tc>
      </w:tr>
    </w:tbl>
    <w:p w14:paraId="50EA72E4" w14:textId="77777777" w:rsidR="00497876" w:rsidRPr="00773249" w:rsidRDefault="00497876" w:rsidP="00D1392B">
      <w:pPr>
        <w:spacing w:before="0"/>
        <w:rPr>
          <w:rFonts w:cs="Times New Roman"/>
          <w:szCs w:val="24"/>
        </w:rPr>
      </w:pPr>
      <w:r w:rsidRPr="00773249">
        <w:rPr>
          <w:rFonts w:cs="Times New Roman"/>
          <w:szCs w:val="24"/>
        </w:rPr>
        <w:t>Source: Field data (2025)</w:t>
      </w:r>
    </w:p>
    <w:p w14:paraId="247D4BDC" w14:textId="77777777" w:rsidR="00497876" w:rsidRPr="00773249" w:rsidRDefault="00497876" w:rsidP="001D6167">
      <w:pPr>
        <w:rPr>
          <w:rFonts w:cs="Times New Roman"/>
          <w:szCs w:val="24"/>
        </w:rPr>
      </w:pPr>
      <w:r w:rsidRPr="00773249">
        <w:rPr>
          <w:rFonts w:cs="Times New Roman"/>
          <w:szCs w:val="24"/>
        </w:rPr>
        <w:t xml:space="preserve">The figures indicate a fairly even spread respondents across the three classes, with the form three having slightly higher proportion. This may be due to their steady attendance and engagement during data collection period. The relatively smaller share from form four could be linked to their heavier academic workload and preparation for national examination. </w:t>
      </w:r>
    </w:p>
    <w:p w14:paraId="6257A8BC" w14:textId="2858D173" w:rsidR="00497876" w:rsidRPr="00773249" w:rsidRDefault="00497876" w:rsidP="001D6167">
      <w:pPr>
        <w:pStyle w:val="Heading3"/>
        <w:spacing w:before="240" w:after="240" w:line="240" w:lineRule="auto"/>
        <w:rPr>
          <w:rFonts w:cs="Times New Roman"/>
          <w:b/>
          <w:color w:val="auto"/>
          <w:sz w:val="24"/>
          <w:szCs w:val="24"/>
        </w:rPr>
      </w:pPr>
      <w:bookmarkStart w:id="15" w:name="_Toc205894991"/>
      <w:r w:rsidRPr="00773249">
        <w:rPr>
          <w:rFonts w:cs="Times New Roman"/>
          <w:b/>
          <w:color w:val="auto"/>
          <w:sz w:val="24"/>
          <w:szCs w:val="24"/>
        </w:rPr>
        <w:t>Attendance at</w:t>
      </w:r>
      <w:r w:rsidR="00E42B01" w:rsidRPr="00773249">
        <w:rPr>
          <w:rFonts w:cs="Times New Roman"/>
          <w:b/>
          <w:color w:val="auto"/>
          <w:sz w:val="24"/>
          <w:szCs w:val="24"/>
        </w:rPr>
        <w:t xml:space="preserve"> </w:t>
      </w:r>
      <w:r w:rsidR="009D7C24" w:rsidRPr="00773249">
        <w:rPr>
          <w:rFonts w:cs="Times New Roman"/>
          <w:b/>
          <w:color w:val="auto"/>
          <w:sz w:val="24"/>
          <w:szCs w:val="24"/>
        </w:rPr>
        <w:t xml:space="preserve">Guidance </w:t>
      </w:r>
      <w:r w:rsidR="00E42B01" w:rsidRPr="00773249">
        <w:rPr>
          <w:rFonts w:cs="Times New Roman"/>
          <w:b/>
          <w:color w:val="auto"/>
          <w:sz w:val="24"/>
          <w:szCs w:val="24"/>
        </w:rPr>
        <w:t xml:space="preserve">and </w:t>
      </w:r>
      <w:r w:rsidRPr="00773249">
        <w:rPr>
          <w:rFonts w:cs="Times New Roman"/>
          <w:b/>
          <w:color w:val="auto"/>
          <w:sz w:val="24"/>
          <w:szCs w:val="24"/>
        </w:rPr>
        <w:t xml:space="preserve">Counselling </w:t>
      </w:r>
      <w:bookmarkEnd w:id="15"/>
      <w:r w:rsidR="00E42B01" w:rsidRPr="00773249">
        <w:rPr>
          <w:rFonts w:cs="Times New Roman"/>
          <w:b/>
          <w:color w:val="auto"/>
          <w:sz w:val="24"/>
          <w:szCs w:val="24"/>
        </w:rPr>
        <w:t>programmes</w:t>
      </w:r>
    </w:p>
    <w:p w14:paraId="57F12D01" w14:textId="124CA0A3" w:rsidR="00497876" w:rsidRDefault="00497876" w:rsidP="001D6167">
      <w:pPr>
        <w:rPr>
          <w:rFonts w:cs="Times New Roman"/>
          <w:szCs w:val="24"/>
        </w:rPr>
      </w:pPr>
      <w:r w:rsidRPr="00773249">
        <w:rPr>
          <w:rFonts w:cs="Times New Roman"/>
          <w:szCs w:val="24"/>
        </w:rPr>
        <w:t xml:space="preserve">Students were asked whether they had ever attended a guidance and counselling </w:t>
      </w:r>
      <w:r w:rsidR="00E42B01" w:rsidRPr="00773249">
        <w:rPr>
          <w:rFonts w:cs="Times New Roman"/>
          <w:szCs w:val="24"/>
        </w:rPr>
        <w:t>programmes</w:t>
      </w:r>
      <w:r w:rsidRPr="00773249">
        <w:rPr>
          <w:rFonts w:cs="Times New Roman"/>
          <w:szCs w:val="24"/>
        </w:rPr>
        <w:t xml:space="preserve"> in their school. This question aimed to assess the level of direct engagement with </w:t>
      </w:r>
      <w:r w:rsidR="00E42B01" w:rsidRPr="00773249">
        <w:rPr>
          <w:rFonts w:cs="Times New Roman"/>
          <w:szCs w:val="24"/>
        </w:rPr>
        <w:t xml:space="preserve">guidance and </w:t>
      </w:r>
      <w:r w:rsidRPr="00773249">
        <w:rPr>
          <w:rFonts w:cs="Times New Roman"/>
          <w:szCs w:val="24"/>
        </w:rPr>
        <w:t xml:space="preserve">counselling </w:t>
      </w:r>
      <w:r w:rsidR="004E74A2" w:rsidRPr="00773249">
        <w:rPr>
          <w:rFonts w:cs="Times New Roman"/>
          <w:szCs w:val="24"/>
        </w:rPr>
        <w:t>programmes</w:t>
      </w:r>
      <w:r w:rsidRPr="00773249">
        <w:rPr>
          <w:rFonts w:cs="Times New Roman"/>
          <w:szCs w:val="24"/>
        </w:rPr>
        <w:t xml:space="preserve"> among learners, providing insight into the accessibility and utilization of support mechanisms within the school environment. The responses generated are presented in Table</w:t>
      </w:r>
      <w:r w:rsidR="00C2043F" w:rsidRPr="00773249">
        <w:rPr>
          <w:rFonts w:cs="Times New Roman"/>
          <w:szCs w:val="24"/>
        </w:rPr>
        <w:t xml:space="preserve"> 6</w:t>
      </w:r>
      <w:r w:rsidRPr="00773249">
        <w:rPr>
          <w:rFonts w:cs="Times New Roman"/>
          <w:szCs w:val="24"/>
        </w:rPr>
        <w:t>.</w:t>
      </w:r>
    </w:p>
    <w:p w14:paraId="20BB3574" w14:textId="48FE6B5F" w:rsidR="009D1659" w:rsidRDefault="009D1659" w:rsidP="001D6167">
      <w:pPr>
        <w:rPr>
          <w:rFonts w:cs="Times New Roman"/>
          <w:szCs w:val="24"/>
        </w:rPr>
      </w:pPr>
    </w:p>
    <w:p w14:paraId="6369F93F" w14:textId="77777777" w:rsidR="009D1659" w:rsidRPr="00773249" w:rsidRDefault="009D1659" w:rsidP="001D6167">
      <w:pPr>
        <w:rPr>
          <w:rFonts w:cs="Times New Roman"/>
          <w:szCs w:val="24"/>
        </w:rPr>
      </w:pPr>
    </w:p>
    <w:p w14:paraId="0DF7E850" w14:textId="0127F68E" w:rsidR="00497876" w:rsidRPr="00773249" w:rsidRDefault="00497876" w:rsidP="00EB4665">
      <w:pPr>
        <w:pStyle w:val="Caption"/>
        <w:keepNext/>
        <w:spacing w:after="0" w:line="240" w:lineRule="auto"/>
        <w:rPr>
          <w:b w:val="0"/>
          <w:color w:val="auto"/>
          <w:szCs w:val="24"/>
        </w:rPr>
      </w:pPr>
      <w:bookmarkStart w:id="16" w:name="_Toc205894583"/>
      <w:r w:rsidRPr="00773249">
        <w:rPr>
          <w:b w:val="0"/>
          <w:color w:val="auto"/>
          <w:szCs w:val="24"/>
        </w:rPr>
        <w:lastRenderedPageBreak/>
        <w:t xml:space="preserve">Table </w:t>
      </w:r>
      <w:r w:rsidR="00C2043F" w:rsidRPr="00773249">
        <w:rPr>
          <w:b w:val="0"/>
          <w:color w:val="auto"/>
          <w:szCs w:val="24"/>
        </w:rPr>
        <w:t>6</w:t>
      </w:r>
      <w:r w:rsidRPr="00773249">
        <w:rPr>
          <w:b w:val="0"/>
          <w:color w:val="auto"/>
          <w:szCs w:val="24"/>
        </w:rPr>
        <w:t>: Attendance at School</w:t>
      </w:r>
      <w:r w:rsidR="004E74A2" w:rsidRPr="00773249">
        <w:rPr>
          <w:b w:val="0"/>
          <w:color w:val="auto"/>
          <w:szCs w:val="24"/>
        </w:rPr>
        <w:t xml:space="preserve"> Guidance and</w:t>
      </w:r>
      <w:r w:rsidRPr="00773249">
        <w:rPr>
          <w:b w:val="0"/>
          <w:color w:val="auto"/>
          <w:szCs w:val="24"/>
        </w:rPr>
        <w:t xml:space="preserve"> Counselling </w:t>
      </w:r>
      <w:bookmarkEnd w:id="16"/>
      <w:r w:rsidR="004E74A2" w:rsidRPr="00773249">
        <w:rPr>
          <w:b w:val="0"/>
          <w:color w:val="auto"/>
          <w:szCs w:val="24"/>
        </w:rPr>
        <w:t>programmes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gridCol w:w="3453"/>
        <w:gridCol w:w="3564"/>
      </w:tblGrid>
      <w:tr w:rsidR="00497876" w:rsidRPr="00773249" w14:paraId="6F70F92B" w14:textId="77777777">
        <w:trPr>
          <w:trHeight w:val="20"/>
        </w:trPr>
        <w:tc>
          <w:tcPr>
            <w:tcW w:w="1720" w:type="pct"/>
            <w:tcBorders>
              <w:top w:val="single" w:sz="4" w:space="0" w:color="auto"/>
              <w:bottom w:val="single" w:sz="4" w:space="0" w:color="auto"/>
            </w:tcBorders>
            <w:hideMark/>
          </w:tcPr>
          <w:p w14:paraId="7A97EDD2" w14:textId="77777777" w:rsidR="00497876" w:rsidRPr="00773249" w:rsidRDefault="00497876" w:rsidP="00561F59">
            <w:pPr>
              <w:spacing w:before="0" w:after="0"/>
              <w:rPr>
                <w:rFonts w:eastAsia="Times New Roman" w:cs="Times New Roman"/>
                <w:bCs/>
                <w:szCs w:val="24"/>
                <w:lang w:eastAsia="en-GB"/>
              </w:rPr>
            </w:pPr>
            <w:r w:rsidRPr="00773249">
              <w:rPr>
                <w:rFonts w:eastAsia="Times New Roman" w:cs="Times New Roman"/>
                <w:bCs/>
                <w:szCs w:val="24"/>
                <w:lang w:eastAsia="en-GB"/>
              </w:rPr>
              <w:t>Attendance</w:t>
            </w:r>
          </w:p>
        </w:tc>
        <w:tc>
          <w:tcPr>
            <w:tcW w:w="1614" w:type="pct"/>
            <w:tcBorders>
              <w:top w:val="single" w:sz="4" w:space="0" w:color="auto"/>
              <w:bottom w:val="single" w:sz="4" w:space="0" w:color="auto"/>
            </w:tcBorders>
            <w:hideMark/>
          </w:tcPr>
          <w:p w14:paraId="318B8A4D" w14:textId="77777777" w:rsidR="00497876" w:rsidRPr="00773249" w:rsidRDefault="00497876" w:rsidP="00561F59">
            <w:pPr>
              <w:spacing w:before="0" w:after="0"/>
              <w:jc w:val="center"/>
              <w:rPr>
                <w:rFonts w:eastAsia="Times New Roman" w:cs="Times New Roman"/>
                <w:bCs/>
                <w:szCs w:val="24"/>
                <w:lang w:eastAsia="en-GB"/>
              </w:rPr>
            </w:pPr>
            <w:r w:rsidRPr="00773249">
              <w:rPr>
                <w:rFonts w:eastAsia="Times New Roman" w:cs="Times New Roman"/>
                <w:bCs/>
                <w:szCs w:val="24"/>
                <w:lang w:eastAsia="en-GB"/>
              </w:rPr>
              <w:t>Frequency</w:t>
            </w:r>
          </w:p>
        </w:tc>
        <w:tc>
          <w:tcPr>
            <w:tcW w:w="1666" w:type="pct"/>
            <w:tcBorders>
              <w:top w:val="single" w:sz="4" w:space="0" w:color="auto"/>
              <w:bottom w:val="single" w:sz="4" w:space="0" w:color="auto"/>
            </w:tcBorders>
            <w:hideMark/>
          </w:tcPr>
          <w:p w14:paraId="51456CEF" w14:textId="77777777" w:rsidR="00497876" w:rsidRPr="00773249" w:rsidRDefault="00497876" w:rsidP="00561F59">
            <w:pPr>
              <w:spacing w:before="0" w:after="0"/>
              <w:jc w:val="center"/>
              <w:rPr>
                <w:rFonts w:eastAsia="Times New Roman" w:cs="Times New Roman"/>
                <w:bCs/>
                <w:szCs w:val="24"/>
                <w:lang w:eastAsia="en-GB"/>
              </w:rPr>
            </w:pPr>
            <w:r w:rsidRPr="00773249">
              <w:rPr>
                <w:rFonts w:eastAsia="Times New Roman" w:cs="Times New Roman"/>
                <w:bCs/>
                <w:szCs w:val="24"/>
                <w:lang w:eastAsia="en-GB"/>
              </w:rPr>
              <w:t>Percentage</w:t>
            </w:r>
          </w:p>
        </w:tc>
      </w:tr>
      <w:tr w:rsidR="00497876" w:rsidRPr="00773249" w14:paraId="76053B85" w14:textId="77777777">
        <w:trPr>
          <w:trHeight w:val="20"/>
        </w:trPr>
        <w:tc>
          <w:tcPr>
            <w:tcW w:w="1720" w:type="pct"/>
            <w:tcBorders>
              <w:top w:val="single" w:sz="4" w:space="0" w:color="auto"/>
            </w:tcBorders>
            <w:hideMark/>
          </w:tcPr>
          <w:p w14:paraId="5C13D97C" w14:textId="77777777" w:rsidR="00497876" w:rsidRPr="00773249" w:rsidRDefault="00497876" w:rsidP="00561F59">
            <w:pPr>
              <w:spacing w:before="0" w:after="0"/>
              <w:rPr>
                <w:rFonts w:eastAsia="Times New Roman" w:cs="Times New Roman"/>
                <w:szCs w:val="24"/>
                <w:lang w:eastAsia="en-GB"/>
              </w:rPr>
            </w:pPr>
            <w:r w:rsidRPr="00773249">
              <w:rPr>
                <w:rFonts w:eastAsia="Times New Roman" w:cs="Times New Roman"/>
                <w:szCs w:val="24"/>
                <w:lang w:eastAsia="en-GB"/>
              </w:rPr>
              <w:t>Yes</w:t>
            </w:r>
          </w:p>
        </w:tc>
        <w:tc>
          <w:tcPr>
            <w:tcW w:w="1614" w:type="pct"/>
            <w:tcBorders>
              <w:top w:val="single" w:sz="4" w:space="0" w:color="auto"/>
            </w:tcBorders>
            <w:hideMark/>
          </w:tcPr>
          <w:p w14:paraId="008B556C" w14:textId="77777777" w:rsidR="00497876" w:rsidRPr="00773249" w:rsidRDefault="00497876" w:rsidP="00561F59">
            <w:pPr>
              <w:spacing w:before="0" w:after="0"/>
              <w:jc w:val="center"/>
              <w:rPr>
                <w:rFonts w:eastAsia="Times New Roman" w:cs="Times New Roman"/>
                <w:szCs w:val="24"/>
                <w:lang w:eastAsia="en-GB"/>
              </w:rPr>
            </w:pPr>
            <w:r w:rsidRPr="00773249">
              <w:rPr>
                <w:rFonts w:eastAsia="Times New Roman" w:cs="Times New Roman"/>
                <w:szCs w:val="24"/>
                <w:lang w:eastAsia="en-GB"/>
              </w:rPr>
              <w:t>140</w:t>
            </w:r>
          </w:p>
        </w:tc>
        <w:tc>
          <w:tcPr>
            <w:tcW w:w="1666" w:type="pct"/>
            <w:tcBorders>
              <w:top w:val="single" w:sz="4" w:space="0" w:color="auto"/>
            </w:tcBorders>
            <w:hideMark/>
          </w:tcPr>
          <w:p w14:paraId="7C58CEDF" w14:textId="77777777" w:rsidR="00497876" w:rsidRPr="00773249" w:rsidRDefault="00497876" w:rsidP="00561F59">
            <w:pPr>
              <w:spacing w:before="0" w:after="0"/>
              <w:jc w:val="center"/>
              <w:rPr>
                <w:rFonts w:eastAsia="Times New Roman" w:cs="Times New Roman"/>
                <w:szCs w:val="24"/>
                <w:lang w:eastAsia="en-GB"/>
              </w:rPr>
            </w:pPr>
            <w:r w:rsidRPr="00773249">
              <w:rPr>
                <w:rFonts w:eastAsia="Times New Roman" w:cs="Times New Roman"/>
                <w:szCs w:val="24"/>
                <w:lang w:eastAsia="en-GB"/>
              </w:rPr>
              <w:t>40.0</w:t>
            </w:r>
          </w:p>
        </w:tc>
      </w:tr>
      <w:tr w:rsidR="00497876" w:rsidRPr="00773249" w14:paraId="77F6B6DF" w14:textId="77777777">
        <w:trPr>
          <w:trHeight w:val="20"/>
        </w:trPr>
        <w:tc>
          <w:tcPr>
            <w:tcW w:w="1720" w:type="pct"/>
            <w:hideMark/>
          </w:tcPr>
          <w:p w14:paraId="41C94218" w14:textId="77777777" w:rsidR="00497876" w:rsidRPr="00773249" w:rsidRDefault="00497876" w:rsidP="00561F59">
            <w:pPr>
              <w:spacing w:before="0" w:after="0"/>
              <w:rPr>
                <w:rFonts w:eastAsia="Times New Roman" w:cs="Times New Roman"/>
                <w:szCs w:val="24"/>
                <w:lang w:eastAsia="en-GB"/>
              </w:rPr>
            </w:pPr>
            <w:r w:rsidRPr="00773249">
              <w:rPr>
                <w:rFonts w:eastAsia="Times New Roman" w:cs="Times New Roman"/>
                <w:szCs w:val="24"/>
                <w:lang w:eastAsia="en-GB"/>
              </w:rPr>
              <w:t>No</w:t>
            </w:r>
          </w:p>
        </w:tc>
        <w:tc>
          <w:tcPr>
            <w:tcW w:w="1614" w:type="pct"/>
            <w:hideMark/>
          </w:tcPr>
          <w:p w14:paraId="60F97865" w14:textId="77777777" w:rsidR="00497876" w:rsidRPr="00773249" w:rsidRDefault="00497876" w:rsidP="00561F59">
            <w:pPr>
              <w:spacing w:before="0" w:after="0"/>
              <w:jc w:val="center"/>
              <w:rPr>
                <w:rFonts w:eastAsia="Times New Roman" w:cs="Times New Roman"/>
                <w:szCs w:val="24"/>
                <w:lang w:eastAsia="en-GB"/>
              </w:rPr>
            </w:pPr>
            <w:r w:rsidRPr="00773249">
              <w:rPr>
                <w:rFonts w:eastAsia="Times New Roman" w:cs="Times New Roman"/>
                <w:szCs w:val="24"/>
                <w:lang w:eastAsia="en-GB"/>
              </w:rPr>
              <w:t>210</w:t>
            </w:r>
          </w:p>
        </w:tc>
        <w:tc>
          <w:tcPr>
            <w:tcW w:w="1666" w:type="pct"/>
            <w:hideMark/>
          </w:tcPr>
          <w:p w14:paraId="5D8CA730" w14:textId="77777777" w:rsidR="00497876" w:rsidRPr="00773249" w:rsidRDefault="00497876" w:rsidP="00561F59">
            <w:pPr>
              <w:spacing w:before="0" w:after="0"/>
              <w:jc w:val="center"/>
              <w:rPr>
                <w:rFonts w:eastAsia="Times New Roman" w:cs="Times New Roman"/>
                <w:szCs w:val="24"/>
                <w:lang w:eastAsia="en-GB"/>
              </w:rPr>
            </w:pPr>
            <w:r w:rsidRPr="00773249">
              <w:rPr>
                <w:rFonts w:eastAsia="Times New Roman" w:cs="Times New Roman"/>
                <w:szCs w:val="24"/>
                <w:lang w:eastAsia="en-GB"/>
              </w:rPr>
              <w:t>60.0</w:t>
            </w:r>
          </w:p>
        </w:tc>
      </w:tr>
      <w:tr w:rsidR="00497876" w:rsidRPr="00773249" w14:paraId="7A093E8B" w14:textId="77777777">
        <w:trPr>
          <w:trHeight w:val="20"/>
        </w:trPr>
        <w:tc>
          <w:tcPr>
            <w:tcW w:w="1720" w:type="pct"/>
            <w:hideMark/>
          </w:tcPr>
          <w:p w14:paraId="4ED2926E" w14:textId="77777777" w:rsidR="00497876" w:rsidRPr="00773249" w:rsidRDefault="00497876" w:rsidP="00561F59">
            <w:pPr>
              <w:spacing w:before="0" w:after="0"/>
              <w:rPr>
                <w:rFonts w:eastAsia="Times New Roman" w:cs="Times New Roman"/>
                <w:szCs w:val="24"/>
                <w:lang w:eastAsia="en-GB"/>
              </w:rPr>
            </w:pPr>
            <w:r w:rsidRPr="00773249">
              <w:rPr>
                <w:rFonts w:eastAsia="Times New Roman" w:cs="Times New Roman"/>
                <w:bCs/>
                <w:szCs w:val="24"/>
                <w:lang w:eastAsia="en-GB"/>
              </w:rPr>
              <w:t>Total</w:t>
            </w:r>
          </w:p>
        </w:tc>
        <w:tc>
          <w:tcPr>
            <w:tcW w:w="1614" w:type="pct"/>
            <w:hideMark/>
          </w:tcPr>
          <w:p w14:paraId="7F4864E4" w14:textId="77777777" w:rsidR="00497876" w:rsidRPr="00773249" w:rsidRDefault="00497876" w:rsidP="00561F59">
            <w:pPr>
              <w:spacing w:before="0" w:after="0"/>
              <w:jc w:val="center"/>
              <w:rPr>
                <w:rFonts w:eastAsia="Times New Roman" w:cs="Times New Roman"/>
                <w:szCs w:val="24"/>
                <w:lang w:eastAsia="en-GB"/>
              </w:rPr>
            </w:pPr>
            <w:r w:rsidRPr="00773249">
              <w:rPr>
                <w:rFonts w:eastAsia="Times New Roman" w:cs="Times New Roman"/>
                <w:bCs/>
                <w:szCs w:val="24"/>
                <w:lang w:eastAsia="en-GB"/>
              </w:rPr>
              <w:t>350</w:t>
            </w:r>
          </w:p>
        </w:tc>
        <w:tc>
          <w:tcPr>
            <w:tcW w:w="1666" w:type="pct"/>
            <w:hideMark/>
          </w:tcPr>
          <w:p w14:paraId="1753845A" w14:textId="77777777" w:rsidR="00497876" w:rsidRPr="00773249" w:rsidRDefault="00497876" w:rsidP="00561F59">
            <w:pPr>
              <w:spacing w:before="0" w:after="0"/>
              <w:jc w:val="center"/>
              <w:rPr>
                <w:rFonts w:eastAsia="Times New Roman" w:cs="Times New Roman"/>
                <w:szCs w:val="24"/>
                <w:lang w:eastAsia="en-GB"/>
              </w:rPr>
            </w:pPr>
            <w:r w:rsidRPr="00773249">
              <w:rPr>
                <w:rFonts w:eastAsia="Times New Roman" w:cs="Times New Roman"/>
                <w:bCs/>
                <w:szCs w:val="24"/>
                <w:lang w:eastAsia="en-GB"/>
              </w:rPr>
              <w:t>100.0</w:t>
            </w:r>
          </w:p>
        </w:tc>
      </w:tr>
    </w:tbl>
    <w:p w14:paraId="4FB15022" w14:textId="77777777" w:rsidR="00497876" w:rsidRPr="00773249" w:rsidRDefault="00497876" w:rsidP="00561F59">
      <w:pPr>
        <w:spacing w:before="0"/>
        <w:rPr>
          <w:rFonts w:cs="Times New Roman"/>
          <w:szCs w:val="24"/>
        </w:rPr>
      </w:pPr>
      <w:r w:rsidRPr="00773249">
        <w:rPr>
          <w:rFonts w:cs="Times New Roman"/>
          <w:szCs w:val="24"/>
        </w:rPr>
        <w:t>Source: Field Data (2025)</w:t>
      </w:r>
    </w:p>
    <w:p w14:paraId="45D55793" w14:textId="5BD27021" w:rsidR="00497876" w:rsidRPr="00773249" w:rsidRDefault="00497876" w:rsidP="001D6167">
      <w:pPr>
        <w:rPr>
          <w:rFonts w:cs="Times New Roman"/>
          <w:szCs w:val="24"/>
        </w:rPr>
      </w:pPr>
      <w:r w:rsidRPr="00773249">
        <w:rPr>
          <w:rFonts w:cs="Times New Roman"/>
          <w:szCs w:val="24"/>
        </w:rPr>
        <w:t xml:space="preserve">The data reveals that </w:t>
      </w:r>
      <w:r w:rsidRPr="00773249">
        <w:rPr>
          <w:rFonts w:cs="Times New Roman"/>
          <w:bCs/>
          <w:szCs w:val="24"/>
        </w:rPr>
        <w:t xml:space="preserve">40% of the students reported having attended </w:t>
      </w:r>
      <w:r w:rsidR="004E74A2" w:rsidRPr="00773249">
        <w:rPr>
          <w:rFonts w:cs="Times New Roman"/>
          <w:bCs/>
          <w:szCs w:val="24"/>
        </w:rPr>
        <w:t>guidance and counselling programmes</w:t>
      </w:r>
      <w:r w:rsidRPr="00773249">
        <w:rPr>
          <w:rFonts w:cs="Times New Roman"/>
          <w:szCs w:val="24"/>
        </w:rPr>
        <w:t xml:space="preserve">, while the majority, </w:t>
      </w:r>
      <w:r w:rsidRPr="00773249">
        <w:rPr>
          <w:rFonts w:cs="Times New Roman"/>
          <w:bCs/>
          <w:szCs w:val="24"/>
        </w:rPr>
        <w:t>60%, had never participated</w:t>
      </w:r>
      <w:r w:rsidRPr="00773249">
        <w:rPr>
          <w:rFonts w:cs="Times New Roman"/>
          <w:szCs w:val="24"/>
        </w:rPr>
        <w:t xml:space="preserve"> in such </w:t>
      </w:r>
      <w:r w:rsidR="004E74A2" w:rsidRPr="00773249">
        <w:rPr>
          <w:rFonts w:cs="Times New Roman"/>
          <w:szCs w:val="24"/>
        </w:rPr>
        <w:t>programmes</w:t>
      </w:r>
      <w:r w:rsidRPr="00773249">
        <w:rPr>
          <w:rFonts w:cs="Times New Roman"/>
          <w:szCs w:val="24"/>
        </w:rPr>
        <w:t>. This indicates that less than half of the learners have directly engaged with the</w:t>
      </w:r>
      <w:r w:rsidR="004E74A2" w:rsidRPr="00773249">
        <w:rPr>
          <w:rFonts w:cs="Times New Roman"/>
          <w:szCs w:val="24"/>
        </w:rPr>
        <w:t xml:space="preserve"> guidance and </w:t>
      </w:r>
      <w:r w:rsidRPr="00773249">
        <w:rPr>
          <w:rFonts w:cs="Times New Roman"/>
          <w:szCs w:val="24"/>
        </w:rPr>
        <w:t xml:space="preserve">counselling </w:t>
      </w:r>
      <w:r w:rsidR="004E74A2" w:rsidRPr="00773249">
        <w:rPr>
          <w:rFonts w:cs="Times New Roman"/>
          <w:szCs w:val="24"/>
        </w:rPr>
        <w:t>programmes</w:t>
      </w:r>
      <w:r w:rsidRPr="00773249">
        <w:rPr>
          <w:rFonts w:cs="Times New Roman"/>
          <w:szCs w:val="24"/>
        </w:rPr>
        <w:t xml:space="preserve"> offered in their schools. The relatively low attendance rate suggests potential barriers to accessing or utilizing</w:t>
      </w:r>
      <w:r w:rsidR="004E74A2" w:rsidRPr="00773249">
        <w:rPr>
          <w:rFonts w:cs="Times New Roman"/>
          <w:szCs w:val="24"/>
        </w:rPr>
        <w:t xml:space="preserve"> Guidance and </w:t>
      </w:r>
      <w:r w:rsidRPr="00773249">
        <w:rPr>
          <w:rFonts w:cs="Times New Roman"/>
          <w:szCs w:val="24"/>
        </w:rPr>
        <w:t>counselling support, such as lack of awareness, stigma, limited availability of services or perceived relevance. Given the important role, that</w:t>
      </w:r>
      <w:r w:rsidR="004E74A2" w:rsidRPr="00773249">
        <w:rPr>
          <w:rFonts w:cs="Times New Roman"/>
          <w:szCs w:val="24"/>
        </w:rPr>
        <w:t xml:space="preserve"> Guidance and </w:t>
      </w:r>
      <w:r w:rsidRPr="00773249">
        <w:rPr>
          <w:rFonts w:cs="Times New Roman"/>
          <w:szCs w:val="24"/>
        </w:rPr>
        <w:t xml:space="preserve">counselling plays in promoting emotional resilience and addressing students’ psychological needs, this finding highlights a critical area for improvement. Schools in Westlands Sub-County may need to enhance efforts to raise awareness about the benefits of counselling, reduce stigma associated with seeking help, and ensure that </w:t>
      </w:r>
      <w:r w:rsidR="004E74A2" w:rsidRPr="00773249">
        <w:rPr>
          <w:rFonts w:cs="Times New Roman"/>
          <w:szCs w:val="24"/>
        </w:rPr>
        <w:t xml:space="preserve">guidance and </w:t>
      </w:r>
      <w:r w:rsidRPr="00773249">
        <w:rPr>
          <w:rFonts w:cs="Times New Roman"/>
          <w:szCs w:val="24"/>
        </w:rPr>
        <w:t>counselling</w:t>
      </w:r>
      <w:r w:rsidR="004E74A2" w:rsidRPr="00773249">
        <w:rPr>
          <w:rFonts w:cs="Times New Roman"/>
          <w:szCs w:val="24"/>
        </w:rPr>
        <w:t xml:space="preserve"> programmes</w:t>
      </w:r>
      <w:r w:rsidRPr="00773249">
        <w:rPr>
          <w:rFonts w:cs="Times New Roman"/>
          <w:szCs w:val="24"/>
        </w:rPr>
        <w:t xml:space="preserve"> are accessible and responsive to students’ needs. Increasing attendance could contribute significantly to improving students’ emotional wellbeing and academic performance.</w:t>
      </w:r>
    </w:p>
    <w:p w14:paraId="637F6136" w14:textId="77777777" w:rsidR="00497876" w:rsidRPr="00773249" w:rsidRDefault="00497876" w:rsidP="001D6167">
      <w:pPr>
        <w:pStyle w:val="Heading3"/>
        <w:spacing w:before="240" w:after="240" w:line="240" w:lineRule="auto"/>
        <w:ind w:left="720" w:hanging="720"/>
        <w:rPr>
          <w:rFonts w:cs="Times New Roman"/>
          <w:b/>
          <w:color w:val="auto"/>
          <w:sz w:val="24"/>
          <w:szCs w:val="24"/>
        </w:rPr>
      </w:pPr>
      <w:bookmarkStart w:id="17" w:name="_Toc205894992"/>
      <w:r w:rsidRPr="00773249">
        <w:rPr>
          <w:rFonts w:cs="Times New Roman"/>
          <w:b/>
          <w:color w:val="auto"/>
          <w:sz w:val="24"/>
          <w:szCs w:val="24"/>
        </w:rPr>
        <w:t xml:space="preserve">Teachers’ Training and Involvement in Guidance and Counselling </w:t>
      </w:r>
      <w:bookmarkEnd w:id="17"/>
      <w:r w:rsidRPr="00773249">
        <w:rPr>
          <w:rFonts w:cs="Times New Roman"/>
          <w:b/>
          <w:color w:val="auto"/>
          <w:sz w:val="24"/>
          <w:szCs w:val="24"/>
        </w:rPr>
        <w:t>Programmes</w:t>
      </w:r>
    </w:p>
    <w:p w14:paraId="28C135A7" w14:textId="300C49B1" w:rsidR="00497876" w:rsidRPr="00773249" w:rsidRDefault="00497876" w:rsidP="001D6167">
      <w:pPr>
        <w:pStyle w:val="NoSpacing"/>
        <w:spacing w:before="240" w:after="240"/>
        <w:jc w:val="both"/>
        <w:rPr>
          <w:rFonts w:ascii="Times New Roman" w:hAnsi="Times New Roman" w:cs="Times New Roman"/>
          <w:sz w:val="24"/>
          <w:szCs w:val="24"/>
        </w:rPr>
      </w:pPr>
      <w:r w:rsidRPr="00773249">
        <w:rPr>
          <w:rFonts w:ascii="Times New Roman" w:hAnsi="Times New Roman" w:cs="Times New Roman"/>
          <w:sz w:val="24"/>
          <w:szCs w:val="24"/>
        </w:rPr>
        <w:t xml:space="preserve">The study examined teachers’ training and involvement in counselling </w:t>
      </w:r>
      <w:r w:rsidR="004E74A2" w:rsidRPr="00773249">
        <w:rPr>
          <w:rFonts w:ascii="Times New Roman" w:hAnsi="Times New Roman" w:cs="Times New Roman"/>
          <w:sz w:val="24"/>
          <w:szCs w:val="24"/>
        </w:rPr>
        <w:t>programmes</w:t>
      </w:r>
      <w:r w:rsidRPr="00773249">
        <w:rPr>
          <w:rFonts w:ascii="Times New Roman" w:hAnsi="Times New Roman" w:cs="Times New Roman"/>
          <w:sz w:val="24"/>
          <w:szCs w:val="24"/>
        </w:rPr>
        <w:t xml:space="preserve"> within secondary schools in Westlands Sub-County. This information provides important context for understanding the extent to which teachers are equipped and actively engaged in supporting students’ psychological and emotional wellbeing. The results on teachers’ training and referrals for</w:t>
      </w:r>
      <w:r w:rsidR="004E74A2" w:rsidRPr="00773249">
        <w:rPr>
          <w:rFonts w:ascii="Times New Roman" w:hAnsi="Times New Roman" w:cs="Times New Roman"/>
          <w:sz w:val="24"/>
          <w:szCs w:val="24"/>
        </w:rPr>
        <w:t xml:space="preserve"> guidance and</w:t>
      </w:r>
      <w:r w:rsidRPr="00773249">
        <w:rPr>
          <w:rFonts w:ascii="Times New Roman" w:hAnsi="Times New Roman" w:cs="Times New Roman"/>
          <w:sz w:val="24"/>
          <w:szCs w:val="24"/>
        </w:rPr>
        <w:t xml:space="preserve"> counselling are presented in Table </w:t>
      </w:r>
      <w:r w:rsidR="00C2043F" w:rsidRPr="00773249">
        <w:rPr>
          <w:rFonts w:ascii="Times New Roman" w:hAnsi="Times New Roman" w:cs="Times New Roman"/>
          <w:sz w:val="24"/>
          <w:szCs w:val="24"/>
        </w:rPr>
        <w:t>7</w:t>
      </w:r>
    </w:p>
    <w:p w14:paraId="41811D3E" w14:textId="4B2140CD" w:rsidR="00497876" w:rsidRPr="00773249" w:rsidRDefault="00497876" w:rsidP="001D6167">
      <w:pPr>
        <w:pStyle w:val="Caption"/>
        <w:keepNext/>
        <w:spacing w:after="240" w:line="240" w:lineRule="auto"/>
        <w:rPr>
          <w:b w:val="0"/>
          <w:color w:val="auto"/>
          <w:szCs w:val="24"/>
        </w:rPr>
      </w:pPr>
      <w:bookmarkStart w:id="18" w:name="_Toc205894584"/>
      <w:r w:rsidRPr="00773249">
        <w:rPr>
          <w:b w:val="0"/>
          <w:color w:val="auto"/>
          <w:szCs w:val="24"/>
        </w:rPr>
        <w:t xml:space="preserve">Table </w:t>
      </w:r>
      <w:r w:rsidR="00C2043F" w:rsidRPr="00773249">
        <w:rPr>
          <w:b w:val="0"/>
          <w:color w:val="auto"/>
          <w:szCs w:val="24"/>
        </w:rPr>
        <w:t>7</w:t>
      </w:r>
      <w:r w:rsidRPr="00773249">
        <w:rPr>
          <w:b w:val="0"/>
          <w:color w:val="auto"/>
          <w:szCs w:val="24"/>
        </w:rPr>
        <w:t>: Teachers’ Training and Involvement in</w:t>
      </w:r>
      <w:r w:rsidR="004E74A2" w:rsidRPr="00773249">
        <w:rPr>
          <w:b w:val="0"/>
          <w:color w:val="auto"/>
          <w:szCs w:val="24"/>
        </w:rPr>
        <w:t xml:space="preserve"> guidance and</w:t>
      </w:r>
      <w:r w:rsidRPr="00773249">
        <w:rPr>
          <w:b w:val="0"/>
          <w:color w:val="auto"/>
          <w:szCs w:val="24"/>
        </w:rPr>
        <w:t xml:space="preserve"> Counselling </w:t>
      </w:r>
      <w:bookmarkEnd w:id="18"/>
      <w:r w:rsidR="004E74A2" w:rsidRPr="00773249">
        <w:rPr>
          <w:b w:val="0"/>
          <w:color w:val="auto"/>
          <w:szCs w:val="24"/>
        </w:rPr>
        <w:t>programmes</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gridCol w:w="1727"/>
        <w:gridCol w:w="1866"/>
        <w:gridCol w:w="1927"/>
      </w:tblGrid>
      <w:tr w:rsidR="00497876" w:rsidRPr="00773249" w14:paraId="6C7FF09E" w14:textId="77777777">
        <w:trPr>
          <w:trHeight w:val="20"/>
        </w:trPr>
        <w:tc>
          <w:tcPr>
            <w:tcW w:w="2419" w:type="pct"/>
            <w:tcBorders>
              <w:top w:val="single" w:sz="4" w:space="0" w:color="auto"/>
              <w:bottom w:val="single" w:sz="4" w:space="0" w:color="auto"/>
            </w:tcBorders>
            <w:hideMark/>
          </w:tcPr>
          <w:p w14:paraId="114B9F5B" w14:textId="77777777" w:rsidR="00497876" w:rsidRPr="00773249" w:rsidRDefault="00497876" w:rsidP="009D1659">
            <w:pPr>
              <w:spacing w:before="0" w:after="0"/>
              <w:rPr>
                <w:rFonts w:eastAsia="Times New Roman"/>
                <w:bCs/>
                <w:sz w:val="24"/>
                <w:szCs w:val="24"/>
                <w:lang w:eastAsia="en-GB"/>
              </w:rPr>
            </w:pPr>
            <w:r w:rsidRPr="00773249">
              <w:rPr>
                <w:rFonts w:eastAsia="Times New Roman"/>
                <w:bCs/>
                <w:sz w:val="24"/>
                <w:szCs w:val="24"/>
                <w:lang w:eastAsia="en-GB"/>
              </w:rPr>
              <w:t>Item</w:t>
            </w:r>
          </w:p>
        </w:tc>
        <w:tc>
          <w:tcPr>
            <w:tcW w:w="807" w:type="pct"/>
            <w:tcBorders>
              <w:top w:val="single" w:sz="4" w:space="0" w:color="auto"/>
              <w:bottom w:val="single" w:sz="4" w:space="0" w:color="auto"/>
            </w:tcBorders>
            <w:hideMark/>
          </w:tcPr>
          <w:p w14:paraId="1D2D12A5" w14:textId="77777777" w:rsidR="00497876" w:rsidRPr="00773249" w:rsidRDefault="00497876" w:rsidP="009D1659">
            <w:pPr>
              <w:spacing w:before="0" w:after="0"/>
              <w:jc w:val="center"/>
              <w:rPr>
                <w:rFonts w:eastAsia="Times New Roman"/>
                <w:bCs/>
                <w:sz w:val="24"/>
                <w:szCs w:val="24"/>
                <w:lang w:eastAsia="en-GB"/>
              </w:rPr>
            </w:pPr>
            <w:r w:rsidRPr="00773249">
              <w:rPr>
                <w:rFonts w:eastAsia="Times New Roman"/>
                <w:bCs/>
                <w:sz w:val="24"/>
                <w:szCs w:val="24"/>
                <w:lang w:eastAsia="en-GB"/>
              </w:rPr>
              <w:t>Response</w:t>
            </w:r>
          </w:p>
        </w:tc>
        <w:tc>
          <w:tcPr>
            <w:tcW w:w="872" w:type="pct"/>
            <w:tcBorders>
              <w:top w:val="single" w:sz="4" w:space="0" w:color="auto"/>
              <w:bottom w:val="single" w:sz="4" w:space="0" w:color="auto"/>
            </w:tcBorders>
            <w:hideMark/>
          </w:tcPr>
          <w:p w14:paraId="6530FA56" w14:textId="77777777" w:rsidR="00497876" w:rsidRPr="00773249" w:rsidRDefault="00497876" w:rsidP="009D1659">
            <w:pPr>
              <w:spacing w:before="0" w:after="0"/>
              <w:jc w:val="center"/>
              <w:rPr>
                <w:rFonts w:eastAsia="Times New Roman"/>
                <w:bCs/>
                <w:sz w:val="24"/>
                <w:szCs w:val="24"/>
                <w:lang w:eastAsia="en-GB"/>
              </w:rPr>
            </w:pPr>
            <w:r w:rsidRPr="00773249">
              <w:rPr>
                <w:rFonts w:eastAsia="Times New Roman"/>
                <w:bCs/>
                <w:sz w:val="24"/>
                <w:szCs w:val="24"/>
                <w:lang w:eastAsia="en-GB"/>
              </w:rPr>
              <w:t>Frequency</w:t>
            </w:r>
          </w:p>
        </w:tc>
        <w:tc>
          <w:tcPr>
            <w:tcW w:w="901" w:type="pct"/>
            <w:tcBorders>
              <w:top w:val="single" w:sz="4" w:space="0" w:color="auto"/>
              <w:bottom w:val="single" w:sz="4" w:space="0" w:color="auto"/>
            </w:tcBorders>
            <w:hideMark/>
          </w:tcPr>
          <w:p w14:paraId="2300B080" w14:textId="77777777" w:rsidR="00497876" w:rsidRPr="00773249" w:rsidRDefault="00497876" w:rsidP="009D1659">
            <w:pPr>
              <w:spacing w:before="0" w:after="0"/>
              <w:jc w:val="center"/>
              <w:rPr>
                <w:rFonts w:eastAsia="Times New Roman"/>
                <w:bCs/>
                <w:sz w:val="24"/>
                <w:szCs w:val="24"/>
                <w:lang w:eastAsia="en-GB"/>
              </w:rPr>
            </w:pPr>
            <w:r w:rsidRPr="00773249">
              <w:rPr>
                <w:rFonts w:eastAsia="Times New Roman"/>
                <w:bCs/>
                <w:sz w:val="24"/>
                <w:szCs w:val="24"/>
                <w:lang w:eastAsia="en-GB"/>
              </w:rPr>
              <w:t>Percentage</w:t>
            </w:r>
          </w:p>
        </w:tc>
      </w:tr>
      <w:tr w:rsidR="00497876" w:rsidRPr="00773249" w14:paraId="11F09EB0" w14:textId="77777777">
        <w:trPr>
          <w:trHeight w:val="20"/>
        </w:trPr>
        <w:tc>
          <w:tcPr>
            <w:tcW w:w="2419" w:type="pct"/>
            <w:vMerge w:val="restart"/>
            <w:tcBorders>
              <w:top w:val="single" w:sz="4" w:space="0" w:color="auto"/>
            </w:tcBorders>
            <w:hideMark/>
          </w:tcPr>
          <w:p w14:paraId="033EE09A" w14:textId="77777777" w:rsidR="00497876" w:rsidRPr="00773249" w:rsidRDefault="00497876" w:rsidP="009D1659">
            <w:pPr>
              <w:spacing w:before="0" w:after="0"/>
              <w:rPr>
                <w:rFonts w:eastAsia="Times New Roman"/>
                <w:sz w:val="24"/>
                <w:szCs w:val="24"/>
                <w:lang w:eastAsia="en-GB"/>
              </w:rPr>
            </w:pPr>
            <w:r w:rsidRPr="00773249">
              <w:rPr>
                <w:rFonts w:eastAsia="Times New Roman"/>
                <w:bCs/>
                <w:sz w:val="24"/>
                <w:szCs w:val="24"/>
                <w:lang w:eastAsia="en-GB"/>
              </w:rPr>
              <w:t>Received training in counselling</w:t>
            </w:r>
          </w:p>
        </w:tc>
        <w:tc>
          <w:tcPr>
            <w:tcW w:w="807" w:type="pct"/>
            <w:tcBorders>
              <w:top w:val="single" w:sz="4" w:space="0" w:color="auto"/>
            </w:tcBorders>
            <w:hideMark/>
          </w:tcPr>
          <w:p w14:paraId="1E3B2985"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Yes</w:t>
            </w:r>
          </w:p>
        </w:tc>
        <w:tc>
          <w:tcPr>
            <w:tcW w:w="872" w:type="pct"/>
            <w:tcBorders>
              <w:top w:val="single" w:sz="4" w:space="0" w:color="auto"/>
            </w:tcBorders>
            <w:hideMark/>
          </w:tcPr>
          <w:p w14:paraId="5EB4A849"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12</w:t>
            </w:r>
          </w:p>
        </w:tc>
        <w:tc>
          <w:tcPr>
            <w:tcW w:w="901" w:type="pct"/>
            <w:tcBorders>
              <w:top w:val="single" w:sz="4" w:space="0" w:color="auto"/>
            </w:tcBorders>
            <w:hideMark/>
          </w:tcPr>
          <w:p w14:paraId="53A8E89D" w14:textId="77777777" w:rsidR="00497876" w:rsidRPr="00773249" w:rsidRDefault="00E15C0C" w:rsidP="009D1659">
            <w:pPr>
              <w:spacing w:before="0" w:after="0"/>
              <w:jc w:val="center"/>
              <w:rPr>
                <w:rFonts w:eastAsia="Times New Roman"/>
                <w:sz w:val="24"/>
                <w:szCs w:val="24"/>
                <w:lang w:eastAsia="en-GB"/>
              </w:rPr>
            </w:pPr>
            <w:r w:rsidRPr="00773249">
              <w:rPr>
                <w:rFonts w:eastAsia="Times New Roman"/>
                <w:sz w:val="24"/>
                <w:szCs w:val="24"/>
                <w:lang w:eastAsia="en-GB"/>
              </w:rPr>
              <w:t>48</w:t>
            </w:r>
            <w:r w:rsidR="00497876" w:rsidRPr="00773249">
              <w:rPr>
                <w:rFonts w:eastAsia="Times New Roman"/>
                <w:sz w:val="24"/>
                <w:szCs w:val="24"/>
                <w:lang w:eastAsia="en-GB"/>
              </w:rPr>
              <w:t>.0</w:t>
            </w:r>
          </w:p>
        </w:tc>
      </w:tr>
      <w:tr w:rsidR="00497876" w:rsidRPr="00773249" w14:paraId="6719411A" w14:textId="77777777">
        <w:trPr>
          <w:trHeight w:val="20"/>
        </w:trPr>
        <w:tc>
          <w:tcPr>
            <w:tcW w:w="2419" w:type="pct"/>
            <w:vMerge/>
            <w:hideMark/>
          </w:tcPr>
          <w:p w14:paraId="57047CA2" w14:textId="77777777" w:rsidR="00497876" w:rsidRPr="00773249" w:rsidRDefault="00497876" w:rsidP="009D1659">
            <w:pPr>
              <w:spacing w:before="0" w:after="0"/>
              <w:rPr>
                <w:rFonts w:eastAsia="Times New Roman"/>
                <w:sz w:val="24"/>
                <w:szCs w:val="24"/>
                <w:lang w:eastAsia="en-GB"/>
              </w:rPr>
            </w:pPr>
          </w:p>
        </w:tc>
        <w:tc>
          <w:tcPr>
            <w:tcW w:w="807" w:type="pct"/>
            <w:hideMark/>
          </w:tcPr>
          <w:p w14:paraId="622E439E"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No</w:t>
            </w:r>
          </w:p>
        </w:tc>
        <w:tc>
          <w:tcPr>
            <w:tcW w:w="872" w:type="pct"/>
            <w:hideMark/>
          </w:tcPr>
          <w:p w14:paraId="23E4EC67" w14:textId="77777777" w:rsidR="00497876" w:rsidRPr="00773249" w:rsidRDefault="00E15C0C" w:rsidP="009D1659">
            <w:pPr>
              <w:spacing w:before="0" w:after="0"/>
              <w:jc w:val="center"/>
              <w:rPr>
                <w:rFonts w:eastAsia="Times New Roman"/>
                <w:sz w:val="24"/>
                <w:szCs w:val="24"/>
                <w:lang w:eastAsia="en-GB"/>
              </w:rPr>
            </w:pPr>
            <w:r w:rsidRPr="00773249">
              <w:rPr>
                <w:rFonts w:eastAsia="Times New Roman"/>
                <w:sz w:val="24"/>
                <w:szCs w:val="24"/>
                <w:lang w:eastAsia="en-GB"/>
              </w:rPr>
              <w:t>13</w:t>
            </w:r>
          </w:p>
        </w:tc>
        <w:tc>
          <w:tcPr>
            <w:tcW w:w="901" w:type="pct"/>
            <w:hideMark/>
          </w:tcPr>
          <w:p w14:paraId="204DE364" w14:textId="77777777" w:rsidR="00497876" w:rsidRPr="00773249" w:rsidRDefault="00E15C0C" w:rsidP="009D1659">
            <w:pPr>
              <w:spacing w:before="0" w:after="0"/>
              <w:jc w:val="center"/>
              <w:rPr>
                <w:rFonts w:eastAsia="Times New Roman"/>
                <w:sz w:val="24"/>
                <w:szCs w:val="24"/>
                <w:lang w:eastAsia="en-GB"/>
              </w:rPr>
            </w:pPr>
            <w:r w:rsidRPr="00773249">
              <w:rPr>
                <w:rFonts w:eastAsia="Times New Roman"/>
                <w:sz w:val="24"/>
                <w:szCs w:val="24"/>
                <w:lang w:eastAsia="en-GB"/>
              </w:rPr>
              <w:t>52</w:t>
            </w:r>
            <w:r w:rsidR="00497876" w:rsidRPr="00773249">
              <w:rPr>
                <w:rFonts w:eastAsia="Times New Roman"/>
                <w:sz w:val="24"/>
                <w:szCs w:val="24"/>
                <w:lang w:eastAsia="en-GB"/>
              </w:rPr>
              <w:t>.0</w:t>
            </w:r>
          </w:p>
        </w:tc>
      </w:tr>
      <w:tr w:rsidR="00497876" w:rsidRPr="00773249" w14:paraId="3A5DE5E0" w14:textId="77777777">
        <w:trPr>
          <w:trHeight w:val="20"/>
        </w:trPr>
        <w:tc>
          <w:tcPr>
            <w:tcW w:w="2419" w:type="pct"/>
            <w:vMerge w:val="restart"/>
            <w:hideMark/>
          </w:tcPr>
          <w:p w14:paraId="4EE3711D" w14:textId="77777777" w:rsidR="00497876" w:rsidRPr="00773249" w:rsidRDefault="00497876" w:rsidP="009D1659">
            <w:pPr>
              <w:spacing w:before="0" w:after="0"/>
              <w:rPr>
                <w:rFonts w:eastAsia="Times New Roman"/>
                <w:sz w:val="24"/>
                <w:szCs w:val="24"/>
                <w:lang w:eastAsia="en-GB"/>
              </w:rPr>
            </w:pPr>
            <w:r w:rsidRPr="00773249">
              <w:rPr>
                <w:rFonts w:eastAsia="Times New Roman"/>
                <w:bCs/>
                <w:sz w:val="24"/>
                <w:szCs w:val="24"/>
                <w:lang w:eastAsia="en-GB"/>
              </w:rPr>
              <w:t>Referred students for counselling</w:t>
            </w:r>
          </w:p>
        </w:tc>
        <w:tc>
          <w:tcPr>
            <w:tcW w:w="807" w:type="pct"/>
            <w:hideMark/>
          </w:tcPr>
          <w:p w14:paraId="06774A3E"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Yes</w:t>
            </w:r>
          </w:p>
        </w:tc>
        <w:tc>
          <w:tcPr>
            <w:tcW w:w="872" w:type="pct"/>
            <w:hideMark/>
          </w:tcPr>
          <w:p w14:paraId="2967E4CC"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15</w:t>
            </w:r>
          </w:p>
        </w:tc>
        <w:tc>
          <w:tcPr>
            <w:tcW w:w="901" w:type="pct"/>
            <w:hideMark/>
          </w:tcPr>
          <w:p w14:paraId="11C12966"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75.0</w:t>
            </w:r>
          </w:p>
        </w:tc>
      </w:tr>
      <w:tr w:rsidR="00497876" w:rsidRPr="00773249" w14:paraId="1180C87D" w14:textId="77777777">
        <w:trPr>
          <w:trHeight w:val="20"/>
        </w:trPr>
        <w:tc>
          <w:tcPr>
            <w:tcW w:w="2419" w:type="pct"/>
            <w:vMerge/>
            <w:hideMark/>
          </w:tcPr>
          <w:p w14:paraId="3F48A894" w14:textId="77777777" w:rsidR="00497876" w:rsidRPr="00773249" w:rsidRDefault="00497876" w:rsidP="009D1659">
            <w:pPr>
              <w:spacing w:before="0" w:after="0"/>
              <w:rPr>
                <w:rFonts w:eastAsia="Times New Roman"/>
                <w:sz w:val="24"/>
                <w:szCs w:val="24"/>
                <w:lang w:eastAsia="en-GB"/>
              </w:rPr>
            </w:pPr>
          </w:p>
        </w:tc>
        <w:tc>
          <w:tcPr>
            <w:tcW w:w="807" w:type="pct"/>
            <w:hideMark/>
          </w:tcPr>
          <w:p w14:paraId="61780650"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No</w:t>
            </w:r>
          </w:p>
        </w:tc>
        <w:tc>
          <w:tcPr>
            <w:tcW w:w="872" w:type="pct"/>
            <w:hideMark/>
          </w:tcPr>
          <w:p w14:paraId="54970F04"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5</w:t>
            </w:r>
          </w:p>
        </w:tc>
        <w:tc>
          <w:tcPr>
            <w:tcW w:w="901" w:type="pct"/>
            <w:hideMark/>
          </w:tcPr>
          <w:p w14:paraId="4227F222" w14:textId="77777777" w:rsidR="00497876" w:rsidRPr="00773249" w:rsidRDefault="00497876" w:rsidP="009D1659">
            <w:pPr>
              <w:spacing w:before="0" w:after="0"/>
              <w:jc w:val="center"/>
              <w:rPr>
                <w:rFonts w:eastAsia="Times New Roman"/>
                <w:sz w:val="24"/>
                <w:szCs w:val="24"/>
                <w:lang w:eastAsia="en-GB"/>
              </w:rPr>
            </w:pPr>
            <w:r w:rsidRPr="00773249">
              <w:rPr>
                <w:rFonts w:eastAsia="Times New Roman"/>
                <w:sz w:val="24"/>
                <w:szCs w:val="24"/>
                <w:lang w:eastAsia="en-GB"/>
              </w:rPr>
              <w:t>25.0</w:t>
            </w:r>
          </w:p>
        </w:tc>
      </w:tr>
    </w:tbl>
    <w:p w14:paraId="1498177D" w14:textId="77777777" w:rsidR="00497876" w:rsidRPr="00773249" w:rsidRDefault="00497876" w:rsidP="009D1659">
      <w:pPr>
        <w:spacing w:before="0"/>
        <w:rPr>
          <w:rFonts w:cs="Times New Roman"/>
          <w:szCs w:val="24"/>
        </w:rPr>
      </w:pPr>
      <w:r w:rsidRPr="00773249">
        <w:rPr>
          <w:rFonts w:cs="Times New Roman"/>
          <w:szCs w:val="24"/>
        </w:rPr>
        <w:t>Source: Field Data (2025)</w:t>
      </w:r>
    </w:p>
    <w:p w14:paraId="3EB46B3B" w14:textId="205CE81A" w:rsidR="00497876" w:rsidRPr="00773249" w:rsidRDefault="00497876" w:rsidP="001D6167">
      <w:pPr>
        <w:pStyle w:val="NormalWeb"/>
        <w:spacing w:before="240" w:beforeAutospacing="0" w:after="240" w:afterAutospacing="0"/>
      </w:pPr>
      <w:r w:rsidRPr="00773249">
        <w:t xml:space="preserve">The findings presented show that </w:t>
      </w:r>
      <w:r w:rsidR="00E15C0C" w:rsidRPr="00773249">
        <w:rPr>
          <w:rStyle w:val="Strong"/>
          <w:rFonts w:eastAsiaTheme="majorEastAsia"/>
          <w:b w:val="0"/>
          <w:bCs w:val="0"/>
        </w:rPr>
        <w:t>48</w:t>
      </w:r>
      <w:r w:rsidRPr="00773249">
        <w:rPr>
          <w:rStyle w:val="Strong"/>
          <w:rFonts w:eastAsiaTheme="majorEastAsia"/>
          <w:b w:val="0"/>
          <w:bCs w:val="0"/>
        </w:rPr>
        <w:t>%</w:t>
      </w:r>
      <w:r w:rsidRPr="00773249">
        <w:rPr>
          <w:rStyle w:val="Strong"/>
          <w:rFonts w:eastAsiaTheme="majorEastAsia"/>
        </w:rPr>
        <w:t xml:space="preserve"> </w:t>
      </w:r>
      <w:r w:rsidRPr="00773249">
        <w:rPr>
          <w:rStyle w:val="Strong"/>
          <w:rFonts w:eastAsiaTheme="majorEastAsia"/>
          <w:b w:val="0"/>
          <w:bCs w:val="0"/>
        </w:rPr>
        <w:t>of the teachers</w:t>
      </w:r>
      <w:r w:rsidRPr="00773249">
        <w:rPr>
          <w:b/>
        </w:rPr>
        <w:t xml:space="preserve"> </w:t>
      </w:r>
      <w:r w:rsidRPr="00773249">
        <w:t xml:space="preserve">reported having received </w:t>
      </w:r>
      <w:r w:rsidRPr="00773249">
        <w:rPr>
          <w:rStyle w:val="Strong"/>
          <w:rFonts w:eastAsiaTheme="majorEastAsia"/>
          <w:b w:val="0"/>
          <w:bCs w:val="0"/>
        </w:rPr>
        <w:t>training in counselling</w:t>
      </w:r>
      <w:r w:rsidRPr="00773249">
        <w:t>, while</w:t>
      </w:r>
      <w:r w:rsidR="00E15C0C" w:rsidRPr="00773249">
        <w:t xml:space="preserve"> </w:t>
      </w:r>
      <w:r w:rsidR="00E15C0C" w:rsidRPr="00773249">
        <w:rPr>
          <w:rStyle w:val="Strong"/>
          <w:rFonts w:eastAsiaTheme="majorEastAsia"/>
          <w:b w:val="0"/>
          <w:bCs w:val="0"/>
        </w:rPr>
        <w:t>52</w:t>
      </w:r>
      <w:r w:rsidRPr="00773249">
        <w:rPr>
          <w:rStyle w:val="Strong"/>
          <w:rFonts w:eastAsiaTheme="majorEastAsia"/>
          <w:b w:val="0"/>
          <w:bCs w:val="0"/>
        </w:rPr>
        <w:t>% had not</w:t>
      </w:r>
      <w:r w:rsidRPr="00773249">
        <w:rPr>
          <w:b/>
        </w:rPr>
        <w:t>.</w:t>
      </w:r>
      <w:r w:rsidRPr="00773249">
        <w:t xml:space="preserve"> Additionally, a higher proportion </w:t>
      </w:r>
      <w:r w:rsidRPr="00773249">
        <w:rPr>
          <w:rStyle w:val="Strong"/>
          <w:rFonts w:eastAsiaTheme="majorEastAsia"/>
          <w:b w:val="0"/>
          <w:bCs w:val="0"/>
        </w:rPr>
        <w:t>75% of</w:t>
      </w:r>
      <w:r w:rsidRPr="00773249">
        <w:rPr>
          <w:rStyle w:val="Strong"/>
          <w:rFonts w:eastAsiaTheme="majorEastAsia"/>
        </w:rPr>
        <w:t xml:space="preserve"> </w:t>
      </w:r>
      <w:r w:rsidRPr="00773249">
        <w:rPr>
          <w:rStyle w:val="Strong"/>
          <w:rFonts w:eastAsiaTheme="majorEastAsia"/>
          <w:b w:val="0"/>
          <w:bCs w:val="0"/>
        </w:rPr>
        <w:t>the teachers</w:t>
      </w:r>
      <w:r w:rsidRPr="00773249">
        <w:t xml:space="preserve"> indicated that they had </w:t>
      </w:r>
      <w:r w:rsidRPr="00773249">
        <w:rPr>
          <w:rStyle w:val="Strong"/>
          <w:rFonts w:eastAsiaTheme="majorEastAsia"/>
          <w:b w:val="0"/>
          <w:bCs w:val="0"/>
        </w:rPr>
        <w:t>referred students for counselling services</w:t>
      </w:r>
      <w:r w:rsidRPr="00773249">
        <w:t>, with only</w:t>
      </w:r>
      <w:r w:rsidRPr="00773249">
        <w:rPr>
          <w:b/>
        </w:rPr>
        <w:t xml:space="preserve"> </w:t>
      </w:r>
      <w:r w:rsidRPr="00773249">
        <w:rPr>
          <w:rStyle w:val="Strong"/>
          <w:rFonts w:eastAsiaTheme="majorEastAsia"/>
          <w:b w:val="0"/>
          <w:bCs w:val="0"/>
        </w:rPr>
        <w:t>25% stating they had not</w:t>
      </w:r>
      <w:r w:rsidRPr="00773249">
        <w:rPr>
          <w:b/>
          <w:bCs/>
        </w:rPr>
        <w:t>.</w:t>
      </w:r>
      <w:r w:rsidRPr="00773249">
        <w:rPr>
          <w:b/>
        </w:rPr>
        <w:t xml:space="preserve"> </w:t>
      </w:r>
      <w:r w:rsidRPr="00773249">
        <w:t xml:space="preserve">These results show that while a </w:t>
      </w:r>
      <w:r w:rsidR="00E15C0C" w:rsidRPr="00773249">
        <w:t>some</w:t>
      </w:r>
      <w:r w:rsidRPr="00773249">
        <w:t xml:space="preserve"> of teachers have received some level of training in </w:t>
      </w:r>
      <w:r w:rsidR="004E74A2" w:rsidRPr="00773249">
        <w:t xml:space="preserve">guidance and </w:t>
      </w:r>
      <w:r w:rsidRPr="00773249">
        <w:t>counselling, a significant m</w:t>
      </w:r>
      <w:r w:rsidR="00E15C0C" w:rsidRPr="00773249">
        <w:t>ajori</w:t>
      </w:r>
      <w:r w:rsidRPr="00773249">
        <w:t>ty still lack formal preparation in this area. Despite this, a large proportion of teachers are actively referring students for</w:t>
      </w:r>
      <w:r w:rsidR="00E15C0C" w:rsidRPr="00773249">
        <w:t xml:space="preserve"> guidance and</w:t>
      </w:r>
      <w:r w:rsidRPr="00773249">
        <w:t xml:space="preserve"> counselling, which points to a general awareness of the importance of student wellbeing and the need for professional support.  There is a need to expand</w:t>
      </w:r>
      <w:r w:rsidR="00E15C0C" w:rsidRPr="00773249">
        <w:t xml:space="preserve"> guidance and </w:t>
      </w:r>
      <w:r w:rsidRPr="00773249">
        <w:t xml:space="preserve">counselling training for all teachers, especially </w:t>
      </w:r>
      <w:r w:rsidR="00E15C0C" w:rsidRPr="00773249">
        <w:t>class</w:t>
      </w:r>
      <w:r w:rsidRPr="00773249">
        <w:t xml:space="preserve"> teachers who are often the first point of contact for students facing emotional or behavioral challenges. Enhancing teachers’ skills would improve early identification and intervention for at-risk students. The high referral rate is encouraging, as it reflects a proactive approach among teachers toward supporting learners’ mental health.</w:t>
      </w:r>
    </w:p>
    <w:p w14:paraId="6C9B0DF9" w14:textId="77777777" w:rsidR="00497876" w:rsidRPr="00773249" w:rsidRDefault="00497876" w:rsidP="005562B7">
      <w:pPr>
        <w:pStyle w:val="Heading2"/>
        <w:ind w:left="360" w:hanging="360"/>
        <w:rPr>
          <w:rFonts w:eastAsia="Times New Roman" w:cs="Times New Roman"/>
          <w:b w:val="0"/>
          <w:szCs w:val="24"/>
          <w:lang w:eastAsia="en-GB"/>
        </w:rPr>
      </w:pPr>
      <w:bookmarkStart w:id="19" w:name="_Toc205894993"/>
      <w:r w:rsidRPr="00773249">
        <w:rPr>
          <w:rFonts w:eastAsia="Times New Roman" w:cs="Times New Roman"/>
          <w:szCs w:val="24"/>
          <w:lang w:eastAsia="en-GB"/>
        </w:rPr>
        <w:t>Influence of Guidance and Counselling Programmes on Students’ Emotional Regulation</w:t>
      </w:r>
      <w:bookmarkEnd w:id="19"/>
      <w:r w:rsidRPr="00773249">
        <w:rPr>
          <w:rFonts w:eastAsia="Times New Roman" w:cs="Times New Roman"/>
          <w:szCs w:val="24"/>
          <w:lang w:eastAsia="en-GB"/>
        </w:rPr>
        <w:t xml:space="preserve">  </w:t>
      </w:r>
    </w:p>
    <w:p w14:paraId="1373F069" w14:textId="77777777" w:rsidR="00497876" w:rsidRPr="00773249" w:rsidRDefault="00497876" w:rsidP="001D6167">
      <w:pPr>
        <w:rPr>
          <w:rFonts w:eastAsia="Times New Roman" w:cs="Times New Roman"/>
          <w:szCs w:val="24"/>
          <w:lang w:eastAsia="en-GB"/>
        </w:rPr>
        <w:sectPr w:rsidR="00497876" w:rsidRPr="00773249" w:rsidSect="008132A0">
          <w:pgSz w:w="11906" w:h="16838" w:code="9"/>
          <w:pgMar w:top="1094" w:right="605" w:bottom="605" w:left="605" w:header="346" w:footer="403" w:gutter="0"/>
          <w:pgNumType w:start="0"/>
          <w:cols w:space="708"/>
          <w:docGrid w:linePitch="360"/>
        </w:sectPr>
      </w:pPr>
      <w:r w:rsidRPr="00773249">
        <w:rPr>
          <w:rFonts w:eastAsia="Times New Roman" w:cs="Times New Roman"/>
          <w:szCs w:val="24"/>
          <w:lang w:eastAsia="en-GB"/>
        </w:rPr>
        <w:t xml:space="preserve">This section addresses the first objective of the study, which aimed to determine how guidance and counselling programmes influence student’s emotional regulation among students in public secondary schools in Westlands Sub-County, Nairobi County. Data obtained to address this objective is summarized in Table </w:t>
      </w:r>
      <w:r w:rsidR="00C3703A" w:rsidRPr="00773249">
        <w:rPr>
          <w:rFonts w:eastAsia="Times New Roman" w:cs="Times New Roman"/>
          <w:szCs w:val="24"/>
          <w:lang w:eastAsia="en-GB"/>
        </w:rPr>
        <w:t>8</w:t>
      </w:r>
    </w:p>
    <w:p w14:paraId="61DAB5CC" w14:textId="77777777" w:rsidR="00497876" w:rsidRPr="00773249" w:rsidRDefault="00497876" w:rsidP="001D6167">
      <w:pPr>
        <w:pStyle w:val="Caption"/>
        <w:keepNext/>
        <w:spacing w:after="240" w:line="240" w:lineRule="auto"/>
        <w:rPr>
          <w:b w:val="0"/>
          <w:color w:val="auto"/>
          <w:szCs w:val="24"/>
        </w:rPr>
      </w:pPr>
      <w:bookmarkStart w:id="20" w:name="_Toc205894585"/>
      <w:r w:rsidRPr="00773249">
        <w:rPr>
          <w:b w:val="0"/>
          <w:color w:val="auto"/>
          <w:szCs w:val="24"/>
        </w:rPr>
        <w:lastRenderedPageBreak/>
        <w:t>Table</w:t>
      </w:r>
      <w:r w:rsidR="00C3703A" w:rsidRPr="00773249">
        <w:rPr>
          <w:b w:val="0"/>
          <w:color w:val="auto"/>
          <w:szCs w:val="24"/>
        </w:rPr>
        <w:t>8</w:t>
      </w:r>
      <w:r w:rsidRPr="00773249">
        <w:rPr>
          <w:b w:val="0"/>
          <w:color w:val="auto"/>
          <w:szCs w:val="24"/>
        </w:rPr>
        <w:t>: Guidance and Counselling Programmes and Emotional Regulation</w:t>
      </w:r>
      <w:bookmarkEnd w:id="20"/>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1363"/>
        <w:gridCol w:w="1281"/>
        <w:gridCol w:w="1254"/>
        <w:gridCol w:w="1123"/>
        <w:gridCol w:w="1123"/>
        <w:gridCol w:w="830"/>
        <w:gridCol w:w="811"/>
        <w:gridCol w:w="993"/>
        <w:gridCol w:w="902"/>
        <w:gridCol w:w="811"/>
        <w:gridCol w:w="902"/>
        <w:gridCol w:w="1002"/>
      </w:tblGrid>
      <w:tr w:rsidR="00497876" w:rsidRPr="00773249" w14:paraId="4F629DBA" w14:textId="77777777">
        <w:trPr>
          <w:trHeight w:val="20"/>
        </w:trPr>
        <w:tc>
          <w:tcPr>
            <w:tcW w:w="906" w:type="pct"/>
            <w:tcBorders>
              <w:bottom w:val="nil"/>
            </w:tcBorders>
          </w:tcPr>
          <w:p w14:paraId="1E7D4228" w14:textId="77777777" w:rsidR="00497876" w:rsidRPr="00773249" w:rsidRDefault="00497876" w:rsidP="009D1659">
            <w:pPr>
              <w:spacing w:before="0" w:after="0"/>
              <w:rPr>
                <w:rFonts w:eastAsia="Times New Roman" w:cs="Times New Roman"/>
                <w:bCs/>
                <w:szCs w:val="24"/>
                <w:lang w:eastAsia="en-GB"/>
              </w:rPr>
            </w:pPr>
            <w:bookmarkStart w:id="21" w:name="_Hlk205557563"/>
          </w:p>
        </w:tc>
        <w:tc>
          <w:tcPr>
            <w:tcW w:w="2303" w:type="pct"/>
            <w:gridSpan w:val="6"/>
            <w:tcBorders>
              <w:bottom w:val="nil"/>
            </w:tcBorders>
          </w:tcPr>
          <w:p w14:paraId="465FB35A"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Student Responses (n=350)</w:t>
            </w:r>
          </w:p>
        </w:tc>
        <w:tc>
          <w:tcPr>
            <w:tcW w:w="1791" w:type="pct"/>
            <w:gridSpan w:val="6"/>
            <w:tcBorders>
              <w:bottom w:val="nil"/>
            </w:tcBorders>
          </w:tcPr>
          <w:p w14:paraId="60704DB9"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Teachers Responses (n=20)</w:t>
            </w:r>
          </w:p>
        </w:tc>
      </w:tr>
      <w:tr w:rsidR="00497876" w:rsidRPr="00773249" w14:paraId="1D489583" w14:textId="77777777">
        <w:trPr>
          <w:trHeight w:val="20"/>
        </w:trPr>
        <w:tc>
          <w:tcPr>
            <w:tcW w:w="906" w:type="pct"/>
            <w:tcBorders>
              <w:top w:val="nil"/>
              <w:bottom w:val="single" w:sz="4" w:space="0" w:color="auto"/>
            </w:tcBorders>
            <w:hideMark/>
          </w:tcPr>
          <w:p w14:paraId="1549DB83" w14:textId="77777777" w:rsidR="00497876" w:rsidRPr="00773249" w:rsidRDefault="00497876" w:rsidP="009D1659">
            <w:pPr>
              <w:spacing w:before="0" w:after="0"/>
              <w:rPr>
                <w:rFonts w:eastAsia="Times New Roman" w:cs="Times New Roman"/>
                <w:bCs/>
                <w:szCs w:val="24"/>
                <w:lang w:eastAsia="en-GB"/>
              </w:rPr>
            </w:pPr>
            <w:r w:rsidRPr="00773249">
              <w:rPr>
                <w:rFonts w:eastAsia="Times New Roman" w:cs="Times New Roman"/>
                <w:bCs/>
                <w:szCs w:val="24"/>
                <w:lang w:eastAsia="en-GB"/>
              </w:rPr>
              <w:t>Guidance and counselling programmes help one to;</w:t>
            </w:r>
          </w:p>
        </w:tc>
        <w:tc>
          <w:tcPr>
            <w:tcW w:w="450" w:type="pct"/>
            <w:tcBorders>
              <w:top w:val="nil"/>
              <w:bottom w:val="single" w:sz="4" w:space="0" w:color="auto"/>
            </w:tcBorders>
            <w:hideMark/>
          </w:tcPr>
          <w:p w14:paraId="4D76FC7E"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1</w:t>
            </w:r>
          </w:p>
        </w:tc>
        <w:tc>
          <w:tcPr>
            <w:tcW w:w="423" w:type="pct"/>
            <w:tcBorders>
              <w:top w:val="nil"/>
              <w:bottom w:val="single" w:sz="4" w:space="0" w:color="auto"/>
            </w:tcBorders>
            <w:hideMark/>
          </w:tcPr>
          <w:p w14:paraId="68C147AF"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2</w:t>
            </w:r>
          </w:p>
        </w:tc>
        <w:tc>
          <w:tcPr>
            <w:tcW w:w="414" w:type="pct"/>
            <w:tcBorders>
              <w:top w:val="nil"/>
              <w:bottom w:val="single" w:sz="4" w:space="0" w:color="auto"/>
            </w:tcBorders>
            <w:hideMark/>
          </w:tcPr>
          <w:p w14:paraId="59E80394"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3</w:t>
            </w:r>
          </w:p>
        </w:tc>
        <w:tc>
          <w:tcPr>
            <w:tcW w:w="371" w:type="pct"/>
            <w:tcBorders>
              <w:top w:val="nil"/>
              <w:bottom w:val="single" w:sz="4" w:space="0" w:color="auto"/>
            </w:tcBorders>
            <w:hideMark/>
          </w:tcPr>
          <w:p w14:paraId="34DE1A09"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4</w:t>
            </w:r>
          </w:p>
        </w:tc>
        <w:tc>
          <w:tcPr>
            <w:tcW w:w="371" w:type="pct"/>
            <w:tcBorders>
              <w:top w:val="nil"/>
              <w:bottom w:val="single" w:sz="4" w:space="0" w:color="auto"/>
            </w:tcBorders>
            <w:hideMark/>
          </w:tcPr>
          <w:p w14:paraId="479999DF"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5</w:t>
            </w:r>
          </w:p>
        </w:tc>
        <w:tc>
          <w:tcPr>
            <w:tcW w:w="274" w:type="pct"/>
            <w:tcBorders>
              <w:top w:val="nil"/>
              <w:bottom w:val="single" w:sz="4" w:space="0" w:color="auto"/>
            </w:tcBorders>
          </w:tcPr>
          <w:p w14:paraId="6AB0C83E"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Mean</w:t>
            </w:r>
          </w:p>
        </w:tc>
        <w:tc>
          <w:tcPr>
            <w:tcW w:w="268" w:type="pct"/>
            <w:tcBorders>
              <w:top w:val="nil"/>
              <w:bottom w:val="single" w:sz="4" w:space="0" w:color="auto"/>
            </w:tcBorders>
          </w:tcPr>
          <w:p w14:paraId="1AFED043"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1</w:t>
            </w:r>
          </w:p>
        </w:tc>
        <w:tc>
          <w:tcPr>
            <w:tcW w:w="328" w:type="pct"/>
            <w:tcBorders>
              <w:top w:val="nil"/>
              <w:bottom w:val="single" w:sz="4" w:space="0" w:color="auto"/>
            </w:tcBorders>
          </w:tcPr>
          <w:p w14:paraId="3C8856BC"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2</w:t>
            </w:r>
          </w:p>
        </w:tc>
        <w:tc>
          <w:tcPr>
            <w:tcW w:w="298" w:type="pct"/>
            <w:tcBorders>
              <w:top w:val="nil"/>
              <w:bottom w:val="single" w:sz="4" w:space="0" w:color="auto"/>
            </w:tcBorders>
          </w:tcPr>
          <w:p w14:paraId="55742D35"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3</w:t>
            </w:r>
          </w:p>
        </w:tc>
        <w:tc>
          <w:tcPr>
            <w:tcW w:w="268" w:type="pct"/>
            <w:tcBorders>
              <w:top w:val="nil"/>
              <w:bottom w:val="single" w:sz="4" w:space="0" w:color="auto"/>
            </w:tcBorders>
          </w:tcPr>
          <w:p w14:paraId="64F72BF5"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4</w:t>
            </w:r>
          </w:p>
        </w:tc>
        <w:tc>
          <w:tcPr>
            <w:tcW w:w="298" w:type="pct"/>
            <w:tcBorders>
              <w:top w:val="nil"/>
              <w:bottom w:val="single" w:sz="4" w:space="0" w:color="auto"/>
            </w:tcBorders>
          </w:tcPr>
          <w:p w14:paraId="795E50CF"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5</w:t>
            </w:r>
          </w:p>
        </w:tc>
        <w:tc>
          <w:tcPr>
            <w:tcW w:w="331" w:type="pct"/>
            <w:tcBorders>
              <w:top w:val="nil"/>
              <w:bottom w:val="single" w:sz="4" w:space="0" w:color="auto"/>
            </w:tcBorders>
          </w:tcPr>
          <w:p w14:paraId="324F0A3D" w14:textId="77777777" w:rsidR="00497876" w:rsidRPr="00773249" w:rsidRDefault="00497876" w:rsidP="009D1659">
            <w:pPr>
              <w:spacing w:before="0" w:after="0"/>
              <w:jc w:val="center"/>
              <w:rPr>
                <w:rFonts w:eastAsia="Times New Roman" w:cs="Times New Roman"/>
                <w:bCs/>
                <w:szCs w:val="24"/>
                <w:lang w:eastAsia="en-GB"/>
              </w:rPr>
            </w:pPr>
            <w:r w:rsidRPr="00773249">
              <w:rPr>
                <w:rFonts w:eastAsia="Times New Roman" w:cs="Times New Roman"/>
                <w:bCs/>
                <w:szCs w:val="24"/>
                <w:lang w:eastAsia="en-GB"/>
              </w:rPr>
              <w:t>Mean</w:t>
            </w:r>
          </w:p>
        </w:tc>
      </w:tr>
      <w:tr w:rsidR="00497876" w:rsidRPr="00773249" w14:paraId="1BAE7BA5" w14:textId="77777777">
        <w:trPr>
          <w:trHeight w:val="20"/>
        </w:trPr>
        <w:tc>
          <w:tcPr>
            <w:tcW w:w="906" w:type="pct"/>
            <w:tcBorders>
              <w:top w:val="single" w:sz="4" w:space="0" w:color="auto"/>
              <w:bottom w:val="nil"/>
            </w:tcBorders>
            <w:hideMark/>
          </w:tcPr>
          <w:p w14:paraId="049C83C8" w14:textId="77777777" w:rsidR="00497876" w:rsidRPr="00773249" w:rsidRDefault="00497876" w:rsidP="009D1659">
            <w:pPr>
              <w:spacing w:before="0" w:after="0"/>
              <w:rPr>
                <w:rFonts w:eastAsia="Times New Roman" w:cs="Times New Roman"/>
                <w:szCs w:val="24"/>
                <w:lang w:eastAsia="en-GB"/>
              </w:rPr>
            </w:pPr>
            <w:r w:rsidRPr="00773249">
              <w:rPr>
                <w:rFonts w:eastAsia="Times New Roman" w:cs="Times New Roman"/>
                <w:szCs w:val="24"/>
                <w:lang w:eastAsia="en-GB"/>
              </w:rPr>
              <w:t>Accept feelings even when its hard</w:t>
            </w:r>
          </w:p>
        </w:tc>
        <w:tc>
          <w:tcPr>
            <w:tcW w:w="450" w:type="pct"/>
            <w:tcBorders>
              <w:top w:val="single" w:sz="4" w:space="0" w:color="auto"/>
              <w:bottom w:val="nil"/>
            </w:tcBorders>
            <w:hideMark/>
          </w:tcPr>
          <w:p w14:paraId="0378442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100(28.6)</w:t>
            </w:r>
          </w:p>
        </w:tc>
        <w:tc>
          <w:tcPr>
            <w:tcW w:w="423" w:type="pct"/>
            <w:tcBorders>
              <w:top w:val="single" w:sz="4" w:space="0" w:color="auto"/>
              <w:bottom w:val="nil"/>
            </w:tcBorders>
            <w:hideMark/>
          </w:tcPr>
          <w:p w14:paraId="37DC7F37"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152(43.4)</w:t>
            </w:r>
          </w:p>
        </w:tc>
        <w:tc>
          <w:tcPr>
            <w:tcW w:w="414" w:type="pct"/>
            <w:tcBorders>
              <w:top w:val="single" w:sz="4" w:space="0" w:color="auto"/>
              <w:bottom w:val="nil"/>
            </w:tcBorders>
            <w:hideMark/>
          </w:tcPr>
          <w:p w14:paraId="2109270A"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4(1.1)</w:t>
            </w:r>
          </w:p>
        </w:tc>
        <w:tc>
          <w:tcPr>
            <w:tcW w:w="371" w:type="pct"/>
            <w:tcBorders>
              <w:top w:val="single" w:sz="4" w:space="0" w:color="auto"/>
              <w:bottom w:val="nil"/>
            </w:tcBorders>
            <w:hideMark/>
          </w:tcPr>
          <w:p w14:paraId="772B7E1A"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49(14)</w:t>
            </w:r>
          </w:p>
        </w:tc>
        <w:tc>
          <w:tcPr>
            <w:tcW w:w="371" w:type="pct"/>
            <w:tcBorders>
              <w:top w:val="single" w:sz="4" w:space="0" w:color="auto"/>
              <w:bottom w:val="nil"/>
            </w:tcBorders>
            <w:hideMark/>
          </w:tcPr>
          <w:p w14:paraId="5A91929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45(12.8)</w:t>
            </w:r>
          </w:p>
        </w:tc>
        <w:tc>
          <w:tcPr>
            <w:tcW w:w="274" w:type="pct"/>
            <w:tcBorders>
              <w:top w:val="single" w:sz="4" w:space="0" w:color="auto"/>
              <w:bottom w:val="nil"/>
            </w:tcBorders>
          </w:tcPr>
          <w:p w14:paraId="1DB2BC40"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2.39</w:t>
            </w:r>
          </w:p>
        </w:tc>
        <w:tc>
          <w:tcPr>
            <w:tcW w:w="268" w:type="pct"/>
            <w:tcBorders>
              <w:top w:val="single" w:sz="4" w:space="0" w:color="auto"/>
              <w:bottom w:val="nil"/>
            </w:tcBorders>
          </w:tcPr>
          <w:p w14:paraId="6CEC9899"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4(20)</w:t>
            </w:r>
          </w:p>
        </w:tc>
        <w:tc>
          <w:tcPr>
            <w:tcW w:w="328" w:type="pct"/>
            <w:tcBorders>
              <w:top w:val="single" w:sz="4" w:space="0" w:color="auto"/>
              <w:bottom w:val="nil"/>
            </w:tcBorders>
          </w:tcPr>
          <w:p w14:paraId="4BA70C02"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9(45)</w:t>
            </w:r>
          </w:p>
        </w:tc>
        <w:tc>
          <w:tcPr>
            <w:tcW w:w="298" w:type="pct"/>
            <w:tcBorders>
              <w:top w:val="single" w:sz="4" w:space="0" w:color="auto"/>
              <w:bottom w:val="nil"/>
            </w:tcBorders>
          </w:tcPr>
          <w:p w14:paraId="62848E41"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3(15)</w:t>
            </w:r>
          </w:p>
        </w:tc>
        <w:tc>
          <w:tcPr>
            <w:tcW w:w="268" w:type="pct"/>
            <w:tcBorders>
              <w:top w:val="single" w:sz="4" w:space="0" w:color="auto"/>
              <w:bottom w:val="nil"/>
            </w:tcBorders>
          </w:tcPr>
          <w:p w14:paraId="1252322D"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3(15)</w:t>
            </w:r>
          </w:p>
        </w:tc>
        <w:tc>
          <w:tcPr>
            <w:tcW w:w="298" w:type="pct"/>
            <w:tcBorders>
              <w:top w:val="single" w:sz="4" w:space="0" w:color="auto"/>
              <w:bottom w:val="nil"/>
            </w:tcBorders>
          </w:tcPr>
          <w:p w14:paraId="765BA4A9"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331" w:type="pct"/>
            <w:tcBorders>
              <w:top w:val="single" w:sz="4" w:space="0" w:color="auto"/>
              <w:bottom w:val="nil"/>
            </w:tcBorders>
          </w:tcPr>
          <w:p w14:paraId="34C8F011"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2.40</w:t>
            </w:r>
          </w:p>
        </w:tc>
      </w:tr>
      <w:tr w:rsidR="00497876" w:rsidRPr="00773249" w14:paraId="22C04AA0" w14:textId="77777777">
        <w:trPr>
          <w:trHeight w:val="20"/>
        </w:trPr>
        <w:tc>
          <w:tcPr>
            <w:tcW w:w="906" w:type="pct"/>
            <w:tcBorders>
              <w:top w:val="nil"/>
            </w:tcBorders>
            <w:hideMark/>
          </w:tcPr>
          <w:p w14:paraId="0FCA16A7" w14:textId="77777777" w:rsidR="00497876" w:rsidRPr="00773249" w:rsidRDefault="00497876" w:rsidP="009D1659">
            <w:pPr>
              <w:spacing w:before="0" w:after="0"/>
              <w:rPr>
                <w:rFonts w:eastAsia="Times New Roman" w:cs="Times New Roman"/>
                <w:szCs w:val="24"/>
                <w:lang w:eastAsia="en-GB"/>
              </w:rPr>
            </w:pPr>
            <w:r w:rsidRPr="00773249">
              <w:rPr>
                <w:rFonts w:eastAsia="Times New Roman" w:cs="Times New Roman"/>
                <w:szCs w:val="24"/>
                <w:lang w:eastAsia="en-GB"/>
              </w:rPr>
              <w:t>Do things they enjoy to take mind off negative feelings</w:t>
            </w:r>
          </w:p>
        </w:tc>
        <w:tc>
          <w:tcPr>
            <w:tcW w:w="450" w:type="pct"/>
            <w:tcBorders>
              <w:top w:val="nil"/>
            </w:tcBorders>
            <w:hideMark/>
          </w:tcPr>
          <w:p w14:paraId="56D3B080"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94(26.9))</w:t>
            </w:r>
          </w:p>
        </w:tc>
        <w:tc>
          <w:tcPr>
            <w:tcW w:w="423" w:type="pct"/>
            <w:tcBorders>
              <w:top w:val="nil"/>
            </w:tcBorders>
            <w:hideMark/>
          </w:tcPr>
          <w:p w14:paraId="1227024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95(27.1)</w:t>
            </w:r>
          </w:p>
        </w:tc>
        <w:tc>
          <w:tcPr>
            <w:tcW w:w="414" w:type="pct"/>
            <w:tcBorders>
              <w:top w:val="nil"/>
            </w:tcBorders>
            <w:hideMark/>
          </w:tcPr>
          <w:p w14:paraId="7D904213"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92(26.3)</w:t>
            </w:r>
          </w:p>
        </w:tc>
        <w:tc>
          <w:tcPr>
            <w:tcW w:w="371" w:type="pct"/>
            <w:tcBorders>
              <w:top w:val="nil"/>
            </w:tcBorders>
            <w:hideMark/>
          </w:tcPr>
          <w:p w14:paraId="2243C7A5"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68(19.4)</w:t>
            </w:r>
          </w:p>
        </w:tc>
        <w:tc>
          <w:tcPr>
            <w:tcW w:w="371" w:type="pct"/>
            <w:tcBorders>
              <w:top w:val="nil"/>
            </w:tcBorders>
            <w:hideMark/>
          </w:tcPr>
          <w:p w14:paraId="1D4EB86B"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1(0.3)</w:t>
            </w:r>
          </w:p>
        </w:tc>
        <w:tc>
          <w:tcPr>
            <w:tcW w:w="274" w:type="pct"/>
            <w:tcBorders>
              <w:top w:val="nil"/>
            </w:tcBorders>
          </w:tcPr>
          <w:p w14:paraId="7005B28A"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2.39</w:t>
            </w:r>
          </w:p>
        </w:tc>
        <w:tc>
          <w:tcPr>
            <w:tcW w:w="268" w:type="pct"/>
            <w:tcBorders>
              <w:top w:val="nil"/>
            </w:tcBorders>
          </w:tcPr>
          <w:p w14:paraId="259F57E3"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4(20)</w:t>
            </w:r>
          </w:p>
        </w:tc>
        <w:tc>
          <w:tcPr>
            <w:tcW w:w="328" w:type="pct"/>
            <w:tcBorders>
              <w:top w:val="nil"/>
            </w:tcBorders>
          </w:tcPr>
          <w:p w14:paraId="6CFB6DC3"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9(45)</w:t>
            </w:r>
          </w:p>
        </w:tc>
        <w:tc>
          <w:tcPr>
            <w:tcW w:w="298" w:type="pct"/>
            <w:tcBorders>
              <w:top w:val="nil"/>
            </w:tcBorders>
          </w:tcPr>
          <w:p w14:paraId="04AECAEE"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3(15)</w:t>
            </w:r>
          </w:p>
        </w:tc>
        <w:tc>
          <w:tcPr>
            <w:tcW w:w="268" w:type="pct"/>
            <w:tcBorders>
              <w:top w:val="nil"/>
            </w:tcBorders>
          </w:tcPr>
          <w:p w14:paraId="40ABADF4"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3(15)</w:t>
            </w:r>
          </w:p>
        </w:tc>
        <w:tc>
          <w:tcPr>
            <w:tcW w:w="298" w:type="pct"/>
            <w:tcBorders>
              <w:top w:val="nil"/>
            </w:tcBorders>
          </w:tcPr>
          <w:p w14:paraId="153D4AE7"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331" w:type="pct"/>
            <w:tcBorders>
              <w:top w:val="nil"/>
            </w:tcBorders>
          </w:tcPr>
          <w:p w14:paraId="6B6F2A8D"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2.40</w:t>
            </w:r>
          </w:p>
        </w:tc>
      </w:tr>
      <w:tr w:rsidR="00497876" w:rsidRPr="00773249" w14:paraId="142E669E" w14:textId="77777777">
        <w:trPr>
          <w:trHeight w:val="20"/>
        </w:trPr>
        <w:tc>
          <w:tcPr>
            <w:tcW w:w="906" w:type="pct"/>
            <w:hideMark/>
          </w:tcPr>
          <w:p w14:paraId="45FBA914" w14:textId="77777777" w:rsidR="00497876" w:rsidRPr="00773249" w:rsidRDefault="00497876" w:rsidP="009D1659">
            <w:pPr>
              <w:spacing w:before="0" w:after="0"/>
              <w:rPr>
                <w:rFonts w:eastAsia="Times New Roman" w:cs="Times New Roman"/>
                <w:szCs w:val="24"/>
                <w:lang w:eastAsia="en-GB"/>
              </w:rPr>
            </w:pPr>
            <w:r w:rsidRPr="00773249">
              <w:rPr>
                <w:rFonts w:eastAsia="Times New Roman" w:cs="Times New Roman"/>
                <w:szCs w:val="24"/>
                <w:lang w:eastAsia="en-GB"/>
              </w:rPr>
              <w:t>Find something positive in difficult situations</w:t>
            </w:r>
          </w:p>
        </w:tc>
        <w:tc>
          <w:tcPr>
            <w:tcW w:w="450" w:type="pct"/>
            <w:hideMark/>
          </w:tcPr>
          <w:p w14:paraId="62922CA5"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50(14.3)</w:t>
            </w:r>
          </w:p>
        </w:tc>
        <w:tc>
          <w:tcPr>
            <w:tcW w:w="423" w:type="pct"/>
            <w:hideMark/>
          </w:tcPr>
          <w:p w14:paraId="1CC7A19E"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161(46.0)</w:t>
            </w:r>
          </w:p>
        </w:tc>
        <w:tc>
          <w:tcPr>
            <w:tcW w:w="414" w:type="pct"/>
            <w:hideMark/>
          </w:tcPr>
          <w:p w14:paraId="318FDE8D"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119(34.0)</w:t>
            </w:r>
          </w:p>
        </w:tc>
        <w:tc>
          <w:tcPr>
            <w:tcW w:w="371" w:type="pct"/>
            <w:hideMark/>
          </w:tcPr>
          <w:p w14:paraId="77598AE1"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20(5.7)</w:t>
            </w:r>
          </w:p>
        </w:tc>
        <w:tc>
          <w:tcPr>
            <w:tcW w:w="371" w:type="pct"/>
            <w:hideMark/>
          </w:tcPr>
          <w:p w14:paraId="4131DAC4"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0</w:t>
            </w:r>
          </w:p>
        </w:tc>
        <w:tc>
          <w:tcPr>
            <w:tcW w:w="274" w:type="pct"/>
          </w:tcPr>
          <w:p w14:paraId="30A262F3"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2.31</w:t>
            </w:r>
          </w:p>
        </w:tc>
        <w:tc>
          <w:tcPr>
            <w:tcW w:w="268" w:type="pct"/>
          </w:tcPr>
          <w:p w14:paraId="60BAE4A2"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6(30)</w:t>
            </w:r>
          </w:p>
        </w:tc>
        <w:tc>
          <w:tcPr>
            <w:tcW w:w="328" w:type="pct"/>
          </w:tcPr>
          <w:p w14:paraId="7CE20B51"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7(35)</w:t>
            </w:r>
          </w:p>
        </w:tc>
        <w:tc>
          <w:tcPr>
            <w:tcW w:w="298" w:type="pct"/>
          </w:tcPr>
          <w:p w14:paraId="06D914EC"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268" w:type="pct"/>
          </w:tcPr>
          <w:p w14:paraId="510443D3"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4(20)</w:t>
            </w:r>
          </w:p>
        </w:tc>
        <w:tc>
          <w:tcPr>
            <w:tcW w:w="298" w:type="pct"/>
          </w:tcPr>
          <w:p w14:paraId="2BAAE84B"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2(10)</w:t>
            </w:r>
          </w:p>
        </w:tc>
        <w:tc>
          <w:tcPr>
            <w:tcW w:w="331" w:type="pct"/>
          </w:tcPr>
          <w:p w14:paraId="569E5BA3"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2.15</w:t>
            </w:r>
          </w:p>
        </w:tc>
      </w:tr>
      <w:tr w:rsidR="00497876" w:rsidRPr="00773249" w14:paraId="62D49766" w14:textId="77777777">
        <w:trPr>
          <w:trHeight w:val="20"/>
        </w:trPr>
        <w:tc>
          <w:tcPr>
            <w:tcW w:w="906" w:type="pct"/>
            <w:hideMark/>
          </w:tcPr>
          <w:p w14:paraId="53236C2D" w14:textId="77777777" w:rsidR="00497876" w:rsidRPr="00773249" w:rsidRDefault="00497876" w:rsidP="009D1659">
            <w:pPr>
              <w:spacing w:before="0" w:after="0"/>
              <w:rPr>
                <w:rFonts w:eastAsia="Times New Roman" w:cs="Times New Roman"/>
                <w:szCs w:val="24"/>
                <w:lang w:eastAsia="en-GB"/>
              </w:rPr>
            </w:pPr>
            <w:r w:rsidRPr="00773249">
              <w:rPr>
                <w:rFonts w:eastAsia="Times New Roman" w:cs="Times New Roman"/>
                <w:szCs w:val="24"/>
                <w:lang w:eastAsia="en-GB"/>
              </w:rPr>
              <w:t>Remind self that problems do not last forever</w:t>
            </w:r>
          </w:p>
        </w:tc>
        <w:tc>
          <w:tcPr>
            <w:tcW w:w="450" w:type="pct"/>
            <w:hideMark/>
          </w:tcPr>
          <w:p w14:paraId="10F9DDB5"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94(26.9)</w:t>
            </w:r>
          </w:p>
        </w:tc>
        <w:tc>
          <w:tcPr>
            <w:tcW w:w="423" w:type="pct"/>
            <w:hideMark/>
          </w:tcPr>
          <w:p w14:paraId="5CBB16A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95(27.1)</w:t>
            </w:r>
          </w:p>
        </w:tc>
        <w:tc>
          <w:tcPr>
            <w:tcW w:w="414" w:type="pct"/>
            <w:hideMark/>
          </w:tcPr>
          <w:p w14:paraId="10621EAE"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89(25.4)</w:t>
            </w:r>
          </w:p>
        </w:tc>
        <w:tc>
          <w:tcPr>
            <w:tcW w:w="371" w:type="pct"/>
            <w:hideMark/>
          </w:tcPr>
          <w:p w14:paraId="1F3FAA4B"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71(20.3)</w:t>
            </w:r>
          </w:p>
        </w:tc>
        <w:tc>
          <w:tcPr>
            <w:tcW w:w="371" w:type="pct"/>
            <w:hideMark/>
          </w:tcPr>
          <w:p w14:paraId="6874B1B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1(.03)</w:t>
            </w:r>
          </w:p>
        </w:tc>
        <w:tc>
          <w:tcPr>
            <w:tcW w:w="274" w:type="pct"/>
          </w:tcPr>
          <w:p w14:paraId="5FD3D68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2.40</w:t>
            </w:r>
          </w:p>
        </w:tc>
        <w:tc>
          <w:tcPr>
            <w:tcW w:w="268" w:type="pct"/>
          </w:tcPr>
          <w:p w14:paraId="5CDB148C"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3(15)</w:t>
            </w:r>
          </w:p>
        </w:tc>
        <w:tc>
          <w:tcPr>
            <w:tcW w:w="328" w:type="pct"/>
          </w:tcPr>
          <w:p w14:paraId="5BB02E93"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15(75)</w:t>
            </w:r>
          </w:p>
        </w:tc>
        <w:tc>
          <w:tcPr>
            <w:tcW w:w="298" w:type="pct"/>
          </w:tcPr>
          <w:p w14:paraId="10F7B6F0"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268" w:type="pct"/>
          </w:tcPr>
          <w:p w14:paraId="0A31E07E"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0</w:t>
            </w:r>
          </w:p>
        </w:tc>
        <w:tc>
          <w:tcPr>
            <w:tcW w:w="298" w:type="pct"/>
          </w:tcPr>
          <w:p w14:paraId="367E0A4E"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331" w:type="pct"/>
          </w:tcPr>
          <w:p w14:paraId="1C5E2595"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2.05</w:t>
            </w:r>
          </w:p>
        </w:tc>
      </w:tr>
      <w:tr w:rsidR="00497876" w:rsidRPr="00773249" w14:paraId="184B5742" w14:textId="77777777">
        <w:trPr>
          <w:trHeight w:val="20"/>
        </w:trPr>
        <w:tc>
          <w:tcPr>
            <w:tcW w:w="906" w:type="pct"/>
            <w:hideMark/>
          </w:tcPr>
          <w:p w14:paraId="10C10ED5" w14:textId="77777777" w:rsidR="00497876" w:rsidRPr="00773249" w:rsidRDefault="00497876" w:rsidP="009D1659">
            <w:pPr>
              <w:spacing w:before="0" w:after="0"/>
              <w:rPr>
                <w:rFonts w:eastAsia="Times New Roman" w:cs="Times New Roman"/>
                <w:szCs w:val="24"/>
                <w:lang w:eastAsia="en-GB"/>
              </w:rPr>
            </w:pPr>
            <w:r w:rsidRPr="00773249">
              <w:rPr>
                <w:rFonts w:eastAsia="Times New Roman" w:cs="Times New Roman"/>
                <w:szCs w:val="24"/>
                <w:lang w:eastAsia="en-GB"/>
              </w:rPr>
              <w:t>Ability to easily overcome emotional challenges</w:t>
            </w:r>
          </w:p>
        </w:tc>
        <w:tc>
          <w:tcPr>
            <w:tcW w:w="450" w:type="pct"/>
            <w:hideMark/>
          </w:tcPr>
          <w:p w14:paraId="5962AEA2"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110(31.4)</w:t>
            </w:r>
          </w:p>
        </w:tc>
        <w:tc>
          <w:tcPr>
            <w:tcW w:w="423" w:type="pct"/>
            <w:hideMark/>
          </w:tcPr>
          <w:p w14:paraId="39D271F7"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111(31.7)</w:t>
            </w:r>
          </w:p>
        </w:tc>
        <w:tc>
          <w:tcPr>
            <w:tcW w:w="414" w:type="pct"/>
            <w:hideMark/>
          </w:tcPr>
          <w:p w14:paraId="596AE6E6"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37(10.6)</w:t>
            </w:r>
          </w:p>
        </w:tc>
        <w:tc>
          <w:tcPr>
            <w:tcW w:w="371" w:type="pct"/>
            <w:hideMark/>
          </w:tcPr>
          <w:p w14:paraId="7528DB0C"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87(24.9)</w:t>
            </w:r>
          </w:p>
        </w:tc>
        <w:tc>
          <w:tcPr>
            <w:tcW w:w="371" w:type="pct"/>
            <w:hideMark/>
          </w:tcPr>
          <w:p w14:paraId="3B683EDD"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5(1.4)</w:t>
            </w:r>
          </w:p>
        </w:tc>
        <w:tc>
          <w:tcPr>
            <w:tcW w:w="274" w:type="pct"/>
          </w:tcPr>
          <w:p w14:paraId="29408685"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2.33</w:t>
            </w:r>
          </w:p>
        </w:tc>
        <w:tc>
          <w:tcPr>
            <w:tcW w:w="268" w:type="pct"/>
          </w:tcPr>
          <w:p w14:paraId="2B7554D0"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3(15)</w:t>
            </w:r>
          </w:p>
        </w:tc>
        <w:tc>
          <w:tcPr>
            <w:tcW w:w="328" w:type="pct"/>
          </w:tcPr>
          <w:p w14:paraId="4F4387C1"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14(70)</w:t>
            </w:r>
          </w:p>
        </w:tc>
        <w:tc>
          <w:tcPr>
            <w:tcW w:w="298" w:type="pct"/>
          </w:tcPr>
          <w:p w14:paraId="6CBBC8E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268" w:type="pct"/>
          </w:tcPr>
          <w:p w14:paraId="7B186026"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298" w:type="pct"/>
          </w:tcPr>
          <w:p w14:paraId="712D7E39"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331" w:type="pct"/>
          </w:tcPr>
          <w:p w14:paraId="79504A9D"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2.15</w:t>
            </w:r>
          </w:p>
        </w:tc>
      </w:tr>
      <w:bookmarkEnd w:id="21"/>
      <w:tr w:rsidR="00497876" w:rsidRPr="00773249" w14:paraId="2E518FD2" w14:textId="77777777">
        <w:trPr>
          <w:trHeight w:val="20"/>
        </w:trPr>
        <w:tc>
          <w:tcPr>
            <w:tcW w:w="906" w:type="pct"/>
            <w:hideMark/>
          </w:tcPr>
          <w:p w14:paraId="1D5F39F3" w14:textId="77777777" w:rsidR="00497876" w:rsidRPr="00773249" w:rsidRDefault="00497876" w:rsidP="009D1659">
            <w:pPr>
              <w:spacing w:before="0" w:after="0"/>
              <w:rPr>
                <w:rFonts w:eastAsia="Times New Roman" w:cs="Times New Roman"/>
                <w:szCs w:val="24"/>
                <w:lang w:eastAsia="en-GB"/>
              </w:rPr>
            </w:pPr>
            <w:r w:rsidRPr="00773249">
              <w:rPr>
                <w:rFonts w:eastAsia="Times New Roman" w:cs="Times New Roman"/>
                <w:szCs w:val="24"/>
                <w:lang w:eastAsia="en-GB"/>
              </w:rPr>
              <w:t>Stay in control even when upset.</w:t>
            </w:r>
          </w:p>
        </w:tc>
        <w:tc>
          <w:tcPr>
            <w:tcW w:w="450" w:type="pct"/>
            <w:hideMark/>
          </w:tcPr>
          <w:p w14:paraId="693ED0E1"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27(7.7)</w:t>
            </w:r>
          </w:p>
        </w:tc>
        <w:tc>
          <w:tcPr>
            <w:tcW w:w="423" w:type="pct"/>
            <w:hideMark/>
          </w:tcPr>
          <w:p w14:paraId="29E02B05"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246(70.3)</w:t>
            </w:r>
          </w:p>
        </w:tc>
        <w:tc>
          <w:tcPr>
            <w:tcW w:w="414" w:type="pct"/>
            <w:hideMark/>
          </w:tcPr>
          <w:p w14:paraId="17DF2C25"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26(7.4)</w:t>
            </w:r>
          </w:p>
        </w:tc>
        <w:tc>
          <w:tcPr>
            <w:tcW w:w="371" w:type="pct"/>
            <w:hideMark/>
          </w:tcPr>
          <w:p w14:paraId="67AD4C4C"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25(7.4)</w:t>
            </w:r>
          </w:p>
        </w:tc>
        <w:tc>
          <w:tcPr>
            <w:tcW w:w="371" w:type="pct"/>
            <w:hideMark/>
          </w:tcPr>
          <w:p w14:paraId="7E54FD09"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26(7.1)</w:t>
            </w:r>
          </w:p>
        </w:tc>
        <w:tc>
          <w:tcPr>
            <w:tcW w:w="274" w:type="pct"/>
          </w:tcPr>
          <w:p w14:paraId="1D7C4506"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2.36</w:t>
            </w:r>
          </w:p>
        </w:tc>
        <w:tc>
          <w:tcPr>
            <w:tcW w:w="268" w:type="pct"/>
          </w:tcPr>
          <w:p w14:paraId="4370A94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6(30)</w:t>
            </w:r>
          </w:p>
        </w:tc>
        <w:tc>
          <w:tcPr>
            <w:tcW w:w="328" w:type="pct"/>
          </w:tcPr>
          <w:p w14:paraId="541C0308"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8(40)</w:t>
            </w:r>
          </w:p>
        </w:tc>
        <w:tc>
          <w:tcPr>
            <w:tcW w:w="298" w:type="pct"/>
          </w:tcPr>
          <w:p w14:paraId="51AD20BF"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2(10)</w:t>
            </w:r>
          </w:p>
        </w:tc>
        <w:tc>
          <w:tcPr>
            <w:tcW w:w="268" w:type="pct"/>
          </w:tcPr>
          <w:p w14:paraId="79CE2D3A"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3(15)</w:t>
            </w:r>
          </w:p>
        </w:tc>
        <w:tc>
          <w:tcPr>
            <w:tcW w:w="298" w:type="pct"/>
          </w:tcPr>
          <w:p w14:paraId="75AA1536"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1(5)</w:t>
            </w:r>
          </w:p>
        </w:tc>
        <w:tc>
          <w:tcPr>
            <w:tcW w:w="331" w:type="pct"/>
          </w:tcPr>
          <w:p w14:paraId="18FC9E4C" w14:textId="77777777" w:rsidR="00497876" w:rsidRPr="00773249" w:rsidRDefault="00497876" w:rsidP="009D1659">
            <w:pPr>
              <w:spacing w:before="0" w:after="0"/>
              <w:jc w:val="center"/>
              <w:rPr>
                <w:rFonts w:eastAsia="Times New Roman" w:cs="Times New Roman"/>
                <w:szCs w:val="24"/>
                <w:lang w:eastAsia="en-GB"/>
              </w:rPr>
            </w:pPr>
            <w:r w:rsidRPr="00773249">
              <w:rPr>
                <w:rFonts w:eastAsia="Times New Roman" w:cs="Times New Roman"/>
                <w:szCs w:val="24"/>
                <w:lang w:eastAsia="en-GB"/>
              </w:rPr>
              <w:t>2.25</w:t>
            </w:r>
          </w:p>
        </w:tc>
      </w:tr>
    </w:tbl>
    <w:p w14:paraId="0A072656" w14:textId="77777777" w:rsidR="00497876" w:rsidRPr="00773249" w:rsidRDefault="00497876" w:rsidP="001D6167">
      <w:pPr>
        <w:rPr>
          <w:rFonts w:eastAsia="Times New Roman" w:cs="Times New Roman"/>
          <w:szCs w:val="24"/>
          <w:lang w:eastAsia="en-GB"/>
        </w:rPr>
      </w:pPr>
    </w:p>
    <w:p w14:paraId="4F5669D0" w14:textId="77777777" w:rsidR="00497876" w:rsidRPr="00773249" w:rsidRDefault="00497876" w:rsidP="001D6167">
      <w:pPr>
        <w:rPr>
          <w:rFonts w:eastAsia="Times New Roman" w:cs="Times New Roman"/>
          <w:szCs w:val="24"/>
          <w:lang w:eastAsia="en-GB"/>
        </w:rPr>
        <w:sectPr w:rsidR="00497876" w:rsidRPr="00773249" w:rsidSect="00A56343">
          <w:pgSz w:w="16838" w:h="11906" w:orient="landscape" w:code="9"/>
          <w:pgMar w:top="605" w:right="1094" w:bottom="605" w:left="605" w:header="706" w:footer="706" w:gutter="0"/>
          <w:cols w:space="708"/>
          <w:docGrid w:linePitch="360"/>
        </w:sectPr>
      </w:pPr>
    </w:p>
    <w:p w14:paraId="710199E8" w14:textId="46F9FF65" w:rsidR="00497876" w:rsidRPr="00773249" w:rsidRDefault="00497876" w:rsidP="001D6167">
      <w:pPr>
        <w:rPr>
          <w:rFonts w:eastAsia="Times New Roman" w:cs="Times New Roman"/>
          <w:szCs w:val="24"/>
          <w:lang w:eastAsia="en-GB"/>
        </w:rPr>
      </w:pPr>
      <w:r w:rsidRPr="00773249">
        <w:rPr>
          <w:rFonts w:eastAsia="Times New Roman" w:cs="Times New Roman"/>
          <w:szCs w:val="24"/>
          <w:lang w:eastAsia="en-GB"/>
        </w:rPr>
        <w:lastRenderedPageBreak/>
        <w:t xml:space="preserve">The results indicate that guidance and counselling programmes have a </w:t>
      </w:r>
      <w:r w:rsidRPr="00773249">
        <w:rPr>
          <w:rFonts w:eastAsia="Times New Roman" w:cs="Times New Roman"/>
          <w:bCs/>
          <w:szCs w:val="24"/>
          <w:lang w:eastAsia="en-GB"/>
        </w:rPr>
        <w:t>modest yet positive influence</w:t>
      </w:r>
      <w:r w:rsidRPr="00773249">
        <w:rPr>
          <w:rFonts w:eastAsia="Times New Roman" w:cs="Times New Roman"/>
          <w:szCs w:val="24"/>
          <w:lang w:eastAsia="en-GB"/>
        </w:rPr>
        <w:t xml:space="preserve"> on the development of emotional regulation skills among students in public secondary schools in Westlands Sub-County. Across all the indicators assessed, both students and teachers provided responses that largely clustered around the lower end of the 5-point scale, with </w:t>
      </w:r>
      <w:r w:rsidRPr="00773249">
        <w:rPr>
          <w:rFonts w:eastAsia="Times New Roman" w:cs="Times New Roman"/>
          <w:bCs/>
          <w:szCs w:val="24"/>
          <w:lang w:eastAsia="en-GB"/>
        </w:rPr>
        <w:t>mean scores for students ranging between 2.31 and 2.40</w:t>
      </w:r>
      <w:r w:rsidRPr="00773249">
        <w:rPr>
          <w:rFonts w:eastAsia="Times New Roman" w:cs="Times New Roman"/>
          <w:szCs w:val="24"/>
          <w:lang w:eastAsia="en-GB"/>
        </w:rPr>
        <w:t xml:space="preserve">, and </w:t>
      </w:r>
      <w:r w:rsidRPr="00773249">
        <w:rPr>
          <w:rFonts w:eastAsia="Times New Roman" w:cs="Times New Roman"/>
          <w:bCs/>
          <w:szCs w:val="24"/>
          <w:lang w:eastAsia="en-GB"/>
        </w:rPr>
        <w:t>teachers’ ratings between 2.05 and 2.40</w:t>
      </w:r>
      <w:r w:rsidRPr="00773249">
        <w:rPr>
          <w:rFonts w:eastAsia="Times New Roman" w:cs="Times New Roman"/>
          <w:szCs w:val="24"/>
          <w:lang w:eastAsia="en-GB"/>
        </w:rPr>
        <w:t xml:space="preserve">. The data shows that students generally agreed that counselling programmes help them in areas such as </w:t>
      </w:r>
      <w:r w:rsidRPr="00773249">
        <w:rPr>
          <w:rFonts w:eastAsia="Times New Roman" w:cs="Times New Roman"/>
          <w:bCs/>
          <w:szCs w:val="24"/>
          <w:lang w:eastAsia="en-GB"/>
        </w:rPr>
        <w:t>accepting difficult feelings</w:t>
      </w:r>
      <w:r w:rsidRPr="00773249">
        <w:rPr>
          <w:rFonts w:eastAsia="Times New Roman" w:cs="Times New Roman"/>
          <w:szCs w:val="24"/>
          <w:lang w:eastAsia="en-GB"/>
        </w:rPr>
        <w:t xml:space="preserve"> (mean = 2.39), </w:t>
      </w:r>
      <w:r w:rsidRPr="00773249">
        <w:rPr>
          <w:rFonts w:eastAsia="Times New Roman" w:cs="Times New Roman"/>
          <w:bCs/>
          <w:szCs w:val="24"/>
          <w:lang w:eastAsia="en-GB"/>
        </w:rPr>
        <w:t>engaging in enjoyable activities to cope</w:t>
      </w:r>
      <w:r w:rsidRPr="00773249">
        <w:rPr>
          <w:rFonts w:eastAsia="Times New Roman" w:cs="Times New Roman"/>
          <w:szCs w:val="24"/>
          <w:lang w:eastAsia="en-GB"/>
        </w:rPr>
        <w:t xml:space="preserve"> (mean = 2.39), and </w:t>
      </w:r>
      <w:r w:rsidRPr="00773249">
        <w:rPr>
          <w:rFonts w:eastAsia="Times New Roman" w:cs="Times New Roman"/>
          <w:bCs/>
          <w:szCs w:val="24"/>
          <w:lang w:eastAsia="en-GB"/>
        </w:rPr>
        <w:t>reminding themselves that problems are temporary</w:t>
      </w:r>
      <w:r w:rsidRPr="00773249">
        <w:rPr>
          <w:rFonts w:eastAsia="Times New Roman" w:cs="Times New Roman"/>
          <w:szCs w:val="24"/>
          <w:lang w:eastAsia="en-GB"/>
        </w:rPr>
        <w:t xml:space="preserve"> (mean = 2.40). However, the relatively low mean scores suggest that the effectiveness of these programmes is limited or uneven across schools. Teachers echoed similar sentiments. Their responses showed slightly lower mean ratings, particularly in areas like </w:t>
      </w:r>
      <w:r w:rsidRPr="00773249">
        <w:rPr>
          <w:rFonts w:eastAsia="Times New Roman" w:cs="Times New Roman"/>
          <w:bCs/>
          <w:szCs w:val="24"/>
          <w:lang w:eastAsia="en-GB"/>
        </w:rPr>
        <w:t>finding something positive in difficult situations</w:t>
      </w:r>
      <w:r w:rsidRPr="00773249">
        <w:rPr>
          <w:rFonts w:eastAsia="Times New Roman" w:cs="Times New Roman"/>
          <w:szCs w:val="24"/>
          <w:lang w:eastAsia="en-GB"/>
        </w:rPr>
        <w:t xml:space="preserve"> (mean = 2.15) and </w:t>
      </w:r>
      <w:r w:rsidRPr="00773249">
        <w:rPr>
          <w:rFonts w:eastAsia="Times New Roman" w:cs="Times New Roman"/>
          <w:bCs/>
          <w:szCs w:val="24"/>
          <w:lang w:eastAsia="en-GB"/>
        </w:rPr>
        <w:t>reminding oneself that problems do not last forever</w:t>
      </w:r>
      <w:r w:rsidRPr="00773249">
        <w:rPr>
          <w:rFonts w:eastAsia="Times New Roman" w:cs="Times New Roman"/>
          <w:szCs w:val="24"/>
          <w:lang w:eastAsia="en-GB"/>
        </w:rPr>
        <w:t xml:space="preserve"> (mean = 2.05). These low scores may point to gaps in the consistency, accessibility, or delivery quality of guidance and counselling</w:t>
      </w:r>
      <w:r w:rsidR="004E74A2" w:rsidRPr="00773249">
        <w:rPr>
          <w:rFonts w:eastAsia="Times New Roman" w:cs="Times New Roman"/>
          <w:szCs w:val="24"/>
          <w:lang w:eastAsia="en-GB"/>
        </w:rPr>
        <w:t xml:space="preserve"> programmes</w:t>
      </w:r>
      <w:r w:rsidRPr="00773249">
        <w:rPr>
          <w:rFonts w:eastAsia="Times New Roman" w:cs="Times New Roman"/>
          <w:szCs w:val="24"/>
          <w:lang w:eastAsia="en-GB"/>
        </w:rPr>
        <w:t>. Overall, while the presence of</w:t>
      </w:r>
      <w:r w:rsidR="004E74A2" w:rsidRPr="00773249">
        <w:rPr>
          <w:rFonts w:eastAsia="Times New Roman" w:cs="Times New Roman"/>
          <w:szCs w:val="24"/>
          <w:lang w:eastAsia="en-GB"/>
        </w:rPr>
        <w:t xml:space="preserve"> guidance and counselling programmes</w:t>
      </w:r>
      <w:r w:rsidRPr="00773249">
        <w:rPr>
          <w:rFonts w:eastAsia="Times New Roman" w:cs="Times New Roman"/>
          <w:szCs w:val="24"/>
          <w:lang w:eastAsia="en-GB"/>
        </w:rPr>
        <w:t xml:space="preserve"> </w:t>
      </w:r>
      <w:r w:rsidR="004E74A2" w:rsidRPr="00773249">
        <w:rPr>
          <w:rFonts w:eastAsia="Times New Roman" w:cs="Times New Roman"/>
          <w:szCs w:val="24"/>
          <w:lang w:eastAsia="en-GB"/>
        </w:rPr>
        <w:t xml:space="preserve">seem </w:t>
      </w:r>
      <w:r w:rsidRPr="00773249">
        <w:rPr>
          <w:rFonts w:eastAsia="Times New Roman" w:cs="Times New Roman"/>
          <w:szCs w:val="24"/>
          <w:lang w:eastAsia="en-GB"/>
        </w:rPr>
        <w:t xml:space="preserve">to </w:t>
      </w:r>
      <w:r w:rsidR="000711EF" w:rsidRPr="00773249">
        <w:rPr>
          <w:rFonts w:eastAsia="Times New Roman" w:cs="Times New Roman"/>
          <w:szCs w:val="24"/>
          <w:lang w:eastAsia="en-GB"/>
        </w:rPr>
        <w:t>influence</w:t>
      </w:r>
      <w:r w:rsidRPr="00773249">
        <w:rPr>
          <w:rFonts w:eastAsia="Times New Roman" w:cs="Times New Roman"/>
          <w:szCs w:val="24"/>
          <w:lang w:eastAsia="en-GB"/>
        </w:rPr>
        <w:t xml:space="preserve"> </w:t>
      </w:r>
      <w:r w:rsidR="004E74A2" w:rsidRPr="00773249">
        <w:rPr>
          <w:rFonts w:eastAsia="Times New Roman" w:cs="Times New Roman"/>
          <w:szCs w:val="24"/>
          <w:lang w:eastAsia="en-GB"/>
        </w:rPr>
        <w:t>students</w:t>
      </w:r>
      <w:r w:rsidR="009D7C24" w:rsidRPr="00773249">
        <w:rPr>
          <w:rFonts w:eastAsia="Times New Roman" w:cs="Times New Roman"/>
          <w:szCs w:val="24"/>
          <w:lang w:eastAsia="en-GB"/>
        </w:rPr>
        <w:t>’</w:t>
      </w:r>
      <w:r w:rsidRPr="00773249">
        <w:rPr>
          <w:rFonts w:eastAsia="Times New Roman" w:cs="Times New Roman"/>
          <w:szCs w:val="24"/>
          <w:lang w:eastAsia="en-GB"/>
        </w:rPr>
        <w:t xml:space="preserve"> emotional regulation, the data suggest that </w:t>
      </w:r>
      <w:r w:rsidRPr="00773249">
        <w:rPr>
          <w:rFonts w:eastAsia="Times New Roman" w:cs="Times New Roman"/>
          <w:bCs/>
          <w:szCs w:val="24"/>
          <w:lang w:eastAsia="en-GB"/>
        </w:rPr>
        <w:t>many students are not fully benefiting from the programmes</w:t>
      </w:r>
      <w:r w:rsidRPr="00773249">
        <w:rPr>
          <w:rFonts w:eastAsia="Times New Roman" w:cs="Times New Roman"/>
          <w:szCs w:val="24"/>
          <w:lang w:eastAsia="en-GB"/>
        </w:rPr>
        <w:t>. This may be due to under-resourcing, lack of trained counsellors, or insufficient integration of emotional regulation strategies into the guidance curriculum.</w:t>
      </w:r>
    </w:p>
    <w:p w14:paraId="1E1BC603" w14:textId="77777777" w:rsidR="00497876" w:rsidRPr="00773249" w:rsidRDefault="00497876" w:rsidP="001D6167">
      <w:pPr>
        <w:rPr>
          <w:rFonts w:eastAsia="Times New Roman" w:cs="Times New Roman"/>
          <w:b/>
          <w:bCs/>
          <w:szCs w:val="24"/>
          <w:lang w:val="en-US"/>
        </w:rPr>
      </w:pPr>
      <w:r w:rsidRPr="00773249">
        <w:rPr>
          <w:rFonts w:eastAsia="Times New Roman" w:cs="Times New Roman"/>
          <w:szCs w:val="24"/>
          <w:lang w:val="en-US"/>
        </w:rPr>
        <w:t>To complement the quantitative findings, qualitative data from interviews with H.</w:t>
      </w:r>
      <w:proofErr w:type="gramStart"/>
      <w:r w:rsidRPr="00773249">
        <w:rPr>
          <w:rFonts w:eastAsia="Times New Roman" w:cs="Times New Roman"/>
          <w:szCs w:val="24"/>
          <w:lang w:val="en-US"/>
        </w:rPr>
        <w:t>O.Ds</w:t>
      </w:r>
      <w:proofErr w:type="gramEnd"/>
      <w:r w:rsidRPr="00773249">
        <w:rPr>
          <w:rFonts w:eastAsia="Times New Roman" w:cs="Times New Roman"/>
          <w:szCs w:val="24"/>
          <w:lang w:val="en-US"/>
        </w:rPr>
        <w:t xml:space="preserve"> guidance and counselling provided corroborative insights. Many H.</w:t>
      </w:r>
      <w:proofErr w:type="gramStart"/>
      <w:r w:rsidRPr="00773249">
        <w:rPr>
          <w:rFonts w:eastAsia="Times New Roman" w:cs="Times New Roman"/>
          <w:szCs w:val="24"/>
          <w:lang w:val="en-US"/>
        </w:rPr>
        <w:t>O.Ds</w:t>
      </w:r>
      <w:proofErr w:type="gramEnd"/>
      <w:r w:rsidRPr="00773249">
        <w:rPr>
          <w:rFonts w:eastAsia="Times New Roman" w:cs="Times New Roman"/>
          <w:szCs w:val="24"/>
          <w:lang w:val="en-US"/>
        </w:rPr>
        <w:t xml:space="preserve"> guidance and counselling highlighted the challenge of inadequate staffing and limited professional training, which hinder the effectiveness of the programmes. One head counselor remarked:</w:t>
      </w:r>
    </w:p>
    <w:p w14:paraId="2A8818FD" w14:textId="77777777" w:rsidR="00497876" w:rsidRPr="00773249" w:rsidRDefault="00497876" w:rsidP="001D6167">
      <w:pPr>
        <w:rPr>
          <w:rFonts w:eastAsia="Times New Roman" w:cs="Times New Roman"/>
          <w:szCs w:val="24"/>
          <w:lang w:val="en-US"/>
        </w:rPr>
      </w:pPr>
      <w:r w:rsidRPr="00773249">
        <w:rPr>
          <w:rFonts w:eastAsia="Times New Roman" w:cs="Times New Roman"/>
          <w:i/>
          <w:iCs/>
          <w:szCs w:val="24"/>
          <w:lang w:val="en-US"/>
        </w:rPr>
        <w:t>“Most schools don’t have a full-time professional counsellor. The responsibility often falls on teachers who have other teaching duties and limited training in emotional guidance.”</w:t>
      </w:r>
      <w:r w:rsidRPr="00773249">
        <w:rPr>
          <w:rFonts w:eastAsia="Times New Roman" w:cs="Times New Roman"/>
          <w:szCs w:val="24"/>
          <w:lang w:val="en-US"/>
        </w:rPr>
        <w:t xml:space="preserve"> (Kerubo, O.I. 2025).</w:t>
      </w:r>
    </w:p>
    <w:p w14:paraId="49452745" w14:textId="77777777"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This supports the relatively low mean ratings (2.05 by teachers) regarding the ability of students to internalize messages like “problems don’t last forever,” pointing to a lack of expert led, consistent intervention.</w:t>
      </w:r>
    </w:p>
    <w:p w14:paraId="7D006664" w14:textId="77777777"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The absence of private, well equipped counselling spaces was also cited as a barrier. A counselor noted:</w:t>
      </w:r>
    </w:p>
    <w:p w14:paraId="136512DA" w14:textId="77777777" w:rsidR="00497876" w:rsidRPr="00773249" w:rsidRDefault="00497876" w:rsidP="001D6167">
      <w:pPr>
        <w:rPr>
          <w:rFonts w:eastAsia="Times New Roman" w:cs="Times New Roman"/>
          <w:szCs w:val="24"/>
          <w:lang w:val="en-US"/>
        </w:rPr>
      </w:pPr>
      <w:r w:rsidRPr="00773249">
        <w:rPr>
          <w:rFonts w:eastAsia="Times New Roman" w:cs="Times New Roman"/>
          <w:i/>
          <w:iCs/>
          <w:szCs w:val="24"/>
          <w:lang w:val="en-US"/>
        </w:rPr>
        <w:t>“We sometimes lack a private room for sessions, so students don’t feel safe or free to open up. That makes it hard to engage deeply with emotional issues.”</w:t>
      </w:r>
      <w:r w:rsidRPr="00773249">
        <w:rPr>
          <w:rFonts w:eastAsia="Times New Roman" w:cs="Times New Roman"/>
          <w:szCs w:val="24"/>
          <w:lang w:val="en-US"/>
        </w:rPr>
        <w:t xml:space="preserve"> (Muigai, O.I. 2025).</w:t>
      </w:r>
    </w:p>
    <w:p w14:paraId="7CF5E342" w14:textId="77777777"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This lack of appropriate infrastructure may explain why some students benefit only marginally, as reflected in mean scores like 2.39 for “accepting difficult feelings” and 2.40 for “reminding oneself that problems are temporary.”</w:t>
      </w:r>
    </w:p>
    <w:p w14:paraId="001C4A8D" w14:textId="77777777"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Several H.</w:t>
      </w:r>
      <w:proofErr w:type="gramStart"/>
      <w:r w:rsidRPr="00773249">
        <w:rPr>
          <w:rFonts w:eastAsia="Times New Roman" w:cs="Times New Roman"/>
          <w:szCs w:val="24"/>
          <w:lang w:val="en-US"/>
        </w:rPr>
        <w:t>O.Ds</w:t>
      </w:r>
      <w:proofErr w:type="gramEnd"/>
      <w:r w:rsidRPr="00773249">
        <w:rPr>
          <w:rFonts w:eastAsia="Times New Roman" w:cs="Times New Roman"/>
          <w:szCs w:val="24"/>
          <w:lang w:val="en-US"/>
        </w:rPr>
        <w:t xml:space="preserve"> guidance and counselling expressed concerns about students not actively seeking guidance and counselling services. As one observed:</w:t>
      </w:r>
    </w:p>
    <w:p w14:paraId="5864A22B" w14:textId="77777777" w:rsidR="00497876" w:rsidRPr="00773249" w:rsidRDefault="00497876" w:rsidP="001D6167">
      <w:pPr>
        <w:rPr>
          <w:rFonts w:eastAsia="Times New Roman" w:cs="Times New Roman"/>
          <w:szCs w:val="24"/>
          <w:lang w:val="en-US"/>
        </w:rPr>
      </w:pPr>
      <w:r w:rsidRPr="00773249">
        <w:rPr>
          <w:rFonts w:eastAsia="Times New Roman" w:cs="Times New Roman"/>
          <w:i/>
          <w:iCs/>
          <w:szCs w:val="24"/>
          <w:lang w:val="en-US"/>
        </w:rPr>
        <w:t xml:space="preserve">“Students often perceive counselling as something for those with serious problems. They shy away unless they are referred by a teacher, and even then, they may be reluctant.” </w:t>
      </w:r>
      <w:r w:rsidRPr="00773249">
        <w:rPr>
          <w:rFonts w:eastAsia="Times New Roman" w:cs="Times New Roman"/>
          <w:szCs w:val="24"/>
          <w:lang w:val="en-US"/>
        </w:rPr>
        <w:t>(Njuguna, O. I. 2025).</w:t>
      </w:r>
    </w:p>
    <w:p w14:paraId="5EF9DEC2" w14:textId="77777777"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This sentiment supports the idea that while guidance and counselling programmes are present, their utilization and reach are limited, thereby affecting their impact on emotional regulation development.</w:t>
      </w:r>
    </w:p>
    <w:p w14:paraId="32E3B4B5" w14:textId="77777777"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H.</w:t>
      </w:r>
      <w:proofErr w:type="gramStart"/>
      <w:r w:rsidRPr="00773249">
        <w:rPr>
          <w:rFonts w:eastAsia="Times New Roman" w:cs="Times New Roman"/>
          <w:szCs w:val="24"/>
          <w:lang w:val="en-US"/>
        </w:rPr>
        <w:t>O.Ds</w:t>
      </w:r>
      <w:proofErr w:type="gramEnd"/>
      <w:r w:rsidRPr="00773249">
        <w:rPr>
          <w:rFonts w:eastAsia="Times New Roman" w:cs="Times New Roman"/>
          <w:szCs w:val="24"/>
          <w:lang w:val="en-US"/>
        </w:rPr>
        <w:t xml:space="preserve"> also noted that the formal guidance curriculum tends to focus more on academic or behavioral issues than on emotional growth. One explained:</w:t>
      </w:r>
    </w:p>
    <w:p w14:paraId="649863BC" w14:textId="77777777" w:rsidR="00497876" w:rsidRPr="00773249" w:rsidRDefault="00497876" w:rsidP="001D6167">
      <w:pPr>
        <w:rPr>
          <w:rFonts w:eastAsia="Times New Roman" w:cs="Times New Roman"/>
          <w:szCs w:val="24"/>
          <w:lang w:val="en-US"/>
        </w:rPr>
      </w:pPr>
      <w:r w:rsidRPr="00773249">
        <w:rPr>
          <w:rFonts w:eastAsia="Times New Roman" w:cs="Times New Roman"/>
          <w:i/>
          <w:iCs/>
          <w:szCs w:val="24"/>
          <w:lang w:val="en-US"/>
        </w:rPr>
        <w:t xml:space="preserve">“There’s a lot of emphasis on academic guidance, discipline, and career choices, but less on emotional coping strategies. We need more structured content on how to deal with stress, sadness, or anxiety.” </w:t>
      </w:r>
      <w:r w:rsidRPr="00773249">
        <w:rPr>
          <w:rFonts w:eastAsia="Times New Roman" w:cs="Times New Roman"/>
          <w:szCs w:val="24"/>
          <w:lang w:val="en-US"/>
        </w:rPr>
        <w:t>(Ouma, O.I. 2025).</w:t>
      </w:r>
    </w:p>
    <w:p w14:paraId="28FF8033" w14:textId="31F288FE"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This concern aligns with both students’ and teachers’ low mean scores, particularly in areas like finding positive meaning in adversity (students: 2.36; teachers: 2.15</w:t>
      </w:r>
      <w:r w:rsidR="00805CF2" w:rsidRPr="00773249">
        <w:rPr>
          <w:rFonts w:eastAsia="Times New Roman" w:cs="Times New Roman"/>
          <w:szCs w:val="24"/>
          <w:lang w:val="en-US"/>
        </w:rPr>
        <w:t>). Despite</w:t>
      </w:r>
      <w:r w:rsidRPr="00773249">
        <w:rPr>
          <w:rFonts w:eastAsia="Times New Roman" w:cs="Times New Roman"/>
          <w:szCs w:val="24"/>
          <w:lang w:val="en-US"/>
        </w:rPr>
        <w:t xml:space="preserve"> the challenges, a few H.</w:t>
      </w:r>
      <w:r w:rsidR="00805CF2" w:rsidRPr="00773249">
        <w:rPr>
          <w:rFonts w:eastAsia="Times New Roman" w:cs="Times New Roman"/>
          <w:szCs w:val="24"/>
          <w:lang w:val="en-US"/>
        </w:rPr>
        <w:t>O. Ds</w:t>
      </w:r>
      <w:r w:rsidRPr="00773249">
        <w:rPr>
          <w:rFonts w:eastAsia="Times New Roman" w:cs="Times New Roman"/>
          <w:szCs w:val="24"/>
          <w:lang w:val="en-US"/>
        </w:rPr>
        <w:t xml:space="preserve"> guidance and counselling reported notable improvements in students’ emotional regulation where counselling services were more structured and supported. One shared:</w:t>
      </w:r>
    </w:p>
    <w:p w14:paraId="6CE5DC32" w14:textId="77777777" w:rsidR="00497876" w:rsidRPr="00773249" w:rsidRDefault="00497876" w:rsidP="001D6167">
      <w:pPr>
        <w:rPr>
          <w:rFonts w:eastAsia="Times New Roman" w:cs="Times New Roman"/>
          <w:szCs w:val="24"/>
          <w:lang w:val="en-US"/>
        </w:rPr>
      </w:pPr>
      <w:r w:rsidRPr="00773249">
        <w:rPr>
          <w:rFonts w:eastAsia="Times New Roman" w:cs="Times New Roman"/>
          <w:i/>
          <w:iCs/>
          <w:szCs w:val="24"/>
          <w:lang w:val="en-US"/>
        </w:rPr>
        <w:lastRenderedPageBreak/>
        <w:t>“In our school, we have weekly peer counselling sessions and access to a trained counselor. We've seen a gradual improvement in how students talk about their feelings and manage frustration.”</w:t>
      </w:r>
      <w:r w:rsidRPr="00773249">
        <w:rPr>
          <w:rFonts w:eastAsia="Times New Roman" w:cs="Times New Roman"/>
          <w:szCs w:val="24"/>
          <w:lang w:val="en-US"/>
        </w:rPr>
        <w:t xml:space="preserve"> (Mumbua, O.I. 2025).</w:t>
      </w:r>
    </w:p>
    <w:p w14:paraId="493D68CB" w14:textId="77777777" w:rsidR="00497876" w:rsidRPr="00773249" w:rsidRDefault="00497876" w:rsidP="001D6167">
      <w:pPr>
        <w:rPr>
          <w:rFonts w:eastAsia="Times New Roman" w:cs="Times New Roman"/>
          <w:szCs w:val="24"/>
          <w:lang w:val="en-US"/>
        </w:rPr>
      </w:pPr>
      <w:r w:rsidRPr="00773249">
        <w:rPr>
          <w:rFonts w:eastAsia="Times New Roman" w:cs="Times New Roman"/>
          <w:szCs w:val="24"/>
          <w:lang w:val="en-US"/>
        </w:rPr>
        <w:t>Such experiences point to the potential of guidance and counselling programmes to foster emotional regulation if delivered effectively.</w:t>
      </w:r>
    </w:p>
    <w:p w14:paraId="54F586B7" w14:textId="77777777" w:rsidR="00497876" w:rsidRPr="00773249" w:rsidRDefault="00497876" w:rsidP="001D6167">
      <w:pPr>
        <w:rPr>
          <w:rFonts w:eastAsia="Times New Roman" w:cs="Times New Roman"/>
          <w:szCs w:val="24"/>
          <w:lang w:eastAsia="en-GB"/>
        </w:rPr>
      </w:pPr>
      <w:r w:rsidRPr="00773249">
        <w:rPr>
          <w:rFonts w:eastAsia="Times New Roman" w:cs="Times New Roman"/>
          <w:szCs w:val="24"/>
          <w:lang w:eastAsia="en-GB"/>
        </w:rPr>
        <w:t>To determine the influence of school guidance and counselling programs on students’ emotional regulation among students, one-way ANOVA was conducted. Results obtained are presented in Table 1</w:t>
      </w:r>
      <w:r w:rsidR="000711EF" w:rsidRPr="00773249">
        <w:rPr>
          <w:rFonts w:eastAsia="Times New Roman" w:cs="Times New Roman"/>
          <w:szCs w:val="24"/>
          <w:lang w:eastAsia="en-GB"/>
        </w:rPr>
        <w:t>0</w:t>
      </w:r>
      <w:r w:rsidRPr="00773249">
        <w:rPr>
          <w:rFonts w:eastAsia="Times New Roman" w:cs="Times New Roman"/>
          <w:szCs w:val="24"/>
          <w:lang w:eastAsia="en-GB"/>
        </w:rPr>
        <w:t>.</w:t>
      </w:r>
    </w:p>
    <w:p w14:paraId="676AED18" w14:textId="76645B37" w:rsidR="00497876" w:rsidRPr="00773249" w:rsidRDefault="00497876" w:rsidP="001D6167">
      <w:pPr>
        <w:pStyle w:val="Caption"/>
        <w:keepNext/>
        <w:spacing w:after="240" w:line="240" w:lineRule="auto"/>
        <w:rPr>
          <w:b w:val="0"/>
          <w:color w:val="auto"/>
          <w:szCs w:val="24"/>
        </w:rPr>
      </w:pPr>
      <w:bookmarkStart w:id="22" w:name="_Toc205894586"/>
      <w:r w:rsidRPr="00773249">
        <w:rPr>
          <w:b w:val="0"/>
          <w:color w:val="auto"/>
          <w:szCs w:val="24"/>
        </w:rPr>
        <w:t xml:space="preserve">Table </w:t>
      </w:r>
      <w:r w:rsidR="00C2043F" w:rsidRPr="00773249">
        <w:rPr>
          <w:b w:val="0"/>
          <w:color w:val="auto"/>
          <w:szCs w:val="24"/>
        </w:rPr>
        <w:t>10</w:t>
      </w:r>
      <w:r w:rsidRPr="00773249">
        <w:rPr>
          <w:b w:val="0"/>
          <w:color w:val="auto"/>
          <w:szCs w:val="24"/>
        </w:rPr>
        <w:t>: ANOVA Results Comparing Students' and Teachers' Perceptions of Guidance and Counselling Programs' Influence on Emotional Regulation</w:t>
      </w:r>
      <w:bookmarkEnd w:id="22"/>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1672"/>
        <w:gridCol w:w="1100"/>
        <w:gridCol w:w="1444"/>
        <w:gridCol w:w="1213"/>
        <w:gridCol w:w="1786"/>
      </w:tblGrid>
      <w:tr w:rsidR="00497876" w:rsidRPr="00773249" w14:paraId="6730136F" w14:textId="77777777" w:rsidTr="00BC1479">
        <w:trPr>
          <w:trHeight w:val="124"/>
        </w:trPr>
        <w:tc>
          <w:tcPr>
            <w:tcW w:w="1627" w:type="pct"/>
            <w:tcBorders>
              <w:top w:val="single" w:sz="4" w:space="0" w:color="auto"/>
              <w:bottom w:val="single" w:sz="4" w:space="0" w:color="auto"/>
            </w:tcBorders>
            <w:hideMark/>
          </w:tcPr>
          <w:p w14:paraId="0C16A7BC" w14:textId="77777777" w:rsidR="00497876" w:rsidRPr="00773249" w:rsidRDefault="00497876" w:rsidP="00A56343">
            <w:pPr>
              <w:spacing w:before="0" w:after="0"/>
              <w:rPr>
                <w:rFonts w:eastAsia="Times New Roman"/>
                <w:bCs/>
                <w:sz w:val="24"/>
                <w:szCs w:val="24"/>
                <w:lang w:eastAsia="en-GB"/>
              </w:rPr>
            </w:pPr>
            <w:r w:rsidRPr="00773249">
              <w:rPr>
                <w:rFonts w:eastAsia="Times New Roman"/>
                <w:bCs/>
                <w:sz w:val="24"/>
                <w:szCs w:val="24"/>
                <w:lang w:eastAsia="en-GB"/>
              </w:rPr>
              <w:t>Source</w:t>
            </w:r>
          </w:p>
        </w:tc>
        <w:tc>
          <w:tcPr>
            <w:tcW w:w="781" w:type="pct"/>
            <w:tcBorders>
              <w:top w:val="single" w:sz="4" w:space="0" w:color="auto"/>
              <w:bottom w:val="single" w:sz="4" w:space="0" w:color="auto"/>
            </w:tcBorders>
            <w:hideMark/>
          </w:tcPr>
          <w:p w14:paraId="5C2D8DFE" w14:textId="77777777" w:rsidR="00497876" w:rsidRPr="00773249" w:rsidRDefault="00497876" w:rsidP="00A56343">
            <w:pPr>
              <w:spacing w:before="0" w:after="0"/>
              <w:jc w:val="center"/>
              <w:rPr>
                <w:rFonts w:eastAsia="Times New Roman"/>
                <w:bCs/>
                <w:sz w:val="24"/>
                <w:szCs w:val="24"/>
                <w:lang w:eastAsia="en-GB"/>
              </w:rPr>
            </w:pPr>
            <w:r w:rsidRPr="00773249">
              <w:rPr>
                <w:rFonts w:eastAsia="Times New Roman"/>
                <w:bCs/>
                <w:sz w:val="24"/>
                <w:szCs w:val="24"/>
                <w:lang w:eastAsia="en-GB"/>
              </w:rPr>
              <w:t>SS</w:t>
            </w:r>
          </w:p>
        </w:tc>
        <w:tc>
          <w:tcPr>
            <w:tcW w:w="514" w:type="pct"/>
            <w:tcBorders>
              <w:top w:val="single" w:sz="4" w:space="0" w:color="auto"/>
              <w:bottom w:val="single" w:sz="4" w:space="0" w:color="auto"/>
            </w:tcBorders>
            <w:hideMark/>
          </w:tcPr>
          <w:p w14:paraId="5AAD3A0A" w14:textId="60F0E427" w:rsidR="00497876" w:rsidRPr="00773249" w:rsidRDefault="00805CF2" w:rsidP="00A56343">
            <w:pPr>
              <w:spacing w:before="0" w:after="0"/>
              <w:jc w:val="center"/>
              <w:rPr>
                <w:rFonts w:eastAsia="Times New Roman"/>
                <w:bCs/>
                <w:sz w:val="24"/>
                <w:szCs w:val="24"/>
                <w:lang w:eastAsia="en-GB"/>
              </w:rPr>
            </w:pPr>
            <w:proofErr w:type="spellStart"/>
            <w:r w:rsidRPr="00773249">
              <w:rPr>
                <w:rFonts w:eastAsia="Times New Roman"/>
                <w:bCs/>
                <w:sz w:val="24"/>
                <w:szCs w:val="24"/>
                <w:lang w:eastAsia="en-GB"/>
              </w:rPr>
              <w:t>D</w:t>
            </w:r>
            <w:r w:rsidR="00497876" w:rsidRPr="00773249">
              <w:rPr>
                <w:rFonts w:eastAsia="Times New Roman"/>
                <w:bCs/>
                <w:sz w:val="24"/>
                <w:szCs w:val="24"/>
                <w:lang w:eastAsia="en-GB"/>
              </w:rPr>
              <w:t>f</w:t>
            </w:r>
            <w:proofErr w:type="spellEnd"/>
          </w:p>
        </w:tc>
        <w:tc>
          <w:tcPr>
            <w:tcW w:w="675" w:type="pct"/>
            <w:tcBorders>
              <w:top w:val="single" w:sz="4" w:space="0" w:color="auto"/>
              <w:bottom w:val="single" w:sz="4" w:space="0" w:color="auto"/>
            </w:tcBorders>
            <w:hideMark/>
          </w:tcPr>
          <w:p w14:paraId="429879A2" w14:textId="77777777" w:rsidR="00497876" w:rsidRPr="00773249" w:rsidRDefault="00497876" w:rsidP="00A56343">
            <w:pPr>
              <w:spacing w:before="0" w:after="0"/>
              <w:jc w:val="center"/>
              <w:rPr>
                <w:rFonts w:eastAsia="Times New Roman"/>
                <w:bCs/>
                <w:sz w:val="24"/>
                <w:szCs w:val="24"/>
                <w:lang w:eastAsia="en-GB"/>
              </w:rPr>
            </w:pPr>
            <w:r w:rsidRPr="00773249">
              <w:rPr>
                <w:rFonts w:eastAsia="Times New Roman"/>
                <w:bCs/>
                <w:sz w:val="24"/>
                <w:szCs w:val="24"/>
                <w:lang w:eastAsia="en-GB"/>
              </w:rPr>
              <w:t>MS</w:t>
            </w:r>
          </w:p>
        </w:tc>
        <w:tc>
          <w:tcPr>
            <w:tcW w:w="567" w:type="pct"/>
            <w:tcBorders>
              <w:top w:val="single" w:sz="4" w:space="0" w:color="auto"/>
              <w:bottom w:val="single" w:sz="4" w:space="0" w:color="auto"/>
            </w:tcBorders>
            <w:hideMark/>
          </w:tcPr>
          <w:p w14:paraId="6E7F1A2F" w14:textId="77777777" w:rsidR="00497876" w:rsidRPr="00773249" w:rsidRDefault="00497876" w:rsidP="00A56343">
            <w:pPr>
              <w:spacing w:before="0" w:after="0"/>
              <w:jc w:val="center"/>
              <w:rPr>
                <w:rFonts w:eastAsia="Times New Roman"/>
                <w:bCs/>
                <w:sz w:val="24"/>
                <w:szCs w:val="24"/>
                <w:lang w:eastAsia="en-GB"/>
              </w:rPr>
            </w:pPr>
            <w:r w:rsidRPr="00773249">
              <w:rPr>
                <w:rFonts w:eastAsia="Times New Roman"/>
                <w:bCs/>
                <w:sz w:val="24"/>
                <w:szCs w:val="24"/>
                <w:lang w:eastAsia="en-GB"/>
              </w:rPr>
              <w:t>F</w:t>
            </w:r>
          </w:p>
        </w:tc>
        <w:tc>
          <w:tcPr>
            <w:tcW w:w="835" w:type="pct"/>
            <w:tcBorders>
              <w:top w:val="single" w:sz="4" w:space="0" w:color="auto"/>
              <w:bottom w:val="single" w:sz="4" w:space="0" w:color="auto"/>
            </w:tcBorders>
            <w:hideMark/>
          </w:tcPr>
          <w:p w14:paraId="1D1C7137" w14:textId="77777777" w:rsidR="00497876" w:rsidRPr="00773249" w:rsidRDefault="00497876" w:rsidP="00A56343">
            <w:pPr>
              <w:spacing w:before="0" w:after="0"/>
              <w:jc w:val="center"/>
              <w:rPr>
                <w:rFonts w:eastAsia="Times New Roman"/>
                <w:bCs/>
                <w:sz w:val="24"/>
                <w:szCs w:val="24"/>
                <w:lang w:eastAsia="en-GB"/>
              </w:rPr>
            </w:pPr>
            <w:r w:rsidRPr="00773249">
              <w:rPr>
                <w:rFonts w:eastAsia="Times New Roman"/>
                <w:bCs/>
                <w:sz w:val="24"/>
                <w:szCs w:val="24"/>
                <w:lang w:eastAsia="en-GB"/>
              </w:rPr>
              <w:t>p-value</w:t>
            </w:r>
          </w:p>
        </w:tc>
      </w:tr>
      <w:tr w:rsidR="00497876" w:rsidRPr="00773249" w14:paraId="31110A4A" w14:textId="77777777" w:rsidTr="00BC1479">
        <w:trPr>
          <w:trHeight w:val="236"/>
        </w:trPr>
        <w:tc>
          <w:tcPr>
            <w:tcW w:w="1627" w:type="pct"/>
            <w:tcBorders>
              <w:top w:val="single" w:sz="4" w:space="0" w:color="auto"/>
            </w:tcBorders>
            <w:hideMark/>
          </w:tcPr>
          <w:p w14:paraId="3A667BF7" w14:textId="77777777" w:rsidR="00497876" w:rsidRPr="00773249" w:rsidRDefault="00497876" w:rsidP="00A56343">
            <w:pPr>
              <w:spacing w:before="0" w:after="0"/>
              <w:rPr>
                <w:rFonts w:eastAsia="Times New Roman"/>
                <w:sz w:val="24"/>
                <w:szCs w:val="24"/>
                <w:lang w:eastAsia="en-GB"/>
              </w:rPr>
            </w:pPr>
            <w:r w:rsidRPr="00773249">
              <w:rPr>
                <w:rFonts w:eastAsia="Times New Roman"/>
                <w:sz w:val="24"/>
                <w:szCs w:val="24"/>
                <w:lang w:eastAsia="en-GB"/>
              </w:rPr>
              <w:t>Between Groups</w:t>
            </w:r>
          </w:p>
        </w:tc>
        <w:tc>
          <w:tcPr>
            <w:tcW w:w="781" w:type="pct"/>
            <w:tcBorders>
              <w:top w:val="single" w:sz="4" w:space="0" w:color="auto"/>
            </w:tcBorders>
            <w:hideMark/>
          </w:tcPr>
          <w:p w14:paraId="08AE8920"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0.323</w:t>
            </w:r>
          </w:p>
        </w:tc>
        <w:tc>
          <w:tcPr>
            <w:tcW w:w="514" w:type="pct"/>
            <w:tcBorders>
              <w:top w:val="single" w:sz="4" w:space="0" w:color="auto"/>
            </w:tcBorders>
            <w:hideMark/>
          </w:tcPr>
          <w:p w14:paraId="2ACF54A9"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1</w:t>
            </w:r>
          </w:p>
        </w:tc>
        <w:tc>
          <w:tcPr>
            <w:tcW w:w="675" w:type="pct"/>
            <w:tcBorders>
              <w:top w:val="single" w:sz="4" w:space="0" w:color="auto"/>
            </w:tcBorders>
            <w:hideMark/>
          </w:tcPr>
          <w:p w14:paraId="6EEFAE89"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0.323</w:t>
            </w:r>
          </w:p>
        </w:tc>
        <w:tc>
          <w:tcPr>
            <w:tcW w:w="567" w:type="pct"/>
            <w:tcBorders>
              <w:top w:val="single" w:sz="4" w:space="0" w:color="auto"/>
            </w:tcBorders>
            <w:hideMark/>
          </w:tcPr>
          <w:p w14:paraId="7C07A11F"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1.50</w:t>
            </w:r>
          </w:p>
        </w:tc>
        <w:tc>
          <w:tcPr>
            <w:tcW w:w="835" w:type="pct"/>
            <w:tcBorders>
              <w:top w:val="single" w:sz="4" w:space="0" w:color="auto"/>
            </w:tcBorders>
            <w:hideMark/>
          </w:tcPr>
          <w:p w14:paraId="4BBD1D12"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0.221</w:t>
            </w:r>
          </w:p>
        </w:tc>
      </w:tr>
      <w:tr w:rsidR="00497876" w:rsidRPr="00773249" w14:paraId="0100BC1E" w14:textId="77777777" w:rsidTr="00BC1479">
        <w:trPr>
          <w:trHeight w:val="224"/>
        </w:trPr>
        <w:tc>
          <w:tcPr>
            <w:tcW w:w="1627" w:type="pct"/>
            <w:hideMark/>
          </w:tcPr>
          <w:p w14:paraId="75C48F0C" w14:textId="77777777" w:rsidR="00497876" w:rsidRPr="00773249" w:rsidRDefault="00497876" w:rsidP="00A56343">
            <w:pPr>
              <w:spacing w:before="0" w:after="0"/>
              <w:rPr>
                <w:rFonts w:eastAsia="Times New Roman"/>
                <w:sz w:val="24"/>
                <w:szCs w:val="24"/>
                <w:lang w:eastAsia="en-GB"/>
              </w:rPr>
            </w:pPr>
            <w:r w:rsidRPr="00773249">
              <w:rPr>
                <w:rFonts w:eastAsia="Times New Roman"/>
                <w:sz w:val="24"/>
                <w:szCs w:val="24"/>
                <w:lang w:eastAsia="en-GB"/>
              </w:rPr>
              <w:t>Within Groups</w:t>
            </w:r>
          </w:p>
        </w:tc>
        <w:tc>
          <w:tcPr>
            <w:tcW w:w="781" w:type="pct"/>
            <w:hideMark/>
          </w:tcPr>
          <w:p w14:paraId="10B0BB38"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78.50</w:t>
            </w:r>
          </w:p>
        </w:tc>
        <w:tc>
          <w:tcPr>
            <w:tcW w:w="514" w:type="pct"/>
            <w:hideMark/>
          </w:tcPr>
          <w:p w14:paraId="670B108F"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368</w:t>
            </w:r>
          </w:p>
        </w:tc>
        <w:tc>
          <w:tcPr>
            <w:tcW w:w="675" w:type="pct"/>
            <w:hideMark/>
          </w:tcPr>
          <w:p w14:paraId="2E872726"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0.213</w:t>
            </w:r>
          </w:p>
        </w:tc>
        <w:tc>
          <w:tcPr>
            <w:tcW w:w="567" w:type="pct"/>
            <w:hideMark/>
          </w:tcPr>
          <w:p w14:paraId="11F5B78C" w14:textId="77777777" w:rsidR="00497876" w:rsidRPr="00773249" w:rsidRDefault="00497876" w:rsidP="00A56343">
            <w:pPr>
              <w:spacing w:before="0" w:after="0"/>
              <w:jc w:val="center"/>
              <w:rPr>
                <w:rFonts w:eastAsia="Times New Roman"/>
                <w:sz w:val="24"/>
                <w:szCs w:val="24"/>
                <w:lang w:eastAsia="en-GB"/>
              </w:rPr>
            </w:pPr>
          </w:p>
        </w:tc>
        <w:tc>
          <w:tcPr>
            <w:tcW w:w="835" w:type="pct"/>
            <w:hideMark/>
          </w:tcPr>
          <w:p w14:paraId="1A8F2810" w14:textId="77777777" w:rsidR="00497876" w:rsidRPr="00773249" w:rsidRDefault="00497876" w:rsidP="00A56343">
            <w:pPr>
              <w:spacing w:before="0" w:after="0"/>
              <w:jc w:val="center"/>
              <w:rPr>
                <w:rFonts w:eastAsia="Times New Roman"/>
                <w:sz w:val="24"/>
                <w:szCs w:val="24"/>
                <w:lang w:eastAsia="en-GB"/>
              </w:rPr>
            </w:pPr>
          </w:p>
        </w:tc>
      </w:tr>
      <w:tr w:rsidR="00497876" w:rsidRPr="00773249" w14:paraId="48436908" w14:textId="77777777" w:rsidTr="00BC1479">
        <w:trPr>
          <w:trHeight w:val="236"/>
        </w:trPr>
        <w:tc>
          <w:tcPr>
            <w:tcW w:w="1627" w:type="pct"/>
            <w:hideMark/>
          </w:tcPr>
          <w:p w14:paraId="143D7742" w14:textId="77777777" w:rsidR="00497876" w:rsidRPr="00773249" w:rsidRDefault="00497876" w:rsidP="00A56343">
            <w:pPr>
              <w:spacing w:before="0" w:after="0"/>
              <w:rPr>
                <w:rFonts w:eastAsia="Times New Roman"/>
                <w:sz w:val="24"/>
                <w:szCs w:val="24"/>
                <w:lang w:eastAsia="en-GB"/>
              </w:rPr>
            </w:pPr>
            <w:r w:rsidRPr="00773249">
              <w:rPr>
                <w:rFonts w:eastAsia="Times New Roman"/>
                <w:sz w:val="24"/>
                <w:szCs w:val="24"/>
                <w:lang w:eastAsia="en-GB"/>
              </w:rPr>
              <w:t>Total</w:t>
            </w:r>
          </w:p>
        </w:tc>
        <w:tc>
          <w:tcPr>
            <w:tcW w:w="781" w:type="pct"/>
            <w:hideMark/>
          </w:tcPr>
          <w:p w14:paraId="1514E6D6"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78.823</w:t>
            </w:r>
          </w:p>
        </w:tc>
        <w:tc>
          <w:tcPr>
            <w:tcW w:w="514" w:type="pct"/>
            <w:hideMark/>
          </w:tcPr>
          <w:p w14:paraId="5DE86623" w14:textId="77777777" w:rsidR="00497876" w:rsidRPr="00773249" w:rsidRDefault="00497876" w:rsidP="00A56343">
            <w:pPr>
              <w:spacing w:before="0" w:after="0"/>
              <w:jc w:val="center"/>
              <w:rPr>
                <w:rFonts w:eastAsia="Times New Roman"/>
                <w:sz w:val="24"/>
                <w:szCs w:val="24"/>
                <w:lang w:eastAsia="en-GB"/>
              </w:rPr>
            </w:pPr>
            <w:r w:rsidRPr="00773249">
              <w:rPr>
                <w:rFonts w:eastAsia="Times New Roman"/>
                <w:sz w:val="24"/>
                <w:szCs w:val="24"/>
                <w:lang w:eastAsia="en-GB"/>
              </w:rPr>
              <w:t>369</w:t>
            </w:r>
          </w:p>
        </w:tc>
        <w:tc>
          <w:tcPr>
            <w:tcW w:w="675" w:type="pct"/>
            <w:hideMark/>
          </w:tcPr>
          <w:p w14:paraId="37A32C5D" w14:textId="77777777" w:rsidR="00497876" w:rsidRPr="00773249" w:rsidRDefault="00497876" w:rsidP="00A56343">
            <w:pPr>
              <w:spacing w:before="0" w:after="0"/>
              <w:jc w:val="center"/>
              <w:rPr>
                <w:rFonts w:eastAsia="Times New Roman"/>
                <w:sz w:val="24"/>
                <w:szCs w:val="24"/>
                <w:lang w:eastAsia="en-GB"/>
              </w:rPr>
            </w:pPr>
          </w:p>
        </w:tc>
        <w:tc>
          <w:tcPr>
            <w:tcW w:w="567" w:type="pct"/>
            <w:hideMark/>
          </w:tcPr>
          <w:p w14:paraId="09E9AD47" w14:textId="77777777" w:rsidR="00497876" w:rsidRPr="00773249" w:rsidRDefault="00497876" w:rsidP="00A56343">
            <w:pPr>
              <w:spacing w:before="0" w:after="0"/>
              <w:jc w:val="center"/>
              <w:rPr>
                <w:rFonts w:eastAsia="Times New Roman"/>
                <w:sz w:val="24"/>
                <w:szCs w:val="24"/>
                <w:lang w:eastAsia="en-GB"/>
              </w:rPr>
            </w:pPr>
          </w:p>
        </w:tc>
        <w:tc>
          <w:tcPr>
            <w:tcW w:w="835" w:type="pct"/>
            <w:hideMark/>
          </w:tcPr>
          <w:p w14:paraId="64A926D3" w14:textId="77777777" w:rsidR="00497876" w:rsidRPr="00773249" w:rsidRDefault="00497876" w:rsidP="00A56343">
            <w:pPr>
              <w:spacing w:before="0" w:after="0"/>
              <w:jc w:val="center"/>
              <w:rPr>
                <w:rFonts w:eastAsia="Times New Roman"/>
                <w:sz w:val="24"/>
                <w:szCs w:val="24"/>
                <w:lang w:eastAsia="en-GB"/>
              </w:rPr>
            </w:pPr>
          </w:p>
        </w:tc>
      </w:tr>
    </w:tbl>
    <w:p w14:paraId="60809B66" w14:textId="23D7CCB6" w:rsidR="00497876" w:rsidRPr="00773249" w:rsidRDefault="00497876" w:rsidP="001D6167">
      <w:pPr>
        <w:rPr>
          <w:rFonts w:eastAsia="Times New Roman" w:cs="Times New Roman"/>
          <w:szCs w:val="24"/>
          <w:lang w:eastAsia="en-GB"/>
        </w:rPr>
      </w:pPr>
      <w:r w:rsidRPr="00773249">
        <w:rPr>
          <w:rFonts w:eastAsia="Times New Roman" w:cs="Times New Roman"/>
          <w:szCs w:val="24"/>
          <w:lang w:eastAsia="en-GB"/>
        </w:rPr>
        <w:t xml:space="preserve">The results of the ANOVA test comparing students' and teachers' perceptions of the influence of guidance and counselling programmes on Students emotional regulation revealed </w:t>
      </w:r>
      <w:r w:rsidRPr="00773249">
        <w:rPr>
          <w:rFonts w:eastAsia="Times New Roman" w:cs="Times New Roman"/>
          <w:bCs/>
          <w:szCs w:val="24"/>
          <w:lang w:eastAsia="en-GB"/>
        </w:rPr>
        <w:t>no statistically significant difference</w:t>
      </w:r>
      <w:r w:rsidRPr="00773249">
        <w:rPr>
          <w:rFonts w:eastAsia="Times New Roman" w:cs="Times New Roman"/>
          <w:szCs w:val="24"/>
          <w:lang w:eastAsia="en-GB"/>
        </w:rPr>
        <w:t xml:space="preserve"> between the two groups. The </w:t>
      </w:r>
      <w:r w:rsidRPr="00773249">
        <w:rPr>
          <w:rFonts w:eastAsia="Times New Roman" w:cs="Times New Roman"/>
          <w:bCs/>
          <w:szCs w:val="24"/>
          <w:lang w:eastAsia="en-GB"/>
        </w:rPr>
        <w:t>F-value was 1.50</w:t>
      </w:r>
      <w:r w:rsidRPr="00773249">
        <w:rPr>
          <w:rFonts w:eastAsia="Times New Roman" w:cs="Times New Roman"/>
          <w:szCs w:val="24"/>
          <w:lang w:eastAsia="en-GB"/>
        </w:rPr>
        <w:t xml:space="preserve"> with a </w:t>
      </w:r>
      <w:r w:rsidRPr="00773249">
        <w:rPr>
          <w:rFonts w:eastAsia="Times New Roman" w:cs="Times New Roman"/>
          <w:bCs/>
          <w:szCs w:val="24"/>
          <w:lang w:eastAsia="en-GB"/>
        </w:rPr>
        <w:t>p-value of 0.221</w:t>
      </w:r>
      <w:r w:rsidRPr="00773249">
        <w:rPr>
          <w:rFonts w:eastAsia="Times New Roman" w:cs="Times New Roman"/>
          <w:szCs w:val="24"/>
          <w:lang w:eastAsia="en-GB"/>
        </w:rPr>
        <w:t xml:space="preserve">, which is greater than the conventional alpha level of 0.05. This indicates that the observed differences in mean responses between students and teachers are </w:t>
      </w:r>
      <w:r w:rsidRPr="00773249">
        <w:rPr>
          <w:rFonts w:eastAsia="Times New Roman" w:cs="Times New Roman"/>
          <w:bCs/>
          <w:szCs w:val="24"/>
          <w:lang w:eastAsia="en-GB"/>
        </w:rPr>
        <w:t>not statistically significant</w:t>
      </w:r>
      <w:r w:rsidRPr="00773249">
        <w:rPr>
          <w:rFonts w:eastAsia="Times New Roman" w:cs="Times New Roman"/>
          <w:szCs w:val="24"/>
          <w:lang w:eastAsia="en-GB"/>
        </w:rPr>
        <w:t xml:space="preserve"> and could be due to chance. These findings suggest that </w:t>
      </w:r>
      <w:r w:rsidRPr="00773249">
        <w:rPr>
          <w:rFonts w:eastAsia="Times New Roman" w:cs="Times New Roman"/>
          <w:bCs/>
          <w:szCs w:val="24"/>
          <w:lang w:eastAsia="en-GB"/>
        </w:rPr>
        <w:t>students and teachers generally share similar views</w:t>
      </w:r>
      <w:r w:rsidRPr="00773249">
        <w:rPr>
          <w:rFonts w:eastAsia="Times New Roman" w:cs="Times New Roman"/>
          <w:szCs w:val="24"/>
          <w:lang w:eastAsia="en-GB"/>
        </w:rPr>
        <w:t xml:space="preserve"> on influence of guidance and counselling programmes on emotional regulation. While both groups may acknowledge some benefits of these </w:t>
      </w:r>
      <w:r w:rsidR="004E74A2" w:rsidRPr="00773249">
        <w:rPr>
          <w:rFonts w:eastAsia="Times New Roman" w:cs="Times New Roman"/>
          <w:szCs w:val="24"/>
          <w:lang w:eastAsia="en-GB"/>
        </w:rPr>
        <w:t>programmes</w:t>
      </w:r>
      <w:r w:rsidRPr="00773249">
        <w:rPr>
          <w:rFonts w:eastAsia="Times New Roman" w:cs="Times New Roman"/>
          <w:szCs w:val="24"/>
          <w:lang w:eastAsia="en-GB"/>
        </w:rPr>
        <w:t xml:space="preserve">, the lack of significant variation implies that improvements or challenges in programme implementation are </w:t>
      </w:r>
      <w:r w:rsidRPr="00773249">
        <w:rPr>
          <w:rFonts w:eastAsia="Times New Roman" w:cs="Times New Roman"/>
          <w:bCs/>
          <w:szCs w:val="24"/>
          <w:lang w:eastAsia="en-GB"/>
        </w:rPr>
        <w:t>consistently perceived</w:t>
      </w:r>
      <w:r w:rsidRPr="00773249">
        <w:rPr>
          <w:rFonts w:eastAsia="Times New Roman" w:cs="Times New Roman"/>
          <w:szCs w:val="24"/>
          <w:lang w:eastAsia="en-GB"/>
        </w:rPr>
        <w:t xml:space="preserve"> across stakeholder groups. </w:t>
      </w:r>
    </w:p>
    <w:p w14:paraId="7F0162AB" w14:textId="77777777" w:rsidR="00497876" w:rsidRPr="00773249" w:rsidRDefault="00497876" w:rsidP="001D6167">
      <w:pPr>
        <w:rPr>
          <w:rFonts w:eastAsia="Times New Roman" w:cs="Times New Roman"/>
          <w:szCs w:val="24"/>
          <w:lang w:eastAsia="en-GB"/>
        </w:rPr>
      </w:pPr>
      <w:r w:rsidRPr="00773249">
        <w:rPr>
          <w:rFonts w:eastAsia="Times New Roman" w:cs="Times New Roman"/>
          <w:szCs w:val="24"/>
          <w:lang w:eastAsia="en-GB"/>
        </w:rPr>
        <w:t xml:space="preserve">The findings resonate well with </w:t>
      </w:r>
      <w:proofErr w:type="spellStart"/>
      <w:r w:rsidRPr="00773249">
        <w:rPr>
          <w:rFonts w:eastAsia="Times New Roman" w:cs="Times New Roman"/>
          <w:szCs w:val="24"/>
          <w:lang w:eastAsia="en-GB"/>
        </w:rPr>
        <w:t>Kiptala</w:t>
      </w:r>
      <w:proofErr w:type="spellEnd"/>
      <w:r w:rsidRPr="00773249">
        <w:rPr>
          <w:rFonts w:eastAsia="Times New Roman" w:cs="Times New Roman"/>
          <w:szCs w:val="24"/>
          <w:lang w:eastAsia="en-GB"/>
        </w:rPr>
        <w:t xml:space="preserve"> and Kipruto (2021) findings from a study that investigated the perceptions of students on the influence of guidance and counselling services on academic performance in Baringo County, Kenya. The findings revealed that students perceived guidance and counselling services positively and these services significantly contributed to their academic performance. The study's results align with the current findings, highlighting the importance of guidance and counselling programmes in enhancing students' academic achievement and emotional well-being. Similarly, </w:t>
      </w:r>
      <w:proofErr w:type="spellStart"/>
      <w:r w:rsidRPr="00773249">
        <w:rPr>
          <w:rFonts w:eastAsia="Times New Roman" w:cs="Times New Roman"/>
          <w:szCs w:val="24"/>
          <w:lang w:eastAsia="en-GB"/>
        </w:rPr>
        <w:t>Simbolon</w:t>
      </w:r>
      <w:proofErr w:type="spellEnd"/>
      <w:r w:rsidRPr="00773249">
        <w:rPr>
          <w:rFonts w:eastAsia="Times New Roman" w:cs="Times New Roman"/>
          <w:szCs w:val="24"/>
          <w:lang w:eastAsia="en-GB"/>
        </w:rPr>
        <w:t xml:space="preserve"> and </w:t>
      </w:r>
      <w:proofErr w:type="spellStart"/>
      <w:r w:rsidRPr="00773249">
        <w:rPr>
          <w:rFonts w:eastAsia="Times New Roman" w:cs="Times New Roman"/>
          <w:szCs w:val="24"/>
          <w:lang w:eastAsia="en-GB"/>
        </w:rPr>
        <w:t>Purba</w:t>
      </w:r>
      <w:proofErr w:type="spellEnd"/>
      <w:r w:rsidRPr="00773249">
        <w:rPr>
          <w:rFonts w:eastAsia="Times New Roman" w:cs="Times New Roman"/>
          <w:szCs w:val="24"/>
          <w:lang w:eastAsia="en-GB"/>
        </w:rPr>
        <w:t xml:space="preserve"> (2022) evaluated the impact of school counselling programmes on student well-being and academic performance. The results showed that students who actively engaged in counselling programmes exhibited improved academic performance, increased attendance rates, and developed problem-solving skills, self-esteem, and self-confidence. These findings support the current study's results, emphasizing the critical role of guidance and counselling programs in fostering students' academic success and emotional development. The findings from this study suggest that guidance and counselling programmes moderately influenced emotional regulation among students in public secondary schools in Westlands Sub-County. Both student and teacher responses indicate that these programmes help students manage their emotions in various ways, although the degree of influence appears to be moderate rather than strong.</w:t>
      </w:r>
    </w:p>
    <w:p w14:paraId="0F7F51D5" w14:textId="57F6EEE0" w:rsidR="00C2043F" w:rsidRPr="00773249" w:rsidRDefault="005064A2" w:rsidP="001D6167">
      <w:pPr>
        <w:rPr>
          <w:rFonts w:eastAsia="Calibri" w:cs="Times New Roman"/>
          <w:b/>
          <w:bCs/>
          <w:szCs w:val="24"/>
        </w:rPr>
      </w:pPr>
      <w:r w:rsidRPr="00773249">
        <w:rPr>
          <w:rFonts w:eastAsia="Calibri" w:cs="Times New Roman"/>
          <w:b/>
          <w:bCs/>
          <w:szCs w:val="24"/>
        </w:rPr>
        <w:t>Summary</w:t>
      </w:r>
      <w:r w:rsidR="006B4577" w:rsidRPr="00773249">
        <w:rPr>
          <w:rFonts w:eastAsia="Calibri" w:cs="Times New Roman"/>
          <w:b/>
          <w:bCs/>
          <w:szCs w:val="24"/>
        </w:rPr>
        <w:t>, Conclusion, Recommendations</w:t>
      </w:r>
    </w:p>
    <w:p w14:paraId="22731D3D" w14:textId="42F6D7ED" w:rsidR="005064A2" w:rsidRPr="00773249" w:rsidRDefault="00C2043F" w:rsidP="001D6167">
      <w:pPr>
        <w:rPr>
          <w:rFonts w:eastAsia="Calibri" w:cs="Times New Roman"/>
          <w:szCs w:val="24"/>
        </w:rPr>
      </w:pPr>
      <w:r w:rsidRPr="00773249">
        <w:rPr>
          <w:rFonts w:eastAsia="Calibri" w:cs="Times New Roman"/>
          <w:szCs w:val="24"/>
        </w:rPr>
        <w:t xml:space="preserve"> The</w:t>
      </w:r>
      <w:r w:rsidRPr="00773249">
        <w:rPr>
          <w:rFonts w:eastAsia="Calibri" w:cs="Times New Roman"/>
          <w:b/>
          <w:bCs/>
          <w:szCs w:val="24"/>
        </w:rPr>
        <w:t xml:space="preserve"> </w:t>
      </w:r>
      <w:r w:rsidRPr="00773249">
        <w:rPr>
          <w:rFonts w:eastAsia="Calibri" w:cs="Times New Roman"/>
          <w:szCs w:val="24"/>
        </w:rPr>
        <w:t xml:space="preserve">Objective sought to examine whether guidance and counselling programmes in schools influences students’ ability to manage and regulate their emotions effectively. Quantitative results indicated a moderate positive perception among students regarding the influence of guidance and counselling programmes on emotional regulation. Mean scores suggested that students moderately agreed that G&amp;C influenced them to control their reactions in stressful situations. However, </w:t>
      </w:r>
      <w:r w:rsidR="00857761" w:rsidRPr="00773249">
        <w:rPr>
          <w:rFonts w:eastAsia="Calibri" w:cs="Times New Roman"/>
          <w:szCs w:val="24"/>
        </w:rPr>
        <w:t xml:space="preserve">one-way </w:t>
      </w:r>
      <w:proofErr w:type="spellStart"/>
      <w:r w:rsidR="00857761" w:rsidRPr="00773249">
        <w:rPr>
          <w:rFonts w:eastAsia="Calibri" w:cs="Times New Roman"/>
          <w:szCs w:val="24"/>
        </w:rPr>
        <w:t>Anova</w:t>
      </w:r>
      <w:proofErr w:type="spellEnd"/>
      <w:r w:rsidR="00857761" w:rsidRPr="00773249">
        <w:rPr>
          <w:rFonts w:eastAsia="Calibri" w:cs="Times New Roman"/>
          <w:szCs w:val="24"/>
        </w:rPr>
        <w:t xml:space="preserve"> test</w:t>
      </w:r>
      <w:r w:rsidRPr="00773249">
        <w:rPr>
          <w:rFonts w:eastAsia="Calibri" w:cs="Times New Roman"/>
          <w:szCs w:val="24"/>
        </w:rPr>
        <w:t xml:space="preserve"> results revealed no statistically significant difference between student and teacher perceptions on this influence, implying alignment in views, but also suggesting limited influence overall. Qualitative responses highlighted inconsistencies in programme implementation, lack of follow-up after guidance and counselling sessions and insufficiently trained personnel as key barriers to effectiveness</w:t>
      </w:r>
      <w:r w:rsidR="005064A2" w:rsidRPr="00773249">
        <w:rPr>
          <w:rFonts w:eastAsia="Calibri" w:cs="Times New Roman"/>
          <w:szCs w:val="24"/>
        </w:rPr>
        <w:t>.</w:t>
      </w:r>
      <w:r w:rsidR="00857761" w:rsidRPr="00773249">
        <w:rPr>
          <w:rFonts w:eastAsia="Calibri" w:cs="Times New Roman"/>
          <w:szCs w:val="24"/>
        </w:rPr>
        <w:t xml:space="preserve"> </w:t>
      </w:r>
      <w:r w:rsidRPr="00773249">
        <w:rPr>
          <w:rFonts w:eastAsia="Calibri" w:cs="Times New Roman"/>
          <w:szCs w:val="24"/>
        </w:rPr>
        <w:t xml:space="preserve">Teachers noted slight improvement in student behaviour and reduced instances of emotional outbursts. Students who actively participated in guidance and counselling sessions reported </w:t>
      </w:r>
      <w:r w:rsidRPr="00773249">
        <w:rPr>
          <w:rFonts w:eastAsia="Calibri" w:cs="Times New Roman"/>
          <w:szCs w:val="24"/>
        </w:rPr>
        <w:lastRenderedPageBreak/>
        <w:t>increased ability to stay calm under pressure and reflect before reacting. However, limitation</w:t>
      </w:r>
      <w:r w:rsidR="006B4577" w:rsidRPr="00773249">
        <w:rPr>
          <w:rFonts w:cs="Times New Roman"/>
          <w:szCs w:val="24"/>
        </w:rPr>
        <w:t>s</w:t>
      </w:r>
      <w:r w:rsidR="005064A2" w:rsidRPr="00773249">
        <w:rPr>
          <w:rFonts w:eastAsia="Calibri" w:cs="Times New Roman"/>
          <w:szCs w:val="24"/>
        </w:rPr>
        <w:t xml:space="preserve"> such as understaffing, lack of privacy and inconsistent programme delivery hindered the full potential of guidance and counselling programmes.</w:t>
      </w:r>
    </w:p>
    <w:p w14:paraId="611E8175" w14:textId="77777777" w:rsidR="005064A2" w:rsidRPr="00773249" w:rsidRDefault="005064A2" w:rsidP="001D6167">
      <w:pPr>
        <w:rPr>
          <w:rFonts w:cs="Times New Roman"/>
          <w:szCs w:val="24"/>
        </w:rPr>
      </w:pPr>
      <w:r w:rsidRPr="00773249">
        <w:rPr>
          <w:rFonts w:cs="Times New Roman"/>
          <w:szCs w:val="24"/>
        </w:rPr>
        <w:t xml:space="preserve">The study concludes that in relation to emotional regulation, the study found that </w:t>
      </w:r>
      <w:r w:rsidRPr="00773249">
        <w:rPr>
          <w:rFonts w:cs="Times New Roman"/>
          <w:bCs/>
          <w:szCs w:val="24"/>
        </w:rPr>
        <w:t>guidance and counselling programmes had a generally positive but statistically insignificant influence</w:t>
      </w:r>
      <w:r w:rsidRPr="00773249">
        <w:rPr>
          <w:rFonts w:cs="Times New Roman"/>
          <w:szCs w:val="24"/>
        </w:rPr>
        <w:t xml:space="preserve"> on students' ability to manage and modulate their emotions. Although some students reported that G&amp;C sessions helped them control their emotional reactions and reduce impulsivity, this experience was not uniform across the student population. The inconsistency could be attributed to irregular access to Guidance and counselling, varying quality of counsellor-student relationships or a lack of structured emotional literacy interventions within the programmes.</w:t>
      </w:r>
    </w:p>
    <w:p w14:paraId="0C7DC909" w14:textId="77777777" w:rsidR="00395E8E" w:rsidRPr="00773249" w:rsidRDefault="000711EF" w:rsidP="00EA6C9F">
      <w:pPr>
        <w:pStyle w:val="Heading1"/>
      </w:pPr>
      <w:r w:rsidRPr="00773249">
        <w:t>REFERENCE</w:t>
      </w:r>
      <w:r w:rsidR="00395E8E" w:rsidRPr="00773249">
        <w:t>S</w:t>
      </w:r>
    </w:p>
    <w:p w14:paraId="1E5D3334" w14:textId="77777777" w:rsidR="0089061B" w:rsidRPr="005542B1" w:rsidRDefault="00087409" w:rsidP="00B813AB">
      <w:pPr>
        <w:pStyle w:val="ListParagraph"/>
        <w:numPr>
          <w:ilvl w:val="0"/>
          <w:numId w:val="7"/>
        </w:numPr>
        <w:contextualSpacing w:val="0"/>
      </w:pPr>
      <w:proofErr w:type="spellStart"/>
      <w:r w:rsidRPr="005542B1">
        <w:t>Garnefski</w:t>
      </w:r>
      <w:proofErr w:type="spellEnd"/>
      <w:r w:rsidRPr="005542B1">
        <w:t xml:space="preserve">, N., &amp; </w:t>
      </w:r>
      <w:proofErr w:type="spellStart"/>
      <w:r w:rsidRPr="005542B1">
        <w:t>Kraaij</w:t>
      </w:r>
      <w:proofErr w:type="spellEnd"/>
      <w:r w:rsidRPr="005542B1">
        <w:t>, V. (20</w:t>
      </w:r>
      <w:r w:rsidR="006B4577" w:rsidRPr="005542B1">
        <w:t>22</w:t>
      </w:r>
      <w:r w:rsidRPr="005542B1">
        <w:t xml:space="preserve">). The Cognitive Emotion Regulation Questionnaire: Psychometric features and prospective relationships with depression and anxiety in adults. </w:t>
      </w:r>
      <w:r w:rsidRPr="006F12EA">
        <w:rPr>
          <w:rStyle w:val="Emphasis"/>
          <w:rFonts w:eastAsiaTheme="majorEastAsia" w:cs="Times New Roman"/>
        </w:rPr>
        <w:t>European Journal of Psychologica</w:t>
      </w:r>
      <w:r w:rsidR="00110DB4" w:rsidRPr="006F12EA">
        <w:rPr>
          <w:rStyle w:val="Emphasis"/>
          <w:rFonts w:eastAsiaTheme="majorEastAsia" w:cs="Times New Roman"/>
        </w:rPr>
        <w:t xml:space="preserve">l </w:t>
      </w:r>
      <w:r w:rsidRPr="006F12EA">
        <w:rPr>
          <w:rStyle w:val="Emphasis"/>
          <w:rFonts w:eastAsiaTheme="majorEastAsia" w:cs="Times New Roman"/>
        </w:rPr>
        <w:t>Assessment, 23</w:t>
      </w:r>
      <w:r w:rsidRPr="005542B1">
        <w:t>(3), 141–149. https://doi.org/10.1027/1015-5759.23.3.141</w:t>
      </w:r>
      <w:r w:rsidR="0089061B" w:rsidRPr="005542B1">
        <w:t xml:space="preserve"> </w:t>
      </w:r>
    </w:p>
    <w:p w14:paraId="05753BA2" w14:textId="19AA30A7" w:rsidR="0089061B" w:rsidRPr="006F12EA" w:rsidRDefault="0089061B" w:rsidP="00B813AB">
      <w:pPr>
        <w:pStyle w:val="ListParagraph"/>
        <w:numPr>
          <w:ilvl w:val="0"/>
          <w:numId w:val="7"/>
        </w:numPr>
        <w:contextualSpacing w:val="0"/>
        <w:rPr>
          <w:rFonts w:cs="Times New Roman"/>
        </w:rPr>
      </w:pPr>
      <w:r w:rsidRPr="006F12EA">
        <w:rPr>
          <w:rFonts w:cs="Times New Roman"/>
        </w:rPr>
        <w:t xml:space="preserve">Hadad, A. (2025). The role of emotional regulation in enhancing student resilience. </w:t>
      </w:r>
      <w:r w:rsidRPr="006F12EA">
        <w:rPr>
          <w:rStyle w:val="Emphasis"/>
          <w:rFonts w:cs="Times New Roman"/>
        </w:rPr>
        <w:t>Journal of Educational Psychology, 117</w:t>
      </w:r>
      <w:r w:rsidRPr="006F12EA">
        <w:rPr>
          <w:rFonts w:cs="Times New Roman"/>
        </w:rPr>
        <w:t xml:space="preserve">(1), 45–60. </w:t>
      </w:r>
      <w:hyperlink r:id="rId8" w:history="1">
        <w:r w:rsidRPr="006F12EA">
          <w:rPr>
            <w:rStyle w:val="Hyperlink"/>
            <w:rFonts w:cs="Times New Roman"/>
            <w:u w:val="none"/>
          </w:rPr>
          <w:t>https://doi.org/10.1037/edu0001234</w:t>
        </w:r>
      </w:hyperlink>
    </w:p>
    <w:p w14:paraId="5D1520FB" w14:textId="0393D560" w:rsidR="00087409" w:rsidRPr="006F12EA" w:rsidRDefault="00087409" w:rsidP="00B813AB">
      <w:pPr>
        <w:pStyle w:val="ListParagraph"/>
        <w:numPr>
          <w:ilvl w:val="0"/>
          <w:numId w:val="7"/>
        </w:numPr>
        <w:contextualSpacing w:val="0"/>
        <w:rPr>
          <w:rFonts w:cs="Times New Roman"/>
        </w:rPr>
      </w:pPr>
      <w:r w:rsidRPr="006F12EA">
        <w:rPr>
          <w:rFonts w:cs="Times New Roman"/>
        </w:rPr>
        <w:t>Gross, J., &amp; Thompson, R. A. (20</w:t>
      </w:r>
      <w:r w:rsidR="006B4577" w:rsidRPr="006F12EA">
        <w:rPr>
          <w:rFonts w:cs="Times New Roman"/>
        </w:rPr>
        <w:t>21</w:t>
      </w:r>
      <w:r w:rsidRPr="006F12EA">
        <w:rPr>
          <w:rFonts w:cs="Times New Roman"/>
        </w:rPr>
        <w:t xml:space="preserve">). Emotion regulation: Conceptual foundations. In J. J. Gross (Ed.), </w:t>
      </w:r>
      <w:r w:rsidRPr="006F12EA">
        <w:rPr>
          <w:rStyle w:val="Emphasis"/>
          <w:rFonts w:eastAsiaTheme="majorEastAsia" w:cs="Times New Roman"/>
        </w:rPr>
        <w:t>Handbook of emotion regulation</w:t>
      </w:r>
      <w:r w:rsidRPr="006F12EA">
        <w:rPr>
          <w:rFonts w:cs="Times New Roman"/>
        </w:rPr>
        <w:t xml:space="preserve"> (pp. 3–24). New York: Guilford Press.</w:t>
      </w:r>
    </w:p>
    <w:p w14:paraId="0E9F34CF" w14:textId="57A78F0B" w:rsidR="00087409" w:rsidRPr="006F12EA" w:rsidRDefault="00087409" w:rsidP="00B813AB">
      <w:pPr>
        <w:pStyle w:val="ListParagraph"/>
        <w:numPr>
          <w:ilvl w:val="0"/>
          <w:numId w:val="7"/>
        </w:numPr>
        <w:contextualSpacing w:val="0"/>
        <w:rPr>
          <w:rFonts w:cs="Times New Roman"/>
        </w:rPr>
      </w:pPr>
      <w:proofErr w:type="spellStart"/>
      <w:r w:rsidRPr="006F12EA">
        <w:rPr>
          <w:rFonts w:cs="Times New Roman"/>
        </w:rPr>
        <w:t>Kiptala</w:t>
      </w:r>
      <w:proofErr w:type="spellEnd"/>
      <w:r w:rsidRPr="006F12EA">
        <w:rPr>
          <w:rFonts w:cs="Times New Roman"/>
        </w:rPr>
        <w:t xml:space="preserve">, W., &amp; Kipruto, J. (2021). </w:t>
      </w:r>
      <w:r w:rsidRPr="006F12EA">
        <w:rPr>
          <w:rStyle w:val="Emphasis"/>
          <w:rFonts w:eastAsiaTheme="majorEastAsia" w:cs="Times New Roman"/>
        </w:rPr>
        <w:t>Students’ perception of the influence of guidance and counselling services and academic performance in Baringo County, Kenya.</w:t>
      </w:r>
      <w:r w:rsidRPr="006F12EA">
        <w:rPr>
          <w:rFonts w:cs="Times New Roman"/>
        </w:rPr>
        <w:t xml:space="preserve"> </w:t>
      </w:r>
      <w:r w:rsidRPr="006F12EA">
        <w:rPr>
          <w:rStyle w:val="Emphasis"/>
          <w:rFonts w:eastAsiaTheme="majorEastAsia" w:cs="Times New Roman"/>
        </w:rPr>
        <w:t>European Journal of Education and Pedagogy, 2</w:t>
      </w:r>
      <w:r w:rsidRPr="006F12EA">
        <w:rPr>
          <w:rFonts w:cs="Times New Roman"/>
        </w:rPr>
        <w:t xml:space="preserve">(1), 32–35. </w:t>
      </w:r>
      <w:hyperlink r:id="rId9" w:history="1">
        <w:r w:rsidRPr="006F12EA">
          <w:rPr>
            <w:rStyle w:val="Hyperlink"/>
            <w:rFonts w:cs="Times New Roman"/>
            <w:u w:val="none"/>
          </w:rPr>
          <w:t>https://doi.org/10.24018/ejedu.2021.2.1.12</w:t>
        </w:r>
      </w:hyperlink>
    </w:p>
    <w:p w14:paraId="0CB9AF7C" w14:textId="36E9D849" w:rsidR="00087409" w:rsidRPr="006F12EA" w:rsidRDefault="00087409" w:rsidP="00B813AB">
      <w:pPr>
        <w:pStyle w:val="ListParagraph"/>
        <w:numPr>
          <w:ilvl w:val="0"/>
          <w:numId w:val="7"/>
        </w:numPr>
        <w:contextualSpacing w:val="0"/>
        <w:rPr>
          <w:rFonts w:cs="Times New Roman"/>
        </w:rPr>
      </w:pPr>
      <w:r w:rsidRPr="006F12EA">
        <w:rPr>
          <w:rFonts w:cs="Times New Roman"/>
        </w:rPr>
        <w:t>Masten, A. S. (20</w:t>
      </w:r>
      <w:r w:rsidR="006B4577" w:rsidRPr="006F12EA">
        <w:rPr>
          <w:rFonts w:cs="Times New Roman"/>
        </w:rPr>
        <w:t>23</w:t>
      </w:r>
      <w:r w:rsidRPr="006F12EA">
        <w:rPr>
          <w:rFonts w:cs="Times New Roman"/>
        </w:rPr>
        <w:t xml:space="preserve">). Global perspectives on resilience in children and youth. </w:t>
      </w:r>
      <w:r w:rsidRPr="006F12EA">
        <w:rPr>
          <w:rStyle w:val="Emphasis"/>
          <w:rFonts w:eastAsiaTheme="majorEastAsia" w:cs="Times New Roman"/>
        </w:rPr>
        <w:t>Child Development, 85</w:t>
      </w:r>
      <w:r w:rsidRPr="006F12EA">
        <w:rPr>
          <w:rFonts w:cs="Times New Roman"/>
        </w:rPr>
        <w:t>(1), 6–20. https://doi.org/10.1111/cdev.12205</w:t>
      </w:r>
    </w:p>
    <w:p w14:paraId="4A8DEA0F" w14:textId="28027D9B" w:rsidR="00087409" w:rsidRPr="006F12EA" w:rsidRDefault="00087409" w:rsidP="00B813AB">
      <w:pPr>
        <w:pStyle w:val="ListParagraph"/>
        <w:numPr>
          <w:ilvl w:val="0"/>
          <w:numId w:val="7"/>
        </w:numPr>
        <w:contextualSpacing w:val="0"/>
        <w:rPr>
          <w:rFonts w:cs="Times New Roman"/>
        </w:rPr>
      </w:pPr>
      <w:r w:rsidRPr="006F12EA">
        <w:rPr>
          <w:rFonts w:cs="Times New Roman"/>
        </w:rPr>
        <w:t xml:space="preserve">Ng’ang’a, S., &amp; </w:t>
      </w:r>
      <w:proofErr w:type="spellStart"/>
      <w:r w:rsidRPr="006F12EA">
        <w:rPr>
          <w:rFonts w:cs="Times New Roman"/>
        </w:rPr>
        <w:t>Thinguri</w:t>
      </w:r>
      <w:proofErr w:type="spellEnd"/>
      <w:r w:rsidRPr="006F12EA">
        <w:rPr>
          <w:rFonts w:cs="Times New Roman"/>
        </w:rPr>
        <w:t>, R. W. (20</w:t>
      </w:r>
      <w:r w:rsidR="006B4577" w:rsidRPr="006F12EA">
        <w:rPr>
          <w:rFonts w:cs="Times New Roman"/>
        </w:rPr>
        <w:t>20</w:t>
      </w:r>
      <w:r w:rsidRPr="006F12EA">
        <w:rPr>
          <w:rFonts w:cs="Times New Roman"/>
        </w:rPr>
        <w:t xml:space="preserve">). Effectiveness of guidance and counselling in the management of student </w:t>
      </w:r>
      <w:r w:rsidR="00110DB4" w:rsidRPr="006F12EA">
        <w:rPr>
          <w:rFonts w:cs="Times New Roman"/>
        </w:rPr>
        <w:t>behavior</w:t>
      </w:r>
      <w:r w:rsidRPr="006F12EA">
        <w:rPr>
          <w:rFonts w:cs="Times New Roman"/>
        </w:rPr>
        <w:t xml:space="preserve"> in public secondary schools in Kenya. </w:t>
      </w:r>
      <w:r w:rsidRPr="006F12EA">
        <w:rPr>
          <w:rStyle w:val="Emphasis"/>
          <w:rFonts w:eastAsiaTheme="majorEastAsia" w:cs="Times New Roman"/>
        </w:rPr>
        <w:t>International Journal of Education and Research, 5</w:t>
      </w:r>
      <w:r w:rsidRPr="006F12EA">
        <w:rPr>
          <w:rFonts w:cs="Times New Roman"/>
        </w:rPr>
        <w:t>(5), 241–252.</w:t>
      </w:r>
    </w:p>
    <w:p w14:paraId="41591C43" w14:textId="77777777" w:rsidR="00087409" w:rsidRPr="006F12EA" w:rsidRDefault="00087409" w:rsidP="00B813AB">
      <w:pPr>
        <w:pStyle w:val="ListParagraph"/>
        <w:numPr>
          <w:ilvl w:val="0"/>
          <w:numId w:val="7"/>
        </w:numPr>
        <w:contextualSpacing w:val="0"/>
        <w:rPr>
          <w:rFonts w:cs="Times New Roman"/>
        </w:rPr>
      </w:pPr>
      <w:proofErr w:type="spellStart"/>
      <w:r w:rsidRPr="006F12EA">
        <w:rPr>
          <w:rFonts w:cs="Times New Roman"/>
        </w:rPr>
        <w:t>Simbolon</w:t>
      </w:r>
      <w:proofErr w:type="spellEnd"/>
      <w:r w:rsidRPr="006F12EA">
        <w:rPr>
          <w:rFonts w:cs="Times New Roman"/>
        </w:rPr>
        <w:t xml:space="preserve">, R., &amp; </w:t>
      </w:r>
      <w:proofErr w:type="spellStart"/>
      <w:r w:rsidRPr="006F12EA">
        <w:rPr>
          <w:rFonts w:cs="Times New Roman"/>
        </w:rPr>
        <w:t>Purba</w:t>
      </w:r>
      <w:proofErr w:type="spellEnd"/>
      <w:r w:rsidRPr="006F12EA">
        <w:rPr>
          <w:rFonts w:cs="Times New Roman"/>
        </w:rPr>
        <w:t xml:space="preserve">, W. (2022). </w:t>
      </w:r>
      <w:r w:rsidRPr="006F12EA">
        <w:rPr>
          <w:rStyle w:val="Emphasis"/>
          <w:rFonts w:eastAsiaTheme="majorEastAsia" w:cs="Times New Roman"/>
        </w:rPr>
        <w:t>Evaluating the impact of school counseling programs on student well-being and academic performance in the educational environment.</w:t>
      </w:r>
      <w:r w:rsidRPr="006F12EA">
        <w:rPr>
          <w:rFonts w:cs="Times New Roman"/>
        </w:rPr>
        <w:t xml:space="preserve"> </w:t>
      </w:r>
      <w:proofErr w:type="spellStart"/>
      <w:r w:rsidRPr="006F12EA">
        <w:rPr>
          <w:rStyle w:val="Emphasis"/>
          <w:rFonts w:eastAsiaTheme="majorEastAsia" w:cs="Times New Roman"/>
        </w:rPr>
        <w:t>Jurnal</w:t>
      </w:r>
      <w:proofErr w:type="spellEnd"/>
      <w:r w:rsidRPr="006F12EA">
        <w:rPr>
          <w:rStyle w:val="Emphasis"/>
          <w:rFonts w:eastAsiaTheme="majorEastAsia" w:cs="Times New Roman"/>
        </w:rPr>
        <w:t xml:space="preserve"> </w:t>
      </w:r>
      <w:proofErr w:type="spellStart"/>
      <w:r w:rsidRPr="006F12EA">
        <w:rPr>
          <w:rStyle w:val="Emphasis"/>
          <w:rFonts w:eastAsiaTheme="majorEastAsia" w:cs="Times New Roman"/>
        </w:rPr>
        <w:t>Ilmu</w:t>
      </w:r>
      <w:proofErr w:type="spellEnd"/>
      <w:r w:rsidRPr="006F12EA">
        <w:rPr>
          <w:rStyle w:val="Emphasis"/>
          <w:rFonts w:eastAsiaTheme="majorEastAsia" w:cs="Times New Roman"/>
        </w:rPr>
        <w:t xml:space="preserve"> Pendidikan dan </w:t>
      </w:r>
      <w:proofErr w:type="spellStart"/>
      <w:r w:rsidRPr="006F12EA">
        <w:rPr>
          <w:rStyle w:val="Emphasis"/>
          <w:rFonts w:eastAsiaTheme="majorEastAsia" w:cs="Times New Roman"/>
        </w:rPr>
        <w:t>Humaniora</w:t>
      </w:r>
      <w:proofErr w:type="spellEnd"/>
      <w:r w:rsidRPr="006F12EA">
        <w:rPr>
          <w:rStyle w:val="Emphasis"/>
          <w:rFonts w:eastAsiaTheme="majorEastAsia" w:cs="Times New Roman"/>
        </w:rPr>
        <w:t>, 11</w:t>
      </w:r>
      <w:r w:rsidRPr="006F12EA">
        <w:rPr>
          <w:rFonts w:cs="Times New Roman"/>
        </w:rPr>
        <w:t>(2), 118–137. https://doi.org/10.35335/jiph.v11i2.19</w:t>
      </w:r>
    </w:p>
    <w:p w14:paraId="129E15E0" w14:textId="383F6853" w:rsidR="00CD3BB4" w:rsidRDefault="00087409" w:rsidP="00B813AB">
      <w:pPr>
        <w:pStyle w:val="ListParagraph"/>
        <w:numPr>
          <w:ilvl w:val="0"/>
          <w:numId w:val="7"/>
        </w:numPr>
        <w:contextualSpacing w:val="0"/>
      </w:pPr>
      <w:r w:rsidRPr="006F12EA">
        <w:rPr>
          <w:rFonts w:cs="Times New Roman"/>
        </w:rPr>
        <w:t xml:space="preserve">Wambui, K., &amp; Kyalo, P. (2020). The role of guidance and counselling in the management of students’ discipline in secondary schools in Kenya. </w:t>
      </w:r>
      <w:r w:rsidRPr="006F12EA">
        <w:rPr>
          <w:rStyle w:val="Emphasis"/>
          <w:rFonts w:eastAsiaTheme="majorEastAsia" w:cs="Times New Roman"/>
        </w:rPr>
        <w:t>International Journal of Education and Social Science, 7</w:t>
      </w:r>
      <w:r w:rsidRPr="006F12EA">
        <w:rPr>
          <w:rFonts w:cs="Times New Roman"/>
        </w:rPr>
        <w:t>(2), 43–50.</w:t>
      </w:r>
    </w:p>
    <w:p w14:paraId="73921B94" w14:textId="77777777" w:rsidR="00CD3BB4" w:rsidRDefault="00CD3BB4">
      <w:pPr>
        <w:spacing w:before="0" w:after="160" w:line="278" w:lineRule="auto"/>
        <w:jc w:val="left"/>
        <w:rPr>
          <w:rFonts w:eastAsia="Times New Roman" w:cs="Times New Roman"/>
          <w:szCs w:val="24"/>
          <w:lang w:val="en-US"/>
        </w:rPr>
      </w:pPr>
      <w:r>
        <w:br w:type="page"/>
      </w:r>
    </w:p>
    <w:p w14:paraId="13D4DE67" w14:textId="7ADD184B" w:rsidR="00CD3BB4" w:rsidRPr="00CD3BB4" w:rsidRDefault="00CD3BB4" w:rsidP="00CD3BB4">
      <w:pPr>
        <w:pStyle w:val="Heading1"/>
      </w:pPr>
      <w:r w:rsidRPr="00CD3BB4">
        <w:lastRenderedPageBreak/>
        <w:t>ETHICAL CONSIDERATIONS</w:t>
      </w:r>
    </w:p>
    <w:p w14:paraId="1AE3D9B1" w14:textId="77777777" w:rsidR="00F50293" w:rsidRPr="00F50293" w:rsidRDefault="00F50293" w:rsidP="00F50293">
      <w:pPr>
        <w:pStyle w:val="Heading2"/>
      </w:pPr>
      <w:r w:rsidRPr="00F50293">
        <w:t>Ethical Approval</w:t>
      </w:r>
    </w:p>
    <w:p w14:paraId="5FFC7C85" w14:textId="43303B7F" w:rsidR="00CD3BB4" w:rsidRPr="0088784D" w:rsidRDefault="0088784D" w:rsidP="0088784D">
      <w:r w:rsidRPr="0088784D">
        <w:t xml:space="preserve">Ethical approval for this study was obtained from </w:t>
      </w:r>
      <w:r w:rsidR="005617DA">
        <w:t>Ch</w:t>
      </w:r>
      <w:r w:rsidR="007868A5">
        <w:t>u</w:t>
      </w:r>
      <w:r w:rsidR="005617DA">
        <w:t>ka University Institutional</w:t>
      </w:r>
      <w:r w:rsidRPr="0088784D">
        <w:t xml:space="preserve"> Ethics </w:t>
      </w:r>
      <w:r w:rsidR="005617DA">
        <w:t xml:space="preserve">Review </w:t>
      </w:r>
      <w:r w:rsidRPr="0088784D">
        <w:t>Committee (Approval No</w:t>
      </w:r>
      <w:r w:rsidR="002637AF">
        <w:t>.: NACOSTI/NBC/AC-0812</w:t>
      </w:r>
      <w:r w:rsidRPr="0088784D">
        <w:t>)</w:t>
      </w:r>
      <w:r w:rsidR="007868A5">
        <w:t xml:space="preserve"> and National Commission for Science and Technology (</w:t>
      </w:r>
      <w:r w:rsidR="005602DF">
        <w:t>License</w:t>
      </w:r>
      <w:r w:rsidR="007868A5">
        <w:t xml:space="preserve"> No.:</w:t>
      </w:r>
      <w:r w:rsidR="00F12641">
        <w:t xml:space="preserve"> </w:t>
      </w:r>
      <w:r w:rsidR="005602DF">
        <w:t>NACOSTI/P/25/4177102</w:t>
      </w:r>
      <w:r w:rsidR="00F12641">
        <w:t>)</w:t>
      </w:r>
      <w:r w:rsidRPr="0088784D">
        <w:t>. All participants were fully informed about the study's purpose, and written (or verbal) informed consent was obtained prior to data collection. Participant anonymity and confidentiality have been strictly maintained.</w:t>
      </w:r>
    </w:p>
    <w:p w14:paraId="5F82A018" w14:textId="77777777" w:rsidR="00F50293" w:rsidRPr="00F50293" w:rsidRDefault="00F50293" w:rsidP="00F50293">
      <w:pPr>
        <w:pStyle w:val="Heading2"/>
      </w:pPr>
      <w:r w:rsidRPr="00F50293">
        <w:t>Conflict of Interest</w:t>
      </w:r>
    </w:p>
    <w:p w14:paraId="2478834C" w14:textId="77777777" w:rsidR="00562B76" w:rsidRDefault="00562B76" w:rsidP="00562B76">
      <w:r w:rsidRPr="00562B76">
        <w:t>The authors declare that they have no known competing financial interests or personal relationships that could have appeared to influence the work reported in this paper.</w:t>
      </w:r>
    </w:p>
    <w:p w14:paraId="133375EB" w14:textId="4D788AFA" w:rsidR="00F50293" w:rsidRPr="00562B76" w:rsidRDefault="00F50293" w:rsidP="00562B76">
      <w:r w:rsidRPr="00562B76">
        <w:br w:type="page"/>
      </w:r>
    </w:p>
    <w:p w14:paraId="25B0AAB2" w14:textId="1D5CC6EC" w:rsidR="00F50293" w:rsidRPr="00F50293" w:rsidRDefault="009E50CF" w:rsidP="00F50293">
      <w:pPr>
        <w:pStyle w:val="Heading1"/>
      </w:pPr>
      <w:r w:rsidRPr="00F50293">
        <w:lastRenderedPageBreak/>
        <w:t>DATA AVAILABILITY</w:t>
      </w:r>
      <w:r w:rsidRPr="00EB777C">
        <w:t xml:space="preserve"> </w:t>
      </w:r>
      <w:r w:rsidRPr="00F50293">
        <w:t>STATEMENT</w:t>
      </w:r>
    </w:p>
    <w:p w14:paraId="0301E112" w14:textId="2E8D7219" w:rsidR="00087409" w:rsidRPr="00F776E4" w:rsidRDefault="00F776E4" w:rsidP="00F776E4">
      <w:r w:rsidRPr="00F776E4">
        <w:t xml:space="preserve">The datasets generated and </w:t>
      </w:r>
      <w:proofErr w:type="spellStart"/>
      <w:r w:rsidRPr="00F776E4">
        <w:t>analyzed</w:t>
      </w:r>
      <w:proofErr w:type="spellEnd"/>
      <w:r w:rsidRPr="00F776E4">
        <w:t xml:space="preserve"> during the current study are not publicly available due to participant privacy and confidentiality restrictions, but are available from the corresponding author upon reasonable request.</w:t>
      </w:r>
    </w:p>
    <w:sectPr w:rsidR="00087409" w:rsidRPr="00F776E4" w:rsidSect="00297AD4">
      <w:pgSz w:w="11906" w:h="16838" w:code="9"/>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73E6" w14:textId="77777777" w:rsidR="001E62ED" w:rsidRDefault="001E62ED" w:rsidP="00564CAD">
      <w:pPr>
        <w:spacing w:before="0" w:after="0"/>
      </w:pPr>
      <w:r>
        <w:separator/>
      </w:r>
    </w:p>
  </w:endnote>
  <w:endnote w:type="continuationSeparator" w:id="0">
    <w:p w14:paraId="1DFF1B2E" w14:textId="77777777" w:rsidR="001E62ED" w:rsidRDefault="001E62ED" w:rsidP="00564C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1F02" w14:textId="77777777" w:rsidR="001E62ED" w:rsidRDefault="001E62ED" w:rsidP="00564CAD">
      <w:pPr>
        <w:spacing w:before="0" w:after="0"/>
      </w:pPr>
      <w:r>
        <w:separator/>
      </w:r>
    </w:p>
  </w:footnote>
  <w:footnote w:type="continuationSeparator" w:id="0">
    <w:p w14:paraId="022FB271" w14:textId="77777777" w:rsidR="001E62ED" w:rsidRDefault="001E62ED" w:rsidP="00564C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547"/>
    <w:multiLevelType w:val="multilevel"/>
    <w:tmpl w:val="DDC6AE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F216D"/>
    <w:multiLevelType w:val="multilevel"/>
    <w:tmpl w:val="2596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058D9"/>
    <w:multiLevelType w:val="multilevel"/>
    <w:tmpl w:val="6972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F56AC7"/>
    <w:multiLevelType w:val="multilevel"/>
    <w:tmpl w:val="4942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5B0EAD"/>
    <w:multiLevelType w:val="hybridMultilevel"/>
    <w:tmpl w:val="7068C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8B311E"/>
    <w:multiLevelType w:val="multilevel"/>
    <w:tmpl w:val="EB969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12F89"/>
    <w:multiLevelType w:val="hybridMultilevel"/>
    <w:tmpl w:val="4E602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2626149">
    <w:abstractNumId w:val="1"/>
  </w:num>
  <w:num w:numId="2" w16cid:durableId="709457447">
    <w:abstractNumId w:val="6"/>
  </w:num>
  <w:num w:numId="3" w16cid:durableId="1811509033">
    <w:abstractNumId w:val="2"/>
  </w:num>
  <w:num w:numId="4" w16cid:durableId="1215968301">
    <w:abstractNumId w:val="5"/>
    <w:lvlOverride w:ilvl="0">
      <w:lvl w:ilvl="0">
        <w:numFmt w:val="decimal"/>
        <w:lvlText w:val="%1."/>
        <w:lvlJc w:val="left"/>
      </w:lvl>
    </w:lvlOverride>
  </w:num>
  <w:num w:numId="5" w16cid:durableId="1470587285">
    <w:abstractNumId w:val="0"/>
    <w:lvlOverride w:ilvl="0">
      <w:lvl w:ilvl="0">
        <w:numFmt w:val="decimal"/>
        <w:lvlText w:val="%1."/>
        <w:lvlJc w:val="left"/>
      </w:lvl>
    </w:lvlOverride>
  </w:num>
  <w:num w:numId="6" w16cid:durableId="55980089">
    <w:abstractNumId w:val="3"/>
  </w:num>
  <w:num w:numId="7" w16cid:durableId="248000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7F"/>
    <w:rsid w:val="00020FD4"/>
    <w:rsid w:val="000309F8"/>
    <w:rsid w:val="0003283C"/>
    <w:rsid w:val="00034FB4"/>
    <w:rsid w:val="0006790F"/>
    <w:rsid w:val="000711EF"/>
    <w:rsid w:val="00074D8D"/>
    <w:rsid w:val="00087409"/>
    <w:rsid w:val="00090D25"/>
    <w:rsid w:val="00094A64"/>
    <w:rsid w:val="000A4B8E"/>
    <w:rsid w:val="00110DB4"/>
    <w:rsid w:val="00114D27"/>
    <w:rsid w:val="001202AC"/>
    <w:rsid w:val="001210DB"/>
    <w:rsid w:val="001378DF"/>
    <w:rsid w:val="00150240"/>
    <w:rsid w:val="00151DCF"/>
    <w:rsid w:val="0016284F"/>
    <w:rsid w:val="001733CA"/>
    <w:rsid w:val="00192BF7"/>
    <w:rsid w:val="001D6167"/>
    <w:rsid w:val="001E62ED"/>
    <w:rsid w:val="001E6FB8"/>
    <w:rsid w:val="001F5620"/>
    <w:rsid w:val="002316C2"/>
    <w:rsid w:val="00242EF4"/>
    <w:rsid w:val="002637AF"/>
    <w:rsid w:val="002679B7"/>
    <w:rsid w:val="00297AD4"/>
    <w:rsid w:val="002A193C"/>
    <w:rsid w:val="002C35CA"/>
    <w:rsid w:val="002E1981"/>
    <w:rsid w:val="0030722B"/>
    <w:rsid w:val="003101BC"/>
    <w:rsid w:val="00312DCA"/>
    <w:rsid w:val="003360AB"/>
    <w:rsid w:val="00352344"/>
    <w:rsid w:val="0035516C"/>
    <w:rsid w:val="0036459D"/>
    <w:rsid w:val="003673F9"/>
    <w:rsid w:val="003738A3"/>
    <w:rsid w:val="00384DAE"/>
    <w:rsid w:val="003930F3"/>
    <w:rsid w:val="00395E8E"/>
    <w:rsid w:val="003E0AE1"/>
    <w:rsid w:val="003F1873"/>
    <w:rsid w:val="0040437C"/>
    <w:rsid w:val="00442138"/>
    <w:rsid w:val="00442A2D"/>
    <w:rsid w:val="00450C70"/>
    <w:rsid w:val="00453CED"/>
    <w:rsid w:val="00457515"/>
    <w:rsid w:val="00471AF6"/>
    <w:rsid w:val="00497876"/>
    <w:rsid w:val="00497E51"/>
    <w:rsid w:val="004B5CA0"/>
    <w:rsid w:val="004C4470"/>
    <w:rsid w:val="004D4CFE"/>
    <w:rsid w:val="004E74A2"/>
    <w:rsid w:val="005064A2"/>
    <w:rsid w:val="0050677F"/>
    <w:rsid w:val="00521AC2"/>
    <w:rsid w:val="005338EF"/>
    <w:rsid w:val="00535DBB"/>
    <w:rsid w:val="005507EF"/>
    <w:rsid w:val="005542B1"/>
    <w:rsid w:val="00554E64"/>
    <w:rsid w:val="005562B7"/>
    <w:rsid w:val="005602DF"/>
    <w:rsid w:val="005617DA"/>
    <w:rsid w:val="00561F59"/>
    <w:rsid w:val="00562B76"/>
    <w:rsid w:val="00564CAD"/>
    <w:rsid w:val="0058153F"/>
    <w:rsid w:val="00585A2D"/>
    <w:rsid w:val="00593491"/>
    <w:rsid w:val="005A0A7D"/>
    <w:rsid w:val="005A64DA"/>
    <w:rsid w:val="005B5B6C"/>
    <w:rsid w:val="005C38F1"/>
    <w:rsid w:val="005C5C3E"/>
    <w:rsid w:val="005D6CC4"/>
    <w:rsid w:val="005E00CF"/>
    <w:rsid w:val="005E0632"/>
    <w:rsid w:val="005F307C"/>
    <w:rsid w:val="00625D99"/>
    <w:rsid w:val="006500A6"/>
    <w:rsid w:val="00670B14"/>
    <w:rsid w:val="00671EBF"/>
    <w:rsid w:val="00680082"/>
    <w:rsid w:val="006B4577"/>
    <w:rsid w:val="006C4847"/>
    <w:rsid w:val="006C6228"/>
    <w:rsid w:val="006F12EA"/>
    <w:rsid w:val="006F3DDE"/>
    <w:rsid w:val="00736064"/>
    <w:rsid w:val="00760A04"/>
    <w:rsid w:val="00773249"/>
    <w:rsid w:val="00775185"/>
    <w:rsid w:val="007802A7"/>
    <w:rsid w:val="007868A5"/>
    <w:rsid w:val="00791953"/>
    <w:rsid w:val="00793D91"/>
    <w:rsid w:val="00796CF8"/>
    <w:rsid w:val="007A753D"/>
    <w:rsid w:val="007C40D7"/>
    <w:rsid w:val="00805CF2"/>
    <w:rsid w:val="008132A0"/>
    <w:rsid w:val="00835617"/>
    <w:rsid w:val="00836E1B"/>
    <w:rsid w:val="00837853"/>
    <w:rsid w:val="0085361B"/>
    <w:rsid w:val="00857761"/>
    <w:rsid w:val="00870087"/>
    <w:rsid w:val="0088784D"/>
    <w:rsid w:val="00887D92"/>
    <w:rsid w:val="0089061B"/>
    <w:rsid w:val="00890C2F"/>
    <w:rsid w:val="00893B6E"/>
    <w:rsid w:val="00897614"/>
    <w:rsid w:val="009019E2"/>
    <w:rsid w:val="00901C62"/>
    <w:rsid w:val="00917BFF"/>
    <w:rsid w:val="009307E9"/>
    <w:rsid w:val="0093540C"/>
    <w:rsid w:val="00941711"/>
    <w:rsid w:val="00950A1D"/>
    <w:rsid w:val="009555B9"/>
    <w:rsid w:val="00981902"/>
    <w:rsid w:val="009838D9"/>
    <w:rsid w:val="0098407D"/>
    <w:rsid w:val="009A5F2D"/>
    <w:rsid w:val="009D1659"/>
    <w:rsid w:val="009D7A06"/>
    <w:rsid w:val="009D7C24"/>
    <w:rsid w:val="009E50CF"/>
    <w:rsid w:val="00A011BC"/>
    <w:rsid w:val="00A56343"/>
    <w:rsid w:val="00A65A92"/>
    <w:rsid w:val="00A92EB8"/>
    <w:rsid w:val="00AA618E"/>
    <w:rsid w:val="00AC0BC6"/>
    <w:rsid w:val="00AC655A"/>
    <w:rsid w:val="00AD56E8"/>
    <w:rsid w:val="00B163D1"/>
    <w:rsid w:val="00B219E6"/>
    <w:rsid w:val="00B43B7F"/>
    <w:rsid w:val="00B53F5C"/>
    <w:rsid w:val="00B5684B"/>
    <w:rsid w:val="00B813AB"/>
    <w:rsid w:val="00BB1D6D"/>
    <w:rsid w:val="00BC1479"/>
    <w:rsid w:val="00BC4964"/>
    <w:rsid w:val="00C050E5"/>
    <w:rsid w:val="00C2043F"/>
    <w:rsid w:val="00C3703A"/>
    <w:rsid w:val="00C71E70"/>
    <w:rsid w:val="00C819DD"/>
    <w:rsid w:val="00CA2234"/>
    <w:rsid w:val="00CA3FFA"/>
    <w:rsid w:val="00CA6250"/>
    <w:rsid w:val="00CD3BB4"/>
    <w:rsid w:val="00CD5AD9"/>
    <w:rsid w:val="00CF2C09"/>
    <w:rsid w:val="00D1392B"/>
    <w:rsid w:val="00D2329C"/>
    <w:rsid w:val="00D71F0D"/>
    <w:rsid w:val="00D73E09"/>
    <w:rsid w:val="00D8086F"/>
    <w:rsid w:val="00D867E9"/>
    <w:rsid w:val="00DD3811"/>
    <w:rsid w:val="00E07822"/>
    <w:rsid w:val="00E12AE7"/>
    <w:rsid w:val="00E15C0C"/>
    <w:rsid w:val="00E33390"/>
    <w:rsid w:val="00E42B01"/>
    <w:rsid w:val="00E53A7C"/>
    <w:rsid w:val="00E5677E"/>
    <w:rsid w:val="00E67718"/>
    <w:rsid w:val="00E8570D"/>
    <w:rsid w:val="00E906B5"/>
    <w:rsid w:val="00E97597"/>
    <w:rsid w:val="00EA6C9F"/>
    <w:rsid w:val="00EB29BD"/>
    <w:rsid w:val="00EB4665"/>
    <w:rsid w:val="00EB777C"/>
    <w:rsid w:val="00ED5BA0"/>
    <w:rsid w:val="00EE4539"/>
    <w:rsid w:val="00EF4651"/>
    <w:rsid w:val="00F124B7"/>
    <w:rsid w:val="00F12641"/>
    <w:rsid w:val="00F150A4"/>
    <w:rsid w:val="00F16A14"/>
    <w:rsid w:val="00F20276"/>
    <w:rsid w:val="00F20A55"/>
    <w:rsid w:val="00F22909"/>
    <w:rsid w:val="00F50293"/>
    <w:rsid w:val="00F776E4"/>
    <w:rsid w:val="00F94460"/>
    <w:rsid w:val="00F94ED8"/>
    <w:rsid w:val="00FC451F"/>
    <w:rsid w:val="00FD5FDF"/>
    <w:rsid w:val="00FE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6CC7"/>
  <w15:chartTrackingRefBased/>
  <w15:docId w15:val="{FF1C1521-C15D-467A-B8CE-89BA4794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27"/>
    <w:pPr>
      <w:spacing w:before="240" w:after="240" w:line="24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D867E9"/>
    <w:pPr>
      <w:keepNext/>
      <w:keepLines/>
      <w:outlineLvl w:val="0"/>
    </w:pPr>
    <w:rPr>
      <w:rFonts w:eastAsiaTheme="majorEastAsia" w:cstheme="majorBidi"/>
      <w:b/>
      <w:kern w:val="2"/>
      <w:sz w:val="28"/>
      <w:szCs w:val="40"/>
      <w:lang w:val="en-US"/>
      <w14:ligatures w14:val="standardContextual"/>
    </w:rPr>
  </w:style>
  <w:style w:type="paragraph" w:styleId="Heading2">
    <w:name w:val="heading 2"/>
    <w:basedOn w:val="Normal"/>
    <w:next w:val="Normal"/>
    <w:link w:val="Heading2Char"/>
    <w:uiPriority w:val="9"/>
    <w:unhideWhenUsed/>
    <w:qFormat/>
    <w:rsid w:val="00F50293"/>
    <w:pPr>
      <w:keepNext/>
      <w:keepLines/>
      <w:outlineLvl w:val="1"/>
    </w:pPr>
    <w:rPr>
      <w:rFonts w:eastAsiaTheme="majorEastAsia" w:cstheme="majorBidi"/>
      <w:b/>
      <w:kern w:val="2"/>
      <w:szCs w:val="32"/>
      <w:lang w:val="en-US"/>
      <w14:ligatures w14:val="standardContextual"/>
    </w:rPr>
  </w:style>
  <w:style w:type="paragraph" w:styleId="Heading3">
    <w:name w:val="heading 3"/>
    <w:basedOn w:val="Normal"/>
    <w:next w:val="Normal"/>
    <w:link w:val="Heading3Char"/>
    <w:uiPriority w:val="9"/>
    <w:semiHidden/>
    <w:unhideWhenUsed/>
    <w:qFormat/>
    <w:rsid w:val="0050677F"/>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0677F"/>
    <w:pPr>
      <w:keepNext/>
      <w:keepLines/>
      <w:spacing w:before="80" w:after="40" w:line="278" w:lineRule="auto"/>
      <w:outlineLvl w:val="3"/>
    </w:pPr>
    <w:rPr>
      <w:rFonts w:eastAsiaTheme="majorEastAsia"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50677F"/>
    <w:pPr>
      <w:keepNext/>
      <w:keepLines/>
      <w:spacing w:before="80" w:after="40" w:line="278" w:lineRule="auto"/>
      <w:outlineLvl w:val="4"/>
    </w:pPr>
    <w:rPr>
      <w:rFonts w:eastAsiaTheme="majorEastAsia"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50677F"/>
    <w:pPr>
      <w:keepNext/>
      <w:keepLines/>
      <w:spacing w:before="40" w:after="0" w:line="278" w:lineRule="auto"/>
      <w:outlineLvl w:val="5"/>
    </w:pPr>
    <w:rPr>
      <w:rFonts w:eastAsiaTheme="majorEastAsia"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50677F"/>
    <w:pPr>
      <w:keepNext/>
      <w:keepLines/>
      <w:spacing w:before="40" w:after="0" w:line="278" w:lineRule="auto"/>
      <w:outlineLvl w:val="6"/>
    </w:pPr>
    <w:rPr>
      <w:rFonts w:eastAsiaTheme="majorEastAsia"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50677F"/>
    <w:pPr>
      <w:keepNext/>
      <w:keepLines/>
      <w:spacing w:after="0" w:line="278" w:lineRule="auto"/>
      <w:outlineLvl w:val="7"/>
    </w:pPr>
    <w:rPr>
      <w:rFonts w:eastAsiaTheme="majorEastAsia"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50677F"/>
    <w:pPr>
      <w:keepNext/>
      <w:keepLines/>
      <w:spacing w:after="0" w:line="278" w:lineRule="auto"/>
      <w:outlineLvl w:val="8"/>
    </w:pPr>
    <w:rPr>
      <w:rFonts w:eastAsiaTheme="majorEastAsia"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7E9"/>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F50293"/>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506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77F"/>
    <w:rPr>
      <w:rFonts w:eastAsiaTheme="majorEastAsia" w:cstheme="majorBidi"/>
      <w:color w:val="272727" w:themeColor="text1" w:themeTint="D8"/>
    </w:rPr>
  </w:style>
  <w:style w:type="paragraph" w:styleId="Title">
    <w:name w:val="Title"/>
    <w:basedOn w:val="Normal"/>
    <w:next w:val="Normal"/>
    <w:link w:val="TitleChar"/>
    <w:uiPriority w:val="10"/>
    <w:qFormat/>
    <w:rsid w:val="0050677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06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77F"/>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06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77F"/>
    <w:pPr>
      <w:spacing w:before="160" w:line="278" w:lineRule="auto"/>
      <w:jc w:val="center"/>
    </w:pPr>
    <w:rPr>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50677F"/>
    <w:rPr>
      <w:i/>
      <w:iCs/>
      <w:color w:val="404040" w:themeColor="text1" w:themeTint="BF"/>
    </w:rPr>
  </w:style>
  <w:style w:type="paragraph" w:styleId="ListParagraph">
    <w:name w:val="List Paragraph"/>
    <w:basedOn w:val="Normal"/>
    <w:uiPriority w:val="34"/>
    <w:qFormat/>
    <w:rsid w:val="006F12EA"/>
    <w:pPr>
      <w:ind w:left="720"/>
      <w:contextualSpacing/>
    </w:pPr>
    <w:rPr>
      <w:kern w:val="2"/>
      <w:szCs w:val="24"/>
      <w:lang w:val="en-US"/>
      <w14:ligatures w14:val="standardContextual"/>
    </w:rPr>
  </w:style>
  <w:style w:type="character" w:styleId="IntenseEmphasis">
    <w:name w:val="Intense Emphasis"/>
    <w:basedOn w:val="DefaultParagraphFont"/>
    <w:uiPriority w:val="21"/>
    <w:qFormat/>
    <w:rsid w:val="0050677F"/>
    <w:rPr>
      <w:i/>
      <w:iCs/>
      <w:color w:val="2F5496" w:themeColor="accent1" w:themeShade="BF"/>
    </w:rPr>
  </w:style>
  <w:style w:type="paragraph" w:styleId="IntenseQuote">
    <w:name w:val="Intense Quote"/>
    <w:basedOn w:val="Normal"/>
    <w:next w:val="Normal"/>
    <w:link w:val="IntenseQuoteChar"/>
    <w:uiPriority w:val="30"/>
    <w:qFormat/>
    <w:rsid w:val="0050677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50677F"/>
    <w:rPr>
      <w:i/>
      <w:iCs/>
      <w:color w:val="2F5496" w:themeColor="accent1" w:themeShade="BF"/>
    </w:rPr>
  </w:style>
  <w:style w:type="character" w:styleId="IntenseReference">
    <w:name w:val="Intense Reference"/>
    <w:basedOn w:val="DefaultParagraphFont"/>
    <w:uiPriority w:val="32"/>
    <w:qFormat/>
    <w:rsid w:val="0050677F"/>
    <w:rPr>
      <w:b/>
      <w:bCs/>
      <w:smallCaps/>
      <w:color w:val="2F5496" w:themeColor="accent1" w:themeShade="BF"/>
      <w:spacing w:val="5"/>
    </w:rPr>
  </w:style>
  <w:style w:type="character" w:styleId="Hyperlink">
    <w:name w:val="Hyperlink"/>
    <w:basedOn w:val="DefaultParagraphFont"/>
    <w:uiPriority w:val="99"/>
    <w:unhideWhenUsed/>
    <w:rsid w:val="0050677F"/>
    <w:rPr>
      <w:color w:val="0563C1" w:themeColor="hyperlink"/>
      <w:u w:val="single"/>
    </w:rPr>
  </w:style>
  <w:style w:type="paragraph" w:styleId="NormalWeb">
    <w:name w:val="Normal (Web)"/>
    <w:basedOn w:val="Normal"/>
    <w:uiPriority w:val="99"/>
    <w:unhideWhenUsed/>
    <w:rsid w:val="0050677F"/>
    <w:pPr>
      <w:spacing w:before="100" w:beforeAutospacing="1" w:after="100" w:afterAutospacing="1"/>
    </w:pPr>
    <w:rPr>
      <w:rFonts w:eastAsia="Times New Roman" w:cs="Times New Roman"/>
      <w:szCs w:val="24"/>
      <w:lang w:val="en-US"/>
    </w:rPr>
  </w:style>
  <w:style w:type="paragraph" w:styleId="NoSpacing">
    <w:name w:val="No Spacing"/>
    <w:uiPriority w:val="1"/>
    <w:qFormat/>
    <w:rsid w:val="0050677F"/>
    <w:pPr>
      <w:spacing w:after="0" w:line="240" w:lineRule="auto"/>
    </w:pPr>
    <w:rPr>
      <w:kern w:val="0"/>
      <w:sz w:val="22"/>
      <w:szCs w:val="22"/>
      <w:lang w:val="en-GB"/>
      <w14:ligatures w14:val="none"/>
    </w:rPr>
  </w:style>
  <w:style w:type="table" w:styleId="TableGrid">
    <w:name w:val="Table Grid"/>
    <w:basedOn w:val="TableNormal"/>
    <w:uiPriority w:val="39"/>
    <w:rsid w:val="0083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90D25"/>
    <w:rPr>
      <w:i/>
      <w:iCs/>
    </w:rPr>
  </w:style>
  <w:style w:type="table" w:styleId="PlainTable3">
    <w:name w:val="Plain Table 3"/>
    <w:basedOn w:val="TableNormal"/>
    <w:uiPriority w:val="43"/>
    <w:rsid w:val="004B5C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497876"/>
    <w:rPr>
      <w:b/>
      <w:bCs/>
    </w:rPr>
  </w:style>
  <w:style w:type="table" w:customStyle="1" w:styleId="TableGrid1">
    <w:name w:val="Table Grid1"/>
    <w:basedOn w:val="TableNormal"/>
    <w:next w:val="TableGrid"/>
    <w:uiPriority w:val="59"/>
    <w:rsid w:val="0049787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7876"/>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7876"/>
    <w:pPr>
      <w:spacing w:after="200" w:line="360" w:lineRule="auto"/>
    </w:pPr>
    <w:rPr>
      <w:rFonts w:cs="Times New Roman"/>
      <w:b/>
      <w:iCs/>
      <w:color w:val="000000" w:themeColor="text1"/>
      <w:szCs w:val="18"/>
    </w:rPr>
  </w:style>
  <w:style w:type="character" w:customStyle="1" w:styleId="UnresolvedMention1">
    <w:name w:val="Unresolved Mention1"/>
    <w:basedOn w:val="DefaultParagraphFont"/>
    <w:uiPriority w:val="99"/>
    <w:semiHidden/>
    <w:unhideWhenUsed/>
    <w:rsid w:val="00087409"/>
    <w:rPr>
      <w:color w:val="605E5C"/>
      <w:shd w:val="clear" w:color="auto" w:fill="E1DFDD"/>
    </w:rPr>
  </w:style>
  <w:style w:type="paragraph" w:styleId="Header">
    <w:name w:val="header"/>
    <w:basedOn w:val="Normal"/>
    <w:link w:val="HeaderChar"/>
    <w:uiPriority w:val="99"/>
    <w:unhideWhenUsed/>
    <w:rsid w:val="00564CAD"/>
    <w:pPr>
      <w:tabs>
        <w:tab w:val="center" w:pos="4680"/>
        <w:tab w:val="right" w:pos="9360"/>
      </w:tabs>
      <w:spacing w:after="0"/>
    </w:pPr>
  </w:style>
  <w:style w:type="character" w:customStyle="1" w:styleId="HeaderChar">
    <w:name w:val="Header Char"/>
    <w:basedOn w:val="DefaultParagraphFont"/>
    <w:link w:val="Header"/>
    <w:uiPriority w:val="99"/>
    <w:rsid w:val="00564CAD"/>
    <w:rPr>
      <w:kern w:val="0"/>
      <w:sz w:val="22"/>
      <w:szCs w:val="22"/>
      <w:lang w:val="en-GB"/>
      <w14:ligatures w14:val="none"/>
    </w:rPr>
  </w:style>
  <w:style w:type="paragraph" w:styleId="Footer">
    <w:name w:val="footer"/>
    <w:basedOn w:val="Normal"/>
    <w:link w:val="FooterChar"/>
    <w:uiPriority w:val="99"/>
    <w:unhideWhenUsed/>
    <w:rsid w:val="00564CAD"/>
    <w:pPr>
      <w:tabs>
        <w:tab w:val="center" w:pos="4680"/>
        <w:tab w:val="right" w:pos="9360"/>
      </w:tabs>
      <w:spacing w:after="0"/>
    </w:pPr>
  </w:style>
  <w:style w:type="character" w:customStyle="1" w:styleId="FooterChar">
    <w:name w:val="Footer Char"/>
    <w:basedOn w:val="DefaultParagraphFont"/>
    <w:link w:val="Footer"/>
    <w:uiPriority w:val="99"/>
    <w:rsid w:val="00564CAD"/>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3468">
      <w:bodyDiv w:val="1"/>
      <w:marLeft w:val="0"/>
      <w:marRight w:val="0"/>
      <w:marTop w:val="0"/>
      <w:marBottom w:val="0"/>
      <w:divBdr>
        <w:top w:val="none" w:sz="0" w:space="0" w:color="auto"/>
        <w:left w:val="none" w:sz="0" w:space="0" w:color="auto"/>
        <w:bottom w:val="none" w:sz="0" w:space="0" w:color="auto"/>
        <w:right w:val="none" w:sz="0" w:space="0" w:color="auto"/>
      </w:divBdr>
    </w:div>
    <w:div w:id="255985651">
      <w:bodyDiv w:val="1"/>
      <w:marLeft w:val="0"/>
      <w:marRight w:val="0"/>
      <w:marTop w:val="0"/>
      <w:marBottom w:val="0"/>
      <w:divBdr>
        <w:top w:val="none" w:sz="0" w:space="0" w:color="auto"/>
        <w:left w:val="none" w:sz="0" w:space="0" w:color="auto"/>
        <w:bottom w:val="none" w:sz="0" w:space="0" w:color="auto"/>
        <w:right w:val="none" w:sz="0" w:space="0" w:color="auto"/>
      </w:divBdr>
    </w:div>
    <w:div w:id="565143622">
      <w:bodyDiv w:val="1"/>
      <w:marLeft w:val="0"/>
      <w:marRight w:val="0"/>
      <w:marTop w:val="0"/>
      <w:marBottom w:val="0"/>
      <w:divBdr>
        <w:top w:val="none" w:sz="0" w:space="0" w:color="auto"/>
        <w:left w:val="none" w:sz="0" w:space="0" w:color="auto"/>
        <w:bottom w:val="none" w:sz="0" w:space="0" w:color="auto"/>
        <w:right w:val="none" w:sz="0" w:space="0" w:color="auto"/>
      </w:divBdr>
    </w:div>
    <w:div w:id="761535983">
      <w:bodyDiv w:val="1"/>
      <w:marLeft w:val="0"/>
      <w:marRight w:val="0"/>
      <w:marTop w:val="0"/>
      <w:marBottom w:val="0"/>
      <w:divBdr>
        <w:top w:val="none" w:sz="0" w:space="0" w:color="auto"/>
        <w:left w:val="none" w:sz="0" w:space="0" w:color="auto"/>
        <w:bottom w:val="none" w:sz="0" w:space="0" w:color="auto"/>
        <w:right w:val="none" w:sz="0" w:space="0" w:color="auto"/>
      </w:divBdr>
    </w:div>
    <w:div w:id="1027944680">
      <w:bodyDiv w:val="1"/>
      <w:marLeft w:val="0"/>
      <w:marRight w:val="0"/>
      <w:marTop w:val="0"/>
      <w:marBottom w:val="0"/>
      <w:divBdr>
        <w:top w:val="none" w:sz="0" w:space="0" w:color="auto"/>
        <w:left w:val="none" w:sz="0" w:space="0" w:color="auto"/>
        <w:bottom w:val="none" w:sz="0" w:space="0" w:color="auto"/>
        <w:right w:val="none" w:sz="0" w:space="0" w:color="auto"/>
      </w:divBdr>
    </w:div>
    <w:div w:id="1156872514">
      <w:bodyDiv w:val="1"/>
      <w:marLeft w:val="0"/>
      <w:marRight w:val="0"/>
      <w:marTop w:val="0"/>
      <w:marBottom w:val="0"/>
      <w:divBdr>
        <w:top w:val="none" w:sz="0" w:space="0" w:color="auto"/>
        <w:left w:val="none" w:sz="0" w:space="0" w:color="auto"/>
        <w:bottom w:val="none" w:sz="0" w:space="0" w:color="auto"/>
        <w:right w:val="none" w:sz="0" w:space="0" w:color="auto"/>
      </w:divBdr>
    </w:div>
    <w:div w:id="1308851937">
      <w:bodyDiv w:val="1"/>
      <w:marLeft w:val="0"/>
      <w:marRight w:val="0"/>
      <w:marTop w:val="0"/>
      <w:marBottom w:val="0"/>
      <w:divBdr>
        <w:top w:val="none" w:sz="0" w:space="0" w:color="auto"/>
        <w:left w:val="none" w:sz="0" w:space="0" w:color="auto"/>
        <w:bottom w:val="none" w:sz="0" w:space="0" w:color="auto"/>
        <w:right w:val="none" w:sz="0" w:space="0" w:color="auto"/>
      </w:divBdr>
    </w:div>
    <w:div w:id="1398747640">
      <w:bodyDiv w:val="1"/>
      <w:marLeft w:val="0"/>
      <w:marRight w:val="0"/>
      <w:marTop w:val="0"/>
      <w:marBottom w:val="0"/>
      <w:divBdr>
        <w:top w:val="none" w:sz="0" w:space="0" w:color="auto"/>
        <w:left w:val="none" w:sz="0" w:space="0" w:color="auto"/>
        <w:bottom w:val="none" w:sz="0" w:space="0" w:color="auto"/>
        <w:right w:val="none" w:sz="0" w:space="0" w:color="auto"/>
      </w:divBdr>
    </w:div>
    <w:div w:id="1692871534">
      <w:bodyDiv w:val="1"/>
      <w:marLeft w:val="0"/>
      <w:marRight w:val="0"/>
      <w:marTop w:val="0"/>
      <w:marBottom w:val="0"/>
      <w:divBdr>
        <w:top w:val="none" w:sz="0" w:space="0" w:color="auto"/>
        <w:left w:val="none" w:sz="0" w:space="0" w:color="auto"/>
        <w:bottom w:val="none" w:sz="0" w:space="0" w:color="auto"/>
        <w:right w:val="none" w:sz="0" w:space="0" w:color="auto"/>
      </w:divBdr>
    </w:div>
    <w:div w:id="1870607732">
      <w:bodyDiv w:val="1"/>
      <w:marLeft w:val="0"/>
      <w:marRight w:val="0"/>
      <w:marTop w:val="0"/>
      <w:marBottom w:val="0"/>
      <w:divBdr>
        <w:top w:val="none" w:sz="0" w:space="0" w:color="auto"/>
        <w:left w:val="none" w:sz="0" w:space="0" w:color="auto"/>
        <w:bottom w:val="none" w:sz="0" w:space="0" w:color="auto"/>
        <w:right w:val="none" w:sz="0" w:space="0" w:color="auto"/>
      </w:divBdr>
    </w:div>
    <w:div w:id="2002850791">
      <w:bodyDiv w:val="1"/>
      <w:marLeft w:val="0"/>
      <w:marRight w:val="0"/>
      <w:marTop w:val="0"/>
      <w:marBottom w:val="0"/>
      <w:divBdr>
        <w:top w:val="none" w:sz="0" w:space="0" w:color="auto"/>
        <w:left w:val="none" w:sz="0" w:space="0" w:color="auto"/>
        <w:bottom w:val="none" w:sz="0" w:space="0" w:color="auto"/>
        <w:right w:val="none" w:sz="0" w:space="0" w:color="auto"/>
      </w:divBdr>
    </w:div>
    <w:div w:id="2019961904">
      <w:bodyDiv w:val="1"/>
      <w:marLeft w:val="0"/>
      <w:marRight w:val="0"/>
      <w:marTop w:val="0"/>
      <w:marBottom w:val="0"/>
      <w:divBdr>
        <w:top w:val="none" w:sz="0" w:space="0" w:color="auto"/>
        <w:left w:val="none" w:sz="0" w:space="0" w:color="auto"/>
        <w:bottom w:val="none" w:sz="0" w:space="0" w:color="auto"/>
        <w:right w:val="none" w:sz="0" w:space="0" w:color="auto"/>
      </w:divBdr>
    </w:div>
    <w:div w:id="21119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edu0001234" TargetMode="External"/><Relationship Id="rId3" Type="http://schemas.openxmlformats.org/officeDocument/2006/relationships/settings" Target="settings.xml"/><Relationship Id="rId7" Type="http://schemas.openxmlformats.org/officeDocument/2006/relationships/hyperlink" Target="mailto:polinnje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4018/ejedu.2021.2.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HomePC</cp:lastModifiedBy>
  <cp:revision>2</cp:revision>
  <dcterms:created xsi:type="dcterms:W3CDTF">2026-06-09T15:07:00Z</dcterms:created>
  <dcterms:modified xsi:type="dcterms:W3CDTF">2026-06-09T15:07:00Z</dcterms:modified>
</cp:coreProperties>
</file>