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C0126" w14:textId="4D44DA7B" w:rsidR="008F15B2" w:rsidRDefault="009B2D34" w:rsidP="008F15B2">
      <w:pPr>
        <w:keepNext/>
        <w:suppressAutoHyphens/>
        <w:autoSpaceDE w:val="0"/>
        <w:autoSpaceDN w:val="0"/>
        <w:adjustRightInd w:val="0"/>
        <w:spacing w:before="240" w:after="240" w:line="240" w:lineRule="auto"/>
        <w:jc w:val="center"/>
        <w:outlineLvl w:val="3"/>
        <w:rPr>
          <w:rFonts w:ascii="Times New Roman" w:eastAsia="Times New Roman" w:hAnsi="Times New Roman" w:cs="Times New Roman"/>
          <w:b/>
          <w:bCs/>
          <w:sz w:val="36"/>
          <w:szCs w:val="36"/>
        </w:rPr>
      </w:pPr>
      <w:r w:rsidRPr="00A2607D">
        <w:rPr>
          <w:rFonts w:ascii="Times New Roman" w:eastAsia="Times New Roman" w:hAnsi="Times New Roman" w:cs="Times New Roman"/>
          <w:b/>
          <w:bCs/>
          <w:sz w:val="36"/>
          <w:szCs w:val="36"/>
        </w:rPr>
        <w:t xml:space="preserve">Exploring Research Trends in </w:t>
      </w:r>
      <w:r w:rsidR="009D5619" w:rsidRPr="00A2607D">
        <w:rPr>
          <w:rFonts w:ascii="Times New Roman" w:eastAsia="Times New Roman" w:hAnsi="Times New Roman" w:cs="Times New Roman"/>
          <w:b/>
          <w:bCs/>
          <w:sz w:val="36"/>
          <w:szCs w:val="36"/>
        </w:rPr>
        <w:t>Glaucoma</w:t>
      </w:r>
      <w:r w:rsidRPr="00A2607D">
        <w:rPr>
          <w:rFonts w:ascii="Times New Roman" w:eastAsia="Times New Roman" w:hAnsi="Times New Roman" w:cs="Times New Roman"/>
          <w:b/>
          <w:bCs/>
          <w:sz w:val="36"/>
          <w:szCs w:val="36"/>
        </w:rPr>
        <w:t xml:space="preserve"> Detection: A Bibliometric Analysis </w:t>
      </w:r>
      <w:r w:rsidR="003C6E2F" w:rsidRPr="00A2607D">
        <w:rPr>
          <w:rFonts w:ascii="Times New Roman" w:eastAsia="Times New Roman" w:hAnsi="Times New Roman" w:cs="Times New Roman"/>
          <w:b/>
          <w:bCs/>
          <w:sz w:val="36"/>
          <w:szCs w:val="36"/>
        </w:rPr>
        <w:t xml:space="preserve">Review </w:t>
      </w:r>
      <w:r w:rsidRPr="00A2607D">
        <w:rPr>
          <w:rFonts w:ascii="Times New Roman" w:eastAsia="Times New Roman" w:hAnsi="Times New Roman" w:cs="Times New Roman"/>
          <w:b/>
          <w:bCs/>
          <w:sz w:val="36"/>
          <w:szCs w:val="36"/>
        </w:rPr>
        <w:t>of Medical Imaging and AI Approaches</w:t>
      </w:r>
      <w:r w:rsidR="00584E48" w:rsidRPr="00A2607D">
        <w:rPr>
          <w:rFonts w:ascii="Times New Roman" w:eastAsia="Times New Roman" w:hAnsi="Times New Roman" w:cs="Times New Roman"/>
          <w:b/>
          <w:bCs/>
          <w:sz w:val="36"/>
          <w:szCs w:val="36"/>
        </w:rPr>
        <w:t xml:space="preserve"> from 2016 to 2024</w:t>
      </w:r>
    </w:p>
    <w:p w14:paraId="42CFDA17" w14:textId="77777777" w:rsidR="008F15B2" w:rsidRPr="008F15B2" w:rsidRDefault="008F15B2" w:rsidP="008F15B2">
      <w:pPr>
        <w:keepNext/>
        <w:suppressAutoHyphens/>
        <w:autoSpaceDE w:val="0"/>
        <w:autoSpaceDN w:val="0"/>
        <w:adjustRightInd w:val="0"/>
        <w:spacing w:before="240" w:after="240" w:line="240" w:lineRule="auto"/>
        <w:jc w:val="center"/>
        <w:outlineLvl w:val="3"/>
        <w:rPr>
          <w:rFonts w:ascii="Times New Roman" w:eastAsia="Times New Roman" w:hAnsi="Times New Roman" w:cs="Times New Roman"/>
          <w:b/>
          <w:bCs/>
          <w:sz w:val="36"/>
          <w:szCs w:val="36"/>
        </w:rPr>
      </w:pPr>
    </w:p>
    <w:p w14:paraId="0F659E10" w14:textId="1A26960D" w:rsidR="009B2D34" w:rsidRDefault="009B2D34" w:rsidP="008F15B2">
      <w:pPr>
        <w:spacing w:before="240" w:after="240" w:line="240" w:lineRule="auto"/>
        <w:jc w:val="center"/>
        <w:rPr>
          <w:rFonts w:ascii="Times New Roman" w:eastAsia="Times New Roman" w:hAnsi="Times New Roman" w:cs="Times New Roman"/>
          <w:b/>
          <w:bCs/>
          <w:sz w:val="24"/>
          <w:szCs w:val="24"/>
          <w:vertAlign w:val="superscript"/>
          <w:lang w:eastAsia="en-GB"/>
        </w:rPr>
      </w:pPr>
      <w:proofErr w:type="spellStart"/>
      <w:r w:rsidRPr="00586270">
        <w:rPr>
          <w:rFonts w:ascii="Times New Roman" w:eastAsia="Times New Roman" w:hAnsi="Times New Roman" w:cs="Times New Roman"/>
          <w:b/>
          <w:bCs/>
          <w:sz w:val="24"/>
          <w:szCs w:val="24"/>
          <w:lang w:eastAsia="en-GB"/>
        </w:rPr>
        <w:t/>
      </w:r>
      <w:proofErr w:type="spellEnd"/>
      <w:r w:rsidRPr="00586270">
        <w:rPr>
          <w:rFonts w:ascii="Times New Roman" w:eastAsia="Times New Roman" w:hAnsi="Times New Roman" w:cs="Times New Roman"/>
          <w:b/>
          <w:bCs/>
          <w:sz w:val="24"/>
          <w:szCs w:val="24"/>
          <w:lang w:eastAsia="en-GB"/>
        </w:rPr>
        <w:t xml:space="preserve"/>
      </w:r>
      <w:r w:rsidRPr="00586270">
        <w:rPr>
          <w:rFonts w:ascii="Times New Roman" w:eastAsia="Times New Roman" w:hAnsi="Times New Roman" w:cs="Times New Roman"/>
          <w:b/>
          <w:bCs/>
          <w:sz w:val="24"/>
          <w:szCs w:val="24"/>
          <w:vertAlign w:val="superscript"/>
          <w:lang w:eastAsia="en-GB"/>
        </w:rPr>
        <w:t/>
      </w:r>
      <w:r w:rsidR="00586270">
        <w:rPr>
          <w:rFonts w:ascii="Times New Roman" w:eastAsia="Times New Roman" w:hAnsi="Times New Roman" w:cs="Times New Roman"/>
          <w:b/>
          <w:bCs/>
          <w:sz w:val="24"/>
          <w:szCs w:val="24"/>
          <w:vertAlign w:val="superscript"/>
          <w:lang w:eastAsia="en-GB"/>
        </w:rPr>
        <w:t/>
      </w:r>
      <w:r w:rsidRPr="00586270">
        <w:rPr>
          <w:rFonts w:ascii="Times New Roman" w:eastAsia="Times New Roman" w:hAnsi="Times New Roman" w:cs="Times New Roman"/>
          <w:b/>
          <w:bCs/>
          <w:sz w:val="24"/>
          <w:szCs w:val="24"/>
          <w:lang w:eastAsia="en-GB"/>
        </w:rPr>
        <w:t/>
      </w:r>
      <w:r w:rsidR="00F32852" w:rsidRPr="00586270">
        <w:rPr>
          <w:rFonts w:ascii="Times New Roman" w:eastAsia="Times New Roman" w:hAnsi="Times New Roman" w:cs="Times New Roman"/>
          <w:b/>
          <w:bCs/>
          <w:sz w:val="24"/>
          <w:szCs w:val="24"/>
          <w:lang w:eastAsia="en-GB"/>
        </w:rPr>
        <w:t xml:space="preserve"/>
      </w:r>
      <w:r w:rsidR="00C77349">
        <w:rPr>
          <w:rFonts w:ascii="Times New Roman" w:eastAsia="Times New Roman" w:hAnsi="Times New Roman" w:cs="Times New Roman"/>
          <w:b/>
          <w:bCs/>
          <w:sz w:val="24"/>
          <w:szCs w:val="24"/>
          <w:lang w:eastAsia="en-GB"/>
        </w:rPr>
        <w:t/>
      </w:r>
      <w:r w:rsidR="00FD4D4E">
        <w:rPr>
          <w:rFonts w:ascii="Times New Roman" w:eastAsia="Times New Roman" w:hAnsi="Times New Roman" w:cs="Times New Roman"/>
          <w:b/>
          <w:bCs/>
          <w:sz w:val="24"/>
          <w:szCs w:val="24"/>
          <w:lang w:eastAsia="en-GB"/>
        </w:rPr>
        <w:t xml:space="preserve"/>
      </w:r>
      <w:r w:rsidR="00143705" w:rsidRPr="00143705">
        <w:rPr>
          <w:rFonts w:ascii="Times New Roman" w:eastAsia="Times New Roman" w:hAnsi="Times New Roman" w:cs="Times New Roman"/>
          <w:b/>
          <w:bCs/>
          <w:sz w:val="24"/>
          <w:szCs w:val="24"/>
          <w:vertAlign w:val="superscript"/>
          <w:lang w:eastAsia="en-GB"/>
        </w:rPr>
        <w:t/>
      </w:r>
      <w:r w:rsidR="00C77349">
        <w:rPr>
          <w:rFonts w:ascii="Times New Roman" w:eastAsia="Times New Roman" w:hAnsi="Times New Roman" w:cs="Times New Roman"/>
          <w:b/>
          <w:bCs/>
          <w:sz w:val="24"/>
          <w:szCs w:val="24"/>
          <w:lang w:eastAsia="en-GB"/>
        </w:rPr>
        <w:t xml:space="preserve"/>
      </w:r>
      <w:r w:rsidR="004F6C3C">
        <w:rPr>
          <w:rFonts w:ascii="Times New Roman" w:eastAsia="Times New Roman" w:hAnsi="Times New Roman" w:cs="Times New Roman"/>
          <w:b/>
          <w:bCs/>
          <w:sz w:val="24"/>
          <w:szCs w:val="24"/>
          <w:lang w:eastAsia="en-GB"/>
        </w:rPr>
        <w:t/>
      </w:r>
      <w:r w:rsidR="004F6C3C" w:rsidRPr="004F6C3C">
        <w:rPr>
          <w:rFonts w:ascii="Times New Roman" w:eastAsia="Times New Roman" w:hAnsi="Times New Roman" w:cs="Times New Roman"/>
          <w:b/>
          <w:bCs/>
          <w:sz w:val="24"/>
          <w:szCs w:val="24"/>
          <w:vertAlign w:val="superscript"/>
          <w:lang w:eastAsia="en-GB"/>
        </w:rPr>
        <w:t/>
      </w:r>
      <w:r w:rsidR="004F6C3C">
        <w:rPr>
          <w:rFonts w:ascii="Times New Roman" w:eastAsia="Times New Roman" w:hAnsi="Times New Roman" w:cs="Times New Roman"/>
          <w:b/>
          <w:bCs/>
          <w:sz w:val="24"/>
          <w:szCs w:val="24"/>
          <w:lang w:eastAsia="en-GB"/>
        </w:rPr>
        <w:t xml:space="preserve"/>
      </w:r>
      <w:r w:rsidR="00143705">
        <w:rPr>
          <w:rFonts w:ascii="Times New Roman" w:eastAsia="Times New Roman" w:hAnsi="Times New Roman" w:cs="Times New Roman"/>
          <w:b/>
          <w:bCs/>
          <w:sz w:val="24"/>
          <w:szCs w:val="24"/>
          <w:lang w:eastAsia="en-GB"/>
        </w:rPr>
        <w:t xml:space="preserve"/>
      </w:r>
      <w:r w:rsidR="00C77349">
        <w:rPr>
          <w:rFonts w:ascii="Times New Roman" w:eastAsia="Times New Roman" w:hAnsi="Times New Roman" w:cs="Times New Roman"/>
          <w:b/>
          <w:bCs/>
          <w:sz w:val="24"/>
          <w:szCs w:val="24"/>
          <w:lang w:eastAsia="en-GB"/>
        </w:rPr>
        <w:t/>
      </w:r>
      <w:r w:rsidR="00143705">
        <w:rPr>
          <w:rFonts w:ascii="Times New Roman" w:eastAsia="Times New Roman" w:hAnsi="Times New Roman" w:cs="Times New Roman"/>
          <w:b/>
          <w:bCs/>
          <w:sz w:val="24"/>
          <w:szCs w:val="24"/>
          <w:lang w:eastAsia="en-GB"/>
        </w:rPr>
        <w:t xml:space="preserve"/>
      </w:r>
      <w:proofErr w:type="spellStart"/>
      <w:r w:rsidR="00143705">
        <w:rPr>
          <w:rFonts w:ascii="Times New Roman" w:eastAsia="Times New Roman" w:hAnsi="Times New Roman" w:cs="Times New Roman"/>
          <w:b/>
          <w:bCs/>
          <w:sz w:val="24"/>
          <w:szCs w:val="24"/>
          <w:lang w:eastAsia="en-GB"/>
        </w:rPr>
        <w:t/>
      </w:r>
      <w:proofErr w:type="spellEnd"/>
      <w:r w:rsidR="00143705">
        <w:rPr>
          <w:rFonts w:ascii="Times New Roman" w:eastAsia="Times New Roman" w:hAnsi="Times New Roman" w:cs="Times New Roman"/>
          <w:b/>
          <w:bCs/>
          <w:sz w:val="24"/>
          <w:szCs w:val="24"/>
          <w:lang w:eastAsia="en-GB"/>
        </w:rPr>
        <w:t xml:space="preserve"/>
      </w:r>
      <w:r w:rsidR="00143705" w:rsidRPr="00143705">
        <w:rPr>
          <w:rFonts w:ascii="Times New Roman" w:eastAsia="Times New Roman" w:hAnsi="Times New Roman" w:cs="Times New Roman"/>
          <w:b/>
          <w:bCs/>
          <w:sz w:val="24"/>
          <w:szCs w:val="24"/>
          <w:vertAlign w:val="superscript"/>
          <w:lang w:eastAsia="en-GB"/>
        </w:rPr>
        <w:t/>
      </w:r>
      <w:r w:rsidR="00C77349">
        <w:rPr>
          <w:rFonts w:ascii="Times New Roman" w:eastAsia="Times New Roman" w:hAnsi="Times New Roman" w:cs="Times New Roman"/>
          <w:b/>
          <w:bCs/>
          <w:sz w:val="24"/>
          <w:szCs w:val="24"/>
          <w:lang w:eastAsia="en-GB"/>
        </w:rPr>
        <w:t xml:space="preserve"/>
      </w:r>
      <w:r w:rsidR="00F32852" w:rsidRPr="00586270">
        <w:rPr>
          <w:rFonts w:ascii="Times New Roman" w:eastAsia="Times New Roman" w:hAnsi="Times New Roman" w:cs="Times New Roman"/>
          <w:b/>
          <w:bCs/>
          <w:sz w:val="24"/>
          <w:szCs w:val="24"/>
          <w:lang w:eastAsia="en-GB"/>
        </w:rPr>
        <w:t/>
      </w:r>
      <w:r w:rsidR="00143705">
        <w:rPr>
          <w:rFonts w:ascii="Times New Roman" w:eastAsia="Times New Roman" w:hAnsi="Times New Roman" w:cs="Times New Roman"/>
          <w:b/>
          <w:bCs/>
          <w:sz w:val="24"/>
          <w:szCs w:val="24"/>
          <w:vertAlign w:val="superscript"/>
          <w:lang w:eastAsia="en-GB"/>
        </w:rPr>
        <w:t/>
      </w:r>
      <w:r w:rsidR="00F32852" w:rsidRPr="00586270">
        <w:rPr>
          <w:rFonts w:ascii="Times New Roman" w:eastAsia="Times New Roman" w:hAnsi="Times New Roman" w:cs="Times New Roman"/>
          <w:b/>
          <w:bCs/>
          <w:sz w:val="24"/>
          <w:szCs w:val="24"/>
          <w:lang w:eastAsia="en-GB"/>
        </w:rPr>
        <w:t/>
      </w:r>
      <w:r w:rsidRPr="00586270">
        <w:rPr>
          <w:rFonts w:ascii="Times New Roman" w:eastAsia="Times New Roman" w:hAnsi="Times New Roman" w:cs="Times New Roman"/>
          <w:b/>
          <w:bCs/>
          <w:sz w:val="24"/>
          <w:szCs w:val="24"/>
          <w:lang w:eastAsia="en-GB"/>
        </w:rPr>
        <w:t xml:space="preserve"/>
      </w:r>
      <w:proofErr w:type="spellStart"/>
      <w:r w:rsidRPr="00586270">
        <w:rPr>
          <w:rFonts w:ascii="Times New Roman" w:eastAsia="Times New Roman" w:hAnsi="Times New Roman" w:cs="Times New Roman"/>
          <w:b/>
          <w:bCs/>
          <w:sz w:val="24"/>
          <w:szCs w:val="24"/>
          <w:lang w:eastAsia="en-GB"/>
        </w:rPr>
        <w:t/>
      </w:r>
      <w:proofErr w:type="spellEnd"/>
      <w:r w:rsidRPr="00586270">
        <w:rPr>
          <w:rFonts w:ascii="Times New Roman" w:eastAsia="Times New Roman" w:hAnsi="Times New Roman" w:cs="Times New Roman"/>
          <w:b/>
          <w:bCs/>
          <w:sz w:val="24"/>
          <w:szCs w:val="24"/>
          <w:lang w:eastAsia="en-GB"/>
        </w:rPr>
        <w:t xml:space="preserve"/>
      </w:r>
      <w:r w:rsidR="00143705">
        <w:rPr>
          <w:rFonts w:ascii="Times New Roman" w:eastAsia="Times New Roman" w:hAnsi="Times New Roman" w:cs="Times New Roman"/>
          <w:b/>
          <w:bCs/>
          <w:sz w:val="24"/>
          <w:szCs w:val="24"/>
          <w:vertAlign w:val="superscript"/>
          <w:lang w:eastAsia="en-GB"/>
        </w:rPr>
        <w:t/>
      </w:r>
      <w:r w:rsidR="00BF2214">
        <w:rPr>
          <w:rFonts w:ascii="Times New Roman" w:eastAsia="Times New Roman" w:hAnsi="Times New Roman" w:cs="Times New Roman"/>
          <w:b/>
          <w:bCs/>
          <w:sz w:val="24"/>
          <w:szCs w:val="24"/>
          <w:lang w:eastAsia="en-GB"/>
        </w:rPr>
        <w:t xml:space="preserve"/>
      </w:r>
      <w:r w:rsidR="00BF2214" w:rsidRPr="00BF2214">
        <w:rPr>
          <w:rFonts w:ascii="Times New Roman" w:eastAsia="Times New Roman" w:hAnsi="Times New Roman" w:cs="Times New Roman"/>
          <w:b/>
          <w:bCs/>
          <w:sz w:val="24"/>
          <w:szCs w:val="24"/>
          <w:lang w:eastAsia="en-GB"/>
        </w:rPr>
        <w:t/>
      </w:r>
      <w:r w:rsidR="00BF2214">
        <w:rPr>
          <w:rFonts w:ascii="Times New Roman" w:eastAsia="Times New Roman" w:hAnsi="Times New Roman" w:cs="Times New Roman"/>
          <w:b/>
          <w:bCs/>
          <w:sz w:val="24"/>
          <w:szCs w:val="24"/>
          <w:vertAlign w:val="superscript"/>
          <w:lang w:eastAsia="en-GB"/>
        </w:rPr>
        <w:t/>
      </w:r>
    </w:p>
    <w:p w14:paraId="3D39B362" w14:textId="77777777" w:rsidR="008F15B2" w:rsidRPr="008F15B2" w:rsidRDefault="008F15B2" w:rsidP="008F15B2">
      <w:pPr>
        <w:spacing w:before="240" w:after="240" w:line="240" w:lineRule="auto"/>
        <w:jc w:val="center"/>
        <w:rPr>
          <w:rFonts w:ascii="Times New Roman" w:eastAsia="Times New Roman" w:hAnsi="Times New Roman" w:cs="Times New Roman"/>
          <w:b/>
          <w:bCs/>
          <w:sz w:val="24"/>
          <w:szCs w:val="24"/>
          <w:lang w:eastAsia="en-GB"/>
        </w:rPr>
      </w:pPr>
    </w:p>
    <w:p w14:paraId="0EC38ED5" w14:textId="7C7DC905" w:rsidR="005B76A7" w:rsidRDefault="009B2D34" w:rsidP="000931A3">
      <w:pPr>
        <w:spacing w:before="240" w:after="240" w:line="240" w:lineRule="auto"/>
        <w:jc w:val="center"/>
        <w:rPr>
          <w:rFonts w:ascii="Times New Roman" w:eastAsia="Times New Roman" w:hAnsi="Times New Roman" w:cs="Times New Roman"/>
          <w:i/>
          <w:sz w:val="24"/>
          <w:szCs w:val="24"/>
          <w:vertAlign w:val="superscript"/>
          <w:lang w:eastAsia="en-GB"/>
        </w:rPr>
      </w:pPr>
      <w:r w:rsidRPr="00F704AE">
        <w:rPr>
          <w:rFonts w:ascii="Times New Roman" w:eastAsia="Times New Roman" w:hAnsi="Times New Roman" w:cs="Times New Roman"/>
          <w:i/>
          <w:sz w:val="24"/>
          <w:szCs w:val="24"/>
          <w:vertAlign w:val="superscript"/>
          <w:lang w:eastAsia="en-GB"/>
        </w:rPr>
        <w:t xml:space="preserve"/>
      </w:r>
      <w:r w:rsidR="005B76A7" w:rsidRPr="00F704AE">
        <w:rPr>
          <w:rFonts w:ascii="Times New Roman" w:eastAsia="Times New Roman" w:hAnsi="Times New Roman" w:cs="Times New Roman"/>
          <w:i/>
          <w:sz w:val="24"/>
          <w:szCs w:val="24"/>
          <w:lang w:eastAsia="en-GB"/>
        </w:rPr>
        <w:t xml:space="preserve"/>
      </w:r>
      <w:proofErr w:type="spellStart"/>
      <w:r w:rsidR="005B76A7" w:rsidRPr="00F704AE">
        <w:rPr>
          <w:rFonts w:ascii="Times New Roman" w:eastAsia="Times New Roman" w:hAnsi="Times New Roman" w:cs="Times New Roman"/>
          <w:i/>
          <w:sz w:val="24"/>
          <w:szCs w:val="24"/>
          <w:lang w:eastAsia="en-GB"/>
        </w:rPr>
        <w:t/>
      </w:r>
      <w:proofErr w:type="spellEnd"/>
      <w:r w:rsidR="005B76A7" w:rsidRPr="00F704AE">
        <w:rPr>
          <w:rFonts w:ascii="Times New Roman" w:eastAsia="Times New Roman" w:hAnsi="Times New Roman" w:cs="Times New Roman"/>
          <w:i/>
          <w:sz w:val="24"/>
          <w:szCs w:val="24"/>
          <w:lang w:eastAsia="en-GB"/>
        </w:rPr>
        <w:t xml:space="preserve"/>
      </w:r>
      <w:r w:rsidR="004F0E01" w:rsidRPr="004F0E01">
        <w:rPr>
          <w:rFonts w:ascii="Times New Roman" w:eastAsia="Times New Roman" w:hAnsi="Times New Roman" w:cs="Times New Roman"/>
          <w:i/>
          <w:sz w:val="24"/>
          <w:szCs w:val="24"/>
          <w:lang w:eastAsia="en-GB"/>
        </w:rPr>
        <w:t/>
      </w:r>
      <w:r w:rsidR="004F0E01">
        <w:rPr>
          <w:rFonts w:ascii="Times New Roman" w:eastAsia="Times New Roman" w:hAnsi="Times New Roman" w:cs="Times New Roman"/>
          <w:i/>
          <w:sz w:val="24"/>
          <w:szCs w:val="24"/>
          <w:lang w:eastAsia="en-GB"/>
        </w:rPr>
        <w:t xml:space="preserve"/>
      </w:r>
      <w:r w:rsidR="005B76A7" w:rsidRPr="00F704AE">
        <w:rPr>
          <w:rFonts w:ascii="Times New Roman" w:eastAsia="Times New Roman" w:hAnsi="Times New Roman" w:cs="Times New Roman"/>
          <w:i/>
          <w:sz w:val="24"/>
          <w:szCs w:val="24"/>
          <w:lang w:eastAsia="en-GB"/>
        </w:rPr>
        <w:t/>
      </w:r>
      <w:r w:rsidR="005B76A7" w:rsidRPr="00F704AE">
        <w:rPr>
          <w:rFonts w:ascii="Times New Roman" w:eastAsia="Times New Roman" w:hAnsi="Times New Roman" w:cs="Times New Roman"/>
          <w:i/>
          <w:sz w:val="24"/>
          <w:szCs w:val="24"/>
          <w:vertAlign w:val="superscript"/>
          <w:lang w:eastAsia="en-GB"/>
        </w:rPr>
        <w:t xml:space="preserve"/>
      </w:r>
    </w:p>
    <w:p w14:paraId="3DA215F5" w14:textId="35315EF5" w:rsidR="00C37236" w:rsidRPr="00C37236" w:rsidRDefault="00C37236" w:rsidP="000931A3">
      <w:pPr>
        <w:spacing w:before="240" w:after="240" w:line="240" w:lineRule="auto"/>
        <w:jc w:val="center"/>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vertAlign w:val="superscript"/>
          <w:lang w:eastAsia="en-GB"/>
        </w:rPr>
        <w:t/>
      </w:r>
      <w:r w:rsidRPr="00C37236">
        <w:rPr>
          <w:rFonts w:ascii="Times New Roman" w:eastAsia="Times New Roman" w:hAnsi="Times New Roman" w:cs="Times New Roman"/>
          <w:i/>
          <w:sz w:val="24"/>
          <w:szCs w:val="24"/>
          <w:lang w:eastAsia="en-GB"/>
        </w:rPr>
        <w:t xml:space="preserve"/>
      </w:r>
      <w:r w:rsidR="00CF0846">
        <w:rPr>
          <w:rFonts w:ascii="Times New Roman" w:eastAsia="Times New Roman" w:hAnsi="Times New Roman" w:cs="Times New Roman"/>
          <w:i/>
          <w:sz w:val="24"/>
          <w:szCs w:val="24"/>
          <w:lang w:eastAsia="en-GB"/>
        </w:rPr>
        <w:t/>
      </w:r>
      <w:r w:rsidR="00A5796A">
        <w:rPr>
          <w:rFonts w:ascii="Times New Roman" w:eastAsia="Times New Roman" w:hAnsi="Times New Roman" w:cs="Times New Roman"/>
          <w:i/>
          <w:sz w:val="24"/>
          <w:szCs w:val="24"/>
          <w:lang w:eastAsia="en-GB"/>
        </w:rPr>
        <w:t/>
      </w:r>
      <w:r w:rsidR="00CF0846">
        <w:rPr>
          <w:rFonts w:ascii="Times New Roman" w:eastAsia="Times New Roman" w:hAnsi="Times New Roman" w:cs="Times New Roman"/>
          <w:i/>
          <w:sz w:val="24"/>
          <w:szCs w:val="24"/>
          <w:lang w:eastAsia="en-GB"/>
        </w:rPr>
        <w:t xml:space="preserve"/>
      </w:r>
      <w:r w:rsidR="00FA0AF0">
        <w:rPr>
          <w:rFonts w:ascii="Times New Roman" w:eastAsia="Times New Roman" w:hAnsi="Times New Roman" w:cs="Times New Roman"/>
          <w:i/>
          <w:sz w:val="24"/>
          <w:szCs w:val="24"/>
          <w:lang w:eastAsia="en-GB"/>
        </w:rPr>
        <w:t/>
      </w:r>
      <w:r w:rsidRPr="00C37236">
        <w:rPr>
          <w:rFonts w:ascii="Times New Roman" w:eastAsia="Times New Roman" w:hAnsi="Times New Roman" w:cs="Times New Roman"/>
          <w:i/>
          <w:sz w:val="24"/>
          <w:szCs w:val="24"/>
          <w:lang w:eastAsia="en-GB"/>
        </w:rPr>
        <w:t xml:space="preserve"/>
      </w:r>
      <w:proofErr w:type="spellStart"/>
      <w:r w:rsidRPr="00C37236">
        <w:rPr>
          <w:rFonts w:ascii="Times New Roman" w:eastAsia="Times New Roman" w:hAnsi="Times New Roman" w:cs="Times New Roman"/>
          <w:i/>
          <w:sz w:val="24"/>
          <w:szCs w:val="24"/>
          <w:lang w:eastAsia="en-GB"/>
        </w:rPr>
        <w:t/>
      </w:r>
      <w:proofErr w:type="spellEnd"/>
      <w:r w:rsidRPr="00C37236">
        <w:rPr>
          <w:rFonts w:ascii="Times New Roman" w:eastAsia="Times New Roman" w:hAnsi="Times New Roman" w:cs="Times New Roman"/>
          <w:i/>
          <w:sz w:val="24"/>
          <w:szCs w:val="24"/>
          <w:lang w:eastAsia="en-GB"/>
        </w:rPr>
        <w:t xml:space="preserve"/>
      </w:r>
      <w:r w:rsidR="004F0E01">
        <w:rPr>
          <w:rFonts w:ascii="Times New Roman" w:eastAsia="Times New Roman" w:hAnsi="Times New Roman" w:cs="Times New Roman"/>
          <w:i/>
          <w:sz w:val="24"/>
          <w:szCs w:val="24"/>
          <w:lang w:eastAsia="en-GB"/>
        </w:rPr>
        <w:t xml:space="preserve"/>
      </w:r>
      <w:r w:rsidR="004F0E01" w:rsidRPr="004F0E01">
        <w:rPr>
          <w:rFonts w:ascii="Times New Roman" w:eastAsia="Times New Roman" w:hAnsi="Times New Roman" w:cs="Times New Roman"/>
          <w:i/>
          <w:sz w:val="24"/>
          <w:szCs w:val="24"/>
          <w:lang w:eastAsia="en-GB"/>
        </w:rPr>
        <w:t/>
      </w:r>
      <w:r w:rsidR="00EF3ACF">
        <w:rPr>
          <w:rFonts w:ascii="Times New Roman" w:eastAsia="Times New Roman" w:hAnsi="Times New Roman" w:cs="Times New Roman"/>
          <w:i/>
          <w:sz w:val="24"/>
          <w:szCs w:val="24"/>
          <w:lang w:eastAsia="en-GB"/>
        </w:rPr>
        <w:t xml:space="preserve"/>
      </w:r>
      <w:r w:rsidRPr="00C37236">
        <w:rPr>
          <w:rFonts w:ascii="Times New Roman" w:eastAsia="Times New Roman" w:hAnsi="Times New Roman" w:cs="Times New Roman"/>
          <w:i/>
          <w:sz w:val="24"/>
          <w:szCs w:val="24"/>
          <w:lang w:eastAsia="en-GB"/>
        </w:rPr>
        <w:t/>
      </w:r>
    </w:p>
    <w:p w14:paraId="2B688F2D" w14:textId="280B466D" w:rsidR="009B2D34" w:rsidRPr="00F704AE" w:rsidRDefault="00C37236" w:rsidP="000931A3">
      <w:pPr>
        <w:spacing w:before="240" w:after="240" w:line="240" w:lineRule="auto"/>
        <w:jc w:val="center"/>
        <w:rPr>
          <w:rFonts w:ascii="Times New Roman" w:eastAsia="Times New Roman" w:hAnsi="Times New Roman" w:cs="Times New Roman"/>
          <w:b/>
          <w:i/>
          <w:sz w:val="24"/>
          <w:szCs w:val="24"/>
          <w:lang w:eastAsia="en-GB"/>
        </w:rPr>
      </w:pPr>
      <w:r>
        <w:rPr>
          <w:rFonts w:ascii="Times New Roman" w:eastAsia="Times New Roman" w:hAnsi="Times New Roman" w:cs="Times New Roman"/>
          <w:i/>
          <w:sz w:val="24"/>
          <w:szCs w:val="24"/>
          <w:vertAlign w:val="superscript"/>
          <w:lang w:eastAsia="en-GB"/>
        </w:rPr>
        <w:t/>
      </w:r>
      <w:r w:rsidR="005B76A7" w:rsidRPr="00F704AE">
        <w:rPr>
          <w:rFonts w:ascii="Times New Roman" w:eastAsia="Times New Roman" w:hAnsi="Times New Roman" w:cs="Times New Roman"/>
          <w:i/>
          <w:sz w:val="24"/>
          <w:szCs w:val="24"/>
          <w:vertAlign w:val="superscript"/>
          <w:lang w:eastAsia="en-GB"/>
        </w:rPr>
        <w:t xml:space="preserve"/>
      </w:r>
      <w:r w:rsidR="009B2D34" w:rsidRPr="00F704AE">
        <w:rPr>
          <w:rFonts w:ascii="Times New Roman" w:eastAsia="Times New Roman" w:hAnsi="Times New Roman" w:cs="Times New Roman"/>
          <w:i/>
          <w:sz w:val="24"/>
          <w:szCs w:val="24"/>
          <w:lang w:eastAsia="en-GB"/>
        </w:rPr>
        <w:t xml:space="preserve"/>
      </w:r>
      <w:proofErr w:type="spellStart"/>
      <w:r w:rsidR="009B2D34" w:rsidRPr="00F704AE">
        <w:rPr>
          <w:rFonts w:ascii="Times New Roman" w:eastAsia="Times New Roman" w:hAnsi="Times New Roman" w:cs="Times New Roman"/>
          <w:i/>
          <w:sz w:val="24"/>
          <w:szCs w:val="24"/>
          <w:lang w:eastAsia="en-GB"/>
        </w:rPr>
        <w:t/>
      </w:r>
      <w:proofErr w:type="spellEnd"/>
      <w:r w:rsidR="009B2D34" w:rsidRPr="00F704AE">
        <w:rPr>
          <w:rFonts w:ascii="Times New Roman" w:eastAsia="Times New Roman" w:hAnsi="Times New Roman" w:cs="Times New Roman"/>
          <w:i/>
          <w:sz w:val="24"/>
          <w:szCs w:val="24"/>
          <w:lang w:eastAsia="en-GB"/>
        </w:rPr>
        <w:t xml:space="preserve"/>
      </w:r>
      <w:r w:rsidR="004F0E01" w:rsidRPr="004F0E01">
        <w:rPr>
          <w:rFonts w:ascii="Times New Roman" w:eastAsia="Times New Roman" w:hAnsi="Times New Roman" w:cs="Times New Roman"/>
          <w:i/>
          <w:sz w:val="24"/>
          <w:szCs w:val="24"/>
          <w:lang w:eastAsia="en-GB"/>
        </w:rPr>
        <w:t/>
      </w:r>
      <w:r w:rsidR="004F0E01">
        <w:rPr>
          <w:rFonts w:ascii="Times New Roman" w:eastAsia="Times New Roman" w:hAnsi="Times New Roman" w:cs="Times New Roman"/>
          <w:i/>
          <w:sz w:val="24"/>
          <w:szCs w:val="24"/>
          <w:lang w:eastAsia="en-GB"/>
        </w:rPr>
        <w:t xml:space="preserve"/>
      </w:r>
      <w:r w:rsidR="009B2D34" w:rsidRPr="00F704AE">
        <w:rPr>
          <w:rFonts w:ascii="Times New Roman" w:eastAsia="Times New Roman" w:hAnsi="Times New Roman" w:cs="Times New Roman"/>
          <w:i/>
          <w:sz w:val="24"/>
          <w:szCs w:val="24"/>
          <w:lang w:eastAsia="en-GB"/>
        </w:rPr>
        <w:t/>
      </w:r>
    </w:p>
    <w:p w14:paraId="65498B09" w14:textId="39535CAD" w:rsidR="009B2D34" w:rsidRDefault="00C37236" w:rsidP="000931A3">
      <w:pPr>
        <w:spacing w:before="240" w:after="240" w:line="240" w:lineRule="auto"/>
        <w:jc w:val="center"/>
        <w:rPr>
          <w:rFonts w:ascii="Times New Roman" w:eastAsia="Times New Roman" w:hAnsi="Times New Roman" w:cs="Times New Roman"/>
          <w:bCs/>
          <w:i/>
          <w:sz w:val="24"/>
          <w:szCs w:val="24"/>
          <w:lang w:eastAsia="en-GB"/>
        </w:rPr>
      </w:pPr>
      <w:r>
        <w:rPr>
          <w:rFonts w:ascii="Times New Roman" w:eastAsia="Times New Roman" w:hAnsi="Times New Roman" w:cs="Times New Roman"/>
          <w:bCs/>
          <w:i/>
          <w:sz w:val="24"/>
          <w:szCs w:val="24"/>
          <w:vertAlign w:val="superscript"/>
          <w:lang w:eastAsia="en-GB"/>
        </w:rPr>
        <w:t/>
      </w:r>
      <w:r w:rsidR="009B2D34" w:rsidRPr="00F704AE">
        <w:rPr>
          <w:rFonts w:ascii="Times New Roman" w:eastAsia="Times New Roman" w:hAnsi="Times New Roman" w:cs="Times New Roman"/>
          <w:bCs/>
          <w:i/>
          <w:sz w:val="24"/>
          <w:szCs w:val="24"/>
          <w:lang w:eastAsia="en-GB"/>
        </w:rPr>
        <w:t xml:space="preserve"/>
      </w:r>
      <w:proofErr w:type="spellStart"/>
      <w:r w:rsidR="009B2D34" w:rsidRPr="00F704AE">
        <w:rPr>
          <w:rFonts w:ascii="Times New Roman" w:eastAsia="Times New Roman" w:hAnsi="Times New Roman" w:cs="Times New Roman"/>
          <w:bCs/>
          <w:i/>
          <w:sz w:val="24"/>
          <w:szCs w:val="24"/>
          <w:lang w:eastAsia="en-GB"/>
        </w:rPr>
        <w:t/>
      </w:r>
      <w:proofErr w:type="spellEnd"/>
      <w:r w:rsidR="009B2D34" w:rsidRPr="00F704AE">
        <w:rPr>
          <w:rFonts w:ascii="Times New Roman" w:eastAsia="Times New Roman" w:hAnsi="Times New Roman" w:cs="Times New Roman"/>
          <w:bCs/>
          <w:i/>
          <w:sz w:val="24"/>
          <w:szCs w:val="24"/>
          <w:lang w:eastAsia="en-GB"/>
        </w:rPr>
        <w:t xml:space="preserve"/>
      </w:r>
    </w:p>
    <w:p w14:paraId="67982DD7" w14:textId="3124AFA2" w:rsidR="00C37236" w:rsidRPr="00F704AE" w:rsidRDefault="00C37236" w:rsidP="000931A3">
      <w:pPr>
        <w:spacing w:before="240" w:after="240" w:line="240" w:lineRule="auto"/>
        <w:jc w:val="center"/>
        <w:rPr>
          <w:rFonts w:ascii="Times New Roman" w:eastAsia="Times New Roman" w:hAnsi="Times New Roman" w:cs="Times New Roman"/>
          <w:bCs/>
          <w:i/>
          <w:sz w:val="24"/>
          <w:szCs w:val="24"/>
          <w:lang w:eastAsia="en-GB"/>
        </w:rPr>
      </w:pPr>
      <w:r w:rsidRPr="00C37236">
        <w:rPr>
          <w:rFonts w:ascii="Times New Roman" w:eastAsia="Times New Roman" w:hAnsi="Times New Roman" w:cs="Times New Roman"/>
          <w:bCs/>
          <w:i/>
          <w:sz w:val="24"/>
          <w:szCs w:val="24"/>
          <w:vertAlign w:val="superscript"/>
          <w:lang w:eastAsia="en-GB"/>
        </w:rPr>
        <w:t/>
      </w:r>
      <w:r w:rsidRPr="00C37236">
        <w:rPr>
          <w:rFonts w:ascii="Times New Roman" w:eastAsia="Times New Roman" w:hAnsi="Times New Roman" w:cs="Times New Roman"/>
          <w:bCs/>
          <w:i/>
          <w:sz w:val="24"/>
          <w:szCs w:val="24"/>
          <w:lang w:eastAsia="en-GB"/>
        </w:rPr>
        <w:t xml:space="preserve"/>
      </w:r>
      <w:proofErr w:type="spellStart"/>
      <w:r w:rsidRPr="00C37236">
        <w:rPr>
          <w:rFonts w:ascii="Times New Roman" w:eastAsia="Times New Roman" w:hAnsi="Times New Roman" w:cs="Times New Roman"/>
          <w:bCs/>
          <w:i/>
          <w:sz w:val="24"/>
          <w:szCs w:val="24"/>
          <w:lang w:eastAsia="en-GB"/>
        </w:rPr>
        <w:t/>
      </w:r>
      <w:proofErr w:type="spellEnd"/>
      <w:r w:rsidRPr="00C37236">
        <w:rPr>
          <w:rFonts w:ascii="Times New Roman" w:eastAsia="Times New Roman" w:hAnsi="Times New Roman" w:cs="Times New Roman"/>
          <w:bCs/>
          <w:i/>
          <w:sz w:val="24"/>
          <w:szCs w:val="24"/>
          <w:lang w:eastAsia="en-GB"/>
        </w:rPr>
        <w:t xml:space="preserve"/>
      </w:r>
    </w:p>
    <w:p w14:paraId="5E7C8AA1" w14:textId="33F23C43" w:rsidR="009B2D34" w:rsidRPr="00C3231C" w:rsidRDefault="009B2D34" w:rsidP="00C3231C">
      <w:pPr>
        <w:spacing w:before="240" w:after="240" w:line="240" w:lineRule="auto"/>
        <w:jc w:val="center"/>
        <w:rPr>
          <w:rFonts w:ascii="Times New Roman" w:eastAsia="Times New Roman" w:hAnsi="Times New Roman" w:cs="Times New Roman"/>
          <w:b/>
          <w:i/>
          <w:sz w:val="24"/>
          <w:szCs w:val="24"/>
          <w:lang w:eastAsia="en-GB"/>
        </w:rPr>
      </w:pPr>
      <w:r w:rsidRPr="00F704AE">
        <w:rPr>
          <w:rFonts w:ascii="Times New Roman" w:eastAsia="Times New Roman" w:hAnsi="Times New Roman" w:cs="Times New Roman"/>
          <w:i/>
          <w:sz w:val="24"/>
          <w:szCs w:val="24"/>
          <w:lang w:eastAsia="en-GB"/>
        </w:rPr>
        <w:t xml:space="preserve"/>
      </w:r>
      <w:r w:rsidR="005B76A7" w:rsidRPr="00F704AE">
        <w:rPr>
          <w:rFonts w:ascii="Times New Roman" w:eastAsia="Times New Roman" w:hAnsi="Times New Roman" w:cs="Times New Roman"/>
          <w:i/>
          <w:sz w:val="24"/>
          <w:szCs w:val="24"/>
          <w:lang w:eastAsia="en-GB"/>
        </w:rPr>
        <w:t/>
      </w:r>
      <w:r w:rsidRPr="00F704AE">
        <w:rPr>
          <w:rFonts w:ascii="Times New Roman" w:eastAsia="Times New Roman" w:hAnsi="Times New Roman" w:cs="Times New Roman"/>
          <w:i/>
          <w:sz w:val="24"/>
          <w:szCs w:val="24"/>
          <w:lang w:eastAsia="en-GB"/>
        </w:rPr>
        <w:t/>
      </w:r>
    </w:p>
    <w:p w14:paraId="575363C8" w14:textId="77777777" w:rsidR="00DB58AD" w:rsidRDefault="00DB58AD" w:rsidP="000931A3">
      <w:pPr>
        <w:spacing w:before="240" w:after="240" w:line="240" w:lineRule="auto"/>
        <w:jc w:val="both"/>
        <w:rPr>
          <w:rFonts w:ascii="Times New Roman" w:eastAsia="Times New Roman" w:hAnsi="Times New Roman" w:cs="Times New Roman"/>
          <w:b/>
          <w:sz w:val="24"/>
          <w:szCs w:val="24"/>
          <w:lang w:eastAsia="en-GB"/>
        </w:rPr>
      </w:pPr>
    </w:p>
    <w:p w14:paraId="69919FAA"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2FFAF32B"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0A73A468"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1ACA9F5B"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1DE4EEF6"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686A8276"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1EC92937"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53A4D8F3"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5797F2AB"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312C99A0"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1D06329D"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0627DF2D" w14:textId="77777777" w:rsidR="008F15B2" w:rsidRDefault="008F15B2" w:rsidP="000931A3">
      <w:pPr>
        <w:spacing w:before="240" w:after="240" w:line="240" w:lineRule="auto"/>
        <w:jc w:val="both"/>
        <w:rPr>
          <w:rFonts w:ascii="Times New Roman" w:eastAsia="Times New Roman" w:hAnsi="Times New Roman" w:cs="Times New Roman"/>
          <w:b/>
          <w:sz w:val="28"/>
          <w:szCs w:val="28"/>
          <w:lang w:eastAsia="en-GB"/>
        </w:rPr>
      </w:pPr>
    </w:p>
    <w:p w14:paraId="509B173C" w14:textId="11D07BBE" w:rsidR="00CC455F" w:rsidRPr="0063173B" w:rsidRDefault="0063173B" w:rsidP="000931A3">
      <w:pPr>
        <w:spacing w:before="240" w:after="240" w:line="240" w:lineRule="auto"/>
        <w:jc w:val="both"/>
        <w:rPr>
          <w:rFonts w:ascii="Times New Roman" w:eastAsia="Times New Roman" w:hAnsi="Times New Roman" w:cs="Times New Roman"/>
          <w:b/>
          <w:sz w:val="28"/>
          <w:szCs w:val="28"/>
          <w:lang w:eastAsia="en-GB"/>
        </w:rPr>
      </w:pPr>
      <w:r w:rsidRPr="0063173B">
        <w:rPr>
          <w:rFonts w:ascii="Times New Roman" w:eastAsia="Times New Roman" w:hAnsi="Times New Roman" w:cs="Times New Roman"/>
          <w:b/>
          <w:sz w:val="28"/>
          <w:szCs w:val="28"/>
          <w:lang w:eastAsia="en-GB"/>
        </w:rPr>
        <w:lastRenderedPageBreak/>
        <w:t>ABSTRACT</w:t>
      </w:r>
    </w:p>
    <w:p w14:paraId="69F6AE01" w14:textId="7133CEF9" w:rsidR="007136B8" w:rsidRPr="00F704AE" w:rsidRDefault="0071573E" w:rsidP="000931A3">
      <w:pPr>
        <w:spacing w:before="240" w:after="240" w:line="240" w:lineRule="auto"/>
        <w:jc w:val="both"/>
        <w:rPr>
          <w:rFonts w:ascii="Times New Roman" w:eastAsia="Times New Roman" w:hAnsi="Times New Roman" w:cs="Times New Roman"/>
          <w:i/>
          <w:iCs/>
          <w:sz w:val="24"/>
          <w:szCs w:val="24"/>
          <w:lang w:eastAsia="en-GB"/>
        </w:rPr>
      </w:pPr>
      <w:r w:rsidRPr="00F704AE">
        <w:rPr>
          <w:rFonts w:ascii="Times New Roman" w:eastAsia="Times New Roman" w:hAnsi="Times New Roman" w:cs="Times New Roman"/>
          <w:i/>
          <w:iCs/>
          <w:sz w:val="24"/>
          <w:szCs w:val="24"/>
          <w:lang w:eastAsia="en-GB"/>
        </w:rPr>
        <w:t xml:space="preserve">Aim: </w:t>
      </w:r>
      <w:r w:rsidR="007136B8" w:rsidRPr="00F704AE">
        <w:rPr>
          <w:rFonts w:ascii="Times New Roman" w:eastAsia="Times New Roman" w:hAnsi="Times New Roman" w:cs="Times New Roman"/>
          <w:i/>
          <w:iCs/>
          <w:sz w:val="24"/>
          <w:szCs w:val="24"/>
          <w:lang w:eastAsia="en-GB"/>
        </w:rPr>
        <w:t>This bibliometric analysis aims to map global research trends and patterns in artificial intelligence applications for glaucoma detection using medical imaging from 2016 to 2024, by examining annual publication trends, influential journals and documents, keyword themes, institutional contributions, and collaboration networks to identify evolving AI techniques in ophthalmic diagnostics and guide future research directions</w:t>
      </w:r>
    </w:p>
    <w:p w14:paraId="110CA4FA" w14:textId="3527E346" w:rsidR="00CC455F" w:rsidRPr="00F704AE" w:rsidRDefault="00CC455F" w:rsidP="000931A3">
      <w:pPr>
        <w:spacing w:before="240" w:after="240" w:line="240" w:lineRule="auto"/>
        <w:jc w:val="both"/>
        <w:rPr>
          <w:rFonts w:ascii="Times New Roman" w:eastAsia="Times New Roman" w:hAnsi="Times New Roman" w:cs="Times New Roman"/>
          <w:i/>
          <w:iCs/>
          <w:sz w:val="24"/>
          <w:szCs w:val="24"/>
          <w:lang w:eastAsia="en-GB"/>
        </w:rPr>
      </w:pPr>
      <w:r w:rsidRPr="00F704AE">
        <w:rPr>
          <w:rFonts w:ascii="Times New Roman" w:eastAsia="Times New Roman" w:hAnsi="Times New Roman" w:cs="Times New Roman"/>
          <w:i/>
          <w:iCs/>
          <w:sz w:val="24"/>
          <w:szCs w:val="24"/>
          <w:lang w:eastAsia="en-GB"/>
        </w:rPr>
        <w:t xml:space="preserve">Background: Glaucoma, a leading cause of irreversible blindness, demands early detection through medical imaging like OCT and fundus photography, </w:t>
      </w:r>
      <w:proofErr w:type="gramStart"/>
      <w:r w:rsidRPr="00F704AE">
        <w:rPr>
          <w:rFonts w:ascii="Times New Roman" w:eastAsia="Times New Roman" w:hAnsi="Times New Roman" w:cs="Times New Roman"/>
          <w:i/>
          <w:iCs/>
          <w:sz w:val="24"/>
          <w:szCs w:val="24"/>
          <w:lang w:eastAsia="en-GB"/>
        </w:rPr>
        <w:t>where</w:t>
      </w:r>
      <w:proofErr w:type="gramEnd"/>
      <w:r w:rsidRPr="00F704AE">
        <w:rPr>
          <w:rFonts w:ascii="Times New Roman" w:eastAsia="Times New Roman" w:hAnsi="Times New Roman" w:cs="Times New Roman"/>
          <w:i/>
          <w:iCs/>
          <w:sz w:val="24"/>
          <w:szCs w:val="24"/>
          <w:lang w:eastAsia="en-GB"/>
        </w:rPr>
        <w:t xml:space="preserve"> AI integration addresses limitations in traditional diagnostics. This bibliometric analysis maps global research trends in AI-driven glaucoma detection from 2016 to 2024.</w:t>
      </w:r>
    </w:p>
    <w:p w14:paraId="05515B79" w14:textId="5646B252" w:rsidR="00CC455F" w:rsidRPr="00F704AE" w:rsidRDefault="00CC455F" w:rsidP="000931A3">
      <w:pPr>
        <w:spacing w:before="240" w:after="240" w:line="240" w:lineRule="auto"/>
        <w:jc w:val="both"/>
        <w:rPr>
          <w:rFonts w:ascii="Times New Roman" w:eastAsia="Times New Roman" w:hAnsi="Times New Roman" w:cs="Times New Roman"/>
          <w:i/>
          <w:iCs/>
          <w:sz w:val="24"/>
          <w:szCs w:val="24"/>
          <w:lang w:eastAsia="en-GB"/>
        </w:rPr>
      </w:pPr>
      <w:r w:rsidRPr="00F704AE">
        <w:rPr>
          <w:rFonts w:ascii="Times New Roman" w:eastAsia="Times New Roman" w:hAnsi="Times New Roman" w:cs="Times New Roman"/>
          <w:i/>
          <w:iCs/>
          <w:sz w:val="24"/>
          <w:szCs w:val="24"/>
          <w:lang w:eastAsia="en-GB"/>
        </w:rPr>
        <w:t>Methods: A systematic Scopus search on January 10, 2025, yielded 3,853 articles, refined to 2,193 relevant records from 541 sources and 6,711 authors after filtering for English articles. Analysis via RStudio covered publication trends, citations, keywords, affiliations, and thematic networks.</w:t>
      </w:r>
    </w:p>
    <w:p w14:paraId="1D2ED3A7" w14:textId="76000EE6" w:rsidR="00CC455F" w:rsidRPr="00772220" w:rsidRDefault="00CC455F" w:rsidP="000931A3">
      <w:pPr>
        <w:spacing w:before="240" w:after="240" w:line="240" w:lineRule="auto"/>
        <w:jc w:val="both"/>
        <w:rPr>
          <w:rFonts w:ascii="Times New Roman" w:eastAsia="Times New Roman" w:hAnsi="Times New Roman" w:cs="Times New Roman"/>
          <w:i/>
          <w:iCs/>
          <w:sz w:val="24"/>
          <w:szCs w:val="24"/>
          <w:lang w:eastAsia="en-GB"/>
        </w:rPr>
      </w:pPr>
      <w:r w:rsidRPr="00772220">
        <w:rPr>
          <w:rFonts w:ascii="Times New Roman" w:eastAsia="Times New Roman" w:hAnsi="Times New Roman" w:cs="Times New Roman"/>
          <w:i/>
          <w:iCs/>
          <w:sz w:val="24"/>
          <w:szCs w:val="24"/>
          <w:lang w:eastAsia="en-GB"/>
        </w:rPr>
        <w:t xml:space="preserve">Results: </w:t>
      </w:r>
      <w:r w:rsidR="00772220" w:rsidRPr="00772220">
        <w:rPr>
          <w:rFonts w:ascii="Times New Roman" w:hAnsi="Times New Roman" w:cs="Times New Roman"/>
          <w:i/>
          <w:iCs/>
          <w:sz w:val="24"/>
          <w:szCs w:val="24"/>
        </w:rPr>
        <w:t>The field has experienced rapid expansion, characterized by an annual growth rate of 93.06%, with deep learning (1,572 occurrences) and image segmentation (913 occurrences) emerging as the primary thematic drivers. Bibliometric evaluation identifies IEEE Access as the most impactful venue (H-index = 35) and COMSATS University Islamabad as the most prolific institution (57 papers). Furthermore, thematic clustering reveals a clear paradigm shift from conventional machine learning methodologies toward convolutional neural networks (CNNs), accompanied by a pronounced concentration of research output from Asian institutions that reflects shifting regional priorities.</w:t>
      </w:r>
    </w:p>
    <w:p w14:paraId="1509F1E8" w14:textId="30C1C06B" w:rsidR="009B2D34" w:rsidRPr="00C77349" w:rsidRDefault="00CC455F" w:rsidP="000931A3">
      <w:pPr>
        <w:spacing w:before="240" w:after="240" w:line="240" w:lineRule="auto"/>
        <w:jc w:val="both"/>
        <w:rPr>
          <w:rFonts w:ascii="Times New Roman" w:eastAsia="Times New Roman" w:hAnsi="Times New Roman" w:cs="Times New Roman"/>
          <w:i/>
          <w:iCs/>
          <w:sz w:val="24"/>
          <w:szCs w:val="24"/>
          <w:lang w:eastAsia="en-GB"/>
        </w:rPr>
      </w:pPr>
      <w:r w:rsidRPr="00F704AE">
        <w:rPr>
          <w:rFonts w:ascii="Times New Roman" w:eastAsia="Times New Roman" w:hAnsi="Times New Roman" w:cs="Times New Roman"/>
          <w:i/>
          <w:iCs/>
          <w:sz w:val="24"/>
          <w:szCs w:val="24"/>
          <w:lang w:eastAsia="en-GB"/>
        </w:rPr>
        <w:t xml:space="preserve">Conclusions: </w:t>
      </w:r>
      <w:r w:rsidR="00A852D7" w:rsidRPr="00A852D7">
        <w:rPr>
          <w:rFonts w:ascii="Times New Roman" w:eastAsia="Times New Roman" w:hAnsi="Times New Roman" w:cs="Times New Roman"/>
          <w:i/>
          <w:iCs/>
          <w:sz w:val="24"/>
          <w:szCs w:val="24"/>
          <w:lang w:eastAsia="en-GB"/>
        </w:rPr>
        <w:t>While AI-driven imaging has transformed glaucoma diagnostics, critical gaps in data access, generalizability, and equity persist. To overcome limitations and achieve robust, inclusive tools, future research must leverage cross-institutional collaboration to prioritize multimodal datasets, explainable AI, and diverse real-world clinical trials.</w:t>
      </w:r>
    </w:p>
    <w:p w14:paraId="3992134B" w14:textId="77777777" w:rsidR="009B2D34" w:rsidRPr="00F704AE" w:rsidRDefault="009B2D34" w:rsidP="000931A3">
      <w:pPr>
        <w:spacing w:before="240" w:after="240" w:line="240" w:lineRule="auto"/>
        <w:jc w:val="both"/>
        <w:rPr>
          <w:rFonts w:ascii="Times New Roman" w:eastAsia="Times New Roman" w:hAnsi="Times New Roman" w:cs="Times New Roman"/>
          <w:b/>
          <w:i/>
          <w:iCs/>
          <w:sz w:val="24"/>
          <w:szCs w:val="24"/>
          <w:lang w:eastAsia="en-GB"/>
        </w:rPr>
      </w:pPr>
      <w:r w:rsidRPr="00F704AE">
        <w:rPr>
          <w:rFonts w:ascii="Times New Roman" w:eastAsia="Times New Roman" w:hAnsi="Times New Roman" w:cs="Times New Roman"/>
          <w:b/>
          <w:i/>
          <w:iCs/>
          <w:sz w:val="24"/>
          <w:szCs w:val="24"/>
          <w:lang w:eastAsia="en-GB"/>
        </w:rPr>
        <w:t>Keywords: bibliometric analysis, glaucoma detection, medical imaging, AI, machine learning, deep learning</w:t>
      </w:r>
    </w:p>
    <w:p w14:paraId="33FAFF0F" w14:textId="77777777" w:rsidR="009B2D34" w:rsidRPr="00F704AE" w:rsidRDefault="009B2D34" w:rsidP="000931A3">
      <w:pPr>
        <w:spacing w:before="240" w:after="240" w:line="240" w:lineRule="auto"/>
        <w:jc w:val="both"/>
        <w:rPr>
          <w:rFonts w:ascii="Times New Roman" w:eastAsia="Times New Roman" w:hAnsi="Times New Roman" w:cs="Times New Roman"/>
          <w:b/>
          <w:sz w:val="24"/>
          <w:szCs w:val="24"/>
          <w:lang w:eastAsia="en-GB"/>
        </w:rPr>
      </w:pPr>
    </w:p>
    <w:p w14:paraId="3F17C1FC"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r w:rsidRPr="00F704AE">
        <w:rPr>
          <w:rFonts w:ascii="Times New Roman" w:eastAsia="Times New Roman" w:hAnsi="Times New Roman" w:cs="Times New Roman"/>
          <w:sz w:val="24"/>
          <w:szCs w:val="24"/>
          <w:lang w:eastAsia="en-GB"/>
        </w:rPr>
        <w:t xml:space="preserve"> </w:t>
      </w:r>
    </w:p>
    <w:p w14:paraId="0D79AABB"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0F9774AB"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40638875"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4576BD28"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77437A66"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72BB9735"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21A4CBB6"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4A27B78B"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3D115050" w14:textId="77777777" w:rsidR="009B2D34" w:rsidRDefault="009B2D34" w:rsidP="000931A3">
      <w:pPr>
        <w:spacing w:before="240" w:after="240" w:line="240" w:lineRule="auto"/>
        <w:jc w:val="both"/>
        <w:rPr>
          <w:rFonts w:ascii="Times New Roman" w:eastAsia="Times New Roman" w:hAnsi="Times New Roman" w:cs="Times New Roman"/>
          <w:sz w:val="24"/>
          <w:szCs w:val="24"/>
          <w:lang w:eastAsia="en-GB"/>
        </w:rPr>
      </w:pPr>
    </w:p>
    <w:p w14:paraId="6778C663" w14:textId="77777777" w:rsidR="00946DF9" w:rsidRPr="00F704AE" w:rsidRDefault="00946DF9" w:rsidP="000931A3">
      <w:pPr>
        <w:spacing w:before="240" w:after="240" w:line="240" w:lineRule="auto"/>
        <w:jc w:val="both"/>
        <w:rPr>
          <w:rFonts w:ascii="Times New Roman" w:eastAsia="Times New Roman" w:hAnsi="Times New Roman" w:cs="Times New Roman"/>
          <w:b/>
          <w:sz w:val="24"/>
          <w:szCs w:val="24"/>
          <w:lang w:eastAsia="en-GB"/>
        </w:rPr>
        <w:sectPr w:rsidR="00946DF9" w:rsidRPr="00F704AE" w:rsidSect="00AB6F68">
          <w:headerReference w:type="default" r:id="rId7"/>
          <w:footerReference w:type="default" r:id="rId8"/>
          <w:pgSz w:w="11907" w:h="16840" w:code="9"/>
          <w:pgMar w:top="1077" w:right="624" w:bottom="624" w:left="624" w:header="340" w:footer="397" w:gutter="0"/>
          <w:pgNumType w:start="1"/>
          <w:cols w:space="720"/>
          <w:docGrid w:linePitch="299"/>
        </w:sectPr>
      </w:pPr>
    </w:p>
    <w:p w14:paraId="37A4FAEA" w14:textId="2F245603" w:rsidR="009B2D34" w:rsidRPr="001C7D5A" w:rsidRDefault="0063173B" w:rsidP="001C7D5A">
      <w:pPr>
        <w:keepNext/>
        <w:suppressAutoHyphens/>
        <w:adjustRightInd w:val="0"/>
        <w:snapToGrid w:val="0"/>
        <w:spacing w:before="240" w:after="240" w:line="240" w:lineRule="auto"/>
        <w:jc w:val="both"/>
        <w:outlineLvl w:val="0"/>
        <w:rPr>
          <w:rFonts w:ascii="Times New Roman" w:eastAsia="Times New Roman" w:hAnsi="Times New Roman" w:cs="Times New Roman"/>
          <w:b/>
          <w:sz w:val="28"/>
          <w:szCs w:val="28"/>
          <w:lang w:val="en-GB" w:eastAsia="zh-CN"/>
        </w:rPr>
      </w:pPr>
      <w:r w:rsidRPr="0063173B">
        <w:rPr>
          <w:rFonts w:ascii="Times New Roman" w:eastAsia="Times New Roman" w:hAnsi="Times New Roman" w:cs="Times New Roman"/>
          <w:b/>
          <w:sz w:val="28"/>
          <w:szCs w:val="28"/>
          <w:lang w:val="en-GB" w:eastAsia="zh-CN"/>
        </w:rPr>
        <w:lastRenderedPageBreak/>
        <w:t>1.0 INTRODUCTION</w:t>
      </w:r>
    </w:p>
    <w:p w14:paraId="4F3ABCB2" w14:textId="3425EF90" w:rsidR="009B2D34" w:rsidRPr="00F704AE" w:rsidRDefault="009B2D34" w:rsidP="002E596C">
      <w:pPr>
        <w:pBdr>
          <w:top w:val="nil"/>
          <w:left w:val="nil"/>
          <w:bottom w:val="nil"/>
          <w:right w:val="nil"/>
          <w:between w:val="nil"/>
        </w:pBdr>
        <w:tabs>
          <w:tab w:val="left" w:pos="0"/>
        </w:tabs>
        <w:spacing w:before="240" w:after="240" w:line="240" w:lineRule="auto"/>
        <w:jc w:val="both"/>
        <w:rPr>
          <w:rFonts w:ascii="Times New Roman" w:eastAsia="Times New Roman" w:hAnsi="Times New Roman" w:cs="Times New Roman"/>
          <w:color w:val="EE0000"/>
          <w:sz w:val="24"/>
          <w:szCs w:val="24"/>
          <w:lang w:eastAsia="en-GB"/>
        </w:rPr>
      </w:pPr>
      <w:r w:rsidRPr="00F704AE">
        <w:rPr>
          <w:rFonts w:ascii="Times New Roman" w:eastAsia="Times New Roman" w:hAnsi="Times New Roman" w:cs="Times New Roman"/>
          <w:color w:val="000000"/>
          <w:sz w:val="24"/>
          <w:szCs w:val="24"/>
          <w:lang w:eastAsia="en-GB"/>
        </w:rPr>
        <w:t>Glaucoma is a progressive optic neuropathy and one of the leading causes of irreversible blindness worldwide.</w:t>
      </w:r>
      <w:r w:rsidR="00505DAB" w:rsidRPr="00F704AE">
        <w:rPr>
          <w:rFonts w:ascii="Times New Roman" w:eastAsia="Times New Roman" w:hAnsi="Times New Roman" w:cs="Times New Roman"/>
          <w:color w:val="000000"/>
          <w:sz w:val="24"/>
          <w:szCs w:val="24"/>
          <w:lang w:eastAsia="en-GB"/>
        </w:rPr>
        <w:t xml:space="preserve"> </w:t>
      </w:r>
      <w:r w:rsidRPr="00F704AE">
        <w:rPr>
          <w:rFonts w:ascii="Times New Roman" w:eastAsia="Times New Roman" w:hAnsi="Times New Roman" w:cs="Times New Roman"/>
          <w:color w:val="000000"/>
          <w:sz w:val="24"/>
          <w:szCs w:val="24"/>
          <w:lang w:eastAsia="en-GB"/>
        </w:rPr>
        <w:t xml:space="preserve">Globally, glaucoma affects over 76 million people and is projected to reach 111.8 million by 2040, with the highest burden of primary open-angle glaucoma (POAG) in Africa and primary angle-closure glaucoma (PACG) in Asia </w:t>
      </w:r>
      <w:r w:rsidRPr="00F704AE">
        <w:rPr>
          <w:rFonts w:ascii="Times New Roman" w:eastAsia="Times New Roman" w:hAnsi="Times New Roman" w:cs="Times New Roman"/>
          <w:color w:val="000000"/>
          <w:sz w:val="24"/>
          <w:szCs w:val="24"/>
          <w:lang w:eastAsia="en-GB"/>
        </w:rPr>
        <w:fldChar w:fldCharType="begin" w:fldLock="1"/>
      </w:r>
      <w:r w:rsidR="00422B83" w:rsidRPr="00F704AE">
        <w:rPr>
          <w:rFonts w:ascii="Times New Roman" w:eastAsia="Times New Roman" w:hAnsi="Times New Roman" w:cs="Times New Roman"/>
          <w:color w:val="000000"/>
          <w:sz w:val="24"/>
          <w:szCs w:val="24"/>
          <w:lang w:eastAsia="en-GB"/>
        </w:rPr>
        <w:instrText>ADDIN CSL_CITATION {"citationItems":[{"id":"ITEM-1","itemData":{"DOI":"10.1016/j.ophtha.2014.05.013","ISSN":"15494713","PMID":"24974815","abstract":"Purpose Glaucoma is the leading cause of global irreversible blindness. Present estimates of global glaucoma prevalence are not up-to-date and focused mainly on European ancestry populations. We systematically examined the global prevalence of primary open-angle glaucoma (POAG) and primary angle-closure glaucoma (PACG), and projected the number of affected people in 2020 and 2040.\nDesign Systematic review and meta-analysis.\nParticipantsData from 50 population-based studies (3770 POAG cases among 140 ≥496 examined individuals and 786 PACG cases among 112 398 examined individuals).\nMethods We searched PubMed, Medline, and Web of Science for population-based studies of glaucoma prevalence published up to March 25, 2013. Hierarchical Bayesian approach was used to estimate the pooled glaucoma prevalence of the population aged 40-80 years along with 95% credible intervals (CrIs). Projections of glaucoma were estimated based on the United Nations World Population Prospects. Bayesian meta-regression models were performed to assess the association between the prevalence of POAG and the relevant factors.\nMain Outcome Measures Prevalence and projection numbers of glaucoma cases.\nResults The global prevalence of glaucoma for population aged 40-80 years is 3.54% (95% CrI, 2.09-5.82). The prevalence of POAG is highest in Africa (4.20%; 95% CrI, 2.08-7.35), and the prevalence of PACG is highest in Asia (1.09%; 95% CrI, 0.43-2.32). In 2013, the number of people (aged 40-80 years) with glaucoma worldwide was estimated to be 64.3 million, increasing to 76.0 million in 2020 and 111.8 million in 2040. In the Bayesian meta-regression model, men were more likely to have POAG than women (odds ratio [OR], 1.36; 95% CrI, 1.23-1.52), and after adjusting for age, gender, habitation type, response rate, and year of study, people of African ancestry were more likely to have POAG than people of European ancestry (OR, 2.80; 95% CrI, 1.83-4.06), and people living in urban areas were more likely to have POAG than those in rural areas (OR, 1.58; 95% CrI, 1.19-2.04).\nConclusions The number of people with glaucoma worldwide will increase to 111.8 million in 2040, disproportionally affecting people residing in Asia and Africa. These estimates are important in guiding the designs of glaucoma screening, treatment, and related public health strategies.","author":[{"dropping-particle":"","family":"Tham","given":"Yih Chung","non-dropping-particle":"","parse-names":false,"suffix":""},{"dropping-particle":"","family":"Li","given":"Xiang","non-dropping-particle":"","parse-names":false,"suffix":""},{"dropping-particle":"","family":"Wong","given":"Tien Y.","non-dropping-particle":"","parse-names":false,"suffix":""},{"dropping-particle":"","family":"Quigley","given":"Harry A.","non-dropping-particle":"","parse-names":false,"suffix":""},{"dropping-particle":"","family":"Aung","given":"Tin","non-dropping-particle":"","parse-names":false,"suffix":""},{"dropping-particle":"","family":"Cheng","given":"Ching Yu","non-dropping-particle":"","parse-names":false,"suffix":""}],"container-title":"Ophthalmology","id":"ITEM-1","issue":"11","issued":{"date-parts":[["2014"]]},"page":"2081-2090","publisher":"Elsevier Inc","title":"Global prevalence of glaucoma and projections of glaucoma burden through 2040: A systematic review and meta-analysis","type":"article-journal","volume":"121"},"uris":["http://www.mendeley.com/documents/?uuid=291f84ce-0c65-4886-add5-b0c1ca2c170a"]}],"mendeley":{"formattedCitation":"[1]","plainTextFormattedCitation":"[1]","previouslyFormattedCitation":"[1]"},"properties":{"noteIndex":0},"schema":"https://github.com/citation-style-language/schema/raw/master/csl-citation.json"}</w:instrText>
      </w:r>
      <w:r w:rsidRPr="00F704AE">
        <w:rPr>
          <w:rFonts w:ascii="Times New Roman" w:eastAsia="Times New Roman" w:hAnsi="Times New Roman" w:cs="Times New Roman"/>
          <w:color w:val="000000"/>
          <w:sz w:val="24"/>
          <w:szCs w:val="24"/>
          <w:lang w:eastAsia="en-GB"/>
        </w:rPr>
        <w:fldChar w:fldCharType="separate"/>
      </w:r>
      <w:r w:rsidRPr="00F704AE">
        <w:rPr>
          <w:rFonts w:ascii="Times New Roman" w:eastAsia="Times New Roman" w:hAnsi="Times New Roman" w:cs="Times New Roman"/>
          <w:noProof/>
          <w:color w:val="000000"/>
          <w:sz w:val="24"/>
          <w:szCs w:val="24"/>
          <w:lang w:eastAsia="en-GB"/>
        </w:rPr>
        <w:t>[1]</w:t>
      </w:r>
      <w:r w:rsidRPr="00F704AE">
        <w:rPr>
          <w:rFonts w:ascii="Times New Roman" w:eastAsia="Times New Roman" w:hAnsi="Times New Roman" w:cs="Times New Roman"/>
          <w:color w:val="000000"/>
          <w:sz w:val="24"/>
          <w:szCs w:val="24"/>
          <w:lang w:eastAsia="en-GB"/>
        </w:rPr>
        <w:fldChar w:fldCharType="end"/>
      </w:r>
      <w:r w:rsidRPr="00F704AE">
        <w:rPr>
          <w:rFonts w:ascii="Times New Roman" w:eastAsia="Times New Roman" w:hAnsi="Times New Roman" w:cs="Times New Roman"/>
          <w:color w:val="000000"/>
          <w:sz w:val="24"/>
          <w:szCs w:val="24"/>
          <w:lang w:eastAsia="en-GB"/>
        </w:rPr>
        <w:t xml:space="preserve">. Asia accounts for more than half of global glaucoma cases, reflecting a significant regional public health concern </w:t>
      </w:r>
      <w:r w:rsidRPr="00F704AE">
        <w:rPr>
          <w:rFonts w:ascii="Times New Roman" w:eastAsia="Times New Roman" w:hAnsi="Times New Roman" w:cs="Times New Roman"/>
          <w:color w:val="000000"/>
          <w:sz w:val="24"/>
          <w:szCs w:val="24"/>
          <w:lang w:eastAsia="en-GB"/>
        </w:rPr>
        <w:fldChar w:fldCharType="begin" w:fldLock="1"/>
      </w:r>
      <w:r w:rsidR="00422B83" w:rsidRPr="00F704AE">
        <w:rPr>
          <w:rFonts w:ascii="Times New Roman" w:eastAsia="Times New Roman" w:hAnsi="Times New Roman" w:cs="Times New Roman"/>
          <w:color w:val="000000"/>
          <w:sz w:val="24"/>
          <w:szCs w:val="24"/>
          <w:lang w:eastAsia="en-GB"/>
        </w:rPr>
        <w:instrText>ADDIN CSL_CITATION {"citationItems":[{"id":"ITEM-1","itemData":{"id":"ITEM-1","issued":{"date-parts":[["2023"]]},"title":"https://www.who.int","type":"webpage"},"uris":["http://www.mendeley.com/documents/?uuid=0c0e779a-66ff-4bd2-8628-c40f2f786faf"]}],"mendeley":{"formattedCitation":"[2]","plainTextFormattedCitation":"[2]","previouslyFormattedCitation":"[2]"},"properties":{"noteIndex":0},"schema":"https://github.com/citation-style-language/schema/raw/master/csl-citation.json"}</w:instrText>
      </w:r>
      <w:r w:rsidRPr="00F704AE">
        <w:rPr>
          <w:rFonts w:ascii="Times New Roman" w:eastAsia="Times New Roman" w:hAnsi="Times New Roman" w:cs="Times New Roman"/>
          <w:color w:val="000000"/>
          <w:sz w:val="24"/>
          <w:szCs w:val="24"/>
          <w:lang w:eastAsia="en-GB"/>
        </w:rPr>
        <w:fldChar w:fldCharType="separate"/>
      </w:r>
      <w:r w:rsidRPr="00F704AE">
        <w:rPr>
          <w:rFonts w:ascii="Times New Roman" w:eastAsia="Times New Roman" w:hAnsi="Times New Roman" w:cs="Times New Roman"/>
          <w:noProof/>
          <w:color w:val="000000"/>
          <w:sz w:val="24"/>
          <w:szCs w:val="24"/>
          <w:lang w:eastAsia="en-GB"/>
        </w:rPr>
        <w:t>[2]</w:t>
      </w:r>
      <w:r w:rsidRPr="00F704AE">
        <w:rPr>
          <w:rFonts w:ascii="Times New Roman" w:eastAsia="Times New Roman" w:hAnsi="Times New Roman" w:cs="Times New Roman"/>
          <w:color w:val="000000"/>
          <w:sz w:val="24"/>
          <w:szCs w:val="24"/>
          <w:lang w:eastAsia="en-GB"/>
        </w:rPr>
        <w:fldChar w:fldCharType="end"/>
      </w:r>
      <w:r w:rsidR="008F5240" w:rsidRPr="00F704AE">
        <w:rPr>
          <w:rFonts w:ascii="Times New Roman" w:eastAsia="Times New Roman" w:hAnsi="Times New Roman" w:cs="Times New Roman"/>
          <w:color w:val="000000"/>
          <w:sz w:val="24"/>
          <w:szCs w:val="24"/>
          <w:lang w:eastAsia="en-GB"/>
        </w:rPr>
        <w:t>.</w:t>
      </w:r>
      <w:r w:rsidR="00D90930" w:rsidRPr="00F704AE">
        <w:rPr>
          <w:rFonts w:ascii="Times New Roman" w:eastAsia="Times New Roman" w:hAnsi="Times New Roman" w:cs="Times New Roman"/>
          <w:color w:val="000000"/>
          <w:sz w:val="24"/>
          <w:szCs w:val="24"/>
          <w:lang w:eastAsia="en-GB"/>
        </w:rPr>
        <w:t xml:space="preserve"> </w:t>
      </w:r>
      <w:r w:rsidR="00D90930" w:rsidRPr="00F704AE">
        <w:rPr>
          <w:rFonts w:ascii="Times New Roman" w:eastAsia="Times New Roman" w:hAnsi="Times New Roman" w:cs="Times New Roman"/>
          <w:sz w:val="24"/>
          <w:szCs w:val="24"/>
          <w:lang w:eastAsia="en-GB"/>
        </w:rPr>
        <w:t xml:space="preserve">Glaucoma occurs primarily through </w:t>
      </w:r>
      <w:r w:rsidR="00B97FB4" w:rsidRPr="00F704AE">
        <w:rPr>
          <w:rFonts w:ascii="Times New Roman" w:eastAsia="Times New Roman" w:hAnsi="Times New Roman" w:cs="Times New Roman"/>
          <w:sz w:val="24"/>
          <w:szCs w:val="24"/>
          <w:lang w:eastAsia="en-GB"/>
        </w:rPr>
        <w:t xml:space="preserve">the </w:t>
      </w:r>
      <w:r w:rsidR="00D90930" w:rsidRPr="00F704AE">
        <w:rPr>
          <w:rFonts w:ascii="Times New Roman" w:eastAsia="Times New Roman" w:hAnsi="Times New Roman" w:cs="Times New Roman"/>
          <w:sz w:val="24"/>
          <w:szCs w:val="24"/>
          <w:lang w:eastAsia="en-GB"/>
        </w:rPr>
        <w:t>impaired outflow of aqueous humor via the trabecular meshwork and Schlemm's canal, leading to elevated intraocular pressure (IOP). This pressure mechanically stresses</w:t>
      </w:r>
      <w:r w:rsidR="00A97132" w:rsidRPr="00F704AE">
        <w:rPr>
          <w:rFonts w:ascii="Times New Roman" w:eastAsia="Times New Roman" w:hAnsi="Times New Roman" w:cs="Times New Roman"/>
          <w:sz w:val="24"/>
          <w:szCs w:val="24"/>
          <w:lang w:eastAsia="en-GB"/>
        </w:rPr>
        <w:t xml:space="preserve"> and </w:t>
      </w:r>
      <w:r w:rsidR="005C6817" w:rsidRPr="00F704AE">
        <w:rPr>
          <w:rFonts w:ascii="Times New Roman" w:eastAsia="Times New Roman" w:hAnsi="Times New Roman" w:cs="Times New Roman"/>
          <w:sz w:val="24"/>
          <w:szCs w:val="24"/>
          <w:lang w:eastAsia="en-GB"/>
        </w:rPr>
        <w:t>triggers</w:t>
      </w:r>
      <w:r w:rsidR="00C81428" w:rsidRPr="00F704AE">
        <w:rPr>
          <w:rFonts w:ascii="Times New Roman" w:eastAsia="Times New Roman" w:hAnsi="Times New Roman" w:cs="Times New Roman"/>
          <w:sz w:val="24"/>
          <w:szCs w:val="24"/>
          <w:lang w:eastAsia="en-GB"/>
        </w:rPr>
        <w:t xml:space="preserve"> the </w:t>
      </w:r>
      <w:r w:rsidR="005C6817" w:rsidRPr="00F704AE">
        <w:rPr>
          <w:rFonts w:ascii="Times New Roman" w:eastAsia="Times New Roman" w:hAnsi="Times New Roman" w:cs="Times New Roman"/>
          <w:sz w:val="24"/>
          <w:szCs w:val="24"/>
          <w:lang w:eastAsia="en-GB"/>
        </w:rPr>
        <w:t>degeneration</w:t>
      </w:r>
      <w:r w:rsidR="00C81428" w:rsidRPr="00F704AE">
        <w:rPr>
          <w:rFonts w:ascii="Times New Roman" w:eastAsia="Times New Roman" w:hAnsi="Times New Roman" w:cs="Times New Roman"/>
          <w:sz w:val="24"/>
          <w:szCs w:val="24"/>
          <w:lang w:eastAsia="en-GB"/>
        </w:rPr>
        <w:t xml:space="preserve"> and apoptosis</w:t>
      </w:r>
      <w:r w:rsidR="00BF0282" w:rsidRPr="00F704AE">
        <w:rPr>
          <w:rFonts w:ascii="Times New Roman" w:eastAsia="Times New Roman" w:hAnsi="Times New Roman" w:cs="Times New Roman"/>
          <w:sz w:val="24"/>
          <w:szCs w:val="24"/>
          <w:lang w:eastAsia="en-GB"/>
        </w:rPr>
        <w:t xml:space="preserve"> that</w:t>
      </w:r>
      <w:r w:rsidR="00A90110" w:rsidRPr="00F704AE">
        <w:rPr>
          <w:rFonts w:ascii="Times New Roman" w:eastAsia="Times New Roman" w:hAnsi="Times New Roman" w:cs="Times New Roman"/>
          <w:sz w:val="24"/>
          <w:szCs w:val="24"/>
          <w:lang w:eastAsia="en-GB"/>
        </w:rPr>
        <w:t xml:space="preserve"> </w:t>
      </w:r>
      <w:r w:rsidR="00F31156" w:rsidRPr="00F704AE">
        <w:rPr>
          <w:rFonts w:ascii="Times New Roman" w:eastAsia="Times New Roman" w:hAnsi="Times New Roman" w:cs="Times New Roman"/>
          <w:sz w:val="24"/>
          <w:szCs w:val="24"/>
          <w:lang w:eastAsia="en-GB"/>
        </w:rPr>
        <w:t xml:space="preserve">lead to </w:t>
      </w:r>
      <w:r w:rsidR="00A90110" w:rsidRPr="00F704AE">
        <w:rPr>
          <w:rFonts w:ascii="Times New Roman" w:eastAsia="Times New Roman" w:hAnsi="Times New Roman" w:cs="Times New Roman"/>
          <w:sz w:val="24"/>
          <w:szCs w:val="24"/>
          <w:lang w:eastAsia="en-GB"/>
        </w:rPr>
        <w:t xml:space="preserve">damage </w:t>
      </w:r>
      <w:r w:rsidR="005C6817" w:rsidRPr="00F704AE">
        <w:rPr>
          <w:rFonts w:ascii="Times New Roman" w:eastAsia="Times New Roman" w:hAnsi="Times New Roman" w:cs="Times New Roman"/>
          <w:sz w:val="24"/>
          <w:szCs w:val="24"/>
          <w:lang w:eastAsia="en-GB"/>
        </w:rPr>
        <w:t xml:space="preserve">to </w:t>
      </w:r>
      <w:r w:rsidR="00A90110" w:rsidRPr="00F704AE">
        <w:rPr>
          <w:rFonts w:ascii="Times New Roman" w:eastAsia="Times New Roman" w:hAnsi="Times New Roman" w:cs="Times New Roman"/>
          <w:sz w:val="24"/>
          <w:szCs w:val="24"/>
          <w:lang w:eastAsia="en-GB"/>
        </w:rPr>
        <w:t>the optic nerve</w:t>
      </w:r>
      <w:r w:rsidR="00CE4B90" w:rsidRPr="00F704AE">
        <w:rPr>
          <w:rFonts w:ascii="Times New Roman" w:eastAsia="Times New Roman" w:hAnsi="Times New Roman" w:cs="Times New Roman"/>
          <w:sz w:val="24"/>
          <w:szCs w:val="24"/>
          <w:lang w:eastAsia="en-GB"/>
        </w:rPr>
        <w:t xml:space="preserve"> </w:t>
      </w:r>
      <w:r w:rsidR="00422B83" w:rsidRPr="00F704AE">
        <w:rPr>
          <w:rFonts w:ascii="Times New Roman" w:eastAsia="Times New Roman" w:hAnsi="Times New Roman" w:cs="Times New Roman"/>
          <w:sz w:val="24"/>
          <w:szCs w:val="24"/>
          <w:lang w:eastAsia="en-GB"/>
        </w:rPr>
        <w:fldChar w:fldCharType="begin" w:fldLock="1"/>
      </w:r>
      <w:r w:rsidR="009F5CCC" w:rsidRPr="00F704AE">
        <w:rPr>
          <w:rFonts w:ascii="Times New Roman" w:eastAsia="Times New Roman" w:hAnsi="Times New Roman" w:cs="Times New Roman"/>
          <w:sz w:val="24"/>
          <w:szCs w:val="24"/>
          <w:lang w:eastAsia="en-GB"/>
        </w:rPr>
        <w:instrText>ADDIN CSL_CITATION {"citationItems":[{"id":"ITEM-1","itemData":{"DOI":"10.1155/joph/8476785","author":[{"dropping-particle":"","family":"Goit","given":"Rajesh Kumar","non-dropping-particle":"","parse-names":false,"suffix":""}],"container-title":"Journal of Ophthalmology","id":"ITEM-1","issued":{"date-parts":[["2025"]]},"title":"Exploring Glaucoma : From Pathogenesis to Emerging Diagnostic","type":"article-journal","volume":"2025"},"uris":["http://www.mendeley.com/documents/?uuid=90a419ff-1d9c-477b-9f70-3cba79e30190"]}],"mendeley":{"formattedCitation":"[3]","plainTextFormattedCitation":"[3]","previouslyFormattedCitation":"[3]"},"properties":{"noteIndex":0},"schema":"https://github.com/citation-style-language/schema/raw/master/csl-citation.json"}</w:instrText>
      </w:r>
      <w:r w:rsidR="00422B83" w:rsidRPr="00F704AE">
        <w:rPr>
          <w:rFonts w:ascii="Times New Roman" w:eastAsia="Times New Roman" w:hAnsi="Times New Roman" w:cs="Times New Roman"/>
          <w:sz w:val="24"/>
          <w:szCs w:val="24"/>
          <w:lang w:eastAsia="en-GB"/>
        </w:rPr>
        <w:fldChar w:fldCharType="separate"/>
      </w:r>
      <w:r w:rsidR="00422B83" w:rsidRPr="00F704AE">
        <w:rPr>
          <w:rFonts w:ascii="Times New Roman" w:eastAsia="Times New Roman" w:hAnsi="Times New Roman" w:cs="Times New Roman"/>
          <w:noProof/>
          <w:sz w:val="24"/>
          <w:szCs w:val="24"/>
          <w:lang w:eastAsia="en-GB"/>
        </w:rPr>
        <w:t>[3]</w:t>
      </w:r>
      <w:r w:rsidR="00422B83" w:rsidRPr="00F704AE">
        <w:rPr>
          <w:rFonts w:ascii="Times New Roman" w:eastAsia="Times New Roman" w:hAnsi="Times New Roman" w:cs="Times New Roman"/>
          <w:sz w:val="24"/>
          <w:szCs w:val="24"/>
          <w:lang w:eastAsia="en-GB"/>
        </w:rPr>
        <w:fldChar w:fldCharType="end"/>
      </w:r>
      <w:r w:rsidR="00BF0282" w:rsidRPr="00F704AE">
        <w:rPr>
          <w:rFonts w:ascii="Times New Roman" w:eastAsia="Times New Roman" w:hAnsi="Times New Roman" w:cs="Times New Roman"/>
          <w:sz w:val="24"/>
          <w:szCs w:val="24"/>
          <w:lang w:eastAsia="en-GB"/>
        </w:rPr>
        <w:t>.</w:t>
      </w:r>
      <w:r w:rsidR="00B97FB4" w:rsidRPr="00F704AE">
        <w:rPr>
          <w:rFonts w:ascii="Times New Roman" w:eastAsia="Times New Roman" w:hAnsi="Times New Roman" w:cs="Times New Roman"/>
          <w:sz w:val="24"/>
          <w:szCs w:val="24"/>
          <w:lang w:eastAsia="en-GB"/>
        </w:rPr>
        <w:t xml:space="preserve"> </w:t>
      </w:r>
      <w:r w:rsidR="005123E2" w:rsidRPr="00F704AE">
        <w:rPr>
          <w:rFonts w:ascii="Times New Roman" w:eastAsia="Times New Roman" w:hAnsi="Times New Roman" w:cs="Times New Roman"/>
          <w:sz w:val="24"/>
          <w:szCs w:val="24"/>
          <w:lang w:eastAsia="en-GB"/>
        </w:rPr>
        <w:t xml:space="preserve">Vision loss from glaucoma is irreversible and leads to disability and reduced quality of life, highlighting the importance of early detection and effective management </w:t>
      </w:r>
      <w:r w:rsidR="005123E2" w:rsidRPr="00F704AE">
        <w:rPr>
          <w:rFonts w:ascii="Times New Roman" w:eastAsia="Times New Roman" w:hAnsi="Times New Roman" w:cs="Times New Roman"/>
          <w:sz w:val="24"/>
          <w:szCs w:val="24"/>
          <w:lang w:eastAsia="en-GB"/>
        </w:rPr>
        <w:fldChar w:fldCharType="begin" w:fldLock="1"/>
      </w:r>
      <w:r w:rsidR="00436092" w:rsidRPr="00F704AE">
        <w:rPr>
          <w:rFonts w:ascii="Times New Roman" w:eastAsia="Times New Roman" w:hAnsi="Times New Roman" w:cs="Times New Roman"/>
          <w:sz w:val="24"/>
          <w:szCs w:val="24"/>
          <w:lang w:eastAsia="en-GB"/>
        </w:rPr>
        <w:instrText>ADDIN CSL_CITATION {"citationItems":[{"id":"ITEM-1","itemData":{"DOI":"10.1016/j.ophtha.2025.06.002","author":[{"dropping-particle":"V","family":"Stuart","given":"Kelsey","non-dropping-particle":"","parse-names":false,"suffix":""},{"dropping-particle":"De","family":"Vries","given":"Victor A","non-dropping-particle":"","parse-names":false,"suffix":""},{"dropping-particle":"","family":"Schuster","given":"Alexander K","non-dropping-particle":"","parse-names":false,"suffix":""},{"dropping-particle":"","family":"Yu","given":"Yu","non-dropping-particle":"","parse-names":false,"suffix":""},{"dropping-particle":"Van Der","family":"Heide","given":"Frank C T","non-dropping-particle":"","parse-names":false,"suffix":""},{"dropping-particle":"","family":"Delcourt","given":"Cécile","non-dropping-particle":"","parse-names":false,"suffix":""},{"dropping-particle":"","family":"Cougnard-grégoire","given":"Audrey","non-dropping-particle":"","parse-names":false,"suffix":""},{"dropping-particle":"","family":"Heid","given":"Iris M","non-dropping-particle":"","parse-names":false,"suffix":""},{"dropping-particle":"","family":"Farinha","given":"Claudia","non-dropping-particle":"","parse-names":false,"suffix":""},{"dropping-particle":"","family":"Coimbra","given":"Rita","non-dropping-particle":"","parse-names":false,"suffix":""},{"dropping-particle":"","family":"Luben","given":"Robert N","non-dropping-particle":"","parse-names":false,"suffix":""},{"dropping-particle":"","family":"Hayat","given":"Shabina","non-dropping-particle":"","parse-names":false,"suffix":""},{"dropping-particle":"","family":"Khaw","given":"Kay-tee","non-dropping-particle":"","parse-names":false,"suffix":""},{"dropping-particle":"V","family":"Stingl","given":"Julia","non-dropping-particle":"","parse-names":false,"suffix":""},{"dropping-particle":"","family":"Pfeiffer","given":"Norbert","non-dropping-particle":"","parse-names":false,"suffix":""},{"dropping-particle":"","family":"Berendschot","given":"Tos T J M","non-dropping-particle":"","parse-names":false,"suffix":""},{"dropping-particle":"","family":"Consortium","given":"Study","non-dropping-particle":"","parse-names":false,"suffix":""},{"dropping-particle":"","family":"Arnould","given":"Louis","non-dropping-particle":"","parse-names":false,"suffix":""},{"dropping-particle":"","family":"Creuzot-garcher","given":"Catherine","non-dropping-particle":"","parse-names":false,"suffix":""},{"dropping-particle":"","family":"Hogg","given":"Ruth","non-dropping-particle":"","parse-names":false,"suffix":""},{"dropping-particle":"","family":"Wright","given":"David M","non-dropping-particle":"","parse-names":false,"suffix":""},{"dropping-particle":"","family":"Jansonius","given":"Nomdo M","non-dropping-particle":"","parse-names":false,"suffix":""},{"dropping-particle":"","family":"Bourne","given":"Rupert R A","non-dropping-particle":"","parse-names":false,"suffix":""},{"dropping-particle":"","family":"Quigley","given":"Harry A","non-dropping-particle":"","parse-names":false,"suffix":""}],"container-title":"American Academy of Ophthalmology","id":"ITEM-1","issued":{"date-parts":[["2025"]]},"page":"1114-1124","title":"Prevalence of Glaucoma in Europe and Projections to 2050 Findings from the European Eye Epidemiology Consortium","type":"article-journal"},"uris":["http://www.mendeley.com/documents/?uuid=12574cff-e112-4684-a9df-775bffc7afcd"]}],"mendeley":{"formattedCitation":"[4]","plainTextFormattedCitation":"[4]","previouslyFormattedCitation":"[4]"},"properties":{"noteIndex":0},"schema":"https://github.com/citation-style-language/schema/raw/master/csl-citation.json"}</w:instrText>
      </w:r>
      <w:r w:rsidR="005123E2" w:rsidRPr="00F704AE">
        <w:rPr>
          <w:rFonts w:ascii="Times New Roman" w:eastAsia="Times New Roman" w:hAnsi="Times New Roman" w:cs="Times New Roman"/>
          <w:sz w:val="24"/>
          <w:szCs w:val="24"/>
          <w:lang w:eastAsia="en-GB"/>
        </w:rPr>
        <w:fldChar w:fldCharType="separate"/>
      </w:r>
      <w:r w:rsidR="00E8106A" w:rsidRPr="00F704AE">
        <w:rPr>
          <w:rFonts w:ascii="Times New Roman" w:eastAsia="Times New Roman" w:hAnsi="Times New Roman" w:cs="Times New Roman"/>
          <w:noProof/>
          <w:sz w:val="24"/>
          <w:szCs w:val="24"/>
          <w:lang w:eastAsia="en-GB"/>
        </w:rPr>
        <w:t>[4]</w:t>
      </w:r>
      <w:r w:rsidR="005123E2" w:rsidRPr="00F704AE">
        <w:rPr>
          <w:rFonts w:ascii="Times New Roman" w:eastAsia="Times New Roman" w:hAnsi="Times New Roman" w:cs="Times New Roman"/>
          <w:sz w:val="24"/>
          <w:szCs w:val="24"/>
          <w:lang w:eastAsia="en-GB"/>
        </w:rPr>
        <w:fldChar w:fldCharType="end"/>
      </w:r>
      <w:r w:rsidR="005123E2" w:rsidRPr="00F704AE">
        <w:rPr>
          <w:rFonts w:ascii="Times New Roman" w:eastAsia="Times New Roman" w:hAnsi="Times New Roman" w:cs="Times New Roman"/>
          <w:sz w:val="24"/>
          <w:szCs w:val="24"/>
          <w:lang w:eastAsia="en-GB"/>
        </w:rPr>
        <w:t>.</w:t>
      </w:r>
      <w:r w:rsidR="00505DAB" w:rsidRPr="00F704AE">
        <w:rPr>
          <w:rFonts w:ascii="Times New Roman" w:eastAsia="Times New Roman" w:hAnsi="Times New Roman" w:cs="Times New Roman"/>
          <w:sz w:val="24"/>
          <w:szCs w:val="24"/>
          <w:lang w:eastAsia="en-GB"/>
        </w:rPr>
        <w:t xml:space="preserve"> Figure 1 depicts the anatomy comparison of a normal and a glaucomatous eye.</w:t>
      </w:r>
    </w:p>
    <w:p w14:paraId="1B65E2C4" w14:textId="77777777"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p>
    <w:p w14:paraId="2EB93479" w14:textId="77777777" w:rsidR="009B2D34" w:rsidRPr="00F704AE" w:rsidRDefault="009B2D34" w:rsidP="000931A3">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noProof/>
          <w:color w:val="000000"/>
          <w:sz w:val="24"/>
          <w:szCs w:val="24"/>
          <w:lang w:eastAsia="en-GB"/>
        </w:rPr>
        <w:t xml:space="preserve"> </w:t>
      </w:r>
      <w:r w:rsidRPr="00F704AE">
        <w:rPr>
          <w:rFonts w:ascii="Times New Roman" w:eastAsia="Times New Roman" w:hAnsi="Times New Roman" w:cs="Times New Roman"/>
          <w:noProof/>
          <w:color w:val="000000"/>
          <w:sz w:val="24"/>
          <w:szCs w:val="24"/>
          <w:lang w:eastAsia="en-GB"/>
        </w:rPr>
        <w:drawing>
          <wp:inline distT="0" distB="0" distL="0" distR="0" wp14:anchorId="4AD3328E" wp14:editId="45C2C472">
            <wp:extent cx="3783965" cy="1913255"/>
            <wp:effectExtent l="0" t="0" r="6985" b="0"/>
            <wp:docPr id="613619509" name="Picture 32" descr="Diagram of a diagram showing the structure of the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19509" name="Picture 32" descr="Diagram of a diagram showing the structure of the ey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3965" cy="1913255"/>
                    </a:xfrm>
                    <a:prstGeom prst="rect">
                      <a:avLst/>
                    </a:prstGeom>
                    <a:noFill/>
                    <a:ln>
                      <a:noFill/>
                    </a:ln>
                  </pic:spPr>
                </pic:pic>
              </a:graphicData>
            </a:graphic>
          </wp:inline>
        </w:drawing>
      </w:r>
    </w:p>
    <w:p w14:paraId="121ED370" w14:textId="6A280B7E" w:rsidR="009B2D34" w:rsidRPr="00F704AE" w:rsidRDefault="009B2D34" w:rsidP="000931A3">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t xml:space="preserve">Figure 1: The anatomy of a healthy and glaucoma eye </w:t>
      </w:r>
      <w:r w:rsidRPr="00F704AE">
        <w:rPr>
          <w:rFonts w:ascii="Times New Roman" w:eastAsia="Times New Roman" w:hAnsi="Times New Roman" w:cs="Times New Roman"/>
          <w:color w:val="000000"/>
          <w:sz w:val="24"/>
          <w:szCs w:val="24"/>
          <w:lang w:eastAsia="en-GB"/>
        </w:rPr>
        <w:fldChar w:fldCharType="begin" w:fldLock="1"/>
      </w:r>
      <w:r w:rsidR="00436092" w:rsidRPr="00F704AE">
        <w:rPr>
          <w:rFonts w:ascii="Times New Roman" w:eastAsia="Times New Roman" w:hAnsi="Times New Roman" w:cs="Times New Roman"/>
          <w:color w:val="000000"/>
          <w:sz w:val="24"/>
          <w:szCs w:val="24"/>
          <w:lang w:eastAsia="en-GB"/>
        </w:rPr>
        <w:instrText>ADDIN CSL_CITATION {"citationItems":[{"id":"ITEM-1","itemData":{"DOI":"10.1016/j.cmpb.2018.07.012","ISSN":"18727565","PMID":"30337064","abstract":"Background and objectives: Glaucoma is an eye condition which leads to permanent blindness when the disease progresses to an advanced stage. It occurs due to inappropriate intraocular pressure within the eye, resulting in damage to the optic nerve. Glaucoma does not exhibit any symptoms in its nascent stage and thus, it is important to diagnose early to prevent blindness. Fundus photography is widely used by ophthalmologists to assist in diagnosis of glaucoma and is cost-effective. Methods: The morphological features of the disc that is characteristic of glaucoma are clearly seen in the fundus images. However, manual inspection of the acquired fundus images may be prone to inter-observer variation. Therefore, a computer-aided detection (CAD) system is proposed to make an accurate, reliable and fast diagnosis of glaucoma based on the optic nerve features of fundus imaging. In this paper, we reviewed existing techniques to automatically diagnose glaucoma. Results: The use of CAD is very effective in the diagnosis of glaucoma and can assist the clinicians to alleviate their workload significantly. We have also discussed the advantages of employing state-of-art techniques, including deep learning (DL), when developing the automated system. The DL methods are effective in glaucoma diagnosis. Conclusions: Novel DL algorithms with big data availability are required to develop a reliable CAD system. Such techniques can be employed to diagnose other eye diseases accurately.","author":[{"dropping-particle":"","family":"Hagiwara","given":"Yuki","non-dropping-particle":"","parse-names":false,"suffix":""},{"dropping-particle":"","family":"Koh","given":"Joel En Wei","non-dropping-particle":"","parse-names":false,"suffix":""},{"dropping-particle":"","family":"Tan","given":"Jen Hong","non-dropping-particle":"","parse-names":false,"suffix":""},{"dropping-particle":"V.","family":"Bhandary","given":"Sulatha","non-dropping-particle":"","parse-names":false,"suffix":""},{"dropping-particle":"","family":"Laude","given":"Augustinus","non-dropping-particle":"","parse-names":false,"suffix":""},{"dropping-particle":"","family":"Ciaccio","given":"Edward J.","non-dropping-particle":"","parse-names":false,"suffix":""},{"dropping-particle":"","family":"Tong","given":"Louis","non-dropping-particle":"","parse-names":false,"suffix":""},{"dropping-particle":"","family":"Acharya","given":"U. Rajendra","non-dropping-particle":"","parse-names":false,"suffix":""}],"container-title":"Computer Methods and Programs in Biomedicine","id":"ITEM-1","issue":"July","issued":{"date-parts":[["2018"]]},"page":"1-12","title":"Computer-aided diagnosis of glaucoma using fundus images: A review","type":"article-journal","volume":"165"},"uris":["http://www.mendeley.com/documents/?uuid=37d25784-f406-41cc-af98-f7ee29d06e4d"]}],"mendeley":{"formattedCitation":"[5]","plainTextFormattedCitation":"[5]","previouslyFormattedCitation":"[5]"},"properties":{"noteIndex":0},"schema":"https://github.com/citation-style-language/schema/raw/master/csl-citation.json"}</w:instrText>
      </w:r>
      <w:r w:rsidRPr="00F704AE">
        <w:rPr>
          <w:rFonts w:ascii="Times New Roman" w:eastAsia="Times New Roman" w:hAnsi="Times New Roman" w:cs="Times New Roman"/>
          <w:color w:val="000000"/>
          <w:sz w:val="24"/>
          <w:szCs w:val="24"/>
          <w:lang w:eastAsia="en-GB"/>
        </w:rPr>
        <w:fldChar w:fldCharType="separate"/>
      </w:r>
      <w:r w:rsidR="00E8106A" w:rsidRPr="00F704AE">
        <w:rPr>
          <w:rFonts w:ascii="Times New Roman" w:eastAsia="Times New Roman" w:hAnsi="Times New Roman" w:cs="Times New Roman"/>
          <w:noProof/>
          <w:color w:val="000000"/>
          <w:sz w:val="24"/>
          <w:szCs w:val="24"/>
          <w:lang w:eastAsia="en-GB"/>
        </w:rPr>
        <w:t>[5]</w:t>
      </w:r>
      <w:r w:rsidRPr="00F704AE">
        <w:rPr>
          <w:rFonts w:ascii="Times New Roman" w:eastAsia="Times New Roman" w:hAnsi="Times New Roman" w:cs="Times New Roman"/>
          <w:color w:val="000000"/>
          <w:sz w:val="24"/>
          <w:szCs w:val="24"/>
          <w:lang w:eastAsia="en-GB"/>
        </w:rPr>
        <w:fldChar w:fldCharType="end"/>
      </w:r>
    </w:p>
    <w:p w14:paraId="053AE88A" w14:textId="77777777" w:rsidR="00A61B45" w:rsidRPr="00F704AE" w:rsidRDefault="00A61B45"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C00000"/>
          <w:sz w:val="24"/>
          <w:szCs w:val="24"/>
          <w:lang w:eastAsia="en-GB"/>
        </w:rPr>
      </w:pPr>
    </w:p>
    <w:p w14:paraId="7641BA1B" w14:textId="02F630CF" w:rsidR="00BD42D1" w:rsidRPr="0063173B" w:rsidRDefault="00A61B45" w:rsidP="000931A3">
      <w:pPr>
        <w:pBdr>
          <w:top w:val="nil"/>
          <w:left w:val="nil"/>
          <w:bottom w:val="nil"/>
          <w:right w:val="nil"/>
          <w:between w:val="nil"/>
        </w:pBdr>
        <w:spacing w:before="240" w:after="240" w:line="240" w:lineRule="auto"/>
        <w:jc w:val="both"/>
        <w:rPr>
          <w:rFonts w:ascii="Times New Roman" w:eastAsia="Times New Roman" w:hAnsi="Times New Roman" w:cs="Times New Roman"/>
          <w:sz w:val="24"/>
          <w:szCs w:val="24"/>
          <w:lang w:eastAsia="en-GB"/>
        </w:rPr>
      </w:pPr>
      <w:r w:rsidRPr="00F704AE">
        <w:rPr>
          <w:rFonts w:ascii="Times New Roman" w:eastAsia="Times New Roman" w:hAnsi="Times New Roman" w:cs="Times New Roman"/>
          <w:sz w:val="24"/>
          <w:szCs w:val="24"/>
          <w:lang w:eastAsia="en-GB"/>
        </w:rPr>
        <w:t>Glaucoma assessment relies heavily on medical imaging techniques such as fundus photography, optical coherence tomography (OCT), and visual field testing, which enable clinicians to examine the optic nerve and identify early signs of structural or functional damage. These modalities provide detailed and quantifiable information essential for monitoring disease progression. However, traditional diagnostic procedures</w:t>
      </w:r>
      <w:r w:rsidR="00114745" w:rsidRPr="00F704AE">
        <w:rPr>
          <w:rFonts w:ascii="Times New Roman" w:eastAsia="Times New Roman" w:hAnsi="Times New Roman" w:cs="Times New Roman"/>
          <w:sz w:val="24"/>
          <w:szCs w:val="24"/>
          <w:lang w:eastAsia="en-GB"/>
        </w:rPr>
        <w:t xml:space="preserve">, </w:t>
      </w:r>
      <w:r w:rsidRPr="00F704AE">
        <w:rPr>
          <w:rFonts w:ascii="Times New Roman" w:eastAsia="Times New Roman" w:hAnsi="Times New Roman" w:cs="Times New Roman"/>
          <w:sz w:val="24"/>
          <w:szCs w:val="24"/>
          <w:lang w:eastAsia="en-GB"/>
        </w:rPr>
        <w:t>including OCT interpretation and visual field assessment</w:t>
      </w:r>
      <w:r w:rsidR="00114745" w:rsidRPr="00F704AE">
        <w:rPr>
          <w:rFonts w:ascii="Times New Roman" w:eastAsia="Times New Roman" w:hAnsi="Times New Roman" w:cs="Times New Roman"/>
          <w:sz w:val="24"/>
          <w:szCs w:val="24"/>
          <w:lang w:eastAsia="en-GB"/>
        </w:rPr>
        <w:t xml:space="preserve">, </w:t>
      </w:r>
      <w:r w:rsidRPr="00F704AE">
        <w:rPr>
          <w:rFonts w:ascii="Times New Roman" w:eastAsia="Times New Roman" w:hAnsi="Times New Roman" w:cs="Times New Roman"/>
          <w:sz w:val="24"/>
          <w:szCs w:val="24"/>
          <w:lang w:eastAsia="en-GB"/>
        </w:rPr>
        <w:t>are often time-consuming, costly, and dependent on specialist expertise.</w:t>
      </w:r>
      <w:r w:rsidR="009F5CCC" w:rsidRPr="00F704AE">
        <w:rPr>
          <w:rFonts w:ascii="Times New Roman" w:eastAsia="Times New Roman" w:hAnsi="Times New Roman" w:cs="Times New Roman"/>
          <w:sz w:val="24"/>
          <w:szCs w:val="24"/>
          <w:lang w:eastAsia="en-GB"/>
        </w:rPr>
        <w:t xml:space="preserve"> </w:t>
      </w:r>
      <w:r w:rsidR="003D536C" w:rsidRPr="00F704AE">
        <w:rPr>
          <w:rFonts w:ascii="Times New Roman" w:eastAsia="Times New Roman" w:hAnsi="Times New Roman" w:cs="Times New Roman"/>
          <w:sz w:val="24"/>
          <w:szCs w:val="24"/>
          <w:lang w:eastAsia="en-GB"/>
        </w:rPr>
        <w:t>In response to these limitations, the integration of artificial intelligence (AI) with medical imaging has emerged as a powerful strategy to enhance early glaucoma detection.</w:t>
      </w:r>
      <w:r w:rsidR="00BD42D1" w:rsidRPr="00F704AE">
        <w:rPr>
          <w:rFonts w:ascii="Times New Roman" w:eastAsia="Times New Roman" w:hAnsi="Times New Roman" w:cs="Times New Roman"/>
          <w:sz w:val="24"/>
          <w:szCs w:val="24"/>
          <w:lang w:eastAsia="en-GB"/>
        </w:rPr>
        <w:t xml:space="preserve"> </w:t>
      </w:r>
      <w:r w:rsidR="00D34314" w:rsidRPr="00F704AE">
        <w:rPr>
          <w:rFonts w:ascii="Times New Roman" w:eastAsia="Times New Roman" w:hAnsi="Times New Roman" w:cs="Times New Roman"/>
          <w:sz w:val="24"/>
          <w:szCs w:val="24"/>
          <w:lang w:eastAsia="en-GB"/>
        </w:rPr>
        <w:t xml:space="preserve">This integration significantly contributes to early identification and subsequent intervention, which is crucial for preserving visual function in patients </w:t>
      </w:r>
      <w:r w:rsidR="003A41AE" w:rsidRPr="00F704AE">
        <w:rPr>
          <w:rFonts w:ascii="Times New Roman" w:eastAsia="Times New Roman" w:hAnsi="Times New Roman" w:cs="Times New Roman"/>
          <w:sz w:val="24"/>
          <w:szCs w:val="24"/>
          <w:lang w:eastAsia="en-GB"/>
        </w:rPr>
        <w:fldChar w:fldCharType="begin" w:fldLock="1"/>
      </w:r>
      <w:r w:rsidR="003A41AE" w:rsidRPr="00F704AE">
        <w:rPr>
          <w:rFonts w:ascii="Times New Roman" w:eastAsia="Times New Roman" w:hAnsi="Times New Roman" w:cs="Times New Roman"/>
          <w:sz w:val="24"/>
          <w:szCs w:val="24"/>
          <w:lang w:eastAsia="en-GB"/>
        </w:rPr>
        <w:instrText>ADDIN CSL_CITATION {"citationItems":[{"id":"ITEM-1","itemData":{"DOI":"10.18240/ijo.2024.09.22","ISSN":"22274898","abstract":"AIM: To conduct a bibliometric analysis of research on artificial intelligence (AI) in the field of glaucoma to gain a comprehensive understanding of the current state of research and identify potential new directions for future studies.METHODS: Relevant articles on the application of AI in the field of glaucoma from the Web of Science Core Collection were retrieved, covering the period from January 1, 2013, to December 31, 2022. In order to assess the contributions and co-occurrence relationships among different countries/regions, institutions, authors, and journals, CiteSpace and VOSviewer software were employed and the research hotspots and future trends within the field were identified.RESULTS: A total of 750 English articles published between 2013 and 2022 were collected, and the number of publications exhibited an overall increasing trend. The majority of the articles were from China, followed by the United States and India. National University of Singapore, Chinese Academy of Sciences, and Sun Yat-sen University made significant contributions to the published works. Weinreb RN and Fu HZ ranked first among authors and cited authors. American Journal of Ophthalmology is the most impactful academic journal in the field of AI application in glaucoma. The disciplinary scope of this field includes ophthalmology, computer science, mathematics, molecular biology, genetics, and other related disciplines. The clustering and identification of keyword nodes in the co-occurrence network reveal the evolving landscape of AI application in the field of glaucoma. Initially, the hot topics in this field were primarily “segmentation”, “classification” and “diagnosis”. However, in recent years, the focus has shifted to “deep learning”, “convolutional neural network” and “artificial intelligence”.CONCLUSION: With the rapid development of AI technology, scholars have shown increasing interest in its application in the field of glaucoma. Moreover, the application of AI in assisting treatment and predicting prognosis in glaucoma may become a future research hotspot. However, the reliability and interpretability of AI data remain pressing issues that require resolution.","author":[{"dropping-particle":"","family":"Liu","given":"Chun","non-dropping-particle":"","parse-names":false,"suffix":""},{"dropping-particle":"","family":"Wang","given":"Lu Yao","non-dropping-particle":"","parse-names":false,"suffix":""},{"dropping-particle":"","family":"Zhu","given":"Ke Yu","non-dropping-particle":"","parse-names":false,"suffix":""},{"dropping-particle":"","family":"Liu","given":"Chun Meng","non-dropping-particle":"","parse-names":false,"suffix":""},{"dropping-particle":"","family":"Duan","given":"Jun Guo","non-dropping-particle":"","parse-names":false,"suffix":""}],"container-title":"International Journal of Ophthalmology","id":"ITEM-1","issue":"9","issued":{"date-parts":[["2024"]]},"page":"1731-1742","title":"Systematic bibliometric and visualized analysis of research hotspots and trends on the application of artificial intelligence in glaucoma from 2013 to 2022","type":"article-journal","volume":"17"},"uris":["http://www.mendeley.com/documents/?uuid=7d2f2e7f-523b-4a58-9811-df13b31b246e"]}],"mendeley":{"formattedCitation":"[6]","plainTextFormattedCitation":"[6]","previouslyFormattedCitation":"[6]"},"properties":{"noteIndex":0},"schema":"https://github.com/citation-style-language/schema/raw/master/csl-citation.json"}</w:instrText>
      </w:r>
      <w:r w:rsidR="003A41AE" w:rsidRPr="00F704AE">
        <w:rPr>
          <w:rFonts w:ascii="Times New Roman" w:eastAsia="Times New Roman" w:hAnsi="Times New Roman" w:cs="Times New Roman"/>
          <w:sz w:val="24"/>
          <w:szCs w:val="24"/>
          <w:lang w:eastAsia="en-GB"/>
        </w:rPr>
        <w:fldChar w:fldCharType="separate"/>
      </w:r>
      <w:r w:rsidR="003A41AE" w:rsidRPr="00F704AE">
        <w:rPr>
          <w:rFonts w:ascii="Times New Roman" w:eastAsia="Times New Roman" w:hAnsi="Times New Roman" w:cs="Times New Roman"/>
          <w:noProof/>
          <w:sz w:val="24"/>
          <w:szCs w:val="24"/>
          <w:lang w:eastAsia="en-GB"/>
        </w:rPr>
        <w:t>[6]</w:t>
      </w:r>
      <w:r w:rsidR="003A41AE" w:rsidRPr="00F704AE">
        <w:rPr>
          <w:rFonts w:ascii="Times New Roman" w:eastAsia="Times New Roman" w:hAnsi="Times New Roman" w:cs="Times New Roman"/>
          <w:sz w:val="24"/>
          <w:szCs w:val="24"/>
          <w:lang w:eastAsia="en-GB"/>
        </w:rPr>
        <w:fldChar w:fldCharType="end"/>
      </w:r>
      <w:r w:rsidR="003A41AE" w:rsidRPr="00F704AE">
        <w:rPr>
          <w:rFonts w:ascii="Times New Roman" w:eastAsia="Times New Roman" w:hAnsi="Times New Roman" w:cs="Times New Roman"/>
          <w:sz w:val="24"/>
          <w:szCs w:val="24"/>
          <w:lang w:eastAsia="en-GB"/>
        </w:rPr>
        <w:fldChar w:fldCharType="begin" w:fldLock="1"/>
      </w:r>
      <w:r w:rsidR="00152123" w:rsidRPr="00F704AE">
        <w:rPr>
          <w:rFonts w:ascii="Times New Roman" w:eastAsia="Times New Roman" w:hAnsi="Times New Roman" w:cs="Times New Roman"/>
          <w:sz w:val="24"/>
          <w:szCs w:val="24"/>
          <w:lang w:eastAsia="en-GB"/>
        </w:rPr>
        <w:instrText>ADDIN CSL_CITATION {"citationItems":[{"id":"ITEM-1","itemData":{"author":[{"dropping-particle":"","family":"Hung","given":"Shih-heng","non-dropping-particle":"","parse-names":false,"suffix":""},{"dropping-particle":"","family":"Yen","given":"Wei-ting","non-dropping-particle":"","parse-names":false,"suffix":""}],"container-title":"Biomedicines","id":"ITEM-1","issued":{"date-parts":[["2025"]]},"page":"1-11","title":"Advances in Glaucoma Diagnosis and Treatment : Integrating Innovations for Enhanced Patient Outcomes","type":"article-journal"},"uris":["http://www.mendeley.com/documents/?uuid=4736b5dc-145f-4a23-932d-22dd682ea8f8"]}],"mendeley":{"formattedCitation":"[7]","plainTextFormattedCitation":"[7]","previouslyFormattedCitation":"[7]"},"properties":{"noteIndex":0},"schema":"https://github.com/citation-style-language/schema/raw/master/csl-citation.json"}</w:instrText>
      </w:r>
      <w:r w:rsidR="003A41AE" w:rsidRPr="00F704AE">
        <w:rPr>
          <w:rFonts w:ascii="Times New Roman" w:eastAsia="Times New Roman" w:hAnsi="Times New Roman" w:cs="Times New Roman"/>
          <w:sz w:val="24"/>
          <w:szCs w:val="24"/>
          <w:lang w:eastAsia="en-GB"/>
        </w:rPr>
        <w:fldChar w:fldCharType="separate"/>
      </w:r>
      <w:r w:rsidR="003A41AE" w:rsidRPr="00F704AE">
        <w:rPr>
          <w:rFonts w:ascii="Times New Roman" w:eastAsia="Times New Roman" w:hAnsi="Times New Roman" w:cs="Times New Roman"/>
          <w:noProof/>
          <w:sz w:val="24"/>
          <w:szCs w:val="24"/>
          <w:lang w:eastAsia="en-GB"/>
        </w:rPr>
        <w:t>[7]</w:t>
      </w:r>
      <w:r w:rsidR="003A41AE" w:rsidRPr="00F704AE">
        <w:rPr>
          <w:rFonts w:ascii="Times New Roman" w:eastAsia="Times New Roman" w:hAnsi="Times New Roman" w:cs="Times New Roman"/>
          <w:sz w:val="24"/>
          <w:szCs w:val="24"/>
          <w:lang w:eastAsia="en-GB"/>
        </w:rPr>
        <w:fldChar w:fldCharType="end"/>
      </w:r>
      <w:r w:rsidR="008B190E" w:rsidRPr="00F704AE">
        <w:rPr>
          <w:rFonts w:ascii="Times New Roman" w:eastAsia="Times New Roman" w:hAnsi="Times New Roman" w:cs="Times New Roman"/>
          <w:sz w:val="24"/>
          <w:szCs w:val="24"/>
          <w:lang w:eastAsia="en-GB"/>
        </w:rPr>
        <w:t>.</w:t>
      </w:r>
      <w:r w:rsidR="00124311" w:rsidRPr="00F704AE">
        <w:rPr>
          <w:rFonts w:ascii="Times New Roman" w:eastAsia="Times New Roman" w:hAnsi="Times New Roman" w:cs="Times New Roman"/>
          <w:sz w:val="24"/>
          <w:szCs w:val="24"/>
          <w:lang w:eastAsia="en-GB"/>
        </w:rPr>
        <w:t xml:space="preserve"> </w:t>
      </w:r>
      <w:r w:rsidR="00124311" w:rsidRPr="00F704AE">
        <w:rPr>
          <w:rFonts w:ascii="Times New Roman" w:eastAsia="Times New Roman" w:hAnsi="Times New Roman" w:cs="Times New Roman"/>
          <w:color w:val="000000"/>
          <w:sz w:val="24"/>
          <w:szCs w:val="24"/>
          <w:lang w:eastAsia="en-GB"/>
        </w:rPr>
        <w:t xml:space="preserve">Fundus image-based AI diagnostic systems for example are now cutting-edge instruments for identifying glaucoma, retinal disorders, and other eye disorders </w:t>
      </w:r>
      <w:r w:rsidR="00124311" w:rsidRPr="00F704AE">
        <w:rPr>
          <w:rFonts w:ascii="Times New Roman" w:eastAsia="Times New Roman" w:hAnsi="Times New Roman" w:cs="Times New Roman"/>
          <w:color w:val="000000"/>
          <w:sz w:val="24"/>
          <w:szCs w:val="24"/>
          <w:lang w:eastAsia="en-GB"/>
        </w:rPr>
        <w:fldChar w:fldCharType="begin" w:fldLock="1"/>
      </w:r>
      <w:r w:rsidR="008817C1" w:rsidRPr="00F704AE">
        <w:rPr>
          <w:rFonts w:ascii="Times New Roman" w:eastAsia="Times New Roman" w:hAnsi="Times New Roman" w:cs="Times New Roman"/>
          <w:color w:val="000000"/>
          <w:sz w:val="24"/>
          <w:szCs w:val="24"/>
          <w:lang w:eastAsia="en-GB"/>
        </w:rPr>
        <w:instrText>ADDIN CSL_CITATION {"citationItems":[{"id":"ITEM-1","itemData":{"DOI":"10.1186/s12938-023-01187-8","ISBN":"1293802301","ISSN":"1475925X","PMID":"38102597","abstract":"Artificial intelligence (AI) has shown excellent diagnostic performance in detecting various complex problems related to many areas of healthcare including ophthalmology. AI diagnostic systems developed from fundus images have become state-of-the-art tools in diagnosing retinal conditions and glaucoma as well as other ocular diseases. However, designing and implementing AI models using large imaging data is challenging. In this study, we review different machine learning (ML) and deep learning (DL) techniques applied to multiple modalities of retinal data, such as fundus images and visual fields for glaucoma detection, progression assessment, staging and so on. We summarize findings and provide several taxonomies to help the reader understand the evolution of conventional and emerging AI models in glaucoma. We discuss opportunities and challenges facing AI application in glaucoma and highlight some key themes from the existing literature that may help to explore future studies. Our goal in this systematic review is to help readers and researchers to understand critical aspects of AI related to glaucoma as well as determine the necessary steps and requirements for the successful development of AI models in glaucoma.","author":[{"dropping-particle":"","family":"Huang","given":"Xiaoqin","non-dropping-particle":"","parse-names":false,"suffix":""},{"dropping-particle":"","family":"Islam","given":"Md Rafiqul","non-dropping-particle":"","parse-names":false,"suffix":""},{"dropping-particle":"","family":"Akter","given":"Shanjita","non-dropping-particle":"","parse-names":false,"suffix":""},{"dropping-particle":"","family":"Ahmed","given":"Fuad","non-dropping-particle":"","parse-names":false,"suffix":""},{"dropping-particle":"","family":"Kazami","given":"Ehsan","non-dropping-particle":"","parse-names":false,"suffix":""},{"dropping-particle":"","family":"Serhan","given":"Hashem Abu","non-dropping-particle":"","parse-names":false,"suffix":""},{"dropping-particle":"","family":"Abd-alrazaq","given":"Alaa","non-dropping-particle":"","parse-names":false,"suffix":""},{"dropping-particle":"","family":"Yousefi","given":"Siamak","non-dropping-particle":"","parse-names":false,"suffix":""}],"container-title":"BioMedical Engineering Online","id":"ITEM-1","issue":"1","issued":{"date-parts":[["2023"]]},"number-of-pages":"1-48","title":"Artificial intelligence in glaucoma: opportunities, challenges, and future directions","type":"book","volume":"22"},"uris":["http://www.mendeley.com/documents/?uuid=3a68afd7-2dee-4eb7-be9e-78f833fef835"]}],"mendeley":{"formattedCitation":"[8]","plainTextFormattedCitation":"[8]","previouslyFormattedCitation":"[8]"},"properties":{"noteIndex":0},"schema":"https://github.com/citation-style-language/schema/raw/master/csl-citation.json"}</w:instrText>
      </w:r>
      <w:r w:rsidR="00124311" w:rsidRPr="00F704AE">
        <w:rPr>
          <w:rFonts w:ascii="Times New Roman" w:eastAsia="Times New Roman" w:hAnsi="Times New Roman" w:cs="Times New Roman"/>
          <w:color w:val="000000"/>
          <w:sz w:val="24"/>
          <w:szCs w:val="24"/>
          <w:lang w:eastAsia="en-GB"/>
        </w:rPr>
        <w:fldChar w:fldCharType="separate"/>
      </w:r>
      <w:r w:rsidR="00AE1A53" w:rsidRPr="00F704AE">
        <w:rPr>
          <w:rFonts w:ascii="Times New Roman" w:eastAsia="Times New Roman" w:hAnsi="Times New Roman" w:cs="Times New Roman"/>
          <w:noProof/>
          <w:color w:val="000000"/>
          <w:sz w:val="24"/>
          <w:szCs w:val="24"/>
          <w:lang w:eastAsia="en-GB"/>
        </w:rPr>
        <w:t>[8]</w:t>
      </w:r>
      <w:r w:rsidR="00124311" w:rsidRPr="00F704AE">
        <w:rPr>
          <w:rFonts w:ascii="Times New Roman" w:eastAsia="Times New Roman" w:hAnsi="Times New Roman" w:cs="Times New Roman"/>
          <w:color w:val="000000"/>
          <w:sz w:val="24"/>
          <w:szCs w:val="24"/>
          <w:lang w:eastAsia="en-GB"/>
        </w:rPr>
        <w:fldChar w:fldCharType="end"/>
      </w:r>
      <w:r w:rsidR="00124311" w:rsidRPr="00F704AE">
        <w:rPr>
          <w:rFonts w:ascii="Times New Roman" w:eastAsia="Times New Roman" w:hAnsi="Times New Roman" w:cs="Times New Roman"/>
          <w:color w:val="000000"/>
          <w:sz w:val="24"/>
          <w:szCs w:val="24"/>
          <w:lang w:eastAsia="en-GB"/>
        </w:rPr>
        <w:t>.</w:t>
      </w:r>
    </w:p>
    <w:p w14:paraId="43887A17" w14:textId="39BB2D3F" w:rsidR="00B44C2B" w:rsidRPr="0063173B" w:rsidRDefault="00A61B45"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C00000"/>
          <w:sz w:val="24"/>
          <w:szCs w:val="24"/>
          <w:lang w:eastAsia="en-GB"/>
        </w:rPr>
      </w:pPr>
      <w:r w:rsidRPr="00F704AE">
        <w:rPr>
          <w:rFonts w:ascii="Times New Roman" w:eastAsia="Times New Roman" w:hAnsi="Times New Roman" w:cs="Times New Roman"/>
          <w:sz w:val="24"/>
          <w:szCs w:val="24"/>
          <w:lang w:eastAsia="en-GB"/>
        </w:rPr>
        <w:t xml:space="preserve">Recent advances in AI enable automated image analysis, improved diagnostic accuracy, and the identification of subtle patterns that may not be immediately apparent to clinicians. AI-driven analysis of imaging data, particularly OCT, has shown strong potential in detecting glaucomatous changes within the optic nerve head and retinal layers, thereby supporting timely and more precise diagnosis. </w:t>
      </w:r>
      <w:r w:rsidR="008F52B1" w:rsidRPr="00F704AE">
        <w:rPr>
          <w:rFonts w:ascii="Times New Roman" w:eastAsia="Times New Roman" w:hAnsi="Times New Roman" w:cs="Times New Roman"/>
          <w:sz w:val="24"/>
          <w:szCs w:val="24"/>
          <w:lang w:eastAsia="en-GB"/>
        </w:rPr>
        <w:t>Further s</w:t>
      </w:r>
      <w:r w:rsidRPr="00F704AE">
        <w:rPr>
          <w:rFonts w:ascii="Times New Roman" w:eastAsia="Times New Roman" w:hAnsi="Times New Roman" w:cs="Times New Roman"/>
          <w:sz w:val="24"/>
          <w:szCs w:val="24"/>
          <w:lang w:eastAsia="en-GB"/>
        </w:rPr>
        <w:t xml:space="preserve">tudies indicate a rapidly expanding research landscape focused on AI-enabled imaging techniques for glaucoma detection, highlighting evolving trends and </w:t>
      </w:r>
      <w:r w:rsidR="00AB1A1D" w:rsidRPr="00F704AE">
        <w:rPr>
          <w:rFonts w:ascii="Times New Roman" w:eastAsia="Times New Roman" w:hAnsi="Times New Roman" w:cs="Times New Roman"/>
          <w:sz w:val="24"/>
          <w:szCs w:val="24"/>
          <w:lang w:eastAsia="en-GB"/>
        </w:rPr>
        <w:t xml:space="preserve">the </w:t>
      </w:r>
      <w:r w:rsidRPr="00F704AE">
        <w:rPr>
          <w:rFonts w:ascii="Times New Roman" w:eastAsia="Times New Roman" w:hAnsi="Times New Roman" w:cs="Times New Roman"/>
          <w:sz w:val="24"/>
          <w:szCs w:val="24"/>
          <w:lang w:eastAsia="en-GB"/>
        </w:rPr>
        <w:t>growing importance of these technologies in modern ophthalmic practice</w:t>
      </w:r>
      <w:r w:rsidR="00A72234" w:rsidRPr="00F704AE">
        <w:rPr>
          <w:rFonts w:ascii="Times New Roman" w:eastAsia="Times New Roman" w:hAnsi="Times New Roman" w:cs="Times New Roman"/>
          <w:sz w:val="24"/>
          <w:szCs w:val="24"/>
          <w:lang w:eastAsia="en-GB"/>
        </w:rPr>
        <w:t xml:space="preserve">s </w:t>
      </w:r>
      <w:r w:rsidR="008817C1" w:rsidRPr="00F704AE">
        <w:rPr>
          <w:rFonts w:ascii="Times New Roman" w:eastAsia="Times New Roman" w:hAnsi="Times New Roman" w:cs="Times New Roman"/>
          <w:sz w:val="24"/>
          <w:szCs w:val="24"/>
          <w:lang w:eastAsia="en-GB"/>
        </w:rPr>
        <w:fldChar w:fldCharType="begin" w:fldLock="1"/>
      </w:r>
      <w:r w:rsidR="00F53257" w:rsidRPr="00F704AE">
        <w:rPr>
          <w:rFonts w:ascii="Times New Roman" w:eastAsia="Times New Roman" w:hAnsi="Times New Roman" w:cs="Times New Roman"/>
          <w:sz w:val="24"/>
          <w:szCs w:val="24"/>
          <w:lang w:eastAsia="en-GB"/>
        </w:rPr>
        <w:instrText>ADDIN CSL_CITATION {"citationItems":[{"id":"ITEM-1","itemData":{"author":[{"dropping-particle":"","family":"Lan","given":"Chiao-hsin","non-dropping-particle":"","parse-names":false,"suffix":""},{"dropping-particle":"","family":"Chiu","given":"Ta-hung","non-dropping-particle":"","parse-names":false,"suffix":""},{"dropping-particle":"","family":"Yen","given":"Wei-ting","non-dropping-particle":"","parse-names":false,"suffix":""}],"container-title":"international journal of molecular science","id":"ITEM-1","issued":{"date-parts":[["2025"]]},"page":"1-20","title":"Artificial Intelligence in Glaucoma : Advances in Diagnosis , Progression Forecasting , and Surgical Outcome Prediction","type":"article-journal"},"uris":["http://www.mendeley.com/documents/?uuid=eb0dfeab-90af-455f-ae9c-04892a97af4a"]}],"mendeley":{"formattedCitation":"[9]","plainTextFormattedCitation":"[9]","previouslyFormattedCitation":"[9]"},"properties":{"noteIndex":0},"schema":"https://github.com/citation-style-language/schema/raw/master/csl-citation.json"}</w:instrText>
      </w:r>
      <w:r w:rsidR="008817C1" w:rsidRPr="00F704AE">
        <w:rPr>
          <w:rFonts w:ascii="Times New Roman" w:eastAsia="Times New Roman" w:hAnsi="Times New Roman" w:cs="Times New Roman"/>
          <w:sz w:val="24"/>
          <w:szCs w:val="24"/>
          <w:lang w:eastAsia="en-GB"/>
        </w:rPr>
        <w:fldChar w:fldCharType="separate"/>
      </w:r>
      <w:r w:rsidR="008817C1" w:rsidRPr="00F704AE">
        <w:rPr>
          <w:rFonts w:ascii="Times New Roman" w:eastAsia="Times New Roman" w:hAnsi="Times New Roman" w:cs="Times New Roman"/>
          <w:noProof/>
          <w:sz w:val="24"/>
          <w:szCs w:val="24"/>
          <w:lang w:eastAsia="en-GB"/>
        </w:rPr>
        <w:t>[9]</w:t>
      </w:r>
      <w:r w:rsidR="008817C1" w:rsidRPr="00F704AE">
        <w:rPr>
          <w:rFonts w:ascii="Times New Roman" w:eastAsia="Times New Roman" w:hAnsi="Times New Roman" w:cs="Times New Roman"/>
          <w:sz w:val="24"/>
          <w:szCs w:val="24"/>
          <w:lang w:eastAsia="en-GB"/>
        </w:rPr>
        <w:fldChar w:fldCharType="end"/>
      </w:r>
      <w:r w:rsidR="00F53257" w:rsidRPr="00F704AE">
        <w:rPr>
          <w:rFonts w:ascii="Times New Roman" w:eastAsia="Times New Roman" w:hAnsi="Times New Roman" w:cs="Times New Roman"/>
          <w:sz w:val="24"/>
          <w:szCs w:val="24"/>
          <w:lang w:eastAsia="en-GB"/>
        </w:rPr>
        <w:fldChar w:fldCharType="begin" w:fldLock="1"/>
      </w:r>
      <w:r w:rsidR="00F53257" w:rsidRPr="00F704AE">
        <w:rPr>
          <w:rFonts w:ascii="Times New Roman" w:eastAsia="Times New Roman" w:hAnsi="Times New Roman" w:cs="Times New Roman"/>
          <w:sz w:val="24"/>
          <w:szCs w:val="24"/>
          <w:lang w:eastAsia="en-GB"/>
        </w:rPr>
        <w:instrText>ADDIN CSL_CITATION {"citationItems":[{"id":"ITEM-1","itemData":{"DOI":"10.3389/fmed.2024.1423813","author":[{"dropping-particle":"","family":"Liang","given":"Lina","non-dropping-particle":"","parse-names":false,"suffix":""},{"dropping-particle":"","family":"Xu","given":"Kai","non-dropping-particle":"","parse-names":false,"suffix":""}],"container-title":"Frontiers in Medicine","id":"ITEM-1","issue":"December","issued":{"date-parts":[["2024"]]},"page":"1-6","title":"Artificial intelligence and glaucoma : a lucid and comprehensive review","type":"article-journal"},"uris":["http://www.mendeley.com/documents/?uuid=0409f148-00a0-4333-80c0-e2f9ff08926d"]}],"mendeley":{"formattedCitation":"[10]","plainTextFormattedCitation":"[10]","previouslyFormattedCitation":"[10]"},"properties":{"noteIndex":0},"schema":"https://github.com/citation-style-language/schema/raw/master/csl-citation.json"}</w:instrText>
      </w:r>
      <w:r w:rsidR="00F53257" w:rsidRPr="00F704AE">
        <w:rPr>
          <w:rFonts w:ascii="Times New Roman" w:eastAsia="Times New Roman" w:hAnsi="Times New Roman" w:cs="Times New Roman"/>
          <w:sz w:val="24"/>
          <w:szCs w:val="24"/>
          <w:lang w:eastAsia="en-GB"/>
        </w:rPr>
        <w:fldChar w:fldCharType="separate"/>
      </w:r>
      <w:r w:rsidR="00F53257" w:rsidRPr="00F704AE">
        <w:rPr>
          <w:rFonts w:ascii="Times New Roman" w:eastAsia="Times New Roman" w:hAnsi="Times New Roman" w:cs="Times New Roman"/>
          <w:noProof/>
          <w:sz w:val="24"/>
          <w:szCs w:val="24"/>
          <w:lang w:eastAsia="en-GB"/>
        </w:rPr>
        <w:t>[10]</w:t>
      </w:r>
      <w:r w:rsidR="00F53257"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w:t>
      </w:r>
      <w:r w:rsidR="005E0CC6" w:rsidRPr="00F704AE">
        <w:rPr>
          <w:rFonts w:ascii="Times New Roman" w:eastAsia="Times New Roman" w:hAnsi="Times New Roman" w:cs="Times New Roman"/>
          <w:sz w:val="24"/>
          <w:szCs w:val="24"/>
          <w:lang w:eastAsia="en-GB"/>
        </w:rPr>
        <w:t xml:space="preserve"> </w:t>
      </w:r>
      <w:r w:rsidR="00765BA5" w:rsidRPr="00F704AE">
        <w:rPr>
          <w:rFonts w:ascii="Times New Roman" w:eastAsia="Times New Roman" w:hAnsi="Times New Roman" w:cs="Times New Roman"/>
          <w:sz w:val="24"/>
          <w:szCs w:val="24"/>
          <w:lang w:eastAsia="en-GB"/>
        </w:rPr>
        <w:t>It is worth noting that ocular and systemic biomarkers, advancements in telemedicine, real-world clinical trials, and sophisticated AI algorithms will together impact AI-driven ophthalmology worldwide</w:t>
      </w:r>
      <w:r w:rsidR="00765BA5" w:rsidRPr="00F704AE">
        <w:rPr>
          <w:rFonts w:ascii="Times New Roman" w:eastAsia="Times New Roman" w:hAnsi="Times New Roman" w:cs="Times New Roman"/>
          <w:color w:val="000000"/>
          <w:sz w:val="24"/>
          <w:szCs w:val="24"/>
          <w:lang w:eastAsia="en-GB"/>
        </w:rPr>
        <w:t xml:space="preserve"> </w:t>
      </w:r>
      <w:r w:rsidR="00765BA5"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{"citationItems":[{"id":"ITEM-1","itemData":{"DOI":"10.21037/atm-22-3773","ISSN":"23055839","abstract":"BACKGROUND: The literature on artificial intelligence (AI)-related topics has been expanding rapidly over the last two decades, showing that AI is a crucial force in advancing ophthalmology. This analysis aims to provide a dynamic and longitudinal bibliometric analysis of AI-related ophthalmic papers. METHODS: The Web of Science was searched to retrieve papers regarding the application of AI in ophthalmology published in the English language up to May 2022. The variables were analyzed using Microsoft Excel 2019 and GraphPad Prism 9. Data visualization was performed using VOSviewer and CiteSpace. RESULTS: In this study, a total of 1,686 publications were analyzed. Recently, AI-related ophthalmology research has increased exponentially. China was the most productive country in this research field, with 483 articles, but the United States of America (446 publications) contributed most to the sum of citations and the H-index. The League of European Research Universities, Ting DSW, and Daniel SW were the most prolific institution and researchers. This field is primarily concerned with diabetic retinopathy (DR), glaucoma, optical coherence tomography, and the classification and diagnosis of fundus pictures. Current hotspots in AI research include deep learning, diagnosing and predicting systemic disorders by fundus images, incidence and progression of ocular diseases, and outcome prediction. CONCLUSIONS: This analysis thoroughly reviews AI-related research in ophthalmology to help academics better comprehend the growth and possible practice consequences of AI. The association between eye and systemic biomarkers, telemedicine, real-world studies, and the development and application of new AI algorithms, such as visual converters, will continue to be research hotspots over the next few years.","author":[{"dropping-particle":"","family":"Jiang","given":"Xue","non-dropping-particle":"","parse-names":false,"suffix":""},{"dropping-particle":"","family":"Xie","given":"Minyue","non-dropping-particle":"","parse-names":false,"suffix":""},{"dropping-particle":"","family":"Ma","given":"Lan","non-dropping-particle":"","parse-names":false,"suffix":""},{"dropping-particle":"","family":"Dong","given":"Li","non-dropping-particle":"","parse-names":false,"suffix":""},{"dropping-particle":"","family":"Li","given":"Dongmei","non-dropping-particle":"","parse-names":false,"suffix":""}],"container-title":"Annals of Translational Medicine","id":"ITEM-1","issue":"5","issued":{"date-parts":[["2023"]]},"page":"219-219","title":"International publication trends in the application of artificial intelligence in ophthalmology research: an updated bibliometric analysis","type":"article-journal","volume":"11"},"uris":["http://www.mendeley.com/documents/?uuid=eb74608c-73ea-4abf-a720-91ebe2db82db"]}],"mendeley":{"formattedCitation":"[11]","plainTextFormattedCitation":"[11]","previouslyFormattedCitation":"[36]"},"properties":{"noteIndex":0},"schema":"https://github.com/citation-style-language/schema/raw/master/csl-citation.json"}</w:instrText>
      </w:r>
      <w:r w:rsidR="00765BA5"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[11]</w:t>
      </w:r>
      <w:r w:rsidR="00765BA5" w:rsidRPr="00F704AE">
        <w:rPr>
          <w:rFonts w:ascii="Times New Roman" w:eastAsia="Times New Roman" w:hAnsi="Times New Roman" w:cs="Times New Roman"/>
          <w:sz w:val="24"/>
          <w:szCs w:val="24"/>
          <w:lang w:eastAsia="en-GB"/>
        </w:rPr>
        <w:fldChar w:fldCharType="end"/>
      </w:r>
      <w:r w:rsidR="00765BA5" w:rsidRPr="00F704AE">
        <w:rPr>
          <w:rFonts w:ascii="Times New Roman" w:eastAsia="Times New Roman" w:hAnsi="Times New Roman" w:cs="Times New Roman"/>
          <w:sz w:val="24"/>
          <w:szCs w:val="24"/>
          <w:lang w:eastAsia="en-GB"/>
        </w:rPr>
        <w:t>.</w:t>
      </w:r>
    </w:p>
    <w:p w14:paraId="5071E5FE" w14:textId="77156B2B" w:rsidR="00B44C2B" w:rsidRDefault="00B44C2B"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themeColor="text1"/>
          <w:sz w:val="24"/>
          <w:szCs w:val="24"/>
          <w:lang w:eastAsia="en-GB"/>
        </w:rPr>
      </w:pPr>
      <w:r w:rsidRPr="00F704AE">
        <w:rPr>
          <w:rFonts w:ascii="Times New Roman" w:eastAsia="Times New Roman" w:hAnsi="Times New Roman" w:cs="Times New Roman"/>
          <w:sz w:val="24"/>
          <w:szCs w:val="24"/>
          <w:lang w:eastAsia="en-GB"/>
        </w:rPr>
        <w:t xml:space="preserve">The objective of this study is to examine global research trends and patterns in the application of artificial intelligence for glaucoma detection using medical imaging. Specifically, the study aims to analyse annual scientific production, identify the most relevant journals and publication sources, determine the most influential </w:t>
      </w:r>
      <w:r w:rsidRPr="00F704AE">
        <w:rPr>
          <w:rFonts w:ascii="Times New Roman" w:eastAsia="Times New Roman" w:hAnsi="Times New Roman" w:cs="Times New Roman"/>
          <w:sz w:val="24"/>
          <w:szCs w:val="24"/>
          <w:lang w:eastAsia="en-GB"/>
        </w:rPr>
        <w:lastRenderedPageBreak/>
        <w:t>and highly cited documents, evaluate frequent research keywords to understand thematic focus, and assess the contribution of leading institutional affiliations. Additionally, the study seeks to interpret the structure</w:t>
      </w:r>
      <w:r w:rsidR="00277DB7" w:rsidRPr="00F704AE">
        <w:rPr>
          <w:rFonts w:ascii="Times New Roman" w:eastAsia="Times New Roman" w:hAnsi="Times New Roman" w:cs="Times New Roman"/>
          <w:sz w:val="24"/>
          <w:szCs w:val="24"/>
          <w:lang w:eastAsia="en-GB"/>
        </w:rPr>
        <w:t xml:space="preserve"> and patterns</w:t>
      </w:r>
      <w:r w:rsidRPr="00F704AE">
        <w:rPr>
          <w:rFonts w:ascii="Times New Roman" w:eastAsia="Times New Roman" w:hAnsi="Times New Roman" w:cs="Times New Roman"/>
          <w:sz w:val="24"/>
          <w:szCs w:val="24"/>
          <w:lang w:eastAsia="en-GB"/>
        </w:rPr>
        <w:t xml:space="preserve"> within the field to understand how AI techniques</w:t>
      </w:r>
      <w:r w:rsidR="00C57BFD" w:rsidRPr="00F704AE">
        <w:rPr>
          <w:rFonts w:ascii="Times New Roman" w:eastAsia="Times New Roman" w:hAnsi="Times New Roman" w:cs="Times New Roman"/>
          <w:sz w:val="24"/>
          <w:szCs w:val="24"/>
          <w:lang w:eastAsia="en-GB"/>
        </w:rPr>
        <w:t xml:space="preserve"> </w:t>
      </w:r>
      <w:r w:rsidRPr="00F704AE">
        <w:rPr>
          <w:rFonts w:ascii="Times New Roman" w:eastAsia="Times New Roman" w:hAnsi="Times New Roman" w:cs="Times New Roman"/>
          <w:sz w:val="24"/>
          <w:szCs w:val="24"/>
          <w:lang w:eastAsia="en-GB"/>
        </w:rPr>
        <w:t>are evolving in ophthalmic diagnostics for glaucoma detection.</w:t>
      </w:r>
      <w:r w:rsidR="00277DB7" w:rsidRPr="00F704AE">
        <w:rPr>
          <w:rFonts w:ascii="Times New Roman" w:eastAsia="Times New Roman" w:hAnsi="Times New Roman" w:cs="Times New Roman"/>
          <w:sz w:val="24"/>
          <w:szCs w:val="24"/>
          <w:lang w:eastAsia="en-GB"/>
        </w:rPr>
        <w:t xml:space="preserve"> </w:t>
      </w:r>
      <w:r w:rsidR="00277DB7" w:rsidRPr="00F704AE">
        <w:rPr>
          <w:rFonts w:ascii="Times New Roman" w:eastAsia="Times New Roman" w:hAnsi="Times New Roman" w:cs="Times New Roman"/>
          <w:color w:val="000000" w:themeColor="text1"/>
          <w:sz w:val="24"/>
          <w:szCs w:val="24"/>
          <w:lang w:eastAsia="en-GB"/>
        </w:rPr>
        <w:t>We</w:t>
      </w:r>
      <w:r w:rsidR="00D11757" w:rsidRPr="00F704AE">
        <w:rPr>
          <w:rFonts w:ascii="Times New Roman" w:eastAsia="Times New Roman" w:hAnsi="Times New Roman" w:cs="Times New Roman"/>
          <w:color w:val="000000" w:themeColor="text1"/>
          <w:sz w:val="24"/>
          <w:szCs w:val="24"/>
          <w:lang w:eastAsia="en-GB"/>
        </w:rPr>
        <w:t xml:space="preserve"> also</w:t>
      </w:r>
      <w:r w:rsidR="00277DB7" w:rsidRPr="00F704AE">
        <w:rPr>
          <w:rFonts w:ascii="Times New Roman" w:eastAsia="Times New Roman" w:hAnsi="Times New Roman" w:cs="Times New Roman"/>
          <w:color w:val="000000" w:themeColor="text1"/>
          <w:sz w:val="24"/>
          <w:szCs w:val="24"/>
          <w:lang w:eastAsia="en-GB"/>
        </w:rPr>
        <w:t xml:space="preserve"> aim to map the development of this field and offer remarks and recommendations for further research by examining these dimensions.</w:t>
      </w:r>
    </w:p>
    <w:p w14:paraId="239CE93B" w14:textId="77777777" w:rsidR="008142FD" w:rsidRPr="00F704AE" w:rsidRDefault="008142FD"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C00000"/>
          <w:sz w:val="24"/>
          <w:szCs w:val="24"/>
          <w:lang w:eastAsia="en-GB"/>
        </w:rPr>
      </w:pPr>
    </w:p>
    <w:p w14:paraId="222BF0D8" w14:textId="57CE569C" w:rsidR="009B2D34" w:rsidRPr="001C7D5A" w:rsidRDefault="0063173B" w:rsidP="001C7D5A">
      <w:pPr>
        <w:spacing w:before="240" w:after="240" w:line="240" w:lineRule="auto"/>
        <w:jc w:val="both"/>
        <w:rPr>
          <w:rFonts w:ascii="Times New Roman" w:eastAsia="Times New Roman" w:hAnsi="Times New Roman" w:cs="Times New Roman"/>
          <w:b/>
          <w:bCs/>
          <w:sz w:val="28"/>
          <w:szCs w:val="28"/>
          <w:lang w:val="en-GB" w:eastAsia="zh-CN"/>
        </w:rPr>
      </w:pPr>
      <w:r w:rsidRPr="0063173B">
        <w:rPr>
          <w:rFonts w:ascii="Times New Roman" w:eastAsia="Times New Roman" w:hAnsi="Times New Roman" w:cs="Times New Roman"/>
          <w:b/>
          <w:bCs/>
          <w:sz w:val="28"/>
          <w:szCs w:val="28"/>
          <w:lang w:val="en-GB" w:eastAsia="zh-CN"/>
        </w:rPr>
        <w:t xml:space="preserve">2.0 MOTIVATION AND PREVIOUSLY PUBLISHED STUDIES </w:t>
      </w:r>
      <w:r w:rsidR="009B2D34" w:rsidRPr="00F704AE">
        <w:rPr>
          <w:rFonts w:ascii="Times New Roman" w:eastAsia="Times New Roman" w:hAnsi="Times New Roman" w:cs="Times New Roman"/>
          <w:sz w:val="24"/>
          <w:szCs w:val="24"/>
          <w:lang w:eastAsia="en-GB"/>
        </w:rPr>
        <w:tab/>
      </w:r>
    </w:p>
    <w:p w14:paraId="0399E67D" w14:textId="55AC40C4"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r w:rsidRPr="00F704AE">
        <w:rPr>
          <w:rFonts w:ascii="Times New Roman" w:eastAsia="Times New Roman" w:hAnsi="Times New Roman" w:cs="Times New Roman"/>
          <w:sz w:val="24"/>
          <w:szCs w:val="24"/>
          <w:lang w:eastAsia="en-GB"/>
        </w:rPr>
        <w:t>The potential of artificial intelligence (AI) to improve diagnostic accessibility and accuracy has led to a recent surge in interest in the use of machine learning in glaucoma detection. As one of the main causes of permanent blindness, glaucoma requires early and precise detection to effectually manage the disease's progression. Traditional diagnostic techniques like optical coherence tomography (OCT) and visual field tests, though still effective, are time-consuming, expensive, and require specific training. As a result, researchers are progressively using machine learning models, especially deep learning approaches like convolutional neural networks (CNNs) to automate and accelerate the diagnostic process.</w:t>
      </w:r>
      <w:r w:rsidR="0057744D" w:rsidRPr="00F704AE">
        <w:rPr>
          <w:rFonts w:ascii="Times New Roman" w:eastAsia="Times New Roman" w:hAnsi="Times New Roman" w:cs="Times New Roman"/>
          <w:sz w:val="24"/>
          <w:szCs w:val="24"/>
          <w:lang w:eastAsia="en-GB"/>
        </w:rPr>
        <w:t xml:space="preserve"> </w:t>
      </w:r>
    </w:p>
    <w:p w14:paraId="2E9F6A79" w14:textId="4C3D9238"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r w:rsidRPr="00F704AE">
        <w:rPr>
          <w:rFonts w:ascii="Times New Roman" w:eastAsia="Times New Roman" w:hAnsi="Times New Roman" w:cs="Times New Roman"/>
          <w:sz w:val="24"/>
          <w:szCs w:val="24"/>
          <w:lang w:eastAsia="en-GB"/>
        </w:rPr>
        <w:t xml:space="preserve">Bibliometric analysis is a systematic method used to evaluate scientific literature and offer perceptions such as research trends, influential publications, and collaborative networks within a field. Through the quantitative evaluation of variables like author affiliations, keyword co-occurrence, and citation counts, bibliometric analysis offers a summary of the composition and development of the research area. To find high-impact studies and research gaps, bibliometric techniques have been widely used in a variety of fields in recent years, including medical imaging and AI-driven diagnostics. For example, studies by Senthil et al. demonstrate the insights into research hotspots, thematic focus, and emerging trends in AI and health care research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10.1016/j.fhj.2024.100182","ISSN":"25146645","author":[{"dropping-particle":"","family":"Senthil","given":"Renganathan","non-dropping-particle":"","parse-names":false,"suffix":""},{"dropping-particle":"","family":"Anand","given":"Thirunavukarasou","non-dropping-particle":"","parse-names":false,"suffix":""},{"dropping-particle":"","family":"Somala","given":"Chaitanya Sree","non-dropping-particle":"","parse-names":false,"suffix":""},{"dropping-particle":"","family":"Saravanan","given":"Konda Mani","non-dropping-particle":"","parse-names":false,"suffix":""}],"container-title":"Future Healthcare Journal","id":"ITEM-1","issue":"3","issued":{"date-parts":[["2024"]]},"page":"100182","publisher":"Elsevier Ltd","title":"Bibliometric analysis of artificial intelligence in healthcare research: Trends and future directions","type":"article-journal","volume":"11"},"uris":["http://www.mendeley.com/documents/?uuid=4b65fd22-942d-434a-8f05-c343c417ff7d"]}],"mendeley":{"formattedCitation":"[12]","plainTextFormattedCitation":"[12]","previouslyFormattedCitation":"[11]"},"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[12]</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xml:space="preserve">, while Kocak et al. and Cui et al. focusing on artificial intelligence (AI) within medical imaging and highlighted the exponential growth in publications related to deep learning techniques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{"citationItems":[{"id":"ITEM-1","itemData":{"DOI":"10.1007/s00330-023-09772-0","ISSN":"14321084","PMID":"37314469","abstract":"Objective: To conduct a comprehensive bibliometric analysis of artificial intelligence (AI) and its subfields as well as radiomics in Radiology, Nuclear Medicine, and Medical Imaging (RNMMI). Methods: Web of Science was queried for relevant publications in RNMMI and medicine along with their associated data from 2000 to 2021. Bibliometric techniques utilised were co-occurrence, co-authorship, citation burst, and thematic evolution analyses. Growth rate and doubling time were also estimated using log-linear regression analyses. Results: According to the number of publications, RNMMI (11,209; 19.8%) was the most prominent category in medicine (56,734). USA (44.6%) and China (23.1%) were the two most productive and collaborative countries. USA and Germany experienced the strongest citation bursts. Thematic evolution has recently exhibited a significant shift toward deep learning. In all analyses, the annual number of publications and citations demonstrated exponential growth, with deep learning-based publications exhibiting the most prominent growth pattern. Estimated continuous growth rate, annual growth rate, and doubling time of the AI and machine learning publications in RNMMI were 26.1% (95% confidence interval [CI], 12.0–40.2%), 29.8% (95% CI, 12.7–49.5%), and 2.7 years (95% CI, 1.7–5.8), respectively. In the sensitivity analysis using data from the last 5 and 10 years, these estimates ranged from 47.6 to 51.1%, 61.0 to 66.7%, and 1.4 to 1.5 years. Conclusion: This study provides an overview of AI and radiomics research conducted mainly in RNMMI. These results may assist researchers, practitioners, policymakers, and organisations in gaining a better understanding of both the evolution of these fields and the importance of supporting (e.g., financial) these research activities. Key Points: • In terms of the number of publications on AI and ML, Radiology, Nuclear Medicine, and Medical Imaging was the most prominent category compared to the other categories related to medicine (e.g., Health Policy &amp; Services, Surgery). • All evaluated analyses (i.e., AI, its subfields, and radiomics), based on the annual number of publications and citations, demonstrated exponential growth, with decreasing doubling time, which indicates increasing interest from researchers, journals, and, in turn, the medical imaging community. • The most prominent growth pattern was observed in deep learning-based publications. However, the further thematic analysis demonstrated that d…","author":[{"dropping-particle":"","family":"Kocak","given":"Burak","non-dropping-particle":"","parse-names":false,"suffix":""},{"dropping-particle":"","family":"Baessler","given":"Bettina","non-dropping-particle":"","parse-names":false,"suffix":""},{"dropping-particle":"","family":"Cuocolo","given":"Renato","non-dropping-particle":"","parse-names":false,"suffix":""},{"dropping-particle":"","family":"Mercaldo","given":"Nathaniel","non-dropping-particle":"","parse-names":false,"suffix":""},{"dropping-particle":"","family":"Pinto dos Santos","given":"Daniel","non-dropping-particle":"","parse-names":false,"suffix":""}],"container-title":"European Radiology","id":"ITEM-1","issue":"11","issued":{"date-parts":[["2023"]]},"page":"7542-7555","title":"Trends and statistics of artificial intelligence and radiomics research in Radiology, Nuclear Medicine, and Medical Imaging: bibliometric analysis","type":"article-journal","volume":"33"},"uris":["http://www.mendeley.com/documents/?uuid=c9741861-a219-4ffa-87b3-63223907e071"]}],"mendeley":{"formattedCitation":"[13]","plainTextFormattedCitation":"[13]","previouslyFormattedCitation":"[12]"},"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[13]</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{"citationItems":[{"id":"ITEM-1","itemData":{"DOI":"10.3389/fneur.2023.1171167","ISSN":"16642295","abstract":"Background: The growing interest suggests that the widespread application of radiomics has facilitated the development of neurological disease diagnosis, prognosis, and classification. The application of artificial intelligence methods in radiomics has increasingly achieved outstanding prediction results in recent years. However, there are few studies that have systematically analyzed this field through bibliometrics. Our destination is to study the visual relationships of publications to identify the trends and hotspots in radiomics research and encourage more researchers to participate in radiomics studies. Methods: Publications in radiomics in the field of neurological disease research can be retrieved from the Web of Science Core Collection. Analysis of relevant countries, institutions, journals, authors, keywords, and references is conducted using Microsoft Excel 2019, VOSviewer, and CiteSpace V. We analyze the research status and hot trends through burst detection. Results: On October 23, 2022, 746 records of studies on the application of radiomics in the diagnosis of neurological disorders were retrieved and published from 2011 to 2023. Approximately half of them were written by scholars in the United States, and most were published in Frontiers in Oncology, European Radiology, Cancer, and SCIENTIFIC REPORTS. Although China ranks first in the number of publications, the United States is the driving force in the field and enjoys a good academic reputation. NORBERT GALLDIKS and JIE TIAN published the most relevant articles, while GILLIES RJ was cited the most. RADIOLOGY is a representative and influential journal in the field. “Glioma” is a current attractive research hotspot. Keywords such as “machine learning,” “brain metastasis,” and “gene mutations” have recently appeared at the research frontier. Conclusion: Most of the studies focus on clinical trial outcomes, such as the diagnosis, prediction, and prognosis of neurological disorders. The radiomics biomarkers and multi-omics studies of neurological disorders may soon become a hot topic and should be closely monitored, particularly the relationship between tumor-related non-invasive imaging biomarkers and the intrinsic micro-environment of tumors.","author":[{"dropping-particle":"","family":"Cui","given":"Jiangli","non-dropping-particle":"","parse-names":false,"suffix":""},{"dropping-particle":"","family":"Miao","given":"Xingyu","non-dropping-particle":"","parse-names":false,"suffix":""},{"dropping-particle":"","family":"Yanghao","given":"Xiaoyu","non-dropping-particle":"","parse-names":false,"suffix":""},{"dropping-particle":"","family":"Qin","given":"Xuqiu","non-dropping-particle":"","parse-names":false,"suffix":""}],"container-title":"Frontiers in Neurology","id":"ITEM-1","issued":{"date-parts":[["2023"]]},"title":"Bibliometric research on the developments of artificial intelligence in radiomics toward nervous system diseases","type":"article-journal","volume":"14"},"uris":["http://www.mendeley.com/documents/?uuid=ecc517bd-47f2-41dc-9a00-6a8872da982c"]}],"mendeley":{"formattedCitation":"[14]","plainTextFormattedCitation":"[14]","previouslyFormattedCitation":"[13]"},"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[14]</w:t>
      </w:r>
      <w:r w:rsidRPr="00F704AE">
        <w:rPr>
          <w:rFonts w:ascii="Times New Roman" w:eastAsia="Times New Roman" w:hAnsi="Times New Roman" w:cs="Times New Roman"/>
          <w:sz w:val="24"/>
          <w:szCs w:val="24"/>
          <w:lang w:eastAsia="en-GB"/>
        </w:rPr>
        <w:fldChar w:fldCharType="end"/>
      </w:r>
      <w:r w:rsidR="00061D0C" w:rsidRPr="00F704AE">
        <w:rPr>
          <w:rFonts w:ascii="Times New Roman" w:eastAsia="Times New Roman" w:hAnsi="Times New Roman" w:cs="Times New Roman"/>
          <w:sz w:val="24"/>
          <w:szCs w:val="24"/>
          <w:lang w:eastAsia="en-GB"/>
        </w:rPr>
        <w:t xml:space="preserve"> while</w:t>
      </w:r>
      <w:r w:rsidRPr="00F704AE">
        <w:rPr>
          <w:rFonts w:ascii="Times New Roman" w:eastAsia="Times New Roman" w:hAnsi="Times New Roman" w:cs="Times New Roman"/>
          <w:sz w:val="24"/>
          <w:szCs w:val="24"/>
          <w:lang w:eastAsia="en-GB"/>
        </w:rPr>
        <w:t xml:space="preserve"> Chiroma et al. distribute comprehensive bibliometric analysis of AI applications in the IoMT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{"citationItems":[{"id":"ITEM-1","itemData":{"DOI":"10.3389/frai.2024.1347815","ISSN":"26248212","abstract":"The development of computer technology has revolutionized how people live and interact in society. The Internet of Things (IoT) has enabled the development of the Internet of Medical Things (IoMT) to transform healthcare delivery. Artificial intelligence has been used to improve the IoMT. Despite the significance of bibliometric analysis in a research area, to the best of the authors&amp;amp;#x00027; knowledge, based on searches conducted in academic databases, no bibliometric analysis on artificial intelligence (AI) for the IoMT has been conducted. To address this gap, this study proposes performing a comprehensive bibliometric analysis of AI applications in the IoMT. A bibliometric analysis of top literature sources, main disciplines, countries, prolific authors, trending topics, authorship, citations, author-keywords, and co-keywords was conducted. In addition, the structural development of AI in the IoMT highlights its growing popularity. This study found that security and privacy issues are serious concerns hindering the massive adoption of the IoMT. Future research directions on the IoMT, including perspectives on artificial general intelligence, generative artificial intelligence, and explainable artificial intelligence, have been outlined and discussed.","author":[{"dropping-particle":"","family":"Chiroma","given":"Haruna","non-dropping-particle":"","parse-names":false,"suffix":""},{"dropping-particle":"","family":"Hashem","given":"Ibrahim Abaker Targio","non-dropping-particle":"","parse-names":false,"suffix":""},{"dropping-particle":"","family":"Maray","given":"Mohammed","non-dropping-particle":"","parse-names":false,"suffix":""}],"container-title":"Frontiers in Artificial Intelligence","id":"ITEM-1","issued":{"date-parts":[["2024"]]},"title":"Bibliometric analysis for artificial intelligence in the internet of medical things: mapping and performance analysis","type":"article-journal","volume":"7"},"uris":["http://www.mendeley.com/documents/?uuid=f05d34c4-5864-4982-8523-1e9899d5d635"]}],"mendeley":{"formattedCitation":"[15]","plainTextFormattedCitation":"[15]","previouslyFormattedCitation":"[14]"},"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[15]</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w:t>
      </w:r>
    </w:p>
    <w:p w14:paraId="762B7504" w14:textId="77777777" w:rsidR="008142FD" w:rsidRDefault="009B2D34" w:rsidP="000931A3">
      <w:pPr>
        <w:spacing w:before="240" w:after="240" w:line="240" w:lineRule="auto"/>
        <w:jc w:val="both"/>
        <w:rPr>
          <w:rFonts w:ascii="Times New Roman" w:eastAsia="Times New Roman" w:hAnsi="Times New Roman" w:cs="Times New Roman"/>
          <w:sz w:val="24"/>
          <w:szCs w:val="24"/>
          <w:lang w:eastAsia="en-GB"/>
        </w:rPr>
      </w:pPr>
      <w:r w:rsidRPr="00F704AE">
        <w:rPr>
          <w:rFonts w:ascii="Times New Roman" w:eastAsia="Times New Roman" w:hAnsi="Times New Roman" w:cs="Times New Roman"/>
          <w:sz w:val="24"/>
          <w:szCs w:val="24"/>
          <w:lang w:eastAsia="en-GB"/>
        </w:rPr>
        <w:t xml:space="preserve">Several studies have explored the use of machine learning algorithms in glaucoma detection, focusing on techniques such as CNNs, support vector machines (SVM), and ensemble methods. A study by </w:t>
      </w:r>
      <w:r w:rsidRPr="00F704AE">
        <w:rPr>
          <w:rFonts w:ascii="Times New Roman" w:eastAsia="Times New Roman" w:hAnsi="Times New Roman" w:cs="Times New Roman"/>
          <w:noProof/>
          <w:sz w:val="24"/>
          <w:szCs w:val="24"/>
          <w:lang w:eastAsia="en-GB"/>
        </w:rPr>
        <w:t>Aljohani</w:t>
      </w:r>
      <w:r w:rsidRPr="00F704AE">
        <w:rPr>
          <w:rFonts w:ascii="Times New Roman" w:eastAsia="Times New Roman" w:hAnsi="Times New Roman" w:cs="Times New Roman"/>
          <w:sz w:val="24"/>
          <w:szCs w:val="24"/>
          <w:lang w:eastAsia="en-GB"/>
        </w:rPr>
        <w:t xml:space="preserve"> et al. introduced a hybrid framework that combines CNNs (ResNet50, VGG-16) with traditional machine learning models like Random Forest. Research by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{"citationItems":[{"id":"ITEM-1","itemData":{"DOI":"10.1186/s12911-024-02518-y","ISSN":"14726947","PMID":"38698412","abstract":"Background: Glaucoma, the second leading cause of global blindness, demands timely detection due to its asymptomatic progression. This paper introduces an advanced computerized system, integrates Machine Learning (ML), convolutional neural networks (CNNs), and image processing for accurate glaucoma detection using medical imaging data, surpassing prior research efforts. Method: Developing a hybrid glaucoma detection framework using CNNs (ResNet50, VGG-16) and Random Forest. Models analyze pre-processed retinal images independently, and post-processing rules combine predictions for an overall glaucoma impact assessment. Result: The hybrid framework achieves a significant 95.41% accuracy, with precision and recall at 99.37% and 88.37%, respectively. The F1 score, balancing precision and recall, reaches a commendable 93.52%. These results highlight the robustness and effectiveness of the hybrid framework in accurate glaucoma diagnosis. Conclusion: In summary, our research presents an innovative hybrid framework combining CNNs and traditional ML models for glaucoma detection. Using ResNet50, VGG-16, and Random Forest in an ensemble approach yields remarkable accuracy, precision, recall, and F1 score. These results showcase the methodology’s potential to enhance glaucoma diagnosis, emphasizing its promising role in early detection and preventing irreversible vision loss. The integration of ML and DNNs in medical imaging analysis suggests a valuable path for future advancements in ophthalmic healthcare.","author":[{"dropping-particle":"","family":"Aljohani","given":"Abeer","non-dropping-particle":"","parse-names":false,"suffix":""},{"dropping-particle":"","family":"Aburasain","given":"Rua Y.","non-dropping-particle":"","parse-names":false,"suffix":""}],"container-title":"BMC Medical Informatics and Decision Making","id":"ITEM-1","issue":"1","issued":{"date-parts":[["2024"]]},"title":"A hybrid framework for glaucoma detection through federated machine learning and deep learning models","type":"article-journal","volume":"24"},"uris":["http://www.mendeley.com/documents/?uuid=953e8ff3-d7c5-4f91-a22f-ba0d08bf64f2"]}],"mendeley":{"formattedCitation":"[16]","plainTextFormattedCitation":"[16]","previouslyFormattedCitation":"[15]"},"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[16]</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xml:space="preserve"> has achieved an accuracy of 95.41%, demonstrating the effectiveness of integrating deep learning with conventional methods for glaucoma diagnosis using that approach. Another study by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{"citationItems":[{"id":"ITEM-1","itemData":{"DOI":"10.3390/diagnostics12020391","ISSN":"20754418","abstract":"Spectralis optical coherence tomography (OCT) provided more detailed parameters in the peripapillary and macular areas among the OCT machines, but it is not easy to understand the enor-mous information (114 features) generated from Spectralis OCT in glaucoma assessment. Machine learning methodology has been well-applied in glaucoma detection in recent years and has the abil-ity to process a large amount of information at once. Here we aimed to analyze the diagnostic capability of Spectralis OCT parameters on glaucoma detection using Support Vector Machine (SVM) classification method in our population. Our results showed that applying all OCT features with the SVM method had good capability in the detection of glaucomatous eyes (area under curve (AUC) = 0.82), as well as discriminating normal eyes from early, moderate, or severe glaucomatous eyes (AUC = 0.78, 0.89, and 0.93, respectively). Apart from using all OCT features, the minimum rim width (MRW) may be good feature groups to discriminate early glaucomatous from normal eyes (AUC = 0.78). The combination of peripapillary and macular parameters, including MRW_temporal inferior (TI), MRW_global (G), ganglion cell layer (GCL)_outer temporal (T2), GCL_inner inferior (I1), peripapillary nerve fiber layer thickness (ppNFLT)_temporal superior (TS), and GCL_inner temporal (T1), provided better results (AUC = 0.84). This study showed promise in glaucoma management in the Taiwanese population. However, further validation study is needed to test the per-formance of our proposed model in the real world.","author":[{"dropping-particle":"","family":"Wu","given":"Chao Wei","non-dropping-particle":"","parse-names":false,"suffix":""},{"dropping-particle":"","family":"Chen","given":"Hsin Yi","non-dropping-particle":"","parse-names":false,"suffix":""},{"dropping-particle":"","family":"Chen","given":"Jui Yu","non-dropping-particle":"","parse-names":false,"suffix":""},{"dropping-particle":"","family":"Lee","given":"Ching Hung","non-dropping-particle":"","parse-names":false,"suffix":""}],"container-title":"Diagnostics","id":"ITEM-1","issue":"2","issued":{"date-parts":[["2022"]]},"title":"Glaucoma Detection Using Support Vector Machine Method Based on Spectralis OCT","type":"article-journal","volume":"12"},"uris":["http://www.mendeley.com/documents/?uuid=2244f4dc-577a-4c49-bcc4-f4f9b2ad80ad"]}],"mendeley":{"formattedCitation":"[17]","plainTextFormattedCitation":"[17]","previouslyFormattedCitation":"[16]"},"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[17]</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xml:space="preserve"> used SVM to analyse features from Spectralis Optical Coherence Tomography (OCT) data has obtaining an area under the curve (AUC) of 0.82. The study demonstrated how SVM can process intricate OCT data to enhance the evaluation of glaucoma. Another research by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{"citationItems":[{"id":"ITEM-1","itemData":{"DOI":"10.1007/s11277-020-08029-z","ISSN":"1572834X","abstract":"Deep learning is a useful technique for investigating the medicinal images. Glaucoma is a neurotic condition, dynamic neuro degeneration of the optic nerve, which leads visual impairment. It could be forestalled by an early detection of glaucoma and the regular screening with specialist for glaucoma diagnosis. Glaucoma is assessed by observing intra ocular pressure and optic Cup-Disc-Ratio (CDR). In this paper, novel mechanized glaucoma recognition has been performed by utilizing computer supported analysis from fundus images. The simulation outcomes are acquired by utilizing a Support Vector Machine based VGG-19 network architecture. The CDR threshold value of 0.41 has been used for glaucoma recognition. The fundus images which has the CDR greater than 0.41 is treated as glaucoma affected and less than 0.41 is non-glaucoma fundus images. The proposed glaucoma recognition system works with reasonable to obtain and generally utilized digital color fundus images. For the set of 175 fundus images a classification precision of 94% has been accomplished.","author":[{"dropping-particle":"","family":"Raja","given":"J.","non-dropping-particle":"","parse-names":false,"suffix":""},{"dropping-particle":"","family":"Shanmugam","given":"P.","non-dropping-particle":"","parse-names":false,"suffix":""},{"dropping-particle":"","family":"Pitchai","given":"R.","non-dropping-particle":"","parse-names":false,"suffix":""}],"container-title":"Wireless Personal Communications","id":"ITEM-1","issue":"1","issued":{"date-parts":[["2021"]]},"page":"523-534","title":"An Automated Early Detection of Glaucoma using Support Vector Machine Based Visual Geometry Group 19 (VGG-19) Convolutional Neural Network","type":"article-journal","volume":"118"},"uris":["http://www.mendeley.com/documents/?uuid=eeee10a8-2eaf-4a81-a706-a13f1794e968"]}],"mendeley":{"formattedCitation":"[18]","plainTextFormattedCitation":"[18]","previouslyFormattedCitation":"[17]"},"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[18]</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xml:space="preserve"> has shown promise in identifying early-stage glaucoma from fundus images with an automated detection system that used the VGG-19 CNN architecture in conjunction with SVM. The potential of ResNet-50 deep learning model in accurately detecting early-stage glaucoma was highlighted by Shoukat et al., who achieved a detection accuracy of 98.48% on multiple datasets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{"citationItems":[{"id":"ITEM-1","itemData":{"DOI":"10.3390/diagnostics13101738","ISSN":"20754418","abstract":"Glaucoma is characterized by increased intraocular pressure and damage to the optic nerve, which may result in irreversible blindness. The drastic effects of this disease can be avoided if it is detected at an early stage. However, the condition is frequently detected at an advanced stage in the elderly population. Therefore, early-stage detection may save patients from irreversible vision loss. The manual assessment of glaucoma by ophthalmologists includes various skill-oriented, costly, and time-consuming methods. Several techniques are in experimental stages to detect early-stage glaucoma, but a definite diagnostic technique remains elusive. We present an automatic method based on deep learning that can detect early-stage glaucoma with very high accuracy. The detection technique involves the identification of patterns from the retinal images that are often overlooked by clinicians. The proposed approach uses the gray channels of fundus images and applies the data augmentation technique to create a large dataset of versatile fundus images to train the convolutional neural network model. Using the ResNet-50 architecture, the proposed approach achieved excellent results for detecting glaucoma on the G1020, RIM-ONE, ORIGA, and DRISHTI-GS datasets. We obtained a detection accuracy of 98.48%, a sensitivity of 99.30%, a specificity of 96.52%, an AUC of 97%, and an F1-score of 98% by using the proposed model on the G1020 dataset. The proposed model may help clinicians to diagnose early-stage glaucoma with very high accuracy for timely interventions.","author":[{"dropping-particle":"","family":"Shoukat","given":"Ayesha","non-dropping-particle":"","parse-names":false,"suffix":""},{"dropping-particle":"","family":"Akbar","given":"Shahzad","non-dropping-particle":"","parse-names":false,"suffix":""},{"dropping-particle":"","family":"Hassan","given":"Syed Ale","non-dropping-particle":"","parse-names":false,"suffix":""},{"dropping-particle":"","family":"Iqbal","given":"Sajid","non-dropping-particle":"","parse-names":false,"suffix":""},{"dropping-particle":"","family":"Mehmood","given":"Abid","non-dropping-particle":"","parse-names":false,"suffix":""},{"dropping-particle":"","family":"Ilyas","given":"Qazi Mudassar","non-dropping-particle":"","parse-names":false,"suffix":""}],"container-title":"Diagnostics","id":"ITEM-1","issue":"10","issued":{"date-parts":[["2023"]]},"title":"Automatic Diagnosis of Glaucoma from Retinal Images Using Deep Learning Approach","type":"article-journal","volume":"13"},"uris":["http://www.mendeley.com/documents/?uuid=8e61657c-59d6-4771-a256-7448b69e7453"]}],"mendeley":{"formattedCitation":"[19]","plainTextFormattedCitation":"[19]","previouslyFormattedCitation":"[18]"},"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[19]</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These research studies have shown that machine learning techniques for glaucoma detection have advanced significantly with emphasizing how CNNs, SVMs, and hybrid approaches can improve diagnostic efficiency and accuracy in clinical settings.</w:t>
      </w:r>
    </w:p>
    <w:p w14:paraId="342F9B30" w14:textId="7C35198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r w:rsidRPr="00F704AE">
        <w:rPr>
          <w:rFonts w:ascii="Times New Roman" w:eastAsia="Times New Roman" w:hAnsi="Times New Roman" w:cs="Times New Roman"/>
          <w:sz w:val="24"/>
          <w:szCs w:val="24"/>
          <w:lang w:eastAsia="en-GB"/>
        </w:rPr>
        <w:t xml:space="preserve">Recent bibliometric studies have also shown a growing interest in combining expertise from both computer science and medicine, especially in ophthalmology. For example, research by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{"citationItems":[{"id":"ITEM-1","itemData":{"DOI":"10.3389/fphar.2022.930520","ISSN":"16639812","abstract":"Background: Artificial intelligence (AI) has been used in the research of ophthalmic disease diagnosis, and it may have an impact on medical and ophthalmic practice in the future. This study explores the general application and research frontier of artificial intelligence in ophthalmic disease detection. Methods: Citation data were downloaded from the Web of Science Core Collection database to evaluate the extent of the application of Artificial intelligence in ophthalmic disease diagnosis in publications from 1 January 2012, to 31 December 2021. This information was analyzed using CiteSpace.5.8. R3 and Vosviewer. Results: A total of 1,498 publications from 95 areas were examined, of which the United States was determined to be the most influential country in this research field. The largest cluster labeled “Brownian motion” was used prior to the application of AI for ophthalmic diagnosis from 2007 to 2017, and was an active topic during this period. The burst keywords in the period from 2020 to 2021 were system, disease, and model. Conclusion: The focus of artificial intelligence research in ophthalmic disease diagnosis has transitioned from the development of AI algorithms and the analysis of abnormal eye physiological structure to the investigation of more mature ophthalmic disease diagnosis systems. However, there is a need for further studies in ophthalmology and computer engineering.","author":[{"dropping-particle":"","family":"Zhao","given":"Junqiang","non-dropping-particle":"","parse-names":false,"suffix":""},{"dropping-particle":"","family":"Lu","given":"Yi","non-dropping-particle":"","parse-names":false,"suffix":""},{"dropping-particle":"","family":"Zhu","given":"Shaojun","non-dropping-particle":"","parse-names":false,"suffix":""},{"dropping-particle":"","family":"Li","given":"Keran","non-dropping-particle":"","parse-names":false,"suffix":""},{"dropping-particle":"","family":"Jiang","given":"Qin","non-dropping-particle":"","parse-names":false,"suffix":""},{"dropping-particle":"","family":"Yang","given":"Weihua","non-dropping-particle":"","parse-names":false,"suffix":""}],"container-title":"Frontiers in Pharmacology","id":"ITEM-1","issue":"June","issued":{"date-parts":[["2022"]]},"page":"1-12","title":"Systematic Bibliometric and Visualized Analysis of Research Hotspots and Trends on the Application of Artificial Intelligence in Ophthalmic Disease Diagnosis","type":"article-journal","volume":"13"},"uris":["http://www.mendeley.com/documents/?uuid=1b8d0e89-396b-4538-8c4e-b519294c628f"]}],"mendeley":{"formattedCitation":"[20]","plainTextFormattedCitation":"[20]","previouslyFormattedCitation":"[19]"},"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[20]</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xml:space="preserve"> and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{"citationItems":[{"id":"ITEM-1","itemData":{"DOI":"10.18240/ijo.2024.12.19","ISSN":"22274898","abstract":"• AIM: To explore the current application and research frontiers of global ophthalmic optical coherence tomography (OCT) imaging artificial intelligence (AI) research. • METHODS: The citation data were downloaded from the Web of Science Core Collection database (WoSCC) to evaluate the articles in application of AI in ophthalmic OCT published from January 1, 2012 to December 31, 2023. This information was analyzed using CiteSpace 6.2.R2 Advanced software, and high-impact articles were analyzed. • RESULTS: In general, 877 articles from 65 countries were studied and analyzed, of which 261 were published by the United States and 252 by China. The centrality of the United States is 0.33, the H index is 38, and the H index of two institutions in England reaches 20. Ophthalmology, computer science, and AI are the main disciplines involved. Hot keywords after 2018 include deep learning (DL), AI, macular degeneration, and automatic segmentation. • CONCLUSION: The annual number of articles on AI applications in ophthalmic OCT has grown rapidly. The United States holds a prominent position. Institutions like the University of California System and the University of London are spearheading advancements. Initial researches centered on the automatic recognition and diagnosis of ocular diseases leveraging traditional machine learning (ML) technology and OCT images. Nowadays, the imaging process algorithm selection has shifted its focus towards DL. Concurrently, optical coherence tomography angiography (OCTA) and computer-aided diagnosis (CAD) have emerged as key areas of contemporary research.","author":[{"dropping-particle":"","family":"Wang","given":"Ruo Yu","non-dropping-particle":"","parse-names":false,"suffix":""},{"dropping-particle":"","family":"Zhu","given":"Si Yuan","non-dropping-particle":"","parse-names":false,"suffix":""},{"dropping-particle":"","family":"Hu","given":"Xin Ya","non-dropping-particle":"","parse-names":false,"suffix":""},{"dropping-particle":"","family":"Sun","given":"Li","non-dropping-particle":"","parse-names":false,"suffix":""},{"dropping-particle":"","family":"Zhang","given":"Shao Chong","non-dropping-particle":"","parse-names":false,"suffix":""},{"dropping-particle":"","family":"Yang","given":"Wei Hua","non-dropping-particle":"","parse-names":false,"suffix":""}],"container-title":"International Journal of Ophthalmology","id":"ITEM-1","issue":"12","issued":{"date-parts":[["2024"]]},"page":"2295-2307","title":"Artificial intelligence applications in ophthalmic optical coherence tomography: a 12-year bibliometric analysis","type":"article-journal","volume":"17"},"uris":["http://www.mendeley.com/documents/?uuid=1473f9a2-fccd-454e-a3f2-077f29277ad0"]}],"mendeley":{"formattedCitation":"[21]","plainTextFormattedCitation":"[21]","previouslyFormattedCitation":"[20]"},"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[21]</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xml:space="preserve"> emphasizes that interdisciplinary collaboration is becoming increasingly important for developing effective machine learning applications for eye disease diagnosis. However, despite the promising findings, past studies also highlight the challenges of limited datasets, variability in image quality, and model generalizability, which affect the real-world implementation of these AI models.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{"citationItems":[{"id":"ITEM-1","itemData":{"DOI":"10.1167/tvst.9.2.11","ISSN":"21642591","abstract":"Artificial intelligence (AI)-based automated classification and segmentation of optical coherence tomography (OCT) features have become increasingly popular. However, its 3-dimensional volumetric nature has made developing an algorithm that generalizes across all patient populations and OCT devices challenging. Several recent studies have reported high diagnostic performances of AI models; however, significant methodological challenges still exist in applying these models in real-world clinical practice. Lack of large-image datasets from multiple OCT devices, nonstandardized imaging or post-processing protocols between devices, limited graphics processing unit capabilities for exploiting 3-dimensional features, and inconsistency in the reporting metrics are major hurdles in enabling AI for OCT analyses. We discuss these issues and present possible solutions.","author":[{"dropping-particle":"","family":"Yanagihara","given":"Ryan T.","non-dropping-particle":"","parse-names":false,"suffix":""},{"dropping-particle":"","family":"Lee","given":"Cecilia S.","non-dropping-particle":"","parse-names":false,"suffix":""},{"dropping-particle":"","family":"Ting","given":"Daniel Shu Wei","non-dropping-particle":"","parse-names":false,"suffix":""},{"dropping-particle":"","family":"Lee","given":"Aaron Y.","non-dropping-particle":"","parse-names":false,"suffix":""}],"container-title":"Translational Vision Science and Technology","id":"ITEM-1","issue":"2","issued":{"date-parts":[["2020"]]},"page":"17-19","title":"Methodological challenges of deep learning in optical coherence tomography for retinal diseases: A review","type":"article-journal","volume":"9"},"uris":["http://www.mendeley.com/documents/?uuid=62e91a24-cfd0-43da-a960-78718fec8d01"]}],"mendeley":{"formattedCitation":"[22]","plainTextFormattedCitation":"[22]","previouslyFormattedCitation":"[21]"},"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[22]</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xml:space="preserve"> noted that variations in imaging hardware and protocols can reduce model generalizability.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{"citationItems":[{"id":"ITEM-1","itemData":{"DOI":"10.1186/s40942-024-00549-1","ISSN":"20569920","abstract":"Artificial intelligence (AI) has emerged as a transformative technology across various fields, and its applications in the medical domain, particularly in ophthalmology, has gained significant attention. The vast amount of high-resolution image data, such as optical coherence tomography (OCT) images, has been a driving force behind AI growth in this field. Age-related macular degeneration (AMD) is one of the leading causes for blindness in the world, affecting approximately 196 million people worldwide in 2020. Multimodal imaging has been for a long time the gold standard for diagnosing patients with AMD, however, currently treatment and follow-up in routine disease management are mainly driven by OCT imaging. AI-based algorithms have by their precision, reproducibility and speed, the potential to reliably quantify biomarkers, predict disease progression and assist treatment decisions in clinical routine as well as academic studies. This review paper aims to provide a summary of the current state of AI in AMD, focusing on its applications, challenges, and prospects.","author":[{"dropping-particle":"","family":"Mares","given":"Virginia","non-dropping-particle":"","parse-names":false,"suffix":""},{"dropping-particle":"","family":"Nehemy","given":"Marcio B.","non-dropping-particle":"","parse-names":false,"suffix":""},{"dropping-particle":"","family":"Bogunovic","given":"Hrvoje","non-dropping-particle":"","parse-names":false,"suffix":""},{"dropping-particle":"","family":"Frank","given":"Sophie","non-dropping-particle":"","parse-names":false,"suffix":""},{"dropping-particle":"","family":"Reiter","given":"Gregor S.","non-dropping-particle":"","parse-names":false,"suffix":""},{"dropping-particle":"","family":"Schmidt-Erfurth","given":"Ursula","non-dropping-particle":"","parse-names":false,"suffix":""}],"container-title":"International Journal of Retina and Vitreous","id":"ITEM-1","issue":"1","issued":{"date-parts":[["2024"]]},"page":"1-11","title":"AI-based support for optical coherence tomography in age-related macular degeneration","type":"article-journal","volume":"10"},"uris":["http://www.mendeley.com/documents/?uuid=032338d0-8453-4176-abdd-9027f7fcdce3"]}],"mendeley":{"formattedCitation":"[23]","plainTextFormattedCitation":"[23]","previouslyFormattedCitation":"[22]"},"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[23]</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xml:space="preserve"> highlighted that inconsistent image quality across clinics, particularly for conditions like AMD, further impacts reliability.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{"citationItems":[{"id":"ITEM-1","itemData":{"DOI":"10.1136/bjophthalmol-2018-313173","ISSN":"14682079","PMID":"30361278","abstract":"Artificial intelligence (AI) based on deep learning (DL) has sparked tremendous global interest in recent years. DL has been widely adopted in image recognition, speech recognition and natural language processing, but is only beginning to impact on healthcare. In ophthalmology, DL has been applied to fundus photographs, optical coherence tomography and visual fields, achieving robust classification performance in the detection of diabetic retinopathy and retinopathy of prematurity, the glaucoma-like disc, macular oedema and age-related macular degeneration. DL in ocular imaging may be used in conjunction with telemedicine as a possible solution to screen, diagnose and monitor major eye diseases for patients in primary care and community settings. Nonetheless, there are also potential challenges with DL application in ophthalmology, including clinical and technical challenges, explainability of the algorithm results, medicolegal issues, and physician and patient acceptance of the AI € black-box' algorithms. DL could potentially revolutionise how ophthalmology is practised in the future. This review provides a summary of the state-of-the-art DL systems described for ophthalmic applications, potential challenges in clinical deployment and the path forward.","author":[{"dropping-particle":"","family":"Ting","given":"Daniel Shu Wei","non-dropping-particle":"","parse-names":false,"suffix":""},{"dropping-particle":"","family":"Pasquale","given":"Louis R.","non-dropping-particle":"","parse-names":false,"suffix":""},{"dropping-particle":"","family":"Peng","given":"Lily","non-dropping-particle":"","parse-names":false,"suffix":""},{"dropping-particle":"","family":"Campbell","given":"John Peter","non-dropping-particle":"","parse-names":false,"suffix":""},{"dropping-particle":"","family":"Lee","given":"Aaron Y.","non-dropping-particle":"","parse-names":false,"suffix":""},{"dropping-particle":"","family":"Raman","given":"Rajiv","non-dropping-particle":"","parse-names":false,"suffix":""},{"dropping-particle":"","family":"Tan","given":"Gavin Siew Wei","non-dropping-particle":"","parse-names":false,"suffix":""},{"dropping-particle":"","family":"Schmetterer","given":"Leopold","non-dropping-particle":"","parse-names":false,"suffix":""},{"dropping-particle":"","family":"Keane","given":"Pearse A.","non-dropping-particle":"","parse-names":false,"suffix":""},{"dropping-particle":"","family":"Wong","given":"Tien Yin","non-dropping-particle":"","parse-names":false,"suffix":""}],"container-title":"British Journal of Ophthalmology","id":"ITEM-1","issue":"2","issued":{"date-parts":[["2019"]]},"page":"167-175","title":"Artificial intelligence and deep learning in ophthalmology","type":"article-journal","volume":"103"},"uris":["http://www.mendeley.com/documents/?uuid=3dbcaf29-b942-40b0-a6be-0b89066c818f"]}],"mendeley":{"formattedCitation":"[24]","plainTextFormattedCitation":"[24]","previouslyFormattedCitation":"[23]"},"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[24]</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 xml:space="preserve"> also emphasized that many AI models, despite high accuracy in controlled settings, often underperform in real-world clinical environments due to these limitations.</w:t>
      </w:r>
    </w:p>
    <w:p w14:paraId="2BDA499C" w14:textId="34E75FB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r w:rsidRPr="00F704AE">
        <w:rPr>
          <w:rFonts w:ascii="Times New Roman" w:eastAsia="Times New Roman" w:hAnsi="Times New Roman" w:cs="Times New Roman"/>
          <w:sz w:val="24"/>
          <w:szCs w:val="24"/>
          <w:lang w:eastAsia="en-GB"/>
        </w:rPr>
        <w:lastRenderedPageBreak/>
        <w:t>This study aims to methodically assess the scientific contributions within this specialized field and identify important research areas by analyzing publication trends, citation impact, and keyword mapping. This bibliometric review will serve as a foundation for future research, guiding the growth of machine learning models that are both accurate and clinically relevant for glaucoma detection.</w:t>
      </w:r>
    </w:p>
    <w:p w14:paraId="7046A67B"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1983DC47" w14:textId="6384C4D5" w:rsidR="006B73ED" w:rsidRPr="006B73ED" w:rsidRDefault="006B73ED" w:rsidP="008142FD">
      <w:pPr>
        <w:keepNext/>
        <w:suppressAutoHyphens/>
        <w:adjustRightInd w:val="0"/>
        <w:snapToGrid w:val="0"/>
        <w:spacing w:before="240" w:after="240" w:line="240" w:lineRule="auto"/>
        <w:jc w:val="both"/>
        <w:outlineLvl w:val="0"/>
        <w:rPr>
          <w:rFonts w:ascii="Times New Roman" w:eastAsia="Times New Roman" w:hAnsi="Times New Roman" w:cs="Times New Roman"/>
          <w:b/>
          <w:sz w:val="28"/>
          <w:szCs w:val="28"/>
          <w:lang w:val="en-GB" w:eastAsia="zh-CN"/>
        </w:rPr>
      </w:pPr>
      <w:r w:rsidRPr="006B73ED">
        <w:rPr>
          <w:rFonts w:ascii="Times New Roman" w:eastAsia="Times New Roman" w:hAnsi="Times New Roman" w:cs="Times New Roman"/>
          <w:b/>
          <w:sz w:val="28"/>
          <w:szCs w:val="28"/>
          <w:lang w:val="en-GB" w:eastAsia="zh-CN"/>
        </w:rPr>
        <w:t>3.0 METHODOLOGY</w:t>
      </w:r>
    </w:p>
    <w:p w14:paraId="152B6068" w14:textId="456C4E7F"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t xml:space="preserve">A structured literature search was conducted using the Scopus database on January 10, </w:t>
      </w:r>
      <w:proofErr w:type="gramStart"/>
      <w:r w:rsidRPr="00F704AE">
        <w:rPr>
          <w:rFonts w:ascii="Times New Roman" w:eastAsia="Times New Roman" w:hAnsi="Times New Roman" w:cs="Times New Roman"/>
          <w:color w:val="000000"/>
          <w:sz w:val="24"/>
          <w:szCs w:val="24"/>
          <w:lang w:eastAsia="en-GB"/>
        </w:rPr>
        <w:t>2025</w:t>
      </w:r>
      <w:proofErr w:type="gramEnd"/>
      <w:r w:rsidRPr="00F704AE">
        <w:rPr>
          <w:rFonts w:ascii="Times New Roman" w:eastAsia="Times New Roman" w:hAnsi="Times New Roman" w:cs="Times New Roman"/>
          <w:color w:val="000000"/>
          <w:sz w:val="24"/>
          <w:szCs w:val="24"/>
          <w:lang w:eastAsia="en-GB"/>
        </w:rPr>
        <w:t xml:space="preserve"> as shown in the flow diagram of the search strategy in Figure 2. The search strategy</w:t>
      </w:r>
      <w:r w:rsidR="005F6A19" w:rsidRPr="00F704AE">
        <w:rPr>
          <w:rFonts w:ascii="Times New Roman" w:eastAsia="Times New Roman" w:hAnsi="Times New Roman" w:cs="Times New Roman"/>
          <w:color w:val="000000"/>
          <w:sz w:val="24"/>
          <w:szCs w:val="24"/>
          <w:lang w:eastAsia="en-GB"/>
        </w:rPr>
        <w:t xml:space="preserve"> of </w:t>
      </w:r>
      <w:r w:rsidR="00DC68B7" w:rsidRPr="00F704AE">
        <w:rPr>
          <w:rFonts w:ascii="Times New Roman" w:eastAsia="Times New Roman" w:hAnsi="Times New Roman" w:cs="Times New Roman"/>
          <w:color w:val="000000"/>
          <w:sz w:val="24"/>
          <w:szCs w:val="24"/>
          <w:lang w:eastAsia="en-GB"/>
        </w:rPr>
        <w:t xml:space="preserve">obtaining </w:t>
      </w:r>
      <w:r w:rsidR="005F6A19" w:rsidRPr="00F704AE">
        <w:rPr>
          <w:rFonts w:ascii="Times New Roman" w:eastAsia="Times New Roman" w:hAnsi="Times New Roman" w:cs="Times New Roman"/>
          <w:color w:val="000000"/>
          <w:sz w:val="24"/>
          <w:szCs w:val="24"/>
          <w:lang w:eastAsia="en-GB"/>
        </w:rPr>
        <w:t xml:space="preserve">relevant </w:t>
      </w:r>
      <w:r w:rsidR="00DC68B7" w:rsidRPr="00F704AE">
        <w:rPr>
          <w:rFonts w:ascii="Times New Roman" w:eastAsia="Times New Roman" w:hAnsi="Times New Roman" w:cs="Times New Roman"/>
          <w:color w:val="000000"/>
          <w:sz w:val="24"/>
          <w:szCs w:val="24"/>
          <w:lang w:eastAsia="en-GB"/>
        </w:rPr>
        <w:t>articles that focus on glaucoma detection using medical imaging</w:t>
      </w:r>
      <w:r w:rsidR="00392E40" w:rsidRPr="00F704AE">
        <w:rPr>
          <w:rFonts w:ascii="Times New Roman" w:eastAsia="Times New Roman" w:hAnsi="Times New Roman" w:cs="Times New Roman"/>
          <w:color w:val="000000"/>
          <w:sz w:val="24"/>
          <w:szCs w:val="24"/>
          <w:lang w:eastAsia="en-GB"/>
        </w:rPr>
        <w:t xml:space="preserve"> and AI</w:t>
      </w:r>
      <w:r w:rsidRPr="00F704AE">
        <w:rPr>
          <w:rFonts w:ascii="Times New Roman" w:eastAsia="Times New Roman" w:hAnsi="Times New Roman" w:cs="Times New Roman"/>
          <w:color w:val="000000"/>
          <w:sz w:val="24"/>
          <w:szCs w:val="24"/>
          <w:lang w:eastAsia="en-GB"/>
        </w:rPr>
        <w:t xml:space="preserve"> involved the use of specific keywords</w:t>
      </w:r>
      <w:r w:rsidR="00033B4F" w:rsidRPr="00F704AE">
        <w:rPr>
          <w:rFonts w:ascii="Times New Roman" w:eastAsia="Times New Roman" w:hAnsi="Times New Roman" w:cs="Times New Roman"/>
          <w:color w:val="000000"/>
          <w:sz w:val="24"/>
          <w:szCs w:val="24"/>
          <w:lang w:eastAsia="en-GB"/>
        </w:rPr>
        <w:t>,</w:t>
      </w:r>
      <w:r w:rsidRPr="00F704AE">
        <w:rPr>
          <w:rFonts w:ascii="Times New Roman" w:eastAsia="Times New Roman" w:hAnsi="Times New Roman" w:cs="Times New Roman"/>
          <w:color w:val="000000"/>
          <w:sz w:val="24"/>
          <w:szCs w:val="24"/>
          <w:lang w:eastAsia="en-GB"/>
        </w:rPr>
        <w:t xml:space="preserve"> </w:t>
      </w:r>
      <w:r w:rsidR="00033B4F" w:rsidRPr="00F704AE">
        <w:rPr>
          <w:rFonts w:ascii="Times New Roman" w:eastAsia="Times New Roman" w:hAnsi="Times New Roman" w:cs="Times New Roman"/>
          <w:color w:val="000000"/>
          <w:sz w:val="24"/>
          <w:szCs w:val="24"/>
          <w:lang w:eastAsia="en-GB"/>
        </w:rPr>
        <w:t>as stated in the flow diagram</w:t>
      </w:r>
      <w:r w:rsidRPr="00F704AE">
        <w:rPr>
          <w:rFonts w:ascii="Times New Roman" w:eastAsia="Times New Roman" w:hAnsi="Times New Roman" w:cs="Times New Roman"/>
          <w:color w:val="000000"/>
          <w:sz w:val="24"/>
          <w:szCs w:val="24"/>
          <w:lang w:eastAsia="en-GB"/>
        </w:rPr>
        <w:t xml:space="preserve">. </w:t>
      </w:r>
    </w:p>
    <w:p w14:paraId="3C1E2A9B" w14:textId="5D47BF52"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t>We restricted the literature search to articles available in Scopu</w:t>
      </w:r>
      <w:r w:rsidR="00D82CFE" w:rsidRPr="00F704AE">
        <w:rPr>
          <w:rFonts w:ascii="Times New Roman" w:eastAsia="Times New Roman" w:hAnsi="Times New Roman" w:cs="Times New Roman"/>
          <w:color w:val="000000"/>
          <w:sz w:val="24"/>
          <w:szCs w:val="24"/>
          <w:lang w:eastAsia="en-GB"/>
        </w:rPr>
        <w:t>s</w:t>
      </w:r>
      <w:r w:rsidRPr="00F704AE">
        <w:rPr>
          <w:rFonts w:ascii="Times New Roman" w:eastAsia="Times New Roman" w:hAnsi="Times New Roman" w:cs="Times New Roman"/>
          <w:color w:val="000000"/>
          <w:sz w:val="24"/>
          <w:szCs w:val="24"/>
          <w:lang w:eastAsia="en-GB"/>
        </w:rPr>
        <w:t xml:space="preserve"> as the scope of our study. To ensure the accuracy and relevance of the data, we applied three filtering criteria: selecting only documents categorized as "articles", focusing on published works, and limiting the language to English. The language filter was specifically applied to keep the analysis within a single language for consistency</w:t>
      </w:r>
      <w:r w:rsidR="00EC5BC7" w:rsidRPr="00F704AE">
        <w:rPr>
          <w:rFonts w:ascii="Times New Roman" w:eastAsia="Times New Roman" w:hAnsi="Times New Roman" w:cs="Times New Roman"/>
          <w:color w:val="000000"/>
          <w:sz w:val="24"/>
          <w:szCs w:val="24"/>
          <w:lang w:eastAsia="en-GB"/>
        </w:rPr>
        <w:t xml:space="preserve"> from 2016 to 2024.</w:t>
      </w:r>
      <w:r w:rsidRPr="00F704AE">
        <w:rPr>
          <w:rFonts w:ascii="Times New Roman" w:eastAsia="Times New Roman" w:hAnsi="Times New Roman" w:cs="Times New Roman"/>
          <w:color w:val="000000"/>
          <w:sz w:val="24"/>
          <w:szCs w:val="24"/>
          <w:lang w:eastAsia="en-GB"/>
        </w:rPr>
        <w:t xml:space="preserve"> Initially</w:t>
      </w:r>
      <w:r w:rsidR="004F6D45" w:rsidRPr="00F704AE">
        <w:rPr>
          <w:rFonts w:ascii="Times New Roman" w:eastAsia="Times New Roman" w:hAnsi="Times New Roman" w:cs="Times New Roman"/>
          <w:color w:val="000000"/>
          <w:sz w:val="24"/>
          <w:szCs w:val="24"/>
          <w:lang w:eastAsia="en-GB"/>
        </w:rPr>
        <w:t>,</w:t>
      </w:r>
      <w:r w:rsidR="003F5046" w:rsidRPr="00F704AE">
        <w:rPr>
          <w:rFonts w:ascii="Times New Roman" w:eastAsia="Times New Roman" w:hAnsi="Times New Roman" w:cs="Times New Roman"/>
          <w:color w:val="000000"/>
          <w:sz w:val="24"/>
          <w:szCs w:val="24"/>
          <w:lang w:eastAsia="en-GB"/>
        </w:rPr>
        <w:t xml:space="preserve"> the</w:t>
      </w:r>
      <w:r w:rsidRPr="00F704AE">
        <w:rPr>
          <w:rFonts w:ascii="Times New Roman" w:eastAsia="Times New Roman" w:hAnsi="Times New Roman" w:cs="Times New Roman"/>
          <w:color w:val="000000"/>
          <w:sz w:val="24"/>
          <w:szCs w:val="24"/>
          <w:lang w:eastAsia="en-GB"/>
        </w:rPr>
        <w:t xml:space="preserve"> search returned 3,853 articles, 1224 sources and 10480 authors.</w:t>
      </w:r>
      <w:r w:rsidR="004F6D45" w:rsidRPr="00F704AE">
        <w:rPr>
          <w:rFonts w:ascii="Times New Roman" w:eastAsia="Times New Roman" w:hAnsi="Times New Roman" w:cs="Times New Roman"/>
          <w:color w:val="000000"/>
          <w:sz w:val="24"/>
          <w:szCs w:val="24"/>
          <w:lang w:eastAsia="en-GB"/>
        </w:rPr>
        <w:t xml:space="preserve"> </w:t>
      </w:r>
      <w:r w:rsidRPr="00F704AE">
        <w:rPr>
          <w:rFonts w:ascii="Times New Roman" w:eastAsia="Times New Roman" w:hAnsi="Times New Roman" w:cs="Times New Roman"/>
          <w:color w:val="000000"/>
          <w:sz w:val="24"/>
          <w:szCs w:val="24"/>
          <w:lang w:eastAsia="en-GB"/>
        </w:rPr>
        <w:t xml:space="preserve">After </w:t>
      </w:r>
      <w:r w:rsidR="00AE0EA7" w:rsidRPr="00F704AE">
        <w:rPr>
          <w:rFonts w:ascii="Times New Roman" w:eastAsia="Times New Roman" w:hAnsi="Times New Roman" w:cs="Times New Roman"/>
          <w:color w:val="000000"/>
          <w:sz w:val="24"/>
          <w:szCs w:val="24"/>
          <w:lang w:eastAsia="en-GB"/>
        </w:rPr>
        <w:t xml:space="preserve">removing irrelevant articles </w:t>
      </w:r>
      <w:r w:rsidR="009358FF" w:rsidRPr="00F704AE">
        <w:rPr>
          <w:rFonts w:ascii="Times New Roman" w:eastAsia="Times New Roman" w:hAnsi="Times New Roman" w:cs="Times New Roman"/>
          <w:color w:val="000000"/>
          <w:sz w:val="24"/>
          <w:szCs w:val="24"/>
          <w:lang w:eastAsia="en-GB"/>
        </w:rPr>
        <w:t xml:space="preserve">and inspection to eliminate duplicate and unrelated articles </w:t>
      </w:r>
      <w:r w:rsidR="004F6D45" w:rsidRPr="00F704AE">
        <w:rPr>
          <w:rFonts w:ascii="Times New Roman" w:eastAsia="Times New Roman" w:hAnsi="Times New Roman" w:cs="Times New Roman"/>
          <w:color w:val="000000"/>
          <w:sz w:val="24"/>
          <w:szCs w:val="24"/>
          <w:lang w:eastAsia="en-GB"/>
        </w:rPr>
        <w:t>by</w:t>
      </w:r>
      <w:r w:rsidR="002B3B63" w:rsidRPr="00F704AE">
        <w:rPr>
          <w:rFonts w:ascii="Times New Roman" w:eastAsia="Times New Roman" w:hAnsi="Times New Roman" w:cs="Times New Roman"/>
          <w:color w:val="000000"/>
          <w:sz w:val="24"/>
          <w:szCs w:val="24"/>
          <w:lang w:eastAsia="en-GB"/>
        </w:rPr>
        <w:t xml:space="preserve"> evaluation of the title, abstract</w:t>
      </w:r>
      <w:r w:rsidR="004F6D45" w:rsidRPr="00F704AE">
        <w:rPr>
          <w:rFonts w:ascii="Times New Roman" w:eastAsia="Times New Roman" w:hAnsi="Times New Roman" w:cs="Times New Roman"/>
          <w:color w:val="000000"/>
          <w:sz w:val="24"/>
          <w:szCs w:val="24"/>
          <w:lang w:eastAsia="en-GB"/>
        </w:rPr>
        <w:t>,</w:t>
      </w:r>
      <w:r w:rsidR="002B3B63" w:rsidRPr="00F704AE">
        <w:rPr>
          <w:rFonts w:ascii="Times New Roman" w:eastAsia="Times New Roman" w:hAnsi="Times New Roman" w:cs="Times New Roman"/>
          <w:color w:val="000000"/>
          <w:sz w:val="24"/>
          <w:szCs w:val="24"/>
          <w:lang w:eastAsia="en-GB"/>
        </w:rPr>
        <w:t xml:space="preserve"> and content</w:t>
      </w:r>
      <w:r w:rsidRPr="00F704AE">
        <w:rPr>
          <w:rFonts w:ascii="Times New Roman" w:eastAsia="Times New Roman" w:hAnsi="Times New Roman" w:cs="Times New Roman"/>
          <w:color w:val="000000"/>
          <w:sz w:val="24"/>
          <w:szCs w:val="24"/>
          <w:lang w:eastAsia="en-GB"/>
        </w:rPr>
        <w:t xml:space="preserve">, </w:t>
      </w:r>
      <w:r w:rsidR="004F6D45" w:rsidRPr="00F704AE">
        <w:rPr>
          <w:rFonts w:ascii="Times New Roman" w:eastAsia="Times New Roman" w:hAnsi="Times New Roman" w:cs="Times New Roman"/>
          <w:color w:val="000000"/>
          <w:sz w:val="24"/>
          <w:szCs w:val="24"/>
          <w:lang w:eastAsia="en-GB"/>
        </w:rPr>
        <w:t xml:space="preserve">as many of </w:t>
      </w:r>
      <w:r w:rsidRPr="00F704AE">
        <w:rPr>
          <w:rFonts w:ascii="Times New Roman" w:eastAsia="Times New Roman" w:hAnsi="Times New Roman" w:cs="Times New Roman"/>
          <w:color w:val="000000"/>
          <w:sz w:val="24"/>
          <w:szCs w:val="24"/>
          <w:lang w:eastAsia="en-GB"/>
        </w:rPr>
        <w:t xml:space="preserve">1,660 articles were excluded, leaving 2,193 for further analysis from 541 sources and 6711 authors. The retrieved data </w:t>
      </w:r>
      <w:r w:rsidR="00CC439F" w:rsidRPr="00F704AE">
        <w:rPr>
          <w:rFonts w:ascii="Times New Roman" w:eastAsia="Times New Roman" w:hAnsi="Times New Roman" w:cs="Times New Roman"/>
          <w:color w:val="000000"/>
          <w:sz w:val="24"/>
          <w:szCs w:val="24"/>
          <w:lang w:eastAsia="en-GB"/>
        </w:rPr>
        <w:t>were</w:t>
      </w:r>
      <w:r w:rsidRPr="00F704AE">
        <w:rPr>
          <w:rFonts w:ascii="Times New Roman" w:eastAsia="Times New Roman" w:hAnsi="Times New Roman" w:cs="Times New Roman"/>
          <w:color w:val="000000"/>
          <w:sz w:val="24"/>
          <w:szCs w:val="24"/>
          <w:lang w:eastAsia="en-GB"/>
        </w:rPr>
        <w:t xml:space="preserve"> then exported from Scopus in BibTeX format for processing.</w:t>
      </w:r>
      <w:r w:rsidR="00CC1A1B" w:rsidRPr="00F704AE">
        <w:rPr>
          <w:rFonts w:ascii="Times New Roman" w:hAnsi="Times New Roman" w:cs="Times New Roman"/>
          <w:sz w:val="24"/>
          <w:szCs w:val="24"/>
        </w:rPr>
        <w:t xml:space="preserve"> </w:t>
      </w:r>
      <w:r w:rsidR="00CC1A1B" w:rsidRPr="00F704AE">
        <w:rPr>
          <w:rFonts w:ascii="Times New Roman" w:eastAsia="Times New Roman" w:hAnsi="Times New Roman" w:cs="Times New Roman"/>
          <w:color w:val="000000"/>
          <w:sz w:val="24"/>
          <w:szCs w:val="24"/>
          <w:lang w:eastAsia="en-GB"/>
        </w:rPr>
        <w:t>This bibliometric analysis was conducted using a structured workflow that involved data extraction, synthesis, and visualization within the RStudio environment.</w:t>
      </w:r>
    </w:p>
    <w:p w14:paraId="6C555851" w14:textId="77777777"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p>
    <w:p w14:paraId="212A1DBA" w14:textId="77777777"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p>
    <w:p w14:paraId="52229996" w14:textId="3057FC47" w:rsidR="006B73ED"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lang w:eastAsia="en-GB"/>
        </w:rPr>
      </w:pPr>
      <w:r w:rsidRPr="00F704AE">
        <w:rPr>
          <w:rFonts w:ascii="Times New Roman" w:eastAsia="Times New Roman" w:hAnsi="Times New Roman" w:cs="Times New Roman"/>
          <w:noProof/>
          <w:color w:val="000000"/>
          <w:sz w:val="24"/>
          <w:szCs w:val="24"/>
          <w:lang w:eastAsia="en-GB"/>
        </w:rPr>
        <w:lastRenderedPageBreak/>
        <mc:AlternateContent>
          <mc:Choice Requires="wpg">
            <w:drawing>
              <wp:inline distT="0" distB="0" distL="0" distR="0" wp14:anchorId="03E2C6B8" wp14:editId="22BA5ABB">
                <wp:extent cx="5861050" cy="5029200"/>
                <wp:effectExtent l="0" t="0" r="25400" b="19050"/>
                <wp:docPr id="766622518" name="Group 766622518"/>
                <wp:cNvGraphicFramePr/>
                <a:graphic xmlns:a="http://schemas.openxmlformats.org/drawingml/2006/main">
                  <a:graphicData uri="http://schemas.microsoft.com/office/word/2010/wordprocessingGroup">
                    <wpg:wgp>
                      <wpg:cNvGrpSpPr/>
                      <wpg:grpSpPr>
                        <a:xfrm>
                          <a:off x="0" y="0"/>
                          <a:ext cx="5861050" cy="5029200"/>
                          <a:chOff x="2521777" y="1258357"/>
                          <a:chExt cx="5714719" cy="4998750"/>
                        </a:xfrm>
                      </wpg:grpSpPr>
                      <wpg:grpSp>
                        <wpg:cNvPr id="686437460" name="Group 686437460"/>
                        <wpg:cNvGrpSpPr/>
                        <wpg:grpSpPr>
                          <a:xfrm>
                            <a:off x="2521777" y="1258357"/>
                            <a:ext cx="5714719" cy="4998750"/>
                            <a:chOff x="0" y="-48803"/>
                            <a:chExt cx="6111435" cy="5477779"/>
                          </a:xfrm>
                        </wpg:grpSpPr>
                        <wps:wsp>
                          <wps:cNvPr id="1976193715" name="Rectangle 1976193715"/>
                          <wps:cNvSpPr/>
                          <wps:spPr>
                            <a:xfrm>
                              <a:off x="0" y="2"/>
                              <a:ext cx="6040550" cy="5428973"/>
                            </a:xfrm>
                            <a:prstGeom prst="rect">
                              <a:avLst/>
                            </a:prstGeom>
                            <a:noFill/>
                            <a:ln>
                              <a:noFill/>
                            </a:ln>
                          </wps:spPr>
                          <wps:txbx>
                            <w:txbxContent>
                              <w:p w14:paraId="643E91FB" w14:textId="77777777" w:rsidR="009B2D34" w:rsidRDefault="009B2D34" w:rsidP="009B2D34">
                                <w:pPr>
                                  <w:jc w:val="center"/>
                                  <w:textDirection w:val="btLr"/>
                                </w:pPr>
                              </w:p>
                            </w:txbxContent>
                          </wps:txbx>
                          <wps:bodyPr spcFirstLastPara="1" wrap="square" lIns="91425" tIns="91425" rIns="91425" bIns="91425" anchor="ctr" anchorCtr="0">
                            <a:noAutofit/>
                          </wps:bodyPr>
                        </wps:wsp>
                        <wps:wsp>
                          <wps:cNvPr id="866683997" name="Rectangle 866683997"/>
                          <wps:cNvSpPr/>
                          <wps:spPr>
                            <a:xfrm>
                              <a:off x="2647834" y="543761"/>
                              <a:ext cx="3377949" cy="96877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AC9B2C" w14:textId="77777777" w:rsidR="009B2D34" w:rsidRDefault="009B2D34" w:rsidP="009B2D34">
                                <w:pPr>
                                  <w:textDirection w:val="btLr"/>
                                </w:pPr>
                                <w:r>
                                  <w:rPr>
                                    <w:b/>
                                    <w:color w:val="000000"/>
                                    <w:sz w:val="18"/>
                                  </w:rPr>
                                  <w:t>Database:</w:t>
                                </w:r>
                                <w:r>
                                  <w:rPr>
                                    <w:color w:val="000000"/>
                                    <w:sz w:val="18"/>
                                  </w:rPr>
                                  <w:t xml:space="preserve"> Scopus</w:t>
                                </w:r>
                              </w:p>
                              <w:p w14:paraId="48C99F7B" w14:textId="77777777" w:rsidR="009B2D34" w:rsidRDefault="009B2D34" w:rsidP="009B2D34">
                                <w:pPr>
                                  <w:textDirection w:val="btLr"/>
                                </w:pPr>
                                <w:r>
                                  <w:rPr>
                                    <w:b/>
                                    <w:color w:val="000000"/>
                                    <w:sz w:val="18"/>
                                  </w:rPr>
                                  <w:t>Search Field:</w:t>
                                </w:r>
                                <w:r>
                                  <w:rPr>
                                    <w:color w:val="000000"/>
                                    <w:sz w:val="18"/>
                                  </w:rPr>
                                  <w:t xml:space="preserve"> Article Title</w:t>
                                </w:r>
                              </w:p>
                              <w:p w14:paraId="79F809DF" w14:textId="77777777" w:rsidR="009B2D34" w:rsidRDefault="009B2D34" w:rsidP="009B2D34">
                                <w:pPr>
                                  <w:textDirection w:val="btLr"/>
                                </w:pPr>
                                <w:r>
                                  <w:rPr>
                                    <w:b/>
                                    <w:color w:val="000000"/>
                                    <w:sz w:val="18"/>
                                  </w:rPr>
                                  <w:t>Language:</w:t>
                                </w:r>
                                <w:r>
                                  <w:rPr>
                                    <w:color w:val="000000"/>
                                    <w:sz w:val="18"/>
                                  </w:rPr>
                                  <w:t xml:space="preserve"> English</w:t>
                                </w:r>
                              </w:p>
                              <w:p w14:paraId="3B9FA833" w14:textId="77777777" w:rsidR="009B2D34" w:rsidRDefault="009B2D34" w:rsidP="009B2D34">
                                <w:pPr>
                                  <w:textDirection w:val="btLr"/>
                                </w:pPr>
                                <w:r>
                                  <w:rPr>
                                    <w:b/>
                                    <w:color w:val="000000"/>
                                    <w:sz w:val="18"/>
                                  </w:rPr>
                                  <w:t>Source Type:</w:t>
                                </w:r>
                                <w:r>
                                  <w:rPr>
                                    <w:color w:val="000000"/>
                                    <w:sz w:val="18"/>
                                  </w:rPr>
                                  <w:t xml:space="preserve"> Journal</w:t>
                                </w:r>
                              </w:p>
                              <w:p w14:paraId="77046D7D" w14:textId="77777777" w:rsidR="009B2D34" w:rsidRDefault="009B2D34" w:rsidP="009B2D34">
                                <w:pPr>
                                  <w:textDirection w:val="btLr"/>
                                </w:pPr>
                                <w:r>
                                  <w:rPr>
                                    <w:b/>
                                    <w:color w:val="000000"/>
                                    <w:sz w:val="18"/>
                                  </w:rPr>
                                  <w:t>Document Type:</w:t>
                                </w:r>
                                <w:r>
                                  <w:rPr>
                                    <w:color w:val="000000"/>
                                    <w:sz w:val="18"/>
                                  </w:rPr>
                                  <w:t xml:space="preserve"> Articles</w:t>
                                </w:r>
                              </w:p>
                            </w:txbxContent>
                          </wps:txbx>
                          <wps:bodyPr spcFirstLastPara="1" wrap="square" lIns="91425" tIns="91425" rIns="91425" bIns="91425" anchor="t" anchorCtr="0">
                            <a:noAutofit/>
                          </wps:bodyPr>
                        </wps:wsp>
                        <wps:wsp>
                          <wps:cNvPr id="103118144" name="Rectangle 103118144"/>
                          <wps:cNvSpPr/>
                          <wps:spPr>
                            <a:xfrm>
                              <a:off x="2653898" y="3570956"/>
                              <a:ext cx="837934" cy="3629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661F21" w14:textId="77777777" w:rsidR="009B2D34" w:rsidRDefault="009B2D34" w:rsidP="009B2D34">
                                <w:pPr>
                                  <w:textDirection w:val="btLr"/>
                                </w:pPr>
                                <w:r>
                                  <w:rPr>
                                    <w:color w:val="000000"/>
                                    <w:sz w:val="18"/>
                                  </w:rPr>
                                  <w:t xml:space="preserve">n = </w:t>
                                </w:r>
                                <w:r w:rsidRPr="004B15E9">
                                  <w:rPr>
                                    <w:color w:val="000000"/>
                                    <w:sz w:val="18"/>
                                  </w:rPr>
                                  <w:t>3853</w:t>
                                </w:r>
                              </w:p>
                            </w:txbxContent>
                          </wps:txbx>
                          <wps:bodyPr spcFirstLastPara="1" wrap="square" lIns="91425" tIns="91425" rIns="91425" bIns="91425" anchor="t" anchorCtr="0">
                            <a:noAutofit/>
                          </wps:bodyPr>
                        </wps:wsp>
                        <wps:wsp>
                          <wps:cNvPr id="1524409073" name="Rectangle 1524409073"/>
                          <wps:cNvSpPr/>
                          <wps:spPr>
                            <a:xfrm>
                              <a:off x="744075" y="3482969"/>
                              <a:ext cx="1386717" cy="504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CE3896" w14:textId="77777777" w:rsidR="009B2D34" w:rsidRDefault="009B2D34" w:rsidP="009B2D34">
                                <w:pPr>
                                  <w:jc w:val="center"/>
                                  <w:textDirection w:val="btLr"/>
                                </w:pPr>
                                <w:r>
                                  <w:rPr>
                                    <w:color w:val="000000"/>
                                    <w:sz w:val="18"/>
                                  </w:rPr>
                                  <w:t>Record Identified &amp; Screened</w:t>
                                </w:r>
                              </w:p>
                            </w:txbxContent>
                          </wps:txbx>
                          <wps:bodyPr spcFirstLastPara="1" wrap="square" lIns="91425" tIns="91425" rIns="91425" bIns="91425" anchor="t" anchorCtr="0">
                            <a:noAutofit/>
                          </wps:bodyPr>
                        </wps:wsp>
                        <wps:wsp>
                          <wps:cNvPr id="363005821" name="Rectangle 363005821"/>
                          <wps:cNvSpPr/>
                          <wps:spPr>
                            <a:xfrm>
                              <a:off x="2653617" y="-48803"/>
                              <a:ext cx="3359435" cy="52974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EB5317" w14:textId="1D7FBF7D" w:rsidR="009B2D34" w:rsidRDefault="009B2D34" w:rsidP="009B2D34">
                                <w:pPr>
                                  <w:textDirection w:val="btLr"/>
                                </w:pPr>
                                <w:r w:rsidRPr="009A617A">
                                  <w:rPr>
                                    <w:sz w:val="18"/>
                                    <w:szCs w:val="18"/>
                                  </w:rPr>
                                  <w:t xml:space="preserve">Bibliometric Analysis of </w:t>
                                </w:r>
                                <w:r w:rsidR="009D5619">
                                  <w:rPr>
                                    <w:sz w:val="18"/>
                                    <w:szCs w:val="18"/>
                                  </w:rPr>
                                  <w:t xml:space="preserve">medical </w:t>
                                </w:r>
                                <w:r w:rsidR="00612DC7">
                                  <w:rPr>
                                    <w:sz w:val="18"/>
                                    <w:szCs w:val="18"/>
                                  </w:rPr>
                                  <w:t>imaging</w:t>
                                </w:r>
                                <w:r w:rsidR="009D5619">
                                  <w:rPr>
                                    <w:sz w:val="18"/>
                                    <w:szCs w:val="18"/>
                                  </w:rPr>
                                  <w:t xml:space="preserve"> </w:t>
                                </w:r>
                                <w:r w:rsidR="009B73C7">
                                  <w:rPr>
                                    <w:sz w:val="18"/>
                                    <w:szCs w:val="18"/>
                                  </w:rPr>
                                  <w:t xml:space="preserve">with AI approach </w:t>
                                </w:r>
                                <w:r w:rsidRPr="009A617A">
                                  <w:rPr>
                                    <w:sz w:val="18"/>
                                    <w:szCs w:val="18"/>
                                  </w:rPr>
                                  <w:t xml:space="preserve">for </w:t>
                                </w:r>
                                <w:r w:rsidR="00612DC7">
                                  <w:rPr>
                                    <w:sz w:val="18"/>
                                    <w:szCs w:val="18"/>
                                  </w:rPr>
                                  <w:t>g</w:t>
                                </w:r>
                                <w:r w:rsidRPr="009A617A">
                                  <w:rPr>
                                    <w:sz w:val="18"/>
                                    <w:szCs w:val="18"/>
                                  </w:rPr>
                                  <w:t xml:space="preserve">laucoma </w:t>
                                </w:r>
                                <w:r w:rsidR="00612DC7">
                                  <w:rPr>
                                    <w:sz w:val="18"/>
                                    <w:szCs w:val="18"/>
                                  </w:rPr>
                                  <w:t>d</w:t>
                                </w:r>
                                <w:r w:rsidRPr="009A617A">
                                  <w:rPr>
                                    <w:sz w:val="18"/>
                                    <w:szCs w:val="18"/>
                                  </w:rPr>
                                  <w:t>etection</w:t>
                                </w:r>
                                <w:r w:rsidR="009B73C7">
                                  <w:rPr>
                                    <w:sz w:val="18"/>
                                    <w:szCs w:val="18"/>
                                  </w:rPr>
                                  <w:t>.</w:t>
                                </w:r>
                              </w:p>
                            </w:txbxContent>
                          </wps:txbx>
                          <wps:bodyPr spcFirstLastPara="1" wrap="square" lIns="91425" tIns="91425" rIns="91425" bIns="91425" anchor="t" anchorCtr="0">
                            <a:noAutofit/>
                          </wps:bodyPr>
                        </wps:wsp>
                        <wps:wsp>
                          <wps:cNvPr id="929021517" name="Rounded Rectangle 10"/>
                          <wps:cNvSpPr/>
                          <wps:spPr>
                            <a:xfrm>
                              <a:off x="1" y="3138540"/>
                              <a:ext cx="701854" cy="1119815"/>
                            </a:xfrm>
                            <a:prstGeom prst="roundRect">
                              <a:avLst>
                                <a:gd name="adj" fmla="val 16667"/>
                              </a:avLst>
                            </a:prstGeom>
                            <a:solidFill>
                              <a:srgbClr val="CCECFF"/>
                            </a:solidFill>
                            <a:ln w="9525" cap="flat" cmpd="sng">
                              <a:solidFill>
                                <a:srgbClr val="000000"/>
                              </a:solidFill>
                              <a:prstDash val="solid"/>
                              <a:round/>
                              <a:headEnd type="none" w="sm" len="sm"/>
                              <a:tailEnd type="none" w="sm" len="sm"/>
                            </a:ln>
                          </wps:spPr>
                          <wps:txbx>
                            <w:txbxContent>
                              <w:p w14:paraId="580653E0" w14:textId="77777777" w:rsidR="009B2D34" w:rsidRDefault="009B2D34" w:rsidP="009B2D34">
                                <w:pPr>
                                  <w:jc w:val="center"/>
                                  <w:textDirection w:val="btLr"/>
                                  <w:rPr>
                                    <w:bCs/>
                                    <w:color w:val="002060"/>
                                    <w:sz w:val="17"/>
                                    <w:szCs w:val="17"/>
                                  </w:rPr>
                                </w:pPr>
                              </w:p>
                              <w:p w14:paraId="05CCACE4" w14:textId="77777777" w:rsidR="009B2D34" w:rsidRPr="000C5F7A" w:rsidRDefault="009B2D34" w:rsidP="009B2D34">
                                <w:pPr>
                                  <w:jc w:val="center"/>
                                  <w:textDirection w:val="btLr"/>
                                  <w:rPr>
                                    <w:bCs/>
                                    <w:sz w:val="18"/>
                                    <w:szCs w:val="18"/>
                                  </w:rPr>
                                </w:pPr>
                                <w:r w:rsidRPr="000C5F7A">
                                  <w:rPr>
                                    <w:bCs/>
                                    <w:color w:val="002060"/>
                                    <w:sz w:val="18"/>
                                    <w:szCs w:val="18"/>
                                  </w:rPr>
                                  <w:t>Screening</w:t>
                                </w:r>
                              </w:p>
                            </w:txbxContent>
                          </wps:txbx>
                          <wps:bodyPr spcFirstLastPara="1" wrap="square" lIns="45700" tIns="45700" rIns="45700" bIns="45700" anchor="t" anchorCtr="0">
                            <a:noAutofit/>
                          </wps:bodyPr>
                        </wps:wsp>
                        <wps:wsp>
                          <wps:cNvPr id="1368498013" name="Rounded Rectangle 11"/>
                          <wps:cNvSpPr/>
                          <wps:spPr>
                            <a:xfrm>
                              <a:off x="0" y="4852453"/>
                              <a:ext cx="687033" cy="535227"/>
                            </a:xfrm>
                            <a:prstGeom prst="roundRect">
                              <a:avLst>
                                <a:gd name="adj" fmla="val 16667"/>
                              </a:avLst>
                            </a:prstGeom>
                            <a:solidFill>
                              <a:srgbClr val="CCECFF"/>
                            </a:solidFill>
                            <a:ln w="9525" cap="flat" cmpd="sng">
                              <a:solidFill>
                                <a:srgbClr val="000000"/>
                              </a:solidFill>
                              <a:prstDash val="solid"/>
                              <a:round/>
                              <a:headEnd type="none" w="sm" len="sm"/>
                              <a:tailEnd type="none" w="sm" len="sm"/>
                            </a:ln>
                          </wps:spPr>
                          <wps:txbx>
                            <w:txbxContent>
                              <w:p w14:paraId="6F5A3622" w14:textId="77777777" w:rsidR="009B2D34" w:rsidRPr="004811A3" w:rsidRDefault="009B2D34" w:rsidP="009B2D34">
                                <w:pPr>
                                  <w:jc w:val="center"/>
                                  <w:textDirection w:val="btLr"/>
                                  <w:rPr>
                                    <w:bCs/>
                                    <w:sz w:val="18"/>
                                    <w:szCs w:val="18"/>
                                  </w:rPr>
                                </w:pPr>
                                <w:r w:rsidRPr="004811A3">
                                  <w:rPr>
                                    <w:bCs/>
                                    <w:color w:val="002060"/>
                                    <w:sz w:val="18"/>
                                    <w:szCs w:val="18"/>
                                  </w:rPr>
                                  <w:t>Included</w:t>
                                </w:r>
                              </w:p>
                            </w:txbxContent>
                          </wps:txbx>
                          <wps:bodyPr spcFirstLastPara="1" wrap="square" lIns="45700" tIns="45700" rIns="45700" bIns="45700" anchor="t" anchorCtr="0">
                            <a:noAutofit/>
                          </wps:bodyPr>
                        </wps:wsp>
                        <wps:wsp>
                          <wps:cNvPr id="249364615" name="Rounded Rectangle 12"/>
                          <wps:cNvSpPr/>
                          <wps:spPr>
                            <a:xfrm>
                              <a:off x="9810" y="-4"/>
                              <a:ext cx="684025" cy="2742019"/>
                            </a:xfrm>
                            <a:prstGeom prst="roundRect">
                              <a:avLst>
                                <a:gd name="adj" fmla="val 16667"/>
                              </a:avLst>
                            </a:prstGeom>
                            <a:solidFill>
                              <a:srgbClr val="CCECFF"/>
                            </a:solidFill>
                            <a:ln w="9525" cap="flat" cmpd="sng">
                              <a:solidFill>
                                <a:srgbClr val="000000"/>
                              </a:solidFill>
                              <a:prstDash val="solid"/>
                              <a:round/>
                              <a:headEnd type="none" w="sm" len="sm"/>
                              <a:tailEnd type="none" w="sm" len="sm"/>
                            </a:ln>
                          </wps:spPr>
                          <wps:txbx>
                            <w:txbxContent>
                              <w:p w14:paraId="6D374DF6" w14:textId="77777777" w:rsidR="009B2D34" w:rsidRDefault="009B2D34" w:rsidP="009B2D34">
                                <w:pPr>
                                  <w:jc w:val="center"/>
                                  <w:textDirection w:val="btLr"/>
                                  <w:rPr>
                                    <w:bCs/>
                                    <w:color w:val="002060"/>
                                    <w:sz w:val="18"/>
                                    <w:szCs w:val="18"/>
                                  </w:rPr>
                                </w:pPr>
                              </w:p>
                              <w:p w14:paraId="7DB6C0B0" w14:textId="77777777" w:rsidR="009B2D34" w:rsidRDefault="009B2D34" w:rsidP="009B2D34">
                                <w:pPr>
                                  <w:jc w:val="center"/>
                                  <w:textDirection w:val="btLr"/>
                                  <w:rPr>
                                    <w:bCs/>
                                    <w:color w:val="002060"/>
                                    <w:sz w:val="18"/>
                                    <w:szCs w:val="18"/>
                                  </w:rPr>
                                </w:pPr>
                              </w:p>
                              <w:p w14:paraId="670B168C" w14:textId="77777777" w:rsidR="009B2D34" w:rsidRDefault="009B2D34" w:rsidP="009B2D34">
                                <w:pPr>
                                  <w:jc w:val="center"/>
                                  <w:textDirection w:val="btLr"/>
                                  <w:rPr>
                                    <w:bCs/>
                                    <w:color w:val="002060"/>
                                    <w:sz w:val="18"/>
                                    <w:szCs w:val="18"/>
                                  </w:rPr>
                                </w:pPr>
                              </w:p>
                              <w:p w14:paraId="3E3D698D" w14:textId="4DD55450" w:rsidR="009B2D34" w:rsidRPr="004811A3" w:rsidRDefault="009B2D34" w:rsidP="00A84655">
                                <w:pPr>
                                  <w:jc w:val="center"/>
                                  <w:textDirection w:val="btLr"/>
                                  <w:rPr>
                                    <w:bCs/>
                                    <w:sz w:val="18"/>
                                    <w:szCs w:val="18"/>
                                  </w:rPr>
                                </w:pPr>
                                <w:r w:rsidRPr="004811A3">
                                  <w:rPr>
                                    <w:bCs/>
                                    <w:color w:val="002060"/>
                                    <w:sz w:val="18"/>
                                    <w:szCs w:val="18"/>
                                  </w:rPr>
                                  <w:t xml:space="preserve">Topic, Scope &amp; </w:t>
                                </w:r>
                                <w:r w:rsidR="00A84655" w:rsidRPr="004811A3">
                                  <w:rPr>
                                    <w:bCs/>
                                    <w:color w:val="002060"/>
                                    <w:sz w:val="18"/>
                                    <w:szCs w:val="18"/>
                                  </w:rPr>
                                  <w:t>Eligibility</w:t>
                                </w:r>
                              </w:p>
                            </w:txbxContent>
                          </wps:txbx>
                          <wps:bodyPr spcFirstLastPara="1" wrap="square" lIns="45700" tIns="45700" rIns="45700" bIns="45700" anchor="t" anchorCtr="0">
                            <a:noAutofit/>
                          </wps:bodyPr>
                        </wps:wsp>
                        <wps:wsp>
                          <wps:cNvPr id="656975619" name="Rectangle 656975619"/>
                          <wps:cNvSpPr/>
                          <wps:spPr>
                            <a:xfrm>
                              <a:off x="744075" y="40677"/>
                              <a:ext cx="1386717" cy="3635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776DBB" w14:textId="77777777" w:rsidR="009B2D34" w:rsidRDefault="009B2D34" w:rsidP="009B2D34">
                                <w:pPr>
                                  <w:jc w:val="center"/>
                                  <w:textDirection w:val="btLr"/>
                                </w:pPr>
                                <w:r>
                                  <w:rPr>
                                    <w:color w:val="000000"/>
                                    <w:sz w:val="18"/>
                                  </w:rPr>
                                  <w:t>Topic</w:t>
                                </w:r>
                              </w:p>
                            </w:txbxContent>
                          </wps:txbx>
                          <wps:bodyPr spcFirstLastPara="1" wrap="square" lIns="91425" tIns="91425" rIns="91425" bIns="91425" anchor="t" anchorCtr="0">
                            <a:noAutofit/>
                          </wps:bodyPr>
                        </wps:wsp>
                        <wps:wsp>
                          <wps:cNvPr id="1723596749" name="Rectangle 1723596749"/>
                          <wps:cNvSpPr/>
                          <wps:spPr>
                            <a:xfrm>
                              <a:off x="744075" y="735158"/>
                              <a:ext cx="1386717" cy="366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47790A" w14:textId="77777777" w:rsidR="009B2D34" w:rsidRDefault="009B2D34" w:rsidP="009B2D34">
                                <w:pPr>
                                  <w:jc w:val="center"/>
                                  <w:textDirection w:val="btLr"/>
                                </w:pPr>
                                <w:r>
                                  <w:rPr>
                                    <w:color w:val="000000"/>
                                    <w:sz w:val="18"/>
                                  </w:rPr>
                                  <w:t>Scope &amp; Coverage</w:t>
                                </w:r>
                              </w:p>
                            </w:txbxContent>
                          </wps:txbx>
                          <wps:bodyPr spcFirstLastPara="1" wrap="square" lIns="91425" tIns="91425" rIns="91425" bIns="91425" anchor="t" anchorCtr="0">
                            <a:noAutofit/>
                          </wps:bodyPr>
                        </wps:wsp>
                        <wps:wsp>
                          <wps:cNvPr id="1777630693" name="Rectangle 1777630693"/>
                          <wps:cNvSpPr/>
                          <wps:spPr>
                            <a:xfrm>
                              <a:off x="744075" y="4878895"/>
                              <a:ext cx="1386717" cy="55008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AB6FEA" w14:textId="77777777" w:rsidR="009B2D34" w:rsidRDefault="009B2D34" w:rsidP="009B2D34">
                                <w:pPr>
                                  <w:jc w:val="center"/>
                                  <w:textDirection w:val="btLr"/>
                                </w:pPr>
                                <w:r>
                                  <w:rPr>
                                    <w:color w:val="000000"/>
                                    <w:sz w:val="18"/>
                                  </w:rPr>
                                  <w:t>Record Included for Bibliometric Analysis</w:t>
                                </w:r>
                              </w:p>
                            </w:txbxContent>
                          </wps:txbx>
                          <wps:bodyPr spcFirstLastPara="1" wrap="square" lIns="91425" tIns="91425" rIns="91425" bIns="91425" anchor="t" anchorCtr="0">
                            <a:noAutofit/>
                          </wps:bodyPr>
                        </wps:wsp>
                        <wps:wsp>
                          <wps:cNvPr id="1011480606" name="Rectangle 1011480606"/>
                          <wps:cNvSpPr/>
                          <wps:spPr>
                            <a:xfrm>
                              <a:off x="2653898" y="4184414"/>
                              <a:ext cx="837934" cy="3629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E84FB0" w14:textId="77777777" w:rsidR="009B2D34" w:rsidRDefault="009B2D34" w:rsidP="009B2D34">
                                <w:pPr>
                                  <w:textDirection w:val="btLr"/>
                                </w:pPr>
                                <w:r>
                                  <w:rPr>
                                    <w:color w:val="000000"/>
                                    <w:sz w:val="18"/>
                                  </w:rPr>
                                  <w:t xml:space="preserve">n = </w:t>
                                </w:r>
                                <w:r w:rsidRPr="004B15E9">
                                  <w:rPr>
                                    <w:color w:val="000000"/>
                                    <w:sz w:val="18"/>
                                  </w:rPr>
                                  <w:t>1660</w:t>
                                </w:r>
                              </w:p>
                            </w:txbxContent>
                          </wps:txbx>
                          <wps:bodyPr spcFirstLastPara="1" wrap="square" lIns="91425" tIns="91425" rIns="91425" bIns="91425" anchor="t" anchorCtr="0">
                            <a:noAutofit/>
                          </wps:bodyPr>
                        </wps:wsp>
                        <wps:wsp>
                          <wps:cNvPr id="1512583917" name="Rectangle 1512583917"/>
                          <wps:cNvSpPr/>
                          <wps:spPr>
                            <a:xfrm>
                              <a:off x="744075" y="4184414"/>
                              <a:ext cx="1386717" cy="3629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437ADD" w14:textId="77777777" w:rsidR="009B2D34" w:rsidRDefault="009B2D34" w:rsidP="009B2D34">
                                <w:pPr>
                                  <w:jc w:val="center"/>
                                  <w:textDirection w:val="btLr"/>
                                </w:pPr>
                                <w:r>
                                  <w:rPr>
                                    <w:color w:val="000000"/>
                                    <w:sz w:val="18"/>
                                  </w:rPr>
                                  <w:t>Record Removed</w:t>
                                </w:r>
                              </w:p>
                            </w:txbxContent>
                          </wps:txbx>
                          <wps:bodyPr spcFirstLastPara="1" wrap="square" lIns="91425" tIns="91425" rIns="91425" bIns="91425" anchor="t" anchorCtr="0">
                            <a:noAutofit/>
                          </wps:bodyPr>
                        </wps:wsp>
                        <wps:wsp>
                          <wps:cNvPr id="1954163976" name="Rectangle 1954163976"/>
                          <wps:cNvSpPr/>
                          <wps:spPr>
                            <a:xfrm>
                              <a:off x="2659685" y="4965705"/>
                              <a:ext cx="837934" cy="366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8FE90E" w14:textId="77777777" w:rsidR="009B2D34" w:rsidRDefault="009B2D34" w:rsidP="009B2D34">
                                <w:pPr>
                                  <w:textDirection w:val="btLr"/>
                                </w:pPr>
                                <w:r>
                                  <w:rPr>
                                    <w:color w:val="000000"/>
                                    <w:sz w:val="18"/>
                                  </w:rPr>
                                  <w:t>n = 2193</w:t>
                                </w:r>
                              </w:p>
                            </w:txbxContent>
                          </wps:txbx>
                          <wps:bodyPr spcFirstLastPara="1" wrap="square" lIns="91425" tIns="91425" rIns="91425" bIns="91425" anchor="t" anchorCtr="0">
                            <a:noAutofit/>
                          </wps:bodyPr>
                        </wps:wsp>
                        <wps:wsp>
                          <wps:cNvPr id="2143565614" name="Straight Arrow Connector 2143565614"/>
                          <wps:cNvCnPr/>
                          <wps:spPr>
                            <a:xfrm>
                              <a:off x="1426821" y="405280"/>
                              <a:ext cx="0" cy="330348"/>
                            </a:xfrm>
                            <a:prstGeom prst="straightConnector1">
                              <a:avLst/>
                            </a:prstGeom>
                            <a:noFill/>
                            <a:ln w="9525" cap="flat" cmpd="sng">
                              <a:solidFill>
                                <a:srgbClr val="000000"/>
                              </a:solidFill>
                              <a:prstDash val="solid"/>
                              <a:round/>
                              <a:headEnd type="none" w="med" len="med"/>
                              <a:tailEnd type="triangle" w="med" len="med"/>
                            </a:ln>
                          </wps:spPr>
                          <wps:bodyPr/>
                        </wps:wsp>
                        <wps:wsp>
                          <wps:cNvPr id="293036215" name="Straight Arrow Connector 293036215"/>
                          <wps:cNvCnPr/>
                          <wps:spPr>
                            <a:xfrm>
                              <a:off x="1432608" y="1099761"/>
                              <a:ext cx="0" cy="770097"/>
                            </a:xfrm>
                            <a:prstGeom prst="straightConnector1">
                              <a:avLst/>
                            </a:prstGeom>
                            <a:noFill/>
                            <a:ln w="9525" cap="flat" cmpd="sng">
                              <a:solidFill>
                                <a:srgbClr val="000000"/>
                              </a:solidFill>
                              <a:prstDash val="solid"/>
                              <a:round/>
                              <a:headEnd type="none" w="med" len="med"/>
                              <a:tailEnd type="triangle" w="med" len="med"/>
                            </a:ln>
                          </wps:spPr>
                          <wps:bodyPr/>
                        </wps:wsp>
                        <wps:wsp>
                          <wps:cNvPr id="1805019653" name="Straight Arrow Connector 1805019653"/>
                          <wps:cNvCnPr/>
                          <wps:spPr>
                            <a:xfrm flipH="1">
                              <a:off x="1426821" y="2349827"/>
                              <a:ext cx="8191" cy="609612"/>
                            </a:xfrm>
                            <a:prstGeom prst="straightConnector1">
                              <a:avLst/>
                            </a:prstGeom>
                            <a:noFill/>
                            <a:ln w="9525" cap="flat" cmpd="sng">
                              <a:solidFill>
                                <a:srgbClr val="000000"/>
                              </a:solidFill>
                              <a:prstDash val="solid"/>
                              <a:round/>
                              <a:headEnd type="none" w="med" len="med"/>
                              <a:tailEnd type="triangle" w="med" len="med"/>
                            </a:ln>
                          </wps:spPr>
                          <wps:bodyPr/>
                        </wps:wsp>
                        <wps:wsp>
                          <wps:cNvPr id="1223684840" name="Straight Arrow Connector 1223684840"/>
                          <wps:cNvCnPr/>
                          <wps:spPr>
                            <a:xfrm>
                              <a:off x="1432608" y="4549016"/>
                              <a:ext cx="0" cy="331574"/>
                            </a:xfrm>
                            <a:prstGeom prst="straightConnector1">
                              <a:avLst/>
                            </a:prstGeom>
                            <a:noFill/>
                            <a:ln w="9525" cap="flat" cmpd="sng">
                              <a:solidFill>
                                <a:srgbClr val="000000"/>
                              </a:solidFill>
                              <a:prstDash val="solid"/>
                              <a:round/>
                              <a:headEnd type="none" w="med" len="med"/>
                              <a:tailEnd type="triangle" w="med" len="med"/>
                            </a:ln>
                          </wps:spPr>
                          <wps:bodyPr/>
                        </wps:wsp>
                        <wps:wsp>
                          <wps:cNvPr id="549703436" name="Straight Arrow Connector 549703436"/>
                          <wps:cNvCnPr/>
                          <wps:spPr>
                            <a:xfrm>
                              <a:off x="1432608" y="3987644"/>
                              <a:ext cx="0" cy="201665"/>
                            </a:xfrm>
                            <a:prstGeom prst="straightConnector1">
                              <a:avLst/>
                            </a:prstGeom>
                            <a:noFill/>
                            <a:ln w="9525" cap="flat" cmpd="sng">
                              <a:solidFill>
                                <a:srgbClr val="000000"/>
                              </a:solidFill>
                              <a:prstDash val="solid"/>
                              <a:round/>
                              <a:headEnd type="none" w="med" len="med"/>
                              <a:tailEnd type="triangle" w="med" len="med"/>
                            </a:ln>
                          </wps:spPr>
                          <wps:bodyPr/>
                        </wps:wsp>
                        <wps:wsp>
                          <wps:cNvPr id="1567037821" name="Straight Arrow Connector 1567037821"/>
                          <wps:cNvCnPr/>
                          <wps:spPr>
                            <a:xfrm>
                              <a:off x="2127250" y="220085"/>
                              <a:ext cx="524736" cy="1979"/>
                            </a:xfrm>
                            <a:prstGeom prst="straightConnector1">
                              <a:avLst/>
                            </a:prstGeom>
                            <a:noFill/>
                            <a:ln w="9525" cap="flat" cmpd="sng">
                              <a:solidFill>
                                <a:sysClr val="windowText" lastClr="000000"/>
                              </a:solidFill>
                              <a:prstDash val="solid"/>
                              <a:miter lim="800000"/>
                              <a:headEnd type="none" w="sm" len="sm"/>
                              <a:tailEnd type="none" w="sm" len="sm"/>
                            </a:ln>
                          </wps:spPr>
                          <wps:bodyPr/>
                        </wps:wsp>
                        <wps:wsp>
                          <wps:cNvPr id="395162144" name="Straight Arrow Connector 395162144"/>
                          <wps:cNvCnPr/>
                          <wps:spPr>
                            <a:xfrm>
                              <a:off x="2121463" y="914566"/>
                              <a:ext cx="524736" cy="2424"/>
                            </a:xfrm>
                            <a:prstGeom prst="straightConnector1">
                              <a:avLst/>
                            </a:prstGeom>
                            <a:noFill/>
                            <a:ln w="9525" cap="flat" cmpd="sng">
                              <a:solidFill>
                                <a:sysClr val="windowText" lastClr="000000"/>
                              </a:solidFill>
                              <a:prstDash val="solid"/>
                              <a:miter lim="800000"/>
                              <a:headEnd type="none" w="sm" len="sm"/>
                              <a:tailEnd type="none" w="sm" len="sm"/>
                            </a:ln>
                          </wps:spPr>
                          <wps:bodyPr/>
                        </wps:wsp>
                        <wps:wsp>
                          <wps:cNvPr id="1188486512" name="Straight Arrow Connector 1188486512"/>
                          <wps:cNvCnPr/>
                          <wps:spPr>
                            <a:xfrm>
                              <a:off x="2133037" y="2129908"/>
                              <a:ext cx="524736" cy="0"/>
                            </a:xfrm>
                            <a:prstGeom prst="straightConnector1">
                              <a:avLst/>
                            </a:prstGeom>
                            <a:noFill/>
                            <a:ln w="9525" cap="flat" cmpd="sng">
                              <a:solidFill>
                                <a:sysClr val="windowText" lastClr="000000"/>
                              </a:solidFill>
                              <a:prstDash val="solid"/>
                              <a:miter lim="800000"/>
                              <a:headEnd type="none" w="sm" len="sm"/>
                              <a:tailEnd type="none" w="sm" len="sm"/>
                            </a:ln>
                          </wps:spPr>
                          <wps:bodyPr/>
                        </wps:wsp>
                        <wps:wsp>
                          <wps:cNvPr id="1685810896" name="Straight Arrow Connector 1685810896"/>
                          <wps:cNvCnPr/>
                          <wps:spPr>
                            <a:xfrm>
                              <a:off x="2133037" y="3744576"/>
                              <a:ext cx="524736" cy="0"/>
                            </a:xfrm>
                            <a:prstGeom prst="straightConnector1">
                              <a:avLst/>
                            </a:prstGeom>
                            <a:noFill/>
                            <a:ln w="9525" cap="flat" cmpd="sng">
                              <a:solidFill>
                                <a:sysClr val="windowText" lastClr="000000"/>
                              </a:solidFill>
                              <a:prstDash val="solid"/>
                              <a:miter lim="800000"/>
                              <a:headEnd type="none" w="sm" len="sm"/>
                              <a:tailEnd type="none" w="sm" len="sm"/>
                            </a:ln>
                          </wps:spPr>
                          <wps:bodyPr/>
                        </wps:wsp>
                        <wps:wsp>
                          <wps:cNvPr id="1193378023" name="Straight Arrow Connector 1193378023"/>
                          <wps:cNvCnPr/>
                          <wps:spPr>
                            <a:xfrm>
                              <a:off x="2127250" y="4358034"/>
                              <a:ext cx="524736" cy="2424"/>
                            </a:xfrm>
                            <a:prstGeom prst="straightConnector1">
                              <a:avLst/>
                            </a:prstGeom>
                            <a:noFill/>
                            <a:ln w="9525" cap="flat" cmpd="sng">
                              <a:solidFill>
                                <a:sysClr val="windowText" lastClr="000000"/>
                              </a:solidFill>
                              <a:prstDash val="solid"/>
                              <a:miter lim="800000"/>
                              <a:headEnd type="none" w="sm" len="sm"/>
                              <a:tailEnd type="none" w="sm" len="sm"/>
                            </a:ln>
                          </wps:spPr>
                          <wps:bodyPr/>
                        </wps:wsp>
                        <wps:wsp>
                          <wps:cNvPr id="150267455" name="Straight Arrow Connector 150267455"/>
                          <wps:cNvCnPr/>
                          <wps:spPr>
                            <a:xfrm>
                              <a:off x="2127250" y="5150900"/>
                              <a:ext cx="524736" cy="2424"/>
                            </a:xfrm>
                            <a:prstGeom prst="straightConnector1">
                              <a:avLst/>
                            </a:prstGeom>
                            <a:noFill/>
                            <a:ln w="9525" cap="flat" cmpd="sng">
                              <a:solidFill>
                                <a:sysClr val="windowText" lastClr="000000"/>
                              </a:solidFill>
                              <a:prstDash val="solid"/>
                              <a:miter lim="800000"/>
                              <a:headEnd type="none" w="sm" len="sm"/>
                              <a:tailEnd type="none" w="sm" len="sm"/>
                            </a:ln>
                          </wps:spPr>
                          <wps:bodyPr/>
                        </wps:wsp>
                        <wps:wsp>
                          <wps:cNvPr id="434763512" name="Rectangle 434763512"/>
                          <wps:cNvSpPr/>
                          <wps:spPr>
                            <a:xfrm>
                              <a:off x="2653891" y="3039739"/>
                              <a:ext cx="1203956" cy="36354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BE911A" w14:textId="77777777" w:rsidR="009B2D34" w:rsidRDefault="009B2D34" w:rsidP="009B2D34">
                                <w:pPr>
                                  <w:textDirection w:val="btLr"/>
                                </w:pPr>
                                <w:r>
                                  <w:rPr>
                                    <w:color w:val="000000"/>
                                    <w:sz w:val="18"/>
                                  </w:rPr>
                                  <w:t>10 January 2025</w:t>
                                </w:r>
                              </w:p>
                            </w:txbxContent>
                          </wps:txbx>
                          <wps:bodyPr spcFirstLastPara="1" wrap="square" lIns="91425" tIns="91425" rIns="91425" bIns="91425" anchor="t" anchorCtr="0">
                            <a:noAutofit/>
                          </wps:bodyPr>
                        </wps:wsp>
                        <wps:wsp>
                          <wps:cNvPr id="1116527248" name="Rectangle 1116527248"/>
                          <wps:cNvSpPr/>
                          <wps:spPr>
                            <a:xfrm>
                              <a:off x="726713" y="2957497"/>
                              <a:ext cx="1402961" cy="36354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4E088A" w14:textId="77777777" w:rsidR="009B2D34" w:rsidRDefault="009B2D34" w:rsidP="009B2D34">
                                <w:pPr>
                                  <w:jc w:val="center"/>
                                  <w:textDirection w:val="btLr"/>
                                </w:pPr>
                                <w:r>
                                  <w:rPr>
                                    <w:color w:val="000000"/>
                                    <w:sz w:val="18"/>
                                  </w:rPr>
                                  <w:t>Date Extracted</w:t>
                                </w:r>
                              </w:p>
                            </w:txbxContent>
                          </wps:txbx>
                          <wps:bodyPr spcFirstLastPara="1" wrap="square" lIns="91425" tIns="91425" rIns="91425" bIns="91425" anchor="t" anchorCtr="0">
                            <a:noAutofit/>
                          </wps:bodyPr>
                        </wps:wsp>
                        <wps:wsp>
                          <wps:cNvPr id="1297994619" name="Straight Arrow Connector 1297994619"/>
                          <wps:cNvCnPr/>
                          <wps:spPr>
                            <a:xfrm>
                              <a:off x="2133037" y="3125330"/>
                              <a:ext cx="524736" cy="2424"/>
                            </a:xfrm>
                            <a:prstGeom prst="straightConnector1">
                              <a:avLst/>
                            </a:prstGeom>
                            <a:noFill/>
                            <a:ln w="9525" cap="flat" cmpd="sng">
                              <a:solidFill>
                                <a:sysClr val="windowText" lastClr="000000"/>
                              </a:solidFill>
                              <a:prstDash val="solid"/>
                              <a:miter lim="800000"/>
                              <a:headEnd type="none" w="sm" len="sm"/>
                              <a:tailEnd type="none" w="sm" len="sm"/>
                            </a:ln>
                          </wps:spPr>
                          <wps:bodyPr/>
                        </wps:wsp>
                        <wps:wsp>
                          <wps:cNvPr id="1271564741" name="Straight Arrow Connector 1271564741"/>
                          <wps:cNvCnPr/>
                          <wps:spPr>
                            <a:xfrm>
                              <a:off x="1426821" y="3322100"/>
                              <a:ext cx="8191" cy="194554"/>
                            </a:xfrm>
                            <a:prstGeom prst="straightConnector1">
                              <a:avLst/>
                            </a:prstGeom>
                            <a:noFill/>
                            <a:ln w="9525" cap="flat" cmpd="sng">
                              <a:solidFill>
                                <a:srgbClr val="000000"/>
                              </a:solidFill>
                              <a:prstDash val="solid"/>
                              <a:round/>
                              <a:headEnd type="none" w="med" len="med"/>
                              <a:tailEnd type="triangle" w="med" len="med"/>
                            </a:ln>
                          </wps:spPr>
                          <wps:bodyPr/>
                        </wps:wsp>
                        <wps:wsp>
                          <wps:cNvPr id="489260921" name="Rectangle 489260921"/>
                          <wps:cNvSpPr/>
                          <wps:spPr>
                            <a:xfrm>
                              <a:off x="744024" y="1868574"/>
                              <a:ext cx="1386717" cy="55177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35108B" w14:textId="77777777" w:rsidR="009B2D34" w:rsidRDefault="009B2D34" w:rsidP="009B2D34">
                                <w:pPr>
                                  <w:jc w:val="center"/>
                                  <w:textDirection w:val="btLr"/>
                                </w:pPr>
                                <w:r>
                                  <w:rPr>
                                    <w:color w:val="000000"/>
                                    <w:sz w:val="18"/>
                                  </w:rPr>
                                  <w:t>Keywords &amp; Search String</w:t>
                                </w:r>
                              </w:p>
                            </w:txbxContent>
                          </wps:txbx>
                          <wps:bodyPr spcFirstLastPara="1" wrap="square" lIns="91425" tIns="91425" rIns="91425" bIns="91425" anchor="t" anchorCtr="0">
                            <a:noAutofit/>
                          </wps:bodyPr>
                        </wps:wsp>
                        <wps:wsp>
                          <wps:cNvPr id="805589429" name="Rectangle 805589429"/>
                          <wps:cNvSpPr/>
                          <wps:spPr>
                            <a:xfrm>
                              <a:off x="2651986" y="1576264"/>
                              <a:ext cx="3459449" cy="13351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0A4838" w14:textId="77777777" w:rsidR="009B2D34" w:rsidRDefault="009B2D34" w:rsidP="009B2D34">
                                <w:pPr>
                                  <w:jc w:val="both"/>
                                  <w:textDirection w:val="btLr"/>
                                </w:pPr>
                                <w:r>
                                  <w:rPr>
                                    <w:color w:val="000000"/>
                                    <w:sz w:val="18"/>
                                  </w:rPr>
                                  <w:t>G</w:t>
                                </w:r>
                                <w:r w:rsidRPr="00851347">
                                  <w:rPr>
                                    <w:color w:val="000000"/>
                                    <w:sz w:val="18"/>
                                  </w:rPr>
                                  <w:t xml:space="preserve">laucoma AND detection AND (“medical imaging" OR "image processing”) AND (deep AND learning OR machine AND learning OR artificial AND intelligence OR "computer-aided diagnosis”) AND (“retinal image analysis" OR "fundus image" OR "OCT imaging" OR "anterior segment imaging" OR "anterior segment photograph" OR "anterior eye segment") AND (classification OR segmentation OR feature AND extraction OR diagnosis) </w:t>
                                </w:r>
                              </w:p>
                            </w:txbxContent>
                          </wps:txbx>
                          <wps:bodyPr spcFirstLastPara="1" wrap="square" lIns="91425" tIns="91425" rIns="91425" bIns="91425" anchor="t" anchorCtr="0">
                            <a:noAutofit/>
                          </wps:bodyPr>
                        </wps:wsp>
                      </wpg:grpSp>
                    </wpg:wgp>
                  </a:graphicData>
                </a:graphic>
              </wp:inline>
            </w:drawing>
          </mc:Choice>
          <mc:Fallback>
            <w:pict>
              <v:group w14:anchorId="03E2C6B8" id="Group 766622518" o:spid="_x0000_s1026" style="width:461.5pt;height:396pt;mso-position-horizontal-relative:char;mso-position-vertical-relative:line" coordorigin="25217,12583" coordsize="57147,49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">
                <v:group id="Group 686437460" o:spid="_x0000_s1027" style="position:absolute;left:25217;top:12583;width:57147;height:49988" coordorigin=",-488" coordsize="61114,5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">
                  <v:rect id="Rectangle 1976193715" o:spid="_x0000_s1028" style="position:absolute;width:60405;height:54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" filled="f" stroked="f">
                    <v:textbox inset="2.53958mm,2.53958mm,2.53958mm,2.53958mm">
                      <w:txbxContent>
                        <w:p w14:paraId="643E91FB" w14:textId="77777777" w:rsidR="009B2D34" w:rsidRDefault="009B2D34" w:rsidP="009B2D34">
                          <w:pPr>
                            <w:jc w:val="center"/>
                            <w:textDirection w:val="btLr"/>
                          </w:pPr>
                        </w:p>
                      </w:txbxContent>
                    </v:textbox>
                  </v:rect>
                  <v:rect id="Rectangle 866683997" o:spid="_x0000_s1029" style="position:absolute;left:26478;top:5437;width:33779;height:9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">
                    <v:stroke startarrowwidth="narrow" startarrowlength="short" endarrowwidth="narrow" endarrowlength="short"/>
                    <v:textbox inset="2.53958mm,2.53958mm,2.53958mm,2.53958mm">
                      <w:txbxContent>
                        <w:p w14:paraId="10AC9B2C" w14:textId="77777777" w:rsidR="009B2D34" w:rsidRDefault="009B2D34" w:rsidP="009B2D34">
                          <w:pPr>
                            <w:textDirection w:val="btLr"/>
                          </w:pPr>
                          <w:r>
                            <w:rPr>
                              <w:b/>
                              <w:color w:val="000000"/>
                              <w:sz w:val="18"/>
                            </w:rPr>
                            <w:t>Database:</w:t>
                          </w:r>
                          <w:r>
                            <w:rPr>
                              <w:color w:val="000000"/>
                              <w:sz w:val="18"/>
                            </w:rPr>
                            <w:t xml:space="preserve"> Scopus</w:t>
                          </w:r>
                        </w:p>
                        <w:p w14:paraId="48C99F7B" w14:textId="77777777" w:rsidR="009B2D34" w:rsidRDefault="009B2D34" w:rsidP="009B2D34">
                          <w:pPr>
                            <w:textDirection w:val="btLr"/>
                          </w:pPr>
                          <w:r>
                            <w:rPr>
                              <w:b/>
                              <w:color w:val="000000"/>
                              <w:sz w:val="18"/>
                            </w:rPr>
                            <w:t>Search Field:</w:t>
                          </w:r>
                          <w:r>
                            <w:rPr>
                              <w:color w:val="000000"/>
                              <w:sz w:val="18"/>
                            </w:rPr>
                            <w:t xml:space="preserve"> Article Title</w:t>
                          </w:r>
                        </w:p>
                        <w:p w14:paraId="79F809DF" w14:textId="77777777" w:rsidR="009B2D34" w:rsidRDefault="009B2D34" w:rsidP="009B2D34">
                          <w:pPr>
                            <w:textDirection w:val="btLr"/>
                          </w:pPr>
                          <w:r>
                            <w:rPr>
                              <w:b/>
                              <w:color w:val="000000"/>
                              <w:sz w:val="18"/>
                            </w:rPr>
                            <w:t>Language:</w:t>
                          </w:r>
                          <w:r>
                            <w:rPr>
                              <w:color w:val="000000"/>
                              <w:sz w:val="18"/>
                            </w:rPr>
                            <w:t xml:space="preserve"> English</w:t>
                          </w:r>
                        </w:p>
                        <w:p w14:paraId="3B9FA833" w14:textId="77777777" w:rsidR="009B2D34" w:rsidRDefault="009B2D34" w:rsidP="009B2D34">
                          <w:pPr>
                            <w:textDirection w:val="btLr"/>
                          </w:pPr>
                          <w:r>
                            <w:rPr>
                              <w:b/>
                              <w:color w:val="000000"/>
                              <w:sz w:val="18"/>
                            </w:rPr>
                            <w:t>Source Type:</w:t>
                          </w:r>
                          <w:r>
                            <w:rPr>
                              <w:color w:val="000000"/>
                              <w:sz w:val="18"/>
                            </w:rPr>
                            <w:t xml:space="preserve"> Journal</w:t>
                          </w:r>
                        </w:p>
                        <w:p w14:paraId="77046D7D" w14:textId="77777777" w:rsidR="009B2D34" w:rsidRDefault="009B2D34" w:rsidP="009B2D34">
                          <w:pPr>
                            <w:textDirection w:val="btLr"/>
                          </w:pPr>
                          <w:r>
                            <w:rPr>
                              <w:b/>
                              <w:color w:val="000000"/>
                              <w:sz w:val="18"/>
                            </w:rPr>
                            <w:t>Document Type:</w:t>
                          </w:r>
                          <w:r>
                            <w:rPr>
                              <w:color w:val="000000"/>
                              <w:sz w:val="18"/>
                            </w:rPr>
                            <w:t xml:space="preserve"> Articles</w:t>
                          </w:r>
                        </w:p>
                      </w:txbxContent>
                    </v:textbox>
                  </v:rect>
                  <v:rect id="Rectangle 103118144" o:spid="_x0000_s1030" style="position:absolute;left:26538;top:35709;width:8380;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">
                    <v:stroke startarrowwidth="narrow" startarrowlength="short" endarrowwidth="narrow" endarrowlength="short"/>
                    <v:textbox inset="2.53958mm,2.53958mm,2.53958mm,2.53958mm">
                      <w:txbxContent>
                        <w:p w14:paraId="32661F21" w14:textId="77777777" w:rsidR="009B2D34" w:rsidRDefault="009B2D34" w:rsidP="009B2D34">
                          <w:pPr>
                            <w:textDirection w:val="btLr"/>
                          </w:pPr>
                          <w:r>
                            <w:rPr>
                              <w:color w:val="000000"/>
                              <w:sz w:val="18"/>
                            </w:rPr>
                            <w:t xml:space="preserve">n = </w:t>
                          </w:r>
                          <w:r w:rsidRPr="004B15E9">
                            <w:rPr>
                              <w:color w:val="000000"/>
                              <w:sz w:val="18"/>
                            </w:rPr>
                            <w:t>3853</w:t>
                          </w:r>
                        </w:p>
                      </w:txbxContent>
                    </v:textbox>
                  </v:rect>
                  <v:rect id="Rectangle 1524409073" o:spid="_x0000_s1031" style="position:absolute;left:7440;top:34829;width:13867;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">
                    <v:stroke startarrowwidth="narrow" startarrowlength="short" endarrowwidth="narrow" endarrowlength="short"/>
                    <v:textbox inset="2.53958mm,2.53958mm,2.53958mm,2.53958mm">
                      <w:txbxContent>
                        <w:p w14:paraId="2BCE3896" w14:textId="77777777" w:rsidR="009B2D34" w:rsidRDefault="009B2D34" w:rsidP="009B2D34">
                          <w:pPr>
                            <w:jc w:val="center"/>
                            <w:textDirection w:val="btLr"/>
                          </w:pPr>
                          <w:r>
                            <w:rPr>
                              <w:color w:val="000000"/>
                              <w:sz w:val="18"/>
                            </w:rPr>
                            <w:t>Record Identified &amp; Screened</w:t>
                          </w:r>
                        </w:p>
                      </w:txbxContent>
                    </v:textbox>
                  </v:rect>
                  <v:rect id="Rectangle 363005821" o:spid="_x0000_s1032" style="position:absolute;left:26536;top:-488;width:33594;height:5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">
                    <v:stroke startarrowwidth="narrow" startarrowlength="short" endarrowwidth="narrow" endarrowlength="short"/>
                    <v:textbox inset="2.53958mm,2.53958mm,2.53958mm,2.53958mm">
                      <w:txbxContent>
                        <w:p w14:paraId="20EB5317" w14:textId="1D7FBF7D" w:rsidR="009B2D34" w:rsidRDefault="009B2D34" w:rsidP="009B2D34">
                          <w:pPr>
                            <w:textDirection w:val="btLr"/>
                          </w:pPr>
                          <w:r w:rsidRPr="009A617A">
                            <w:rPr>
                              <w:sz w:val="18"/>
                              <w:szCs w:val="18"/>
                            </w:rPr>
                            <w:t xml:space="preserve">Bibliometric Analysis of </w:t>
                          </w:r>
                          <w:r w:rsidR="009D5619">
                            <w:rPr>
                              <w:sz w:val="18"/>
                              <w:szCs w:val="18"/>
                            </w:rPr>
                            <w:t xml:space="preserve">medical </w:t>
                          </w:r>
                          <w:r w:rsidR="00612DC7">
                            <w:rPr>
                              <w:sz w:val="18"/>
                              <w:szCs w:val="18"/>
                            </w:rPr>
                            <w:t>imaging</w:t>
                          </w:r>
                          <w:r w:rsidR="009D5619">
                            <w:rPr>
                              <w:sz w:val="18"/>
                              <w:szCs w:val="18"/>
                            </w:rPr>
                            <w:t xml:space="preserve"> </w:t>
                          </w:r>
                          <w:r w:rsidR="009B73C7">
                            <w:rPr>
                              <w:sz w:val="18"/>
                              <w:szCs w:val="18"/>
                            </w:rPr>
                            <w:t xml:space="preserve">with AI approach </w:t>
                          </w:r>
                          <w:r w:rsidRPr="009A617A">
                            <w:rPr>
                              <w:sz w:val="18"/>
                              <w:szCs w:val="18"/>
                            </w:rPr>
                            <w:t xml:space="preserve">for </w:t>
                          </w:r>
                          <w:r w:rsidR="00612DC7">
                            <w:rPr>
                              <w:sz w:val="18"/>
                              <w:szCs w:val="18"/>
                            </w:rPr>
                            <w:t>g</w:t>
                          </w:r>
                          <w:r w:rsidRPr="009A617A">
                            <w:rPr>
                              <w:sz w:val="18"/>
                              <w:szCs w:val="18"/>
                            </w:rPr>
                            <w:t xml:space="preserve">laucoma </w:t>
                          </w:r>
                          <w:r w:rsidR="00612DC7">
                            <w:rPr>
                              <w:sz w:val="18"/>
                              <w:szCs w:val="18"/>
                            </w:rPr>
                            <w:t>d</w:t>
                          </w:r>
                          <w:r w:rsidRPr="009A617A">
                            <w:rPr>
                              <w:sz w:val="18"/>
                              <w:szCs w:val="18"/>
                            </w:rPr>
                            <w:t>etection</w:t>
                          </w:r>
                          <w:r w:rsidR="009B73C7">
                            <w:rPr>
                              <w:sz w:val="18"/>
                              <w:szCs w:val="18"/>
                            </w:rPr>
                            <w:t>.</w:t>
                          </w:r>
                        </w:p>
                      </w:txbxContent>
                    </v:textbox>
                  </v:rect>
                  <v:roundrect id="Rounded Rectangle 10" o:spid="_x0000_s1033" style="position:absolute;top:31385;width:7018;height:111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" fillcolor="#ccecff">
                    <v:stroke startarrowwidth="narrow" startarrowlength="short" endarrowwidth="narrow" endarrowlength="short"/>
                    <v:textbox inset="1.2694mm,1.2694mm,1.2694mm,1.2694mm">
                      <w:txbxContent>
                        <w:p w14:paraId="580653E0" w14:textId="77777777" w:rsidR="009B2D34" w:rsidRDefault="009B2D34" w:rsidP="009B2D34">
                          <w:pPr>
                            <w:jc w:val="center"/>
                            <w:textDirection w:val="btLr"/>
                            <w:rPr>
                              <w:bCs/>
                              <w:color w:val="002060"/>
                              <w:sz w:val="17"/>
                              <w:szCs w:val="17"/>
                            </w:rPr>
                          </w:pPr>
                        </w:p>
                        <w:p w14:paraId="05CCACE4" w14:textId="77777777" w:rsidR="009B2D34" w:rsidRPr="000C5F7A" w:rsidRDefault="009B2D34" w:rsidP="009B2D34">
                          <w:pPr>
                            <w:jc w:val="center"/>
                            <w:textDirection w:val="btLr"/>
                            <w:rPr>
                              <w:bCs/>
                              <w:sz w:val="18"/>
                              <w:szCs w:val="18"/>
                            </w:rPr>
                          </w:pPr>
                          <w:r w:rsidRPr="000C5F7A">
                            <w:rPr>
                              <w:bCs/>
                              <w:color w:val="002060"/>
                              <w:sz w:val="18"/>
                              <w:szCs w:val="18"/>
                            </w:rPr>
                            <w:t>Screening</w:t>
                          </w:r>
                        </w:p>
                      </w:txbxContent>
                    </v:textbox>
                  </v:roundrect>
                  <v:roundrect id="Rounded Rectangle 11" o:spid="_x0000_s1034" style="position:absolute;top:48524;width:6870;height:53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" fillcolor="#ccecff">
                    <v:stroke startarrowwidth="narrow" startarrowlength="short" endarrowwidth="narrow" endarrowlength="short"/>
                    <v:textbox inset="1.2694mm,1.2694mm,1.2694mm,1.2694mm">
                      <w:txbxContent>
                        <w:p w14:paraId="6F5A3622" w14:textId="77777777" w:rsidR="009B2D34" w:rsidRPr="004811A3" w:rsidRDefault="009B2D34" w:rsidP="009B2D34">
                          <w:pPr>
                            <w:jc w:val="center"/>
                            <w:textDirection w:val="btLr"/>
                            <w:rPr>
                              <w:bCs/>
                              <w:sz w:val="18"/>
                              <w:szCs w:val="18"/>
                            </w:rPr>
                          </w:pPr>
                          <w:r w:rsidRPr="004811A3">
                            <w:rPr>
                              <w:bCs/>
                              <w:color w:val="002060"/>
                              <w:sz w:val="18"/>
                              <w:szCs w:val="18"/>
                            </w:rPr>
                            <w:t>Included</w:t>
                          </w:r>
                        </w:p>
                      </w:txbxContent>
                    </v:textbox>
                  </v:roundrect>
                  <v:roundrect id="Rounded Rectangle 12" o:spid="_x0000_s1035" style="position:absolute;left:98;width:6840;height:27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" fillcolor="#ccecff">
                    <v:stroke startarrowwidth="narrow" startarrowlength="short" endarrowwidth="narrow" endarrowlength="short"/>
                    <v:textbox inset="1.2694mm,1.2694mm,1.2694mm,1.2694mm">
                      <w:txbxContent>
                        <w:p w14:paraId="6D374DF6" w14:textId="77777777" w:rsidR="009B2D34" w:rsidRDefault="009B2D34" w:rsidP="009B2D34">
                          <w:pPr>
                            <w:jc w:val="center"/>
                            <w:textDirection w:val="btLr"/>
                            <w:rPr>
                              <w:bCs/>
                              <w:color w:val="002060"/>
                              <w:sz w:val="18"/>
                              <w:szCs w:val="18"/>
                            </w:rPr>
                          </w:pPr>
                        </w:p>
                        <w:p w14:paraId="7DB6C0B0" w14:textId="77777777" w:rsidR="009B2D34" w:rsidRDefault="009B2D34" w:rsidP="009B2D34">
                          <w:pPr>
                            <w:jc w:val="center"/>
                            <w:textDirection w:val="btLr"/>
                            <w:rPr>
                              <w:bCs/>
                              <w:color w:val="002060"/>
                              <w:sz w:val="18"/>
                              <w:szCs w:val="18"/>
                            </w:rPr>
                          </w:pPr>
                        </w:p>
                        <w:p w14:paraId="670B168C" w14:textId="77777777" w:rsidR="009B2D34" w:rsidRDefault="009B2D34" w:rsidP="009B2D34">
                          <w:pPr>
                            <w:jc w:val="center"/>
                            <w:textDirection w:val="btLr"/>
                            <w:rPr>
                              <w:bCs/>
                              <w:color w:val="002060"/>
                              <w:sz w:val="18"/>
                              <w:szCs w:val="18"/>
                            </w:rPr>
                          </w:pPr>
                        </w:p>
                        <w:p w14:paraId="3E3D698D" w14:textId="4DD55450" w:rsidR="009B2D34" w:rsidRPr="004811A3" w:rsidRDefault="009B2D34" w:rsidP="00A84655">
                          <w:pPr>
                            <w:jc w:val="center"/>
                            <w:textDirection w:val="btLr"/>
                            <w:rPr>
                              <w:bCs/>
                              <w:sz w:val="18"/>
                              <w:szCs w:val="18"/>
                            </w:rPr>
                          </w:pPr>
                          <w:r w:rsidRPr="004811A3">
                            <w:rPr>
                              <w:bCs/>
                              <w:color w:val="002060"/>
                              <w:sz w:val="18"/>
                              <w:szCs w:val="18"/>
                            </w:rPr>
                            <w:t xml:space="preserve">Topic, Scope &amp; </w:t>
                          </w:r>
                          <w:r w:rsidR="00A84655" w:rsidRPr="004811A3">
                            <w:rPr>
                              <w:bCs/>
                              <w:color w:val="002060"/>
                              <w:sz w:val="18"/>
                              <w:szCs w:val="18"/>
                            </w:rPr>
                            <w:t>Eligibility</w:t>
                          </w:r>
                        </w:p>
                      </w:txbxContent>
                    </v:textbox>
                  </v:roundrect>
                  <v:rect id="Rectangle 656975619" o:spid="_x0000_s1036" style="position:absolute;left:7440;top:406;width:13867;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">
                    <v:stroke startarrowwidth="narrow" startarrowlength="short" endarrowwidth="narrow" endarrowlength="short"/>
                    <v:textbox inset="2.53958mm,2.53958mm,2.53958mm,2.53958mm">
                      <w:txbxContent>
                        <w:p w14:paraId="0B776DBB" w14:textId="77777777" w:rsidR="009B2D34" w:rsidRDefault="009B2D34" w:rsidP="009B2D34">
                          <w:pPr>
                            <w:jc w:val="center"/>
                            <w:textDirection w:val="btLr"/>
                          </w:pPr>
                          <w:r>
                            <w:rPr>
                              <w:color w:val="000000"/>
                              <w:sz w:val="18"/>
                            </w:rPr>
                            <w:t>Topic</w:t>
                          </w:r>
                        </w:p>
                      </w:txbxContent>
                    </v:textbox>
                  </v:rect>
                  <v:rect id="Rectangle 1723596749" o:spid="_x0000_s1037" style="position:absolute;left:7440;top:7351;width:13867;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">
                    <v:stroke startarrowwidth="narrow" startarrowlength="short" endarrowwidth="narrow" endarrowlength="short"/>
                    <v:textbox inset="2.53958mm,2.53958mm,2.53958mm,2.53958mm">
                      <w:txbxContent>
                        <w:p w14:paraId="0647790A" w14:textId="77777777" w:rsidR="009B2D34" w:rsidRDefault="009B2D34" w:rsidP="009B2D34">
                          <w:pPr>
                            <w:jc w:val="center"/>
                            <w:textDirection w:val="btLr"/>
                          </w:pPr>
                          <w:r>
                            <w:rPr>
                              <w:color w:val="000000"/>
                              <w:sz w:val="18"/>
                            </w:rPr>
                            <w:t>Scope &amp; Coverage</w:t>
                          </w:r>
                        </w:p>
                      </w:txbxContent>
                    </v:textbox>
                  </v:rect>
                  <v:rect id="Rectangle 1777630693" o:spid="_x0000_s1038" style="position:absolute;left:7440;top:48788;width:13867;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">
                    <v:stroke startarrowwidth="narrow" startarrowlength="short" endarrowwidth="narrow" endarrowlength="short"/>
                    <v:textbox inset="2.53958mm,2.53958mm,2.53958mm,2.53958mm">
                      <w:txbxContent>
                        <w:p w14:paraId="06AB6FEA" w14:textId="77777777" w:rsidR="009B2D34" w:rsidRDefault="009B2D34" w:rsidP="009B2D34">
                          <w:pPr>
                            <w:jc w:val="center"/>
                            <w:textDirection w:val="btLr"/>
                          </w:pPr>
                          <w:r>
                            <w:rPr>
                              <w:color w:val="000000"/>
                              <w:sz w:val="18"/>
                            </w:rPr>
                            <w:t>Record Included for Bibliometric Analysis</w:t>
                          </w:r>
                        </w:p>
                      </w:txbxContent>
                    </v:textbox>
                  </v:rect>
                  <v:rect id="Rectangle 1011480606" o:spid="_x0000_s1039" style="position:absolute;left:26538;top:41844;width:8380;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">
                    <v:stroke startarrowwidth="narrow" startarrowlength="short" endarrowwidth="narrow" endarrowlength="short"/>
                    <v:textbox inset="2.53958mm,2.53958mm,2.53958mm,2.53958mm">
                      <w:txbxContent>
                        <w:p w14:paraId="2FE84FB0" w14:textId="77777777" w:rsidR="009B2D34" w:rsidRDefault="009B2D34" w:rsidP="009B2D34">
                          <w:pPr>
                            <w:textDirection w:val="btLr"/>
                          </w:pPr>
                          <w:r>
                            <w:rPr>
                              <w:color w:val="000000"/>
                              <w:sz w:val="18"/>
                            </w:rPr>
                            <w:t xml:space="preserve">n = </w:t>
                          </w:r>
                          <w:r w:rsidRPr="004B15E9">
                            <w:rPr>
                              <w:color w:val="000000"/>
                              <w:sz w:val="18"/>
                            </w:rPr>
                            <w:t>1660</w:t>
                          </w:r>
                        </w:p>
                      </w:txbxContent>
                    </v:textbox>
                  </v:rect>
                  <v:rect id="Rectangle 1512583917" o:spid="_x0000_s1040" style="position:absolute;left:7440;top:41844;width:13867;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">
                    <v:stroke startarrowwidth="narrow" startarrowlength="short" endarrowwidth="narrow" endarrowlength="short"/>
                    <v:textbox inset="2.53958mm,2.53958mm,2.53958mm,2.53958mm">
                      <w:txbxContent>
                        <w:p w14:paraId="59437ADD" w14:textId="77777777" w:rsidR="009B2D34" w:rsidRDefault="009B2D34" w:rsidP="009B2D34">
                          <w:pPr>
                            <w:jc w:val="center"/>
                            <w:textDirection w:val="btLr"/>
                          </w:pPr>
                          <w:r>
                            <w:rPr>
                              <w:color w:val="000000"/>
                              <w:sz w:val="18"/>
                            </w:rPr>
                            <w:t>Record Removed</w:t>
                          </w:r>
                        </w:p>
                      </w:txbxContent>
                    </v:textbox>
                  </v:rect>
                  <v:rect id="Rectangle 1954163976" o:spid="_x0000_s1041" style="position:absolute;left:26596;top:49657;width:8380;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">
                    <v:stroke startarrowwidth="narrow" startarrowlength="short" endarrowwidth="narrow" endarrowlength="short"/>
                    <v:textbox inset="2.53958mm,2.53958mm,2.53958mm,2.53958mm">
                      <w:txbxContent>
                        <w:p w14:paraId="3C8FE90E" w14:textId="77777777" w:rsidR="009B2D34" w:rsidRDefault="009B2D34" w:rsidP="009B2D34">
                          <w:pPr>
                            <w:textDirection w:val="btLr"/>
                          </w:pPr>
                          <w:r>
                            <w:rPr>
                              <w:color w:val="000000"/>
                              <w:sz w:val="18"/>
                            </w:rPr>
                            <w:t>n = 2193</w:t>
                          </w:r>
                        </w:p>
                      </w:txbxContent>
                    </v:textbox>
                  </v:rect>
                  <v:shapetype id="_x0000_t32" coordsize="21600,21600" o:spt="32" o:oned="t" path="m,l21600,21600e" filled="f">
                    <v:path arrowok="t" fillok="f" o:connecttype="none"/>
                    <o:lock v:ext="edit" shapetype="t"/>
                  </v:shapetype>
                  <v:shape id="Straight Arrow Connector 2143565614" o:spid="_x0000_s1042" type="#_x0000_t32" style="position:absolute;left:14268;top:4052;width:0;height:3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">
                    <v:stroke endarrow="block"/>
                  </v:shape>
                  <v:shape id="Straight Arrow Connector 293036215" o:spid="_x0000_s1043" type="#_x0000_t32" style="position:absolute;left:14326;top:10997;width:0;height:7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">
                    <v:stroke endarrow="block"/>
                  </v:shape>
                  <v:shape id="Straight Arrow Connector 1805019653" o:spid="_x0000_s1044" type="#_x0000_t32" style="position:absolute;left:14268;top:23498;width:82;height:6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">
                    <v:stroke endarrow="block"/>
                  </v:shape>
                  <v:shape id="Straight Arrow Connector 1223684840" o:spid="_x0000_s1045" type="#_x0000_t32" style="position:absolute;left:14326;top:45490;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">
                    <v:stroke endarrow="block"/>
                  </v:shape>
                  <v:shape id="Straight Arrow Connector 549703436" o:spid="_x0000_s1046" type="#_x0000_t32" style="position:absolute;left:14326;top:39876;width:0;height:2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">
                    <v:stroke endarrow="block"/>
                  </v:shape>
                  <v:shape id="Straight Arrow Connector 1567037821" o:spid="_x0000_s1047" type="#_x0000_t32" style="position:absolute;left:21272;top:2200;width:5247;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" strokecolor="windowText">
                    <v:stroke startarrowwidth="narrow" startarrowlength="short" endarrowwidth="narrow" endarrowlength="short" joinstyle="miter"/>
                  </v:shape>
                  <v:shape id="Straight Arrow Connector 395162144" o:spid="_x0000_s1048" type="#_x0000_t32" style="position:absolute;left:21214;top:9145;width:5247;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" strokecolor="windowText">
                    <v:stroke startarrowwidth="narrow" startarrowlength="short" endarrowwidth="narrow" endarrowlength="short" joinstyle="miter"/>
                  </v:shape>
                  <v:shape id="Straight Arrow Connector 1188486512" o:spid="_x0000_s1049" type="#_x0000_t32" style="position:absolute;left:21330;top:21299;width:5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" strokecolor="windowText">
                    <v:stroke startarrowwidth="narrow" startarrowlength="short" endarrowwidth="narrow" endarrowlength="short" joinstyle="miter"/>
                  </v:shape>
                  <v:shape id="Straight Arrow Connector 1685810896" o:spid="_x0000_s1050" type="#_x0000_t32" style="position:absolute;left:21330;top:37445;width:5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" strokecolor="windowText">
                    <v:stroke startarrowwidth="narrow" startarrowlength="short" endarrowwidth="narrow" endarrowlength="short" joinstyle="miter"/>
                  </v:shape>
                  <v:shape id="Straight Arrow Connector 1193378023" o:spid="_x0000_s1051" type="#_x0000_t32" style="position:absolute;left:21272;top:43580;width:5247;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" strokecolor="windowText">
                    <v:stroke startarrowwidth="narrow" startarrowlength="short" endarrowwidth="narrow" endarrowlength="short" joinstyle="miter"/>
                  </v:shape>
                  <v:shape id="Straight Arrow Connector 150267455" o:spid="_x0000_s1052" type="#_x0000_t32" style="position:absolute;left:21272;top:51509;width:5247;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" strokecolor="windowText">
                    <v:stroke startarrowwidth="narrow" startarrowlength="short" endarrowwidth="narrow" endarrowlength="short" joinstyle="miter"/>
                  </v:shape>
                  <v:rect id="Rectangle 434763512" o:spid="_x0000_s1053" style="position:absolute;left:26538;top:30397;width:12040;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">
                    <v:stroke startarrowwidth="narrow" startarrowlength="short" endarrowwidth="narrow" endarrowlength="short"/>
                    <v:textbox inset="2.53958mm,2.53958mm,2.53958mm,2.53958mm">
                      <w:txbxContent>
                        <w:p w14:paraId="47BE911A" w14:textId="77777777" w:rsidR="009B2D34" w:rsidRDefault="009B2D34" w:rsidP="009B2D34">
                          <w:pPr>
                            <w:textDirection w:val="btLr"/>
                          </w:pPr>
                          <w:r>
                            <w:rPr>
                              <w:color w:val="000000"/>
                              <w:sz w:val="18"/>
                            </w:rPr>
                            <w:t>10 January 2025</w:t>
                          </w:r>
                        </w:p>
                      </w:txbxContent>
                    </v:textbox>
                  </v:rect>
                  <v:rect id="Rectangle 1116527248" o:spid="_x0000_s1054" style="position:absolute;left:7267;top:29574;width:14029;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">
                    <v:stroke startarrowwidth="narrow" startarrowlength="short" endarrowwidth="narrow" endarrowlength="short"/>
                    <v:textbox inset="2.53958mm,2.53958mm,2.53958mm,2.53958mm">
                      <w:txbxContent>
                        <w:p w14:paraId="204E088A" w14:textId="77777777" w:rsidR="009B2D34" w:rsidRDefault="009B2D34" w:rsidP="009B2D34">
                          <w:pPr>
                            <w:jc w:val="center"/>
                            <w:textDirection w:val="btLr"/>
                          </w:pPr>
                          <w:r>
                            <w:rPr>
                              <w:color w:val="000000"/>
                              <w:sz w:val="18"/>
                            </w:rPr>
                            <w:t>Date Extracted</w:t>
                          </w:r>
                        </w:p>
                      </w:txbxContent>
                    </v:textbox>
                  </v:rect>
                  <v:shape id="Straight Arrow Connector 1297994619" o:spid="_x0000_s1055" type="#_x0000_t32" style="position:absolute;left:21330;top:31253;width:5247;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" strokecolor="windowText">
                    <v:stroke startarrowwidth="narrow" startarrowlength="short" endarrowwidth="narrow" endarrowlength="short" joinstyle="miter"/>
                  </v:shape>
                  <v:shape id="Straight Arrow Connector 1271564741" o:spid="_x0000_s1056" type="#_x0000_t32" style="position:absolute;left:14268;top:33221;width:82;height:1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">
                    <v:stroke endarrow="block"/>
                  </v:shape>
                  <v:rect id="Rectangle 489260921" o:spid="_x0000_s1057" style="position:absolute;left:7440;top:18685;width:1386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">
                    <v:stroke startarrowwidth="narrow" startarrowlength="short" endarrowwidth="narrow" endarrowlength="short"/>
                    <v:textbox inset="2.53958mm,2.53958mm,2.53958mm,2.53958mm">
                      <w:txbxContent>
                        <w:p w14:paraId="5F35108B" w14:textId="77777777" w:rsidR="009B2D34" w:rsidRDefault="009B2D34" w:rsidP="009B2D34">
                          <w:pPr>
                            <w:jc w:val="center"/>
                            <w:textDirection w:val="btLr"/>
                          </w:pPr>
                          <w:r>
                            <w:rPr>
                              <w:color w:val="000000"/>
                              <w:sz w:val="18"/>
                            </w:rPr>
                            <w:t>Keywords &amp; Search String</w:t>
                          </w:r>
                        </w:p>
                      </w:txbxContent>
                    </v:textbox>
                  </v:rect>
                  <v:rect id="Rectangle 805589429" o:spid="_x0000_s1058" style="position:absolute;left:26519;top:15762;width:34595;height:1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">
                    <v:stroke startarrowwidth="narrow" startarrowlength="short" endarrowwidth="narrow" endarrowlength="short"/>
                    <v:textbox inset="2.53958mm,2.53958mm,2.53958mm,2.53958mm">
                      <w:txbxContent>
                        <w:p w14:paraId="580A4838" w14:textId="77777777" w:rsidR="009B2D34" w:rsidRDefault="009B2D34" w:rsidP="009B2D34">
                          <w:pPr>
                            <w:jc w:val="both"/>
                            <w:textDirection w:val="btLr"/>
                          </w:pPr>
                          <w:r>
                            <w:rPr>
                              <w:color w:val="000000"/>
                              <w:sz w:val="18"/>
                            </w:rPr>
                            <w:t>G</w:t>
                          </w:r>
                          <w:r w:rsidRPr="00851347">
                            <w:rPr>
                              <w:color w:val="000000"/>
                              <w:sz w:val="18"/>
                            </w:rPr>
                            <w:t xml:space="preserve">laucoma AND detection AND (“medical imaging" OR "image processing”) AND (deep AND learning OR machine AND learning OR artificial AND intelligence OR "computer-aided diagnosis”) AND (“retinal image analysis" OR "fundus image" OR "OCT imaging" OR "anterior segment imaging" OR "anterior segment photograph" OR "anterior eye segment") AND (classification OR segmentation OR feature AND extraction OR diagnosis) </w:t>
                          </w:r>
                        </w:p>
                      </w:txbxContent>
                    </v:textbox>
                  </v:rect>
                </v:group>
                <w10:anchorlock/>
              </v:group>
            </w:pict>
          </mc:Fallback>
        </mc:AlternateContent>
      </w:r>
    </w:p>
    <w:p w14:paraId="7DE7BD4F" w14:textId="7CF2A8A5" w:rsidR="009B2D34" w:rsidRPr="00F704AE" w:rsidRDefault="009B2D34" w:rsidP="000931A3">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bCs/>
          <w:color w:val="000000"/>
          <w:sz w:val="24"/>
          <w:szCs w:val="24"/>
          <w:lang w:eastAsia="en-GB"/>
        </w:rPr>
        <w:t>Figure 2:</w:t>
      </w:r>
      <w:r w:rsidRPr="00F704AE">
        <w:rPr>
          <w:rFonts w:ascii="Times New Roman" w:eastAsia="Times New Roman" w:hAnsi="Times New Roman" w:cs="Times New Roman"/>
          <w:color w:val="000000"/>
          <w:sz w:val="24"/>
          <w:szCs w:val="24"/>
          <w:lang w:eastAsia="en-GB"/>
        </w:rPr>
        <w:t xml:space="preserve"> Flow diagram of the search strategy</w:t>
      </w:r>
      <w:r w:rsidR="00B310B6" w:rsidRPr="00F704AE">
        <w:rPr>
          <w:rFonts w:ascii="Times New Roman" w:eastAsia="Times New Roman" w:hAnsi="Times New Roman" w:cs="Times New Roman"/>
          <w:color w:val="000000"/>
          <w:sz w:val="24"/>
          <w:szCs w:val="24"/>
          <w:lang w:eastAsia="en-GB"/>
        </w:rPr>
        <w:t xml:space="preserve"> </w:t>
      </w:r>
      <w:r w:rsidR="00B310B6" w:rsidRPr="00F704AE">
        <w:rPr>
          <w:rFonts w:ascii="Times New Roman" w:eastAsia="Times New Roman" w:hAnsi="Times New Roman" w:cs="Times New Roman"/>
          <w:sz w:val="24"/>
          <w:szCs w:val="24"/>
          <w:lang w:val="en-GB" w:eastAsia="zh-CN"/>
        </w:rPr>
        <w:t>of AI approach in medical imaging for glaucoma detection from 2016 to 2024</w:t>
      </w:r>
    </w:p>
    <w:p w14:paraId="26AB0149" w14:textId="77777777" w:rsidR="00B31F0A" w:rsidRPr="00F704AE" w:rsidRDefault="00B31F0A"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p>
    <w:p w14:paraId="281A771D" w14:textId="77777777" w:rsidR="006420E5" w:rsidRDefault="009B2D34" w:rsidP="006420E5">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noProof/>
          <w:sz w:val="24"/>
          <w:szCs w:val="24"/>
          <w:lang w:eastAsia="en-GB"/>
        </w:rPr>
        <w:drawing>
          <wp:inline distT="0" distB="0" distL="0" distR="0" wp14:anchorId="25124E35" wp14:editId="4A4F03B9">
            <wp:extent cx="5232400" cy="1861800"/>
            <wp:effectExtent l="0" t="0" r="6350" b="5715"/>
            <wp:docPr id="12349385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38540" name="Picture 1" descr="A screenshot of a computer&#10;&#10;AI-generated content may be incorrect."/>
                    <pic:cNvPicPr/>
                  </pic:nvPicPr>
                  <pic:blipFill>
                    <a:blip r:embed="rId10"/>
                    <a:stretch>
                      <a:fillRect/>
                    </a:stretch>
                  </pic:blipFill>
                  <pic:spPr>
                    <a:xfrm>
                      <a:off x="0" y="0"/>
                      <a:ext cx="5243623" cy="1865793"/>
                    </a:xfrm>
                    <a:prstGeom prst="rect">
                      <a:avLst/>
                    </a:prstGeom>
                  </pic:spPr>
                </pic:pic>
              </a:graphicData>
            </a:graphic>
          </wp:inline>
        </w:drawing>
      </w:r>
    </w:p>
    <w:p w14:paraId="5B33FB85" w14:textId="5B8212DC" w:rsidR="009B2D34" w:rsidRDefault="009B2D34" w:rsidP="006420E5">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t xml:space="preserve">Figure 3: Basic information about articles published </w:t>
      </w:r>
      <w:r w:rsidR="003778B0" w:rsidRPr="00F704AE">
        <w:rPr>
          <w:rFonts w:ascii="Times New Roman" w:eastAsia="Times New Roman" w:hAnsi="Times New Roman" w:cs="Times New Roman"/>
          <w:color w:val="000000"/>
          <w:sz w:val="24"/>
          <w:szCs w:val="24"/>
          <w:lang w:eastAsia="en-GB"/>
        </w:rPr>
        <w:t>on</w:t>
      </w:r>
      <w:r w:rsidRPr="00F704AE">
        <w:rPr>
          <w:rFonts w:ascii="Times New Roman" w:eastAsia="Times New Roman" w:hAnsi="Times New Roman" w:cs="Times New Roman"/>
          <w:color w:val="000000"/>
          <w:sz w:val="24"/>
          <w:szCs w:val="24"/>
          <w:lang w:eastAsia="en-GB"/>
        </w:rPr>
        <w:t xml:space="preserve"> glaucoma detection employing medical imaging and artificial intelligence</w:t>
      </w:r>
      <w:r w:rsidR="00B310B6" w:rsidRPr="00F704AE">
        <w:rPr>
          <w:rFonts w:ascii="Times New Roman" w:eastAsia="Times New Roman" w:hAnsi="Times New Roman" w:cs="Times New Roman"/>
          <w:color w:val="000000"/>
          <w:sz w:val="24"/>
          <w:szCs w:val="24"/>
          <w:lang w:eastAsia="en-GB"/>
        </w:rPr>
        <w:t xml:space="preserve"> from 2016 to 2024</w:t>
      </w:r>
    </w:p>
    <w:p w14:paraId="47F60F63" w14:textId="77777777" w:rsidR="0067430D" w:rsidRPr="00F704AE" w:rsidRDefault="0067430D" w:rsidP="006420E5">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lang w:eastAsia="en-GB"/>
        </w:rPr>
      </w:pPr>
    </w:p>
    <w:p w14:paraId="14185339" w14:textId="59FEC7A1"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t>Figure 3 summarizes the key bibliometric data on glaucoma detection research from 2016 to 2024</w:t>
      </w:r>
      <w:r w:rsidR="00CD5796" w:rsidRPr="00F704AE">
        <w:rPr>
          <w:rFonts w:ascii="Times New Roman" w:eastAsia="Times New Roman" w:hAnsi="Times New Roman" w:cs="Times New Roman"/>
          <w:color w:val="000000"/>
          <w:sz w:val="24"/>
          <w:szCs w:val="24"/>
          <w:lang w:eastAsia="en-GB"/>
        </w:rPr>
        <w:t xml:space="preserve"> to capture the surge of glaucoma detection evolution</w:t>
      </w:r>
      <w:r w:rsidRPr="00F704AE">
        <w:rPr>
          <w:rFonts w:ascii="Times New Roman" w:eastAsia="Times New Roman" w:hAnsi="Times New Roman" w:cs="Times New Roman"/>
          <w:color w:val="000000"/>
          <w:sz w:val="24"/>
          <w:szCs w:val="24"/>
          <w:lang w:eastAsia="en-GB"/>
        </w:rPr>
        <w:t>.</w:t>
      </w:r>
      <w:r w:rsidR="00CD7682" w:rsidRPr="00F704AE">
        <w:rPr>
          <w:rFonts w:ascii="Times New Roman" w:eastAsia="Times New Roman" w:hAnsi="Times New Roman" w:cs="Times New Roman"/>
          <w:color w:val="000000"/>
          <w:sz w:val="24"/>
          <w:szCs w:val="24"/>
          <w:lang w:eastAsia="en-GB"/>
        </w:rPr>
        <w:t xml:space="preserve"> </w:t>
      </w:r>
      <w:r w:rsidR="004F38A4" w:rsidRPr="00F704AE">
        <w:rPr>
          <w:rFonts w:ascii="Times New Roman" w:eastAsia="Times New Roman" w:hAnsi="Times New Roman" w:cs="Times New Roman"/>
          <w:sz w:val="24"/>
          <w:szCs w:val="24"/>
          <w:lang w:eastAsia="en-GB"/>
        </w:rPr>
        <w:t>Around 2016, advancements i</w:t>
      </w:r>
      <w:r w:rsidR="00744AC6" w:rsidRPr="00F704AE">
        <w:rPr>
          <w:rFonts w:ascii="Times New Roman" w:eastAsia="Times New Roman" w:hAnsi="Times New Roman" w:cs="Times New Roman"/>
          <w:sz w:val="24"/>
          <w:szCs w:val="24"/>
          <w:lang w:eastAsia="en-GB"/>
        </w:rPr>
        <w:t xml:space="preserve">n </w:t>
      </w:r>
      <w:r w:rsidR="004F38A4" w:rsidRPr="00F704AE">
        <w:rPr>
          <w:rFonts w:ascii="Times New Roman" w:eastAsia="Times New Roman" w:hAnsi="Times New Roman" w:cs="Times New Roman"/>
          <w:sz w:val="24"/>
          <w:szCs w:val="24"/>
          <w:lang w:eastAsia="en-GB"/>
        </w:rPr>
        <w:t xml:space="preserve">deep learning frameworks enabled practical AI applications for medical imaging analysis, marking a shift from traditional methods to automated </w:t>
      </w:r>
      <w:r w:rsidR="004F38A4" w:rsidRPr="00F704AE">
        <w:rPr>
          <w:rFonts w:ascii="Times New Roman" w:eastAsia="Times New Roman" w:hAnsi="Times New Roman" w:cs="Times New Roman"/>
          <w:sz w:val="24"/>
          <w:szCs w:val="24"/>
          <w:lang w:eastAsia="en-GB"/>
        </w:rPr>
        <w:lastRenderedPageBreak/>
        <w:t xml:space="preserve">glaucoma detection using fundus photos and OCT scans </w:t>
      </w:r>
      <w:r w:rsidR="00436092" w:rsidRPr="00F704AE">
        <w:rPr>
          <w:rFonts w:ascii="Times New Roman" w:eastAsia="Times New Roman" w:hAnsi="Times New Roman" w:cs="Times New Roman"/>
          <w:sz w:val="24"/>
          <w:szCs w:val="24"/>
          <w:lang w:eastAsia="en-GB"/>
        </w:rPr>
        <w:fldChar w:fldCharType="begin" w:fldLock="1"/>
      </w:r>
      <w:r w:rsidR="00F53257" w:rsidRPr="00F704AE">
        <w:rPr>
          <w:rFonts w:ascii="Times New Roman" w:eastAsia="Times New Roman" w:hAnsi="Times New Roman" w:cs="Times New Roman"/>
          <w:sz w:val="24"/>
          <w:szCs w:val="24"/>
          <w:lang w:eastAsia="en-GB"/>
        </w:rPr>
        <w:instrText>ADDIN CSL_CITATION {"citationItems":[{"id":"ITEM-1","itemData":{"author":[{"dropping-particle":"","family":"Lan","given":"Chiao-hsin","non-dropping-particle":"","parse-names":false,"suffix":""},{"dropping-particle":"","family":"Chiu","given":"Ta-hung","non-dropping-particle":"","parse-names":false,"suffix":""},{"dropping-particle":"","family":"Yen","given":"Wei-ting","non-dropping-particle":"","parse-names":false,"suffix":""}],"container-title":"international journal of molecular science","id":"ITEM-1","issued":{"date-parts":[["2025"]]},"page":"1-20","title":"Artificial Intelligence in Glaucoma : Advances in Diagnosis , Progression Forecasting , and Surgical Outcome Prediction","type":"article-journal"},"uris":["http://www.mendeley.com/documents/?uuid=eb0dfeab-90af-455f-ae9c-04892a97af4a"]}],"mendeley":{"formattedCitation":"[9]","plainTextFormattedCitation":"[9]","previouslyFormattedCitation":"[9]"},"properties":{"noteIndex":0},"schema":"https://github.com/citation-style-language/schema/raw/master/csl-citation.json"}</w:instrText>
      </w:r>
      <w:r w:rsidR="00436092" w:rsidRPr="00F704AE">
        <w:rPr>
          <w:rFonts w:ascii="Times New Roman" w:eastAsia="Times New Roman" w:hAnsi="Times New Roman" w:cs="Times New Roman"/>
          <w:sz w:val="24"/>
          <w:szCs w:val="24"/>
          <w:lang w:eastAsia="en-GB"/>
        </w:rPr>
        <w:fldChar w:fldCharType="separate"/>
      </w:r>
      <w:r w:rsidR="008817C1" w:rsidRPr="00F704AE">
        <w:rPr>
          <w:rFonts w:ascii="Times New Roman" w:eastAsia="Times New Roman" w:hAnsi="Times New Roman" w:cs="Times New Roman"/>
          <w:noProof/>
          <w:sz w:val="24"/>
          <w:szCs w:val="24"/>
          <w:lang w:eastAsia="en-GB"/>
        </w:rPr>
        <w:t>[9]</w:t>
      </w:r>
      <w:r w:rsidR="00436092" w:rsidRPr="00F704AE">
        <w:rPr>
          <w:rFonts w:ascii="Times New Roman" w:eastAsia="Times New Roman" w:hAnsi="Times New Roman" w:cs="Times New Roman"/>
          <w:sz w:val="24"/>
          <w:szCs w:val="24"/>
          <w:lang w:eastAsia="en-GB"/>
        </w:rPr>
        <w:fldChar w:fldCharType="end"/>
      </w:r>
      <w:r w:rsidR="004F38A4" w:rsidRPr="00F704AE">
        <w:rPr>
          <w:rFonts w:ascii="Times New Roman" w:eastAsia="Times New Roman" w:hAnsi="Times New Roman" w:cs="Times New Roman"/>
          <w:color w:val="C00000"/>
          <w:sz w:val="24"/>
          <w:szCs w:val="24"/>
          <w:lang w:eastAsia="en-GB"/>
        </w:rPr>
        <w:t xml:space="preserve">. </w:t>
      </w:r>
      <w:r w:rsidR="000D7081" w:rsidRPr="00F704AE">
        <w:rPr>
          <w:rFonts w:ascii="Times New Roman" w:eastAsia="Times New Roman" w:hAnsi="Times New Roman" w:cs="Times New Roman"/>
          <w:sz w:val="24"/>
          <w:szCs w:val="24"/>
          <w:lang w:eastAsia="en-GB"/>
        </w:rPr>
        <w:t xml:space="preserve">Result of articles extraction </w:t>
      </w:r>
      <w:r w:rsidR="000D7081" w:rsidRPr="00F704AE">
        <w:rPr>
          <w:rFonts w:ascii="Times New Roman" w:eastAsia="Times New Roman" w:hAnsi="Times New Roman" w:cs="Times New Roman"/>
          <w:color w:val="000000"/>
          <w:sz w:val="24"/>
          <w:szCs w:val="24"/>
          <w:lang w:eastAsia="en-GB"/>
        </w:rPr>
        <w:t>from</w:t>
      </w:r>
      <w:r w:rsidRPr="00F704AE">
        <w:rPr>
          <w:rFonts w:ascii="Times New Roman" w:eastAsia="Times New Roman" w:hAnsi="Times New Roman" w:cs="Times New Roman"/>
          <w:color w:val="000000"/>
          <w:sz w:val="24"/>
          <w:szCs w:val="24"/>
          <w:lang w:eastAsia="en-GB"/>
        </w:rPr>
        <w:t xml:space="preserve"> this period</w:t>
      </w:r>
      <w:r w:rsidR="006E14CA" w:rsidRPr="00F704AE">
        <w:rPr>
          <w:rFonts w:ascii="Times New Roman" w:eastAsia="Times New Roman" w:hAnsi="Times New Roman" w:cs="Times New Roman"/>
          <w:color w:val="000000"/>
          <w:sz w:val="24"/>
          <w:szCs w:val="24"/>
          <w:lang w:eastAsia="en-GB"/>
        </w:rPr>
        <w:t>,</w:t>
      </w:r>
      <w:r w:rsidRPr="00F704AE">
        <w:rPr>
          <w:rFonts w:ascii="Times New Roman" w:eastAsia="Times New Roman" w:hAnsi="Times New Roman" w:cs="Times New Roman"/>
          <w:color w:val="000000"/>
          <w:sz w:val="24"/>
          <w:szCs w:val="24"/>
          <w:lang w:eastAsia="en-GB"/>
        </w:rPr>
        <w:t xml:space="preserve"> 2193 articles were published in 541 sources, with contributions from 6711 authors. Interestingly, only 45 were single-author papers, suggesting collaboration is a significant part of this research area. The annual growth rate of 93.06% shows that interest in this field has surged, likely driven by advancements in AI and imaging technology. More than 30% of the studies involved international collaboration, highlighting the global effort in tackling glaucoma detection. On average, each paper was cited about 25 times, which indicates a strong academic impact. These trends are similar to what has been observed in other studies focused on AI in ophthalmology </w:t>
      </w:r>
      <w:r w:rsidRPr="00F704AE">
        <w:rPr>
          <w:rFonts w:ascii="Times New Roman" w:eastAsia="Times New Roman" w:hAnsi="Times New Roman" w:cs="Times New Roman"/>
          <w:color w:val="000000"/>
          <w:sz w:val="24"/>
          <w:szCs w:val="24"/>
          <w:lang w:eastAsia="en-GB"/>
        </w:rPr>
        <w:fldChar w:fldCharType="begin" w:fldLock="1"/>
      </w:r>
      <w:r w:rsidR="003A41AE" w:rsidRPr="00F704AE">
        <w:rPr>
          <w:rFonts w:ascii="Times New Roman" w:eastAsia="Times New Roman" w:hAnsi="Times New Roman" w:cs="Times New Roman"/>
          <w:color w:val="000000"/>
          <w:sz w:val="24"/>
          <w:szCs w:val="24"/>
          <w:lang w:eastAsia="en-GB"/>
        </w:rPr>
        <w:instrText>ADDIN CSL_CITATION {"citationItems":[{"id":"ITEM-1","itemData":{"DOI":"10.18240/ijo.2024.09.22","ISSN":"22274898","abstract":"AIM: To conduct a bibliometric analysis of research on artificial intelligence (AI) in the field of glaucoma to gain a comprehensive understanding of the current state of research and identify potential new directions for future studies.METHODS: Relevant articles on the application of AI in the field of glaucoma from the Web of Science Core Collection were retrieved, covering the period from January 1, 2013, to December 31, 2022. In order to assess the contributions and co-occurrence relationships among different countries/regions, institutions, authors, and journals, CiteSpace and VOSviewer software were employed and the research hotspots and future trends within the field were identified.RESULTS: A total of 750 English articles published between 2013 and 2022 were collected, and the number of publications exhibited an overall increasing trend. The majority of the articles were from China, followed by the United States and India. National University of Singapore, Chinese Academy of Sciences, and Sun Yat-sen University made significant contributions to the published works. Weinreb RN and Fu HZ ranked first among authors and cited authors. American Journal of Ophthalmology is the most impactful academic journal in the field of AI application in glaucoma. The disciplinary scope of this field includes ophthalmology, computer science, mathematics, molecular biology, genetics, and other related disciplines. The clustering and identification of keyword nodes in the co-occurrence network reveal the evolving landscape of AI application in the field of glaucoma. Initially, the hot topics in this field were primarily “segmentation”, “classification” and “diagnosis”. However, in recent years, the focus has shifted to “deep learning”, “convolutional neural network” and “artificial intelligence”.CONCLUSION: With the rapid development of AI technology, scholars have shown increasing interest in its application in the field of glaucoma. Moreover, the application of AI in assisting treatment and predicting prognosis in glaucoma may become a future research hotspot. However, the reliability and interpretability of AI data remain pressing issues that require resolution.","author":[{"dropping-particle":"","family":"Liu","given":"Chun","non-dropping-particle":"","parse-names":false,"suffix":""},{"dropping-particle":"","family":"Wang","given":"Lu Yao","non-dropping-particle":"","parse-names":false,"suffix":""},{"dropping-particle":"","family":"Zhu","given":"Ke Yu","non-dropping-particle":"","parse-names":false,"suffix":""},{"dropping-particle":"","family":"Liu","given":"Chun Meng","non-dropping-particle":"","parse-names":false,"suffix":""},{"dropping-particle":"","family":"Duan","given":"Jun Guo","non-dropping-particle":"","parse-names":false,"suffix":""}],"container-title":"International Journal of Ophthalmology","id":"ITEM-1","issue":"9","issued":{"date-parts":[["2024"]]},"page":"1731-1742","title":"Systematic bibliometric and visualized analysis of research hotspots and trends on the application of artificial intelligence in glaucoma from 2013 to 2022","type":"article-journal","volume":"17"},"uris":["http://www.mendeley.com/documents/?uuid=7d2f2e7f-523b-4a58-9811-df13b31b246e"]}],"mendeley":{"formattedCitation":"[6]","plainTextFormattedCitation":"[6]","previouslyFormattedCitation":"[6]"},"properties":{"noteIndex":0},"schema":"https://github.com/citation-style-language/schema/raw/master/csl-citation.json"}</w:instrText>
      </w:r>
      <w:r w:rsidRPr="00F704AE">
        <w:rPr>
          <w:rFonts w:ascii="Times New Roman" w:eastAsia="Times New Roman" w:hAnsi="Times New Roman" w:cs="Times New Roman"/>
          <w:color w:val="000000"/>
          <w:sz w:val="24"/>
          <w:szCs w:val="24"/>
          <w:lang w:eastAsia="en-GB"/>
        </w:rPr>
        <w:fldChar w:fldCharType="separate"/>
      </w:r>
      <w:r w:rsidR="00A826CC" w:rsidRPr="00F704AE">
        <w:rPr>
          <w:rFonts w:ascii="Times New Roman" w:eastAsia="Times New Roman" w:hAnsi="Times New Roman" w:cs="Times New Roman"/>
          <w:noProof/>
          <w:color w:val="000000"/>
          <w:sz w:val="24"/>
          <w:szCs w:val="24"/>
          <w:lang w:eastAsia="en-GB"/>
        </w:rPr>
        <w:t>[6]</w:t>
      </w:r>
      <w:r w:rsidRPr="00F704AE">
        <w:rPr>
          <w:rFonts w:ascii="Times New Roman" w:eastAsia="Times New Roman" w:hAnsi="Times New Roman" w:cs="Times New Roman"/>
          <w:color w:val="000000"/>
          <w:sz w:val="24"/>
          <w:szCs w:val="24"/>
          <w:lang w:eastAsia="en-GB"/>
        </w:rPr>
        <w:fldChar w:fldCharType="end"/>
      </w:r>
      <w:r w:rsidRPr="00F704AE">
        <w:rPr>
          <w:rFonts w:ascii="Times New Roman" w:eastAsia="Times New Roman" w:hAnsi="Times New Roman" w:cs="Times New Roman"/>
          <w:color w:val="000000"/>
          <w:sz w:val="24"/>
          <w:szCs w:val="24"/>
          <w:lang w:eastAsia="en-GB"/>
        </w:rPr>
        <w:t xml:space="preserve"> </w:t>
      </w:r>
      <w:r w:rsidRPr="00F704AE">
        <w:rPr>
          <w:rFonts w:ascii="Times New Roman" w:eastAsia="Times New Roman" w:hAnsi="Times New Roman" w:cs="Times New Roman"/>
          <w:color w:val="000000"/>
          <w:sz w:val="24"/>
          <w:szCs w:val="24"/>
          <w:lang w:eastAsia="en-GB"/>
        </w:rPr>
        <w:fldChar w:fldCharType="begin" w:fldLock="1"/>
      </w:r>
      <w:r w:rsidR="002C056A" w:rsidRPr="00F704AE">
        <w:rPr>
          <w:rFonts w:ascii="Times New Roman" w:eastAsia="Times New Roman" w:hAnsi="Times New Roman" w:cs="Times New Roman"/>
          <w:color w:val="000000"/>
          <w:sz w:val="24"/>
          <w:szCs w:val="24"/>
          <w:lang w:eastAsia="en-GB"/>
        </w:rPr>
        <w:instrText>ADDIN CSL_CITATION {"citationItems":[{"id":"ITEM-1","itemData":{"DOI":"10.3390/jpm14101062","ISSN":"20754426","abstract":"Background: Glaucoma is a leading cause of irreversible blindness worldwide, necessitating precise management strategies tailored to individual patient characteristics. Artificial intelligence (AI) holds promise in revolutionizing the approach to glaucoma care by providing personalized interventions. Aim: This review explores the current landscape of AI applications in the personalized management of glaucoma patients, highlighting advancements, challenges, and future directions. Methods: A systematic search of electronic databases, including PubMed, Scopus, and Web of Science, was conducted to identify relevant studies published up to 2024. Studies exploring the use of AI techniques in personalized management strategies for glaucoma patients were included. Results: The review identified diverse AI applications in glaucoma management, ranging from early detection and diagnosis to treatment optimization and prognosis prediction. Machine learning algorithms, particularly deep learning models, demonstrated high accuracy in diagnosing glaucoma from various imaging modalities such as optical coherence tomography (OCT) and visual field tests. AI-driven risk stratification tools facilitated personalized treatment decisions by integrating patient-specific data with predictive analytics, enhancing therapeutic outcomes while minimizing adverse effects. Moreover, AI-based teleophthalmology platforms enabled remote monitoring and timely intervention, improving patient access to specialized care. Conclusions: Integrating AI technologies in the personalized management of glaucoma patients holds immense potential for optimizing clinical decision-making, enhancing treatment efficacy, and mitigating disease progression. However, challenges such as data heterogeneity, model interpretability, and regulatory concerns warrant further investigation. Future research should focus on refining AI algorithms, validating their clinical utility through large-scale prospective studies, and ensuring seamless integration into routine clinical practice to realize the full benefits of personalized glaucoma care.","author":[{"dropping-particle":"","family":"Tonti","given":"Emanuele","non-dropping-particle":"","parse-names":false,"suffix":""},{"dropping-particle":"","family":"Tonti","given":"Sofia","non-dropping-particle":"","parse-names":false,"suffix":""},{"dropping-particle":"","family":"Mancini","given":"Flavia","non-dropping-particle":"","parse-names":false,"suffix":""},{"dropping-particle":"","family":"Bonini","given":"Chiara","non-dropping-particle":"","parse-names":false,"suffix":""},{"dropping-particle":"","family":"Spadea","given":"Leopoldo","non-dropping-particle":"","parse-names":false,"suffix":""},{"dropping-particle":"","family":"D’Esposito","given":"Fabiana","non-dropping-particle":"","parse-names":false,"suffix":""},{"dropping-particle":"","family":"Gagliano","given":"Caterina","non-dropping-particle":"","parse-names":false,"suffix":""},{"dropping-particle":"","family":"Musa","given":"Mutali","non-dropping-particle":"","parse-names":false,"suffix":""},{"dropping-particle":"","family":"Zeppieri","given":"Marco","non-dropping-particle":"","parse-names":false,"suffix":""}],"container-title":"Journal of Personalized Medicine","id":"ITEM-1","issue":"10","issued":{"date-parts":[["2024"]]},"page":"1-16","title":"Artificial Intelligence and Advanced Technology in Glaucoma: A Review","type":"article-journal","volume":"14"},"uris":["http://www.mendeley.com/documents/?uuid=0de598ca-60f6-4de6-ae52-3cbf86c5f895"]}],"mendeley":{"formattedCitation":"[25]","plainTextFormattedCitation":"[25]","previouslyFormattedCitation":"[24]"},"properties":{"noteIndex":0},"schema":"https://github.com/citation-style-language/schema/raw/master/csl-citation.json"}</w:instrText>
      </w:r>
      <w:r w:rsidRPr="00F704AE">
        <w:rPr>
          <w:rFonts w:ascii="Times New Roman" w:eastAsia="Times New Roman" w:hAnsi="Times New Roman" w:cs="Times New Roman"/>
          <w:color w:val="000000"/>
          <w:sz w:val="24"/>
          <w:szCs w:val="24"/>
          <w:lang w:eastAsia="en-GB"/>
        </w:rPr>
        <w:fldChar w:fldCharType="separate"/>
      </w:r>
      <w:r w:rsidR="002C056A" w:rsidRPr="00F704AE">
        <w:rPr>
          <w:rFonts w:ascii="Times New Roman" w:eastAsia="Times New Roman" w:hAnsi="Times New Roman" w:cs="Times New Roman"/>
          <w:noProof/>
          <w:color w:val="000000"/>
          <w:sz w:val="24"/>
          <w:szCs w:val="24"/>
          <w:lang w:eastAsia="en-GB"/>
        </w:rPr>
        <w:t>[25]</w:t>
      </w:r>
      <w:r w:rsidRPr="00F704AE">
        <w:rPr>
          <w:rFonts w:ascii="Times New Roman" w:eastAsia="Times New Roman" w:hAnsi="Times New Roman" w:cs="Times New Roman"/>
          <w:color w:val="000000"/>
          <w:sz w:val="24"/>
          <w:szCs w:val="24"/>
          <w:lang w:eastAsia="en-GB"/>
        </w:rPr>
        <w:fldChar w:fldCharType="end"/>
      </w:r>
      <w:r w:rsidRPr="00F704AE">
        <w:rPr>
          <w:rFonts w:ascii="Times New Roman" w:eastAsia="Times New Roman" w:hAnsi="Times New Roman" w:cs="Times New Roman"/>
          <w:color w:val="000000"/>
          <w:sz w:val="24"/>
          <w:szCs w:val="24"/>
          <w:lang w:eastAsia="en-GB"/>
        </w:rPr>
        <w:t>, suggesting an evolving landscape of AI and medical imaging in glaucoma detection.</w:t>
      </w:r>
    </w:p>
    <w:p w14:paraId="4619E2CF" w14:textId="77777777"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p>
    <w:p w14:paraId="2BF6FE85" w14:textId="41844111" w:rsidR="001C7D5A" w:rsidRPr="006420E5" w:rsidRDefault="006420E5" w:rsidP="006420E5">
      <w:pPr>
        <w:keepNext/>
        <w:suppressAutoHyphens/>
        <w:adjustRightInd w:val="0"/>
        <w:snapToGrid w:val="0"/>
        <w:spacing w:before="240" w:after="240" w:line="240" w:lineRule="auto"/>
        <w:jc w:val="both"/>
        <w:outlineLvl w:val="0"/>
        <w:rPr>
          <w:rFonts w:ascii="Times New Roman" w:eastAsia="Times New Roman" w:hAnsi="Times New Roman" w:cs="Times New Roman"/>
          <w:b/>
          <w:sz w:val="28"/>
          <w:szCs w:val="28"/>
          <w:lang w:val="en-GB" w:eastAsia="zh-CN"/>
        </w:rPr>
      </w:pPr>
      <w:r w:rsidRPr="006420E5">
        <w:rPr>
          <w:rFonts w:ascii="Times New Roman" w:eastAsia="Times New Roman" w:hAnsi="Times New Roman" w:cs="Times New Roman"/>
          <w:b/>
          <w:sz w:val="28"/>
          <w:szCs w:val="28"/>
          <w:lang w:val="en-GB" w:eastAsia="zh-CN"/>
        </w:rPr>
        <w:t>4.0 RESULT AND DISCUSSION</w:t>
      </w:r>
    </w:p>
    <w:p w14:paraId="08212194"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This section explores and discusses the results of the research trend and pattern of AI for glaucoma detection, the number of publications, and identifies the key journals, top articles, and leading research </w:t>
      </w:r>
      <w:proofErr w:type="spellStart"/>
      <w:r w:rsidRPr="00F704AE">
        <w:rPr>
          <w:rFonts w:ascii="Times New Roman" w:eastAsia="Times New Roman" w:hAnsi="Times New Roman" w:cs="Times New Roman"/>
          <w:sz w:val="24"/>
          <w:szCs w:val="24"/>
          <w:lang w:val="en-GB" w:eastAsia="zh-CN"/>
        </w:rPr>
        <w:t>centers</w:t>
      </w:r>
      <w:proofErr w:type="spellEnd"/>
      <w:r w:rsidRPr="00F704AE">
        <w:rPr>
          <w:rFonts w:ascii="Times New Roman" w:eastAsia="Times New Roman" w:hAnsi="Times New Roman" w:cs="Times New Roman"/>
          <w:sz w:val="24"/>
          <w:szCs w:val="24"/>
          <w:lang w:val="en-GB" w:eastAsia="zh-CN"/>
        </w:rPr>
        <w:t>.</w:t>
      </w:r>
    </w:p>
    <w:p w14:paraId="7A11EA74"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p>
    <w:p w14:paraId="1C073DCF" w14:textId="2F4DF5DD" w:rsidR="009B2D34" w:rsidRPr="006420E5" w:rsidRDefault="009B2D34" w:rsidP="006420E5">
      <w:pPr>
        <w:spacing w:before="240" w:after="240" w:line="240" w:lineRule="auto"/>
        <w:jc w:val="both"/>
        <w:rPr>
          <w:rFonts w:ascii="Times New Roman" w:eastAsia="Times New Roman" w:hAnsi="Times New Roman" w:cs="Times New Roman"/>
          <w:b/>
          <w:bCs/>
          <w:sz w:val="24"/>
          <w:szCs w:val="24"/>
          <w:lang w:val="en-GB" w:eastAsia="zh-CN"/>
        </w:rPr>
      </w:pPr>
      <w:r w:rsidRPr="00F704AE">
        <w:rPr>
          <w:rFonts w:ascii="Times New Roman" w:eastAsia="Times New Roman" w:hAnsi="Times New Roman" w:cs="Times New Roman"/>
          <w:b/>
          <w:bCs/>
          <w:sz w:val="24"/>
          <w:szCs w:val="24"/>
          <w:lang w:val="en-GB" w:eastAsia="zh-CN"/>
        </w:rPr>
        <w:t>4.1 Annual Scientific Production Trend</w:t>
      </w:r>
    </w:p>
    <w:p w14:paraId="5CDAF3BB" w14:textId="3301E93D"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t>Publications on the research trend of glaucoma detection over medical imaging and AI have steadily increased since 201</w:t>
      </w:r>
      <w:r w:rsidR="00DB3889" w:rsidRPr="00F704AE">
        <w:rPr>
          <w:rFonts w:ascii="Times New Roman" w:eastAsia="Times New Roman" w:hAnsi="Times New Roman" w:cs="Times New Roman"/>
          <w:color w:val="000000"/>
          <w:sz w:val="24"/>
          <w:szCs w:val="24"/>
          <w:lang w:eastAsia="en-GB"/>
        </w:rPr>
        <w:t>6</w:t>
      </w:r>
      <w:r w:rsidRPr="00F704AE">
        <w:rPr>
          <w:rFonts w:ascii="Times New Roman" w:eastAsia="Times New Roman" w:hAnsi="Times New Roman" w:cs="Times New Roman"/>
          <w:color w:val="000000"/>
          <w:sz w:val="24"/>
          <w:szCs w:val="24"/>
          <w:lang w:eastAsia="en-GB"/>
        </w:rPr>
        <w:t xml:space="preserve">, as shown in Figure 4. </w:t>
      </w:r>
      <w:r w:rsidR="00D95833" w:rsidRPr="00F704AE">
        <w:rPr>
          <w:rFonts w:ascii="Times New Roman" w:eastAsia="Times New Roman" w:hAnsi="Times New Roman" w:cs="Times New Roman"/>
          <w:color w:val="000000"/>
          <w:sz w:val="24"/>
          <w:szCs w:val="24"/>
          <w:lang w:eastAsia="en-GB"/>
        </w:rPr>
        <w:t>Scientific production in AI approaches for medical imaging in glaucoma detection shows dramatic growth from 2016 (3 publications) to 2024 (579 publications), representing a staggering 19,200% overall increase. Year-over-year percentage growth highlights two distinct phases: explosive early expansion from 2016–2019 (867% in 2017, 96% in 2018, 214% in 2019), aligning with deep learning breakthroughs in ophthalmology, followed by sustained but moderating growth post-2020 (40% in 2020, 36% in 2021, 27% in 2022, 19% in 2023, 26% in 2024). This trajectory</w:t>
      </w:r>
      <w:r w:rsidR="0031267D" w:rsidRPr="00F704AE">
        <w:rPr>
          <w:rFonts w:ascii="Times New Roman" w:eastAsia="Times New Roman" w:hAnsi="Times New Roman" w:cs="Times New Roman"/>
          <w:color w:val="000000"/>
          <w:sz w:val="24"/>
          <w:szCs w:val="24"/>
          <w:lang w:eastAsia="en-GB"/>
        </w:rPr>
        <w:t xml:space="preserve">, </w:t>
      </w:r>
      <w:r w:rsidR="00D95833" w:rsidRPr="00F704AE">
        <w:rPr>
          <w:rFonts w:ascii="Times New Roman" w:eastAsia="Times New Roman" w:hAnsi="Times New Roman" w:cs="Times New Roman"/>
          <w:color w:val="000000"/>
          <w:sz w:val="24"/>
          <w:szCs w:val="24"/>
          <w:lang w:eastAsia="en-GB"/>
        </w:rPr>
        <w:t>from 3 to 160 papers by 2019 (5,233% cumulative)</w:t>
      </w:r>
      <w:r w:rsidR="0031267D" w:rsidRPr="00F704AE">
        <w:rPr>
          <w:rFonts w:ascii="Times New Roman" w:eastAsia="Times New Roman" w:hAnsi="Times New Roman" w:cs="Times New Roman"/>
          <w:color w:val="000000"/>
          <w:sz w:val="24"/>
          <w:szCs w:val="24"/>
          <w:lang w:eastAsia="en-GB"/>
        </w:rPr>
        <w:t xml:space="preserve">, </w:t>
      </w:r>
      <w:r w:rsidR="00D95833" w:rsidRPr="00F704AE">
        <w:rPr>
          <w:rFonts w:ascii="Times New Roman" w:eastAsia="Times New Roman" w:hAnsi="Times New Roman" w:cs="Times New Roman"/>
          <w:color w:val="000000"/>
          <w:sz w:val="24"/>
          <w:szCs w:val="24"/>
          <w:lang w:eastAsia="en-GB"/>
        </w:rPr>
        <w:t xml:space="preserve">reflects initial innovation surges, while the later stabilization to 579 papers indicates field maturation focused on validation and application, mirroring broader AI-medical imaging trends. </w:t>
      </w:r>
      <w:r w:rsidR="00530904" w:rsidRPr="00F704AE">
        <w:rPr>
          <w:rFonts w:ascii="Times New Roman" w:eastAsia="Times New Roman" w:hAnsi="Times New Roman" w:cs="Times New Roman"/>
          <w:color w:val="000000"/>
          <w:sz w:val="24"/>
          <w:szCs w:val="24"/>
          <w:lang w:eastAsia="en-GB"/>
        </w:rPr>
        <w:t>The pattern underscores AI's transformative potential in glaucoma diagnostics amid rising global prevalence.</w:t>
      </w:r>
    </w:p>
    <w:p w14:paraId="56C53C5A" w14:textId="77777777"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p>
    <w:p w14:paraId="67A9265B" w14:textId="77777777" w:rsidR="009B2D34" w:rsidRPr="00F704AE" w:rsidRDefault="009B2D34" w:rsidP="000931A3">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noProof/>
          <w:color w:val="000000"/>
          <w:sz w:val="24"/>
          <w:szCs w:val="24"/>
          <w:lang w:eastAsia="en-GB"/>
        </w:rPr>
        <w:drawing>
          <wp:inline distT="0" distB="0" distL="0" distR="0" wp14:anchorId="544E9A16" wp14:editId="667A1B93">
            <wp:extent cx="4688676" cy="3041964"/>
            <wp:effectExtent l="0" t="0" r="0" b="6350"/>
            <wp:docPr id="1217940968" name="Picture 3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40968" name="Picture 33" descr="A graph with a line going up&#10;&#10;AI-generated content may be incorrect."/>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0752" cy="3056286"/>
                    </a:xfrm>
                    <a:prstGeom prst="rect">
                      <a:avLst/>
                    </a:prstGeom>
                    <a:noFill/>
                    <a:ln>
                      <a:noFill/>
                    </a:ln>
                  </pic:spPr>
                </pic:pic>
              </a:graphicData>
            </a:graphic>
          </wp:inline>
        </w:drawing>
      </w:r>
    </w:p>
    <w:p w14:paraId="5F314CD8" w14:textId="3083223A" w:rsidR="009B2D34" w:rsidRPr="00F704AE" w:rsidRDefault="009B2D34" w:rsidP="000931A3">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t>Figure 4: Graph of annual scientific production trend</w:t>
      </w:r>
      <w:r w:rsidR="003778B0" w:rsidRPr="00F704AE">
        <w:rPr>
          <w:rFonts w:ascii="Times New Roman" w:eastAsia="Times New Roman" w:hAnsi="Times New Roman" w:cs="Times New Roman"/>
          <w:color w:val="000000"/>
          <w:sz w:val="24"/>
          <w:szCs w:val="24"/>
          <w:lang w:eastAsia="en-GB"/>
        </w:rPr>
        <w:t xml:space="preserve"> </w:t>
      </w:r>
      <w:r w:rsidR="003778B0" w:rsidRPr="00F704AE">
        <w:rPr>
          <w:rFonts w:ascii="Times New Roman" w:eastAsia="Times New Roman" w:hAnsi="Times New Roman" w:cs="Times New Roman"/>
          <w:sz w:val="24"/>
          <w:szCs w:val="24"/>
          <w:lang w:val="en-GB" w:eastAsia="zh-CN"/>
        </w:rPr>
        <w:t>of AI approach in medical imaging for glaucoma detection from 2016 to 2024</w:t>
      </w:r>
    </w:p>
    <w:p w14:paraId="38CAE991" w14:textId="77777777" w:rsidR="009B2D34" w:rsidRPr="00F704AE" w:rsidRDefault="009B2D34" w:rsidP="000931A3">
      <w:pPr>
        <w:spacing w:before="240" w:after="240" w:line="240" w:lineRule="auto"/>
        <w:jc w:val="both"/>
        <w:rPr>
          <w:rFonts w:ascii="Times New Roman" w:eastAsia="Times New Roman" w:hAnsi="Times New Roman" w:cs="Times New Roman"/>
          <w:color w:val="000000"/>
          <w:sz w:val="24"/>
          <w:szCs w:val="24"/>
          <w:lang w:eastAsia="en-GB"/>
        </w:rPr>
      </w:pPr>
    </w:p>
    <w:p w14:paraId="55503AE7" w14:textId="7C340B22" w:rsidR="009B2D34" w:rsidRPr="0067430D" w:rsidRDefault="009B2D34" w:rsidP="000931A3">
      <w:pPr>
        <w:spacing w:before="240" w:after="240" w:line="240" w:lineRule="auto"/>
        <w:jc w:val="both"/>
        <w:rPr>
          <w:rFonts w:ascii="Times New Roman" w:eastAsia="Times New Roman" w:hAnsi="Times New Roman" w:cs="Times New Roman"/>
          <w:b/>
          <w:bCs/>
          <w:sz w:val="24"/>
          <w:szCs w:val="24"/>
          <w:lang w:val="en-GB" w:eastAsia="zh-CN"/>
        </w:rPr>
      </w:pPr>
      <w:r w:rsidRPr="00F704AE">
        <w:rPr>
          <w:rFonts w:ascii="Times New Roman" w:eastAsia="Times New Roman" w:hAnsi="Times New Roman" w:cs="Times New Roman"/>
          <w:b/>
          <w:bCs/>
          <w:sz w:val="24"/>
          <w:szCs w:val="24"/>
          <w:lang w:val="en-GB" w:eastAsia="zh-CN"/>
        </w:rPr>
        <w:t>4.2 Most relevant sources of literature</w:t>
      </w:r>
    </w:p>
    <w:p w14:paraId="02F03404" w14:textId="2643FD1D" w:rsidR="009B2D34"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The two graphs in Figures 5 and 6 present conflicting opinions regarding the relative significance of various academic sources in the field of study. While Figure 5, "Source Local Impact," evaluates sources according to their H-index, a measure of both productivity and impact, Figure 6, "Most Relevant Sources," ranks sources based on the quantity or sheer number of published documents. </w:t>
      </w:r>
    </w:p>
    <w:p w14:paraId="14B0373D" w14:textId="77777777" w:rsidR="0067430D" w:rsidRPr="00F704AE" w:rsidRDefault="0067430D" w:rsidP="000931A3">
      <w:pPr>
        <w:spacing w:before="240" w:after="240" w:line="240" w:lineRule="auto"/>
        <w:jc w:val="both"/>
        <w:rPr>
          <w:rFonts w:ascii="Times New Roman" w:eastAsia="Times New Roman" w:hAnsi="Times New Roman" w:cs="Times New Roman"/>
          <w:sz w:val="24"/>
          <w:szCs w:val="24"/>
          <w:lang w:val="en-GB" w:eastAsia="zh-CN"/>
        </w:rPr>
      </w:pPr>
    </w:p>
    <w:p w14:paraId="595B425B" w14:textId="081B0131"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noProof/>
          <w:sz w:val="24"/>
          <w:szCs w:val="24"/>
          <w:lang w:eastAsia="en-GB"/>
        </w:rPr>
        <w:drawing>
          <wp:inline distT="0" distB="0" distL="0" distR="0" wp14:anchorId="7580D195" wp14:editId="69F532A5">
            <wp:extent cx="5740400" cy="2855742"/>
            <wp:effectExtent l="0" t="0" r="0" b="1905"/>
            <wp:docPr id="850014953" name="Picture 1" descr="A graph with blue dots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14953" name="Picture 1" descr="A graph with blue dots and black lines&#10;&#10;AI-generated content may be incorrect."/>
                    <pic:cNvPicPr/>
                  </pic:nvPicPr>
                  <pic:blipFill rotWithShape="1">
                    <a:blip r:embed="rId13"/>
                    <a:srcRect r="2404"/>
                    <a:stretch/>
                  </pic:blipFill>
                  <pic:spPr bwMode="auto">
                    <a:xfrm>
                      <a:off x="0" y="0"/>
                      <a:ext cx="5745536" cy="2858297"/>
                    </a:xfrm>
                    <a:prstGeom prst="rect">
                      <a:avLst/>
                    </a:prstGeom>
                    <a:ln>
                      <a:noFill/>
                    </a:ln>
                    <a:extLst>
                      <a:ext uri="{53640926-AAD7-44D8-BBD7-CCE9431645EC}">
                        <a14:shadowObscured xmlns:a14="http://schemas.microsoft.com/office/drawing/2010/main"/>
                      </a:ext>
                    </a:extLst>
                  </pic:spPr>
                </pic:pic>
              </a:graphicData>
            </a:graphic>
          </wp:inline>
        </w:drawing>
      </w:r>
    </w:p>
    <w:p w14:paraId="1D0D7361" w14:textId="77777777" w:rsidR="009B2D34" w:rsidRPr="00F704AE" w:rsidRDefault="009B2D34" w:rsidP="000931A3">
      <w:pPr>
        <w:spacing w:before="240" w:after="240" w:line="240" w:lineRule="auto"/>
        <w:jc w:val="center"/>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Figure 5: Source local impact (H Index)</w:t>
      </w:r>
    </w:p>
    <w:p w14:paraId="28100D4E"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p>
    <w:p w14:paraId="0ADB449A"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noProof/>
          <w:sz w:val="24"/>
          <w:szCs w:val="24"/>
          <w:lang w:eastAsia="en-GB"/>
        </w:rPr>
        <w:drawing>
          <wp:inline distT="0" distB="0" distL="0" distR="0" wp14:anchorId="7EA4C4F8" wp14:editId="122566EA">
            <wp:extent cx="5746305" cy="3096285"/>
            <wp:effectExtent l="0" t="0" r="6985" b="8890"/>
            <wp:docPr id="1993227699" name="Picture 1" descr="A graph with blue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27699" name="Picture 1" descr="A graph with blue circles and black text&#10;&#10;AI-generated content may be incorrect."/>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3082" r="4066"/>
                    <a:stretch/>
                  </pic:blipFill>
                  <pic:spPr bwMode="auto">
                    <a:xfrm>
                      <a:off x="0" y="0"/>
                      <a:ext cx="5762720" cy="3105130"/>
                    </a:xfrm>
                    <a:prstGeom prst="rect">
                      <a:avLst/>
                    </a:prstGeom>
                    <a:ln>
                      <a:noFill/>
                    </a:ln>
                    <a:extLst>
                      <a:ext uri="{53640926-AAD7-44D8-BBD7-CCE9431645EC}">
                        <a14:shadowObscured xmlns:a14="http://schemas.microsoft.com/office/drawing/2010/main"/>
                      </a:ext>
                    </a:extLst>
                  </pic:spPr>
                </pic:pic>
              </a:graphicData>
            </a:graphic>
          </wp:inline>
        </w:drawing>
      </w:r>
    </w:p>
    <w:p w14:paraId="18E38491" w14:textId="77777777" w:rsidR="009B2D34" w:rsidRPr="00F704AE" w:rsidRDefault="009B2D34" w:rsidP="000931A3">
      <w:pPr>
        <w:spacing w:before="240" w:after="240" w:line="240" w:lineRule="auto"/>
        <w:jc w:val="center"/>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Figure 6: Most Documented (Published) Sources</w:t>
      </w:r>
    </w:p>
    <w:p w14:paraId="11B1A756"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p>
    <w:p w14:paraId="64DE08C2" w14:textId="45320841"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lastRenderedPageBreak/>
        <w:t xml:space="preserve">With the highest H-index (35), IEEE Access is clearly the most influential in terms of citation impact in the graph shown in Figure 5. IEEE Transactions on Medical Imaging (H-index 28) and Medical Image Analysis (H-index 23), which focus on AI-driven diagnostic techniques and medical imaging technologies, are not far behind. The prevalence of IEEE-affiliated journals is reflected in this trend, which supports the notion that advances in AI-based glaucoma detection rely heavily on computational and engineering-driven methods. While they make significant contributions, lower-ranked journals like Computer Methods and Programs in Biomedicine (H-index 17) do not have the same impact on citations. </w:t>
      </w:r>
    </w:p>
    <w:p w14:paraId="3502D477"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When journals are ranked by publication volume, however, the graph in Figure 6 shows a different picture. With 105 published studies, Multimedia Tools and Applications is in first place, followed by IEEE Access (98) and Biomedical Signal Processing and Control (88). A crucial realisation by the difference between this publication ranking and the H-index ranking is that journals with a large publication volume do not always have the greatest impact. Multimedia Tools and Applications, for instance, does not rank in the top three in the impact ranking despite having the most publications. In contrast, IEEE Transactions on Medical Imaging, which has a high H-index ranking, has 57 publications, suggesting that the distinction between productivity and impact is crucial for researchers determining where to publish or source credible studies. </w:t>
      </w:r>
    </w:p>
    <w:p w14:paraId="65C8E140"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p>
    <w:p w14:paraId="62F1EA90" w14:textId="68D92575" w:rsidR="009B2D34" w:rsidRPr="0067430D" w:rsidRDefault="009B2D34" w:rsidP="000931A3">
      <w:pPr>
        <w:spacing w:before="240" w:after="240" w:line="240" w:lineRule="auto"/>
        <w:jc w:val="both"/>
        <w:rPr>
          <w:rFonts w:ascii="Times New Roman" w:eastAsia="Times New Roman" w:hAnsi="Times New Roman" w:cs="Times New Roman"/>
          <w:b/>
          <w:bCs/>
          <w:sz w:val="24"/>
          <w:szCs w:val="24"/>
          <w:lang w:val="en-GB" w:eastAsia="zh-CN"/>
        </w:rPr>
      </w:pPr>
      <w:r w:rsidRPr="00F704AE">
        <w:rPr>
          <w:rFonts w:ascii="Times New Roman" w:eastAsia="Times New Roman" w:hAnsi="Times New Roman" w:cs="Times New Roman"/>
          <w:b/>
          <w:bCs/>
          <w:sz w:val="24"/>
          <w:szCs w:val="24"/>
          <w:lang w:val="en-GB" w:eastAsia="zh-CN"/>
        </w:rPr>
        <w:t xml:space="preserve">4.3 Most Globally Cited Documents </w:t>
      </w:r>
    </w:p>
    <w:p w14:paraId="4A4FF0F9" w14:textId="757A253F"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This section presents an overview of the most important studies that have influenced current research as top </w:t>
      </w:r>
      <w:r w:rsidR="0094111B" w:rsidRPr="00F704AE">
        <w:rPr>
          <w:rFonts w:ascii="Times New Roman" w:eastAsia="Times New Roman" w:hAnsi="Times New Roman" w:cs="Times New Roman"/>
          <w:sz w:val="24"/>
          <w:szCs w:val="24"/>
          <w:lang w:val="en-GB" w:eastAsia="zh-CN"/>
        </w:rPr>
        <w:t>eight</w:t>
      </w:r>
      <w:r w:rsidRPr="00F704AE">
        <w:rPr>
          <w:rFonts w:ascii="Times New Roman" w:eastAsia="Times New Roman" w:hAnsi="Times New Roman" w:cs="Times New Roman"/>
          <w:sz w:val="24"/>
          <w:szCs w:val="24"/>
          <w:lang w:val="en-GB" w:eastAsia="zh-CN"/>
        </w:rPr>
        <w:t xml:space="preserve"> globally cited papers relating to medical imaging and AI are visualised in </w:t>
      </w:r>
      <w:r w:rsidR="004321FA" w:rsidRPr="00F704AE">
        <w:rPr>
          <w:rFonts w:ascii="Times New Roman" w:eastAsia="Times New Roman" w:hAnsi="Times New Roman" w:cs="Times New Roman"/>
          <w:sz w:val="24"/>
          <w:szCs w:val="24"/>
          <w:lang w:val="en-GB" w:eastAsia="zh-CN"/>
        </w:rPr>
        <w:t>Table 1</w:t>
      </w:r>
      <w:r w:rsidRPr="00F704AE">
        <w:rPr>
          <w:rFonts w:ascii="Times New Roman" w:eastAsia="Times New Roman" w:hAnsi="Times New Roman" w:cs="Times New Roman"/>
          <w:sz w:val="24"/>
          <w:szCs w:val="24"/>
          <w:lang w:val="en-GB" w:eastAsia="zh-CN"/>
        </w:rPr>
        <w:t xml:space="preserve">. The most cited paper, Gu et al.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{"citationItems":[{"id":"ITEM-1","itemData":{"DOI":"10.1109/TMI.2019.2903562","ISSN":"1558254X","PMID":"30843824","abstract":"Medical image segmentation is an important step in medical image analysis. With the rapid development of a convolutional neural network in image processing, deep learning has been used for medical image segmentation, such as optic disc segmentation, blood vessel detection, lung segmentation, cell segmentation, and so on. Previously, U-net based approaches have been proposed. However, the consecutive pooling and strided convolutional operations led to the loss of some spatial information. In this paper, we propose a context encoder network (CE-Net) to capture more high-level information and preserve spatial information for 2D medical image segmentation. CE-Net mainly contains three major components: A feature encoder module, a context extractor, and a feature decoder module. We use the pretrained ResNet block as the fixed feature extractor. The context extractor module is formed by a newly proposed dense atrous convolution block and a residual multi-kernel pooling block. We applied the proposed CE-Net to different 2D medical image segmentation tasks. Comprehensive results show that the proposed method outperforms the original U-Net method and other state-of-the-art methods for optic disc segmentation, vessel detection, lung segmentation, cell contour segmentation, and retinal optical coherence tomography layer segmentation.","author":[{"dropping-particle":"","family":"Gu","given":"Zaiwang","non-dropping-particle":"","parse-names":false,"suffix":""},{"dropping-particle":"","family":"Cheng","given":"Jun","non-dropping-particle":"","parse-names":false,"suffix":""},{"dropping-particle":"","family":"Fu","given":"Huazhu","non-dropping-particle":"","parse-names":false,"suffix":""},{"dropping-particle":"","family":"Zhou","given":"Kang","non-dropping-particle":"","parse-names":false,"suffix":""},{"dropping-particle":"","family":"Hao","given":"Huaying","non-dropping-particle":"","parse-names":false,"suffix":""},{"dropping-particle":"","family":"Zhao","given":"Yitian","non-dropping-particle":"","parse-names":false,"suffix":""},{"dropping-particle":"","family":"Zhang","given":"Tianyang","non-dropping-particle":"","parse-names":false,"suffix":""},{"dropping-particle":"","family":"Gao","given":"Shenghua","non-dropping-particle":"","parse-names":false,"suffix":""},{"dropping-particle":"","family":"Liu","given":"Jiang","non-dropping-particle":"","parse-names":false,"suffix":""}],"container-title":"IEEE Transactions on Medical Imaging","id":"ITEM-1","issue":"10","issued":{"date-parts":[["2019"]]},"page":"2281-2292","publisher":"IEEE","title":"CE-Net: Context Encoder Network for 2D Medical Image Segmentation","type":"article-journal","volume":"38"},"uris":["http://www.mendeley.com/documents/?uuid=c0ec959f-7b49-4fda-85c9-ff780c8257af"]}],"mendeley":{"formattedCitation":"[26]","plainTextFormattedCitation":"[26]","previouslyFormattedCitation":"[25]"},"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[26]</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 xml:space="preserve">, published in IEEE Transactions on Medical Imaging with 1737 overall citations demonstrated its significant contribution. The CE-Net architecture was presented in this paper and has since been widely used for medical segmentation tasks in the detection of glaucoma. The research’s sample results of lung segmentation, eye vessel detection, and cell contour segmentation are shown in Figure </w:t>
      </w:r>
      <w:r w:rsidR="001244A7" w:rsidRPr="00F704AE">
        <w:rPr>
          <w:rFonts w:ascii="Times New Roman" w:eastAsia="Times New Roman" w:hAnsi="Times New Roman" w:cs="Times New Roman"/>
          <w:sz w:val="24"/>
          <w:szCs w:val="24"/>
          <w:lang w:val="en-GB" w:eastAsia="zh-CN"/>
        </w:rPr>
        <w:t>7</w:t>
      </w:r>
      <w:r w:rsidRPr="00F704AE">
        <w:rPr>
          <w:rFonts w:ascii="Times New Roman" w:eastAsia="Times New Roman" w:hAnsi="Times New Roman" w:cs="Times New Roman"/>
          <w:sz w:val="24"/>
          <w:szCs w:val="24"/>
          <w:lang w:val="en-GB" w:eastAsia="zh-CN"/>
        </w:rPr>
        <w:t>. The researchers developed CE-Net, a network architecture aimed at making 2D medical image segmentation more precise and reliable. It builds on the U-Net framework but replaces its encoder with a ResNet-34 backbone to capture richer features. CE-Net was tested on a range of medical imaging tasks, such as identifying optic discs and retinal vessels, outlining lung regions in CT scans, mapping layers in OCT images, and detecting cell boundaries, and consistently produced sharper, more accurate results than existing approaches. The findings show that the gains come from the combined effect of the enhanced encoder and the new context-aware modules, making CE-Net adaptable to different medical imaging challenges.</w:t>
      </w:r>
    </w:p>
    <w:p w14:paraId="235E75AA" w14:textId="5FE42FEF" w:rsidR="00B47A6A" w:rsidRPr="00F704AE" w:rsidRDefault="006F3DE0" w:rsidP="0067430D">
      <w:pPr>
        <w:spacing w:before="240" w:after="240" w:line="240" w:lineRule="auto"/>
        <w:jc w:val="center"/>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Table 1: Top 8 most cited references </w:t>
      </w:r>
      <w:r w:rsidR="00F81B9F" w:rsidRPr="00F704AE">
        <w:rPr>
          <w:rFonts w:ascii="Times New Roman" w:eastAsia="Times New Roman" w:hAnsi="Times New Roman" w:cs="Times New Roman"/>
          <w:sz w:val="24"/>
          <w:szCs w:val="24"/>
          <w:lang w:val="en-GB" w:eastAsia="zh-CN"/>
        </w:rPr>
        <w:t xml:space="preserve">of AI approach in medical </w:t>
      </w:r>
      <w:r w:rsidR="000924F8" w:rsidRPr="00F704AE">
        <w:rPr>
          <w:rFonts w:ascii="Times New Roman" w:eastAsia="Times New Roman" w:hAnsi="Times New Roman" w:cs="Times New Roman"/>
          <w:sz w:val="24"/>
          <w:szCs w:val="24"/>
          <w:lang w:val="en-GB" w:eastAsia="zh-CN"/>
        </w:rPr>
        <w:t>i</w:t>
      </w:r>
      <w:r w:rsidR="00F81B9F" w:rsidRPr="00F704AE">
        <w:rPr>
          <w:rFonts w:ascii="Times New Roman" w:eastAsia="Times New Roman" w:hAnsi="Times New Roman" w:cs="Times New Roman"/>
          <w:sz w:val="24"/>
          <w:szCs w:val="24"/>
          <w:lang w:val="en-GB" w:eastAsia="zh-CN"/>
        </w:rPr>
        <w:t xml:space="preserve">maging for </w:t>
      </w:r>
      <w:r w:rsidR="009B4F72" w:rsidRPr="00F704AE">
        <w:rPr>
          <w:rFonts w:ascii="Times New Roman" w:eastAsia="Times New Roman" w:hAnsi="Times New Roman" w:cs="Times New Roman"/>
          <w:sz w:val="24"/>
          <w:szCs w:val="24"/>
          <w:lang w:val="en-GB" w:eastAsia="zh-CN"/>
        </w:rPr>
        <w:t>g</w:t>
      </w:r>
      <w:r w:rsidR="00F81B9F" w:rsidRPr="00F704AE">
        <w:rPr>
          <w:rFonts w:ascii="Times New Roman" w:eastAsia="Times New Roman" w:hAnsi="Times New Roman" w:cs="Times New Roman"/>
          <w:sz w:val="24"/>
          <w:szCs w:val="24"/>
          <w:lang w:val="en-GB" w:eastAsia="zh-CN"/>
        </w:rPr>
        <w:t>laucoma detection from 2016 to 2024</w:t>
      </w:r>
    </w:p>
    <w:p w14:paraId="377F1699" w14:textId="330B8BF8" w:rsidR="0006394C" w:rsidRPr="00F704AE" w:rsidRDefault="00B47A6A" w:rsidP="0067430D">
      <w:pPr>
        <w:spacing w:before="240" w:after="240" w:line="240" w:lineRule="auto"/>
        <w:jc w:val="center"/>
        <w:rPr>
          <w:rFonts w:ascii="Times New Roman" w:eastAsia="Times New Roman" w:hAnsi="Times New Roman" w:cs="Times New Roman"/>
          <w:sz w:val="24"/>
          <w:szCs w:val="24"/>
          <w:lang w:val="en-GB" w:eastAsia="zh-CN"/>
        </w:rPr>
      </w:pPr>
      <w:r w:rsidRPr="00F704AE">
        <w:rPr>
          <w:rFonts w:ascii="Times New Roman" w:hAnsi="Times New Roman" w:cs="Times New Roman"/>
          <w:noProof/>
          <w:sz w:val="24"/>
          <w:szCs w:val="24"/>
        </w:rPr>
        <w:drawing>
          <wp:inline distT="0" distB="0" distL="0" distR="0" wp14:anchorId="484C33E6" wp14:editId="2BDC3FD4">
            <wp:extent cx="5732145" cy="2701290"/>
            <wp:effectExtent l="0" t="0" r="1905" b="3810"/>
            <wp:docPr id="17377806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2701290"/>
                    </a:xfrm>
                    <a:prstGeom prst="rect">
                      <a:avLst/>
                    </a:prstGeom>
                    <a:noFill/>
                    <a:ln>
                      <a:noFill/>
                    </a:ln>
                  </pic:spPr>
                </pic:pic>
              </a:graphicData>
            </a:graphic>
          </wp:inline>
        </w:drawing>
      </w:r>
    </w:p>
    <w:p w14:paraId="201B8E71" w14:textId="73121CBA" w:rsidR="009B2D34" w:rsidRPr="00F704AE" w:rsidRDefault="009B2D34" w:rsidP="000931A3">
      <w:pPr>
        <w:spacing w:before="240" w:after="240" w:line="240" w:lineRule="auto"/>
        <w:jc w:val="center"/>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noProof/>
          <w:sz w:val="24"/>
          <w:szCs w:val="24"/>
          <w:lang w:eastAsia="en-GB"/>
        </w:rPr>
        <w:lastRenderedPageBreak/>
        <w:drawing>
          <wp:inline distT="0" distB="0" distL="0" distR="0" wp14:anchorId="030C4E30" wp14:editId="30E3D0DC">
            <wp:extent cx="4024430" cy="2635250"/>
            <wp:effectExtent l="0" t="0" r="0" b="0"/>
            <wp:docPr id="141924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49492" name=""/>
                    <pic:cNvPicPr/>
                  </pic:nvPicPr>
                  <pic:blipFill>
                    <a:blip r:embed="rId17"/>
                    <a:stretch>
                      <a:fillRect/>
                    </a:stretch>
                  </pic:blipFill>
                  <pic:spPr>
                    <a:xfrm>
                      <a:off x="0" y="0"/>
                      <a:ext cx="4060748" cy="2659031"/>
                    </a:xfrm>
                    <a:prstGeom prst="rect">
                      <a:avLst/>
                    </a:prstGeom>
                  </pic:spPr>
                </pic:pic>
              </a:graphicData>
            </a:graphic>
          </wp:inline>
        </w:drawing>
      </w:r>
    </w:p>
    <w:p w14:paraId="5C344F74" w14:textId="09F3F338" w:rsidR="009B2D34" w:rsidRPr="00F704AE" w:rsidRDefault="009B2D34" w:rsidP="000931A3">
      <w:pPr>
        <w:spacing w:before="240" w:after="240" w:line="240" w:lineRule="auto"/>
        <w:jc w:val="center"/>
        <w:rPr>
          <w:rFonts w:ascii="Times New Roman" w:eastAsia="Times New Roman" w:hAnsi="Times New Roman" w:cs="Times New Roman"/>
          <w:sz w:val="24"/>
          <w:szCs w:val="24"/>
          <w:lang w:eastAsia="en-GB"/>
        </w:rPr>
      </w:pPr>
      <w:r w:rsidRPr="00F704AE">
        <w:rPr>
          <w:rFonts w:ascii="Times New Roman" w:eastAsia="Times New Roman" w:hAnsi="Times New Roman" w:cs="Times New Roman"/>
          <w:sz w:val="24"/>
          <w:szCs w:val="24"/>
          <w:lang w:val="en-GB" w:eastAsia="zh-CN"/>
        </w:rPr>
        <w:t xml:space="preserve">Figure </w:t>
      </w:r>
      <w:r w:rsidR="001C1810" w:rsidRPr="00F704AE">
        <w:rPr>
          <w:rFonts w:ascii="Times New Roman" w:eastAsia="Times New Roman" w:hAnsi="Times New Roman" w:cs="Times New Roman"/>
          <w:sz w:val="24"/>
          <w:szCs w:val="24"/>
          <w:lang w:val="en-GB" w:eastAsia="zh-CN"/>
        </w:rPr>
        <w:t>7</w:t>
      </w:r>
      <w:r w:rsidRPr="00F704AE">
        <w:rPr>
          <w:rFonts w:ascii="Times New Roman" w:eastAsia="Times New Roman" w:hAnsi="Times New Roman" w:cs="Times New Roman"/>
          <w:sz w:val="24"/>
          <w:szCs w:val="24"/>
          <w:lang w:val="en-GB" w:eastAsia="zh-CN"/>
        </w:rPr>
        <w:t xml:space="preserve">: </w:t>
      </w:r>
      <w:bookmarkStart w:id="0" w:name="_Hlk204776113"/>
      <w:r w:rsidRPr="00F704AE">
        <w:rPr>
          <w:rFonts w:ascii="Times New Roman" w:eastAsia="Times New Roman" w:hAnsi="Times New Roman" w:cs="Times New Roman"/>
          <w:sz w:val="24"/>
          <w:szCs w:val="24"/>
          <w:lang w:eastAsia="en-GB"/>
        </w:rPr>
        <w:t xml:space="preserve">Sample results of lung segmentation, </w:t>
      </w:r>
      <w:r w:rsidR="008D5CD1" w:rsidRPr="00F704AE">
        <w:rPr>
          <w:rFonts w:ascii="Times New Roman" w:eastAsia="Times New Roman" w:hAnsi="Times New Roman" w:cs="Times New Roman"/>
          <w:sz w:val="24"/>
          <w:szCs w:val="24"/>
          <w:lang w:eastAsia="en-GB"/>
        </w:rPr>
        <w:t xml:space="preserve">eye </w:t>
      </w:r>
      <w:r w:rsidRPr="00F704AE">
        <w:rPr>
          <w:rFonts w:ascii="Times New Roman" w:eastAsia="Times New Roman" w:hAnsi="Times New Roman" w:cs="Times New Roman"/>
          <w:sz w:val="24"/>
          <w:szCs w:val="24"/>
          <w:lang w:eastAsia="en-GB"/>
        </w:rPr>
        <w:t xml:space="preserve">vessel detection and cell contour segmentation by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{"citationItems":[{"id":"ITEM-1","itemData":{"DOI":"10.1109/TMI.2019.2903562","ISSN":"1558254X","PMID":"30843824","abstract":"Medical image segmentation is an important step in medical image analysis. With the rapid development of a convolutional neural network in image processing, deep learning has been used for medical image segmentation, such as optic disc segmentation, blood vessel detection, lung segmentation, cell segmentation, and so on. Previously, U-net based approaches have been proposed. However, the consecutive pooling and strided convolutional operations led to the loss of some spatial information. In this paper, we propose a context encoder network (CE-Net) to capture more high-level information and preserve spatial information for 2D medical image segmentation. CE-Net mainly contains three major components: A feature encoder module, a context extractor, and a feature decoder module. We use the pretrained ResNet block as the fixed feature extractor. The context extractor module is formed by a newly proposed dense atrous convolution block and a residual multi-kernel pooling block. We applied the proposed CE-Net to different 2D medical image segmentation tasks. Comprehensive results show that the proposed method outperforms the original U-Net method and other state-of-the-art methods for optic disc segmentation, vessel detection, lung segmentation, cell contour segmentation, and retinal optical coherence tomography layer segmentation.","author":[{"dropping-particle":"","family":"Gu","given":"Zaiwang","non-dropping-particle":"","parse-names":false,"suffix":""},{"dropping-particle":"","family":"Cheng","given":"Jun","non-dropping-particle":"","parse-names":false,"suffix":""},{"dropping-particle":"","family":"Fu","given":"Huazhu","non-dropping-particle":"","parse-names":false,"suffix":""},{"dropping-particle":"","family":"Zhou","given":"Kang","non-dropping-particle":"","parse-names":false,"suffix":""},{"dropping-particle":"","family":"Hao","given":"Huaying","non-dropping-particle":"","parse-names":false,"suffix":""},{"dropping-particle":"","family":"Zhao","given":"Yitian","non-dropping-particle":"","parse-names":false,"suffix":""},{"dropping-particle":"","family":"Zhang","given":"Tianyang","non-dropping-particle":"","parse-names":false,"suffix":""},{"dropping-particle":"","family":"Gao","given":"Shenghua","non-dropping-particle":"","parse-names":false,"suffix":""},{"dropping-particle":"","family":"Liu","given":"Jiang","non-dropping-particle":"","parse-names":false,"suffix":""}],"container-title":"IEEE Transactions on Medical Imaging","id":"ITEM-1","issue":"10","issued":{"date-parts":[["2019"]]},"page":"2281-2292","publisher":"IEEE","title":"CE-Net: Context Encoder Network for 2D Medical Image Segmentation","type":"article-journal","volume":"38"},"uris":["http://www.mendeley.com/documents/?uuid=c0ec959f-7b49-4fda-85c9-ff780c8257af"]}],"mendeley":{"formattedCitation":"[26]","plainTextFormattedCitation":"[26]","previouslyFormattedCitation":"[25]"},"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[26]</w:t>
      </w:r>
      <w:r w:rsidRPr="00F704AE">
        <w:rPr>
          <w:rFonts w:ascii="Times New Roman" w:eastAsia="Times New Roman" w:hAnsi="Times New Roman" w:cs="Times New Roman"/>
          <w:sz w:val="24"/>
          <w:szCs w:val="24"/>
          <w:lang w:val="en-GB" w:eastAsia="zh-CN"/>
        </w:rPr>
        <w:fldChar w:fldCharType="end"/>
      </w:r>
      <w:bookmarkEnd w:id="0"/>
      <w:r w:rsidRPr="00F704AE">
        <w:rPr>
          <w:rFonts w:ascii="Times New Roman" w:eastAsia="Times New Roman" w:hAnsi="Times New Roman" w:cs="Times New Roman"/>
          <w:sz w:val="24"/>
          <w:szCs w:val="24"/>
          <w:lang w:eastAsia="en-GB"/>
        </w:rPr>
        <w:t>. From top to bottom: original images, U-Net, Backbone, CE-Net</w:t>
      </w:r>
    </w:p>
    <w:p w14:paraId="5368E662" w14:textId="77777777" w:rsidR="00420AAD" w:rsidRPr="00F704AE" w:rsidRDefault="00420AAD" w:rsidP="000931A3">
      <w:pPr>
        <w:spacing w:before="240" w:after="240" w:line="240" w:lineRule="auto"/>
        <w:jc w:val="center"/>
        <w:rPr>
          <w:rFonts w:ascii="Times New Roman" w:eastAsia="Times New Roman" w:hAnsi="Times New Roman" w:cs="Times New Roman"/>
          <w:sz w:val="24"/>
          <w:szCs w:val="24"/>
          <w:lang w:val="en-GB" w:eastAsia="zh-CN"/>
        </w:rPr>
      </w:pPr>
    </w:p>
    <w:p w14:paraId="525634D3" w14:textId="1A2C86CE"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Following </w:t>
      </w:r>
      <w:r w:rsidR="001244A7" w:rsidRPr="00F704AE">
        <w:rPr>
          <w:rFonts w:ascii="Times New Roman" w:eastAsia="Times New Roman" w:hAnsi="Times New Roman" w:cs="Times New Roman"/>
          <w:sz w:val="24"/>
          <w:szCs w:val="24"/>
          <w:lang w:val="en-GB" w:eastAsia="zh-CN"/>
        </w:rPr>
        <w:t>T</w:t>
      </w:r>
      <w:r w:rsidR="001C1810" w:rsidRPr="00F704AE">
        <w:rPr>
          <w:rFonts w:ascii="Times New Roman" w:eastAsia="Times New Roman" w:hAnsi="Times New Roman" w:cs="Times New Roman"/>
          <w:sz w:val="24"/>
          <w:szCs w:val="24"/>
          <w:lang w:val="en-GB" w:eastAsia="zh-CN"/>
        </w:rPr>
        <w:t>able</w:t>
      </w:r>
      <w:r w:rsidR="001244A7" w:rsidRPr="00F704AE">
        <w:rPr>
          <w:rFonts w:ascii="Times New Roman" w:eastAsia="Times New Roman" w:hAnsi="Times New Roman" w:cs="Times New Roman"/>
          <w:sz w:val="24"/>
          <w:szCs w:val="24"/>
          <w:lang w:val="en-GB" w:eastAsia="zh-CN"/>
        </w:rPr>
        <w:t xml:space="preserve"> 1</w:t>
      </w:r>
      <w:r w:rsidRPr="00F704AE">
        <w:rPr>
          <w:rFonts w:ascii="Times New Roman" w:eastAsia="Times New Roman" w:hAnsi="Times New Roman" w:cs="Times New Roman"/>
          <w:sz w:val="24"/>
          <w:szCs w:val="24"/>
          <w:lang w:val="en-GB" w:eastAsia="zh-CN"/>
        </w:rPr>
        <w:t xml:space="preserve">, Liu et al.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{"citationItems":[{"id":"ITEM-1","itemData":{"DOI":"10.1016/S2589-7500(19)30123-2","ISSN":"25897500","PMID":"33323251","abstract":"Background: Deep learning offers considerable promise for medical diagnostics. We aimed to evaluate the diagnostic accuracy of deep learning algorithms versus health-care professionals in classifying diseases using medical imaging. Methods: In this systematic review and meta-analysis, we searched Ovid-MEDLINE, Embase, Science Citation Index, and Conference Proceedings Citation Index for studies published from Jan 1, 2012, to June 6, 2019. Studies comparing the diagnostic performance of deep learning models and health-care professionals based on medical imaging, for any disease, were included. We excluded studies that used medical waveform data graphics material or investigated the accuracy of image segmentation rather than disease classification. We extracted binary diagnostic accuracy data and constructed contingency tables to derive the outcomes of interest: sensitivity and specificity. Studies undertaking an out-of-sample external validation were included in a meta-analysis, using a unified hierarchical model. This study is registered with PROSPERO, CRD42018091176. Findings: Our search identified 31 587 studies, of which 82 (describing 147 patient cohorts) were included. 69 studies provided enough data to construct contingency tables, enabling calculation of test accuracy, with sensitivity ranging from 9·7% to 100·0% (mean 79·1%, SD 0·2) and specificity ranging from 38·9% to 100·0% (mean 88·3%, SD 0·1). An out-of-sample external validation was done in 25 studies, of which 14 made the comparison between deep learning models and health-care professionals in the same sample. Comparison of the performance between health-care professionals in these 14 studies, when restricting the analysis to the contingency table for each study reporting the highest accuracy, found a pooled sensitivity of 87·0% (95% CI 83·0–90·2) for deep learning models and 86·4% (79·9–91·0) for health-care professionals, and a pooled specificity of 92·5% (95% CI 85·1–96·4) for deep learning models and 90·5% (80·6–95·7) for health-care professionals. Interpretation: Our review found the diagnostic performance of deep learning models to be equivalent to that of health-care professionals. However, a major finding of the review is that few studies presented externally validated results or compared the performance of deep learning models and health-care professionals using the same sample. Additionally, poor reporting is prevalent in deep learning studies, which limits reliable interpretati…","author":[{"dropping-particle":"","family":"Liu","given":"Xiaoxuan","non-dropping-particle":"","parse-names":false,"suffix":""},{"dropping-particle":"","family":"Faes","given":"Livia","non-dropping-particle":"","parse-names":false,"suffix":""},{"dropping-particle":"","family":"Kale","given":"Aditya U.","non-dropping-particle":"","parse-names":false,"suffix":""},{"dropping-particle":"","family":"Wagner","given":"Siegfried K.","non-dropping-particle":"","parse-names":false,"suffix":""},{"dropping-particle":"","family":"Fu","given":"Dun Jack","non-dropping-particle":"","parse-names":false,"suffix":""},{"dropping-particle":"","family":"Bruynseels","given":"Alice","non-dropping-particle":"","parse-names":false,"suffix":""},{"dropping-particle":"","family":"Mahendiran","given":"Thushika","non-dropping-particle":"","parse-names":false,"suffix":""},{"dropping-particle":"","family":"Moraes","given":"Gabriella","non-dropping-particle":"","parse-names":false,"suffix":""},{"dropping-particle":"","family":"Shamdas","given":"Mohith","non-dropping-particle":"","parse-names":false,"suffix":""},{"dropping-particle":"","family":"Kern","given":"Christoph","non-dropping-particle":"","parse-names":false,"suffix":""},{"dropping-particle":"","family":"Ledsam","given":"Joseph R.","non-dropping-particle":"","parse-names":false,"suffix":""},{"dropping-particle":"","family":"Schmid","given":"Martin K.","non-dropping-particle":"","parse-names":false,"suffix":""},{"dropping-particle":"","family":"Balaskas","given":"Konstantinos","non-dropping-particle":"","parse-names":false,"suffix":""},{"dropping-particle":"","family":"Topol","given":"Eric J.","non-dropping-particle":"","parse-names":false,"suffix":""},{"dropping-particle":"","family":"Bachmann","given":"Lucas M.","non-dropping-particle":"","parse-names":false,"suffix":""},{"dropping-particle":"","family":"Keane","given":"Pearse A.","non-dropping-particle":"","parse-names":false,"suffix":""},{"dropping-particle":"","family":"Denniston","given":"Alastair K.","non-dropping-particle":"","parse-names":false,"suffix":""}],"container-title":"The Lancet Digital Health","id":"ITEM-1","issue":"6","issued":{"date-parts":[["2019"]]},"page":"e271-e297","publisher":"The Author(s). Published by Elsevier Ltd. This is an Open Access article under the CC BY 4.0 license","title":"A comparison of deep learning performance against health-care professionals in detecting diseases from medical imaging: a systematic review and meta-analysis","type":"article-journal","volume":"1"},"uris":["http://www.mendeley.com/documents/?uuid=450303d8-aa73-470b-a64a-9372ade7ec64"]}],"mendeley":{"formattedCitation":"[27]","plainTextFormattedCitation":"[27]","previouslyFormattedCitation":"[26]"},"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[27]</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 xml:space="preserve"> and Siddique et al.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{"citationItems":[{"id":"ITEM-1","itemData":{"DOI":"10.1109/ACCESS.2021.3086020","ISSN":"21693536","abstract":"U-net is an image segmentation technique developed primarily for image segmentation tasks. These traits provide U-net with a high utility within the medical imaging community and have resulted in extensive adoption of U-net as the primary tool for segmentation tasks in medical imaging. The success of U-net is evident in its widespread use in nearly all major image modalities, from CT scans and MRI to X-rays and microscopy. Furthermore, while U-net is largely a segmentation tool, there have been instances of the use of U-net in other applications. Given that U-net’s potential is still increasing, this narrative literature review examines the numerous developments and breakthroughs in the U-net architecture and provides observations on recent trends. We also discuss the many innovations that have advanced in deep learning and discuss how these tools facilitate U-net. In addition, we review the different image modalities and application areas that have been enhanced by U-net.","author":[{"dropping-particle":"","family":"Siddique","given":"Nahian","non-dropping-particle":"","parse-names":false,"suffix":""},{"dropping-particle":"","family":"Paheding","given":"Sidike","non-dropping-particle":"","parse-names":false,"suffix":""},{"dropping-particle":"","family":"Elkin","given":"Colin P.","non-dropping-particle":"","parse-names":false,"suffix":""},{"dropping-particle":"","family":"Devabhaktuni","given":"Vijay","non-dropping-particle":"","parse-names":false,"suffix":""}],"container-title":"IEEE Access","id":"ITEM-1","issued":{"date-parts":[["2021"]]},"page":"82031-82057","title":"U-Net and Its Variants for Medical Image Segmentation: A Review of Theory and Applications","type":"article-journal","volume":"9"},"uris":["http://www.mendeley.com/documents/?uuid=7baa9ced-a927-458d-b740-4bfca407b1bf"]}],"mendeley":{"formattedCitation":"[28]","plainTextFormattedCitation":"[28]","previouslyFormattedCitation":"[27]"},"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[28]</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 xml:space="preserve"> obtain 1039 and 1004 citations respectively. Deep learning integration with clinical ophthalmic workflows is the focus of Liu's study, which was published in Lancet Digital Health. Siddique's paper in IEEE Access offers a thorough overview of AI applications in healthcare imaging.</w:t>
      </w:r>
      <w:r w:rsidR="00483A18" w:rsidRPr="00F704AE">
        <w:rPr>
          <w:rFonts w:ascii="Times New Roman" w:eastAsia="Times New Roman" w:hAnsi="Times New Roman" w:cs="Times New Roman"/>
          <w:sz w:val="24"/>
          <w:szCs w:val="24"/>
          <w:lang w:val="en-GB" w:eastAsia="zh-CN"/>
        </w:rPr>
        <w:t xml:space="preserve"> </w:t>
      </w:r>
      <w:r w:rsidRPr="00F704AE">
        <w:rPr>
          <w:rFonts w:ascii="Times New Roman" w:eastAsia="Times New Roman" w:hAnsi="Times New Roman" w:cs="Times New Roman"/>
          <w:sz w:val="24"/>
          <w:szCs w:val="24"/>
          <w:lang w:val="en-GB" w:eastAsia="zh-CN"/>
        </w:rPr>
        <w:t>Other notable contributions by</w:t>
      </w:r>
      <w:r w:rsidR="00483A18" w:rsidRPr="00F704AE">
        <w:rPr>
          <w:rFonts w:ascii="Times New Roman" w:eastAsia="Times New Roman" w:hAnsi="Times New Roman" w:cs="Times New Roman"/>
          <w:sz w:val="24"/>
          <w:szCs w:val="24"/>
          <w:lang w:val="en-GB" w:eastAsia="zh-CN"/>
        </w:rPr>
        <w:t xml:space="preserve"> </w:t>
      </w:r>
      <w:r w:rsidRPr="00F704AE">
        <w:rPr>
          <w:rFonts w:ascii="Times New Roman" w:eastAsia="Times New Roman" w:hAnsi="Times New Roman" w:cs="Times New Roman"/>
          <w:sz w:val="24"/>
          <w:szCs w:val="24"/>
          <w:lang w:val="en-GB" w:eastAsia="zh-CN"/>
        </w:rPr>
        <w:t xml:space="preserve">Fu et al.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{"citationItems":[{"id":"ITEM-1","itemData":{"DOI":"10.1109/TMI.2018.2791488","ISSN":"1558254X","PMID":"29969410","abstract":"Glaucoma is a chronic eye disease that leads to irreversible vision loss. The cup to disc ratio (CDR) plays an important role in the screening and diagnosis of glaucoma. Thus, the accurate and automatic segmentation of optic disc (OD) and optic cup (OC) from fundus images is a fundamental task. Most existing methods segment them separately, and rely on hand-crafted visual feature from fundus images. In this paper, we propose a deep learning architecture, named M-Net, which solves the OD and OC segmentation jointly in a one-stage multi-label system. The proposed M-Net mainly consists of multi-scale input layer, U-shape convolutional network, side-output layer, and multi-label loss function. The multi-scale input layer constructs an image pyramid to achieve multiple level receptive field sizes. The U-shape convolutional network is employed as the main body network structure to learn the rich hierarchical representation, while the side-output layer acts as an early classifier that produces a companion local prediction map for different scale layers. Finally, a multi-label loss function is proposed to generate the final segmentation map. For improving the segmentation performance further, we also introduce the polar transformation, which provides the representation of the original image in the polar coordinate system. The experiments show that our M-Net system achieves state-of-the-art OD and OC segmentation result on ORIGA data set. Simultaneously, the proposed method also obtains the satisfactory glaucoma screening performances with calculated CDR value on both ORIGA and SCES datasets.","author":[{"dropping-particle":"","family":"Fu","given":"Huazhu","non-dropping-particle":"","parse-names":false,"suffix":""},{"dropping-particle":"","family":"Cheng","given":"Jun","non-dropping-particle":"","parse-names":false,"suffix":""},{"dropping-particle":"","family":"Xu","given":"Yanwu","non-dropping-particle":"","parse-names":false,"suffix":""},{"dropping-particle":"","family":"Wong","given":"Damon Wing Kee","non-dropping-particle":"","parse-names":false,"suffix":""},{"dropping-particle":"","family":"Liu","given":"Jiang","non-dropping-particle":"","parse-names":false,"suffix":""},{"dropping-particle":"","family":"Cao","given":"Xiaochun","non-dropping-particle":"","parse-names":false,"suffix":""}],"container-title":"IEEE Transactions on Medical Imaging","id":"ITEM-1","issue":"7","issued":{"date-parts":[["2018"]]},"page":"1597-1605","title":"Joint Optic Disc and Cup Segmentation Based on Multi-Label Deep Network and Polar Transformation","type":"article-journal","volume":"37"},"uris":["http://www.mendeley.com/documents/?uuid=456aaf71-d397-4727-985d-f6e1425ea599"]}],"mendeley":{"formattedCitation":"[29]","plainTextFormattedCitation":"[29]","previouslyFormattedCitation":"[28]"},"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[29]</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 xml:space="preserve"> in IEEE Transactions on Medical Imaging (726 citations), which used multimodal deep learning for glaucoma screening using fundus and visual field data.</w:t>
      </w:r>
    </w:p>
    <w:p w14:paraId="2BCAECB2" w14:textId="6C3E096D"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This list also includes recent but significant studies, like Jin et al.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{"citationItems":[{"id":"ITEM-1","itemData":{"DOI":"10.1016/j.knosys.2019.04.025","ISSN":"09507051","abstract":"Automatic segmentation of retinal vessels in fundus images plays an important role in the diagnosis of some diseases such as diabetes and hypertension. In this paper, we propose Deformable U-Net (DUNet), which exploits the retinal vessels’ local features with a U-shape architecture, in an end to end manner for retinal vessel segmentation. Inspired by the recently introduced deformable convolutional networks, we integrate the deformable convolution into the proposed network. The DUNet, with upsampling operators to increase the output resolution, is designed to extract context information and enable precise localization by combining low-level features with high-level ones. Furthermore, DUNet captures the retinal vessels at various shapes and scales by adaptively adjusting the receptive fields according to vessels’ scales and shapes. Public datasets: DRIVE, STARE, CHASE_DB1 and HRF are used to test our models. Detailed comparisons between the proposed network and the deformable neural network, U-Net are provided in our study. Results show that more detailed vessels can be extracted by DUNet and it exhibits state-of-the-art performance for retinal vessel segmentation with a global accuracy of 0.9566/0.9641/0.9610/0.9651 and AUC of 0.9802/0.9832/0.9804/0.9831 on DRIVE, STARE, CHASE_DB1 and HRF respectively. Moreover, to show the generalization ability of the DUNet, we use another two retinal vessel data sets, i.e., WIDE and SYNTHE, to qualitatively and quantitatively analyze and compare with other methods. Extensive cross-training evaluations are used to further assess the extendibility of DUNet. The proposed method has the potential to be applied to the early diagnosis of diseases.","author":[{"dropping-particle":"","family":"Jin","given":"Qiangguo","non-dropping-particle":"","parse-names":false,"suffix":""},{"dropping-particle":"","family":"Meng","given":"Zhaopeng","non-dropping-particle":"","parse-names":false,"suffix":""},{"dropping-particle":"","family":"Pham","given":"Tuan D.","non-dropping-particle":"","parse-names":false,"suffix":""},{"dropping-particle":"","family":"Chen","given":"Qi","non-dropping-particle":"","parse-names":false,"suffix":""},{"dropping-particle":"","family":"Wei","given":"Leyi","non-dropping-particle":"","parse-names":false,"suffix":""},{"dropping-particle":"","family":"Su","given":"Ran","non-dropping-particle":"","parse-names":false,"suffix":""}],"container-title":"Knowledge-Based Systems","id":"ITEM-1","issued":{"date-parts":[["2019"]]},"page":"149-162","publisher":"Elsevier B.V.","title":"DUNet: A deformable network for retinal vessel segmentation","type":"article-journal","volume":"178"},"uris":["http://www.mendeley.com/documents/?uuid=50789810-74c5-43ae-bf34-692c7250832d"]}],"mendeley":{"formattedCitation":"[30]","plainTextFormattedCitation":"[30]","previouslyFormattedCitation":"[29]"},"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[30]</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 xml:space="preserve"> and Li et al.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{"citationItems":[{"id":"ITEM-1","itemData":{"DOI":"10.1016/j.ophtha.2018.01.023","ISSN":"15494713","PMID":"29506863","abstract":"Purpose: To assess the performance of a deep learning algorithm for detecting referable glaucomatous optic neuropathy (GON) based on color fundus photographs. Design: A deep learning system for the classification of GON was developed for automated classification of GON on color fundus photographs. Participants: We retrospectively included 48 116 fundus photographs for the development and validation of a deep learning algorithm. Methods: This study recruited 21 trained ophthalmologists to classify the photographs. Referable GON was defined as vertical cup-to-disc ratio of 0.7 or more and other typical changes of GON. The reference standard was made until 3 graders achieved agreement. A separate validation dataset of 8000 fully gradable fundus photographs was used to assess the performance of this algorithm. Main Outcome Measures: The area under receiver operator characteristic curve (AUC) with sensitivity and specificity was applied to evaluate the efficacy of the deep learning algorithm detecting referable GON. Results: In the validation dataset, this deep learning system achieved an AUC of 0.986 with sensitivity of 95.6% and specificity of 92.0%. The most common reasons for false-negative grading (n = 87) were GON with coexisting eye conditions (n = 44 [50.6%]), including pathologic or high myopia (n = 37 [42.6%]), diabetic retinopathy (n = 4 [4.6%]), and age-related macular degeneration (n = 3 [3.4%]). The leading reason for false-positive results (n = 480) was having other eye conditions (n = 458 [95.4%]), mainly including physiologic cupping (n = 267 [55.6%]). Misclassification as false-positive results amidst a normal-appearing fundus occurred in only 22 eyes (4.6%). Conclusions: A deep learning system can detect referable GON with high sensitivity and specificity. Coexistence of high or pathologic myopia is the most common cause resulting in false-negative results. Physiologic cupping and pathologic myopia were the most common reasons for false-positive results.","author":[{"dropping-particle":"","family":"Li","given":"Zhixi","non-dropping-particle":"","parse-names":false,"suffix":""},{"dropping-particle":"","family":"He","given":"Yifan","non-dropping-particle":"","parse-names":false,"suffix":""},{"dropping-particle":"","family":"Keel","given":"Stuart","non-dropping-particle":"","parse-names":false,"suffix":""},{"dropping-particle":"","family":"Meng","given":"Wei","non-dropping-particle":"","parse-names":false,"suffix":""},{"dropping-particle":"","family":"Chang","given":"Robert T.","non-dropping-particle":"","parse-names":false,"suffix":""},{"dropping-particle":"","family":"He","given":"Mingguang","non-dropping-particle":"","parse-names":false,"suffix":""}],"container-title":"Ophthalmology","id":"ITEM-1","issue":"8","issued":{"date-parts":[["2018"]]},"page":"1199-1206","publisher":"American Academy of Ophthalmology","title":"Efficacy of a Deep Learning System for Detecting Glaucomatous Optic Neuropathy Based on Color Fundus Photographs","type":"article-journal","volume":"125"},"uris":["http://www.mendeley.com/documents/?uuid=ff9935f8-2948-4fca-bc49-1078aea45bc8"]}],"mendeley":{"formattedCitation":"[31]","plainTextFormattedCitation":"[31]","previouslyFormattedCitation":"[30]"},"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[31]</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 xml:space="preserve">, contributed to knowledge-based and hybrid AI systems for ophthalmic image analysis. These reflect the emerging trend towards explainability, clinical integration, and multimodal approaches are becoming increasingly important in the diagnosis of glaucoma. </w:t>
      </w:r>
    </w:p>
    <w:p w14:paraId="22E72BF4"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This display of citations demonstrates a distinct trend that implies the combination of artificial intelligence and ophthalmic imaging is not only widespread but also has a significant impact on the scientific community worldwide. </w:t>
      </w:r>
    </w:p>
    <w:p w14:paraId="73F58011"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p>
    <w:p w14:paraId="08664706" w14:textId="14A9F52F" w:rsidR="009B2D34" w:rsidRPr="003A191C" w:rsidRDefault="009B2D34" w:rsidP="000931A3">
      <w:pPr>
        <w:spacing w:before="240" w:after="240" w:line="240" w:lineRule="auto"/>
        <w:jc w:val="both"/>
        <w:rPr>
          <w:rFonts w:ascii="Times New Roman" w:eastAsia="Times New Roman" w:hAnsi="Times New Roman" w:cs="Times New Roman"/>
          <w:b/>
          <w:bCs/>
          <w:sz w:val="24"/>
          <w:szCs w:val="24"/>
          <w:lang w:val="en-GB" w:eastAsia="zh-CN"/>
        </w:rPr>
      </w:pPr>
      <w:r w:rsidRPr="00F704AE">
        <w:rPr>
          <w:rFonts w:ascii="Times New Roman" w:eastAsia="Times New Roman" w:hAnsi="Times New Roman" w:cs="Times New Roman"/>
          <w:b/>
          <w:bCs/>
          <w:sz w:val="24"/>
          <w:szCs w:val="24"/>
          <w:lang w:val="en-GB" w:eastAsia="zh-CN"/>
        </w:rPr>
        <w:t xml:space="preserve">4.4 Frequent Keywords </w:t>
      </w:r>
    </w:p>
    <w:p w14:paraId="56BF7776" w14:textId="15192E2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Top keywords that were taken from bibliometric data using the Keywords Plus method are shown in Figure </w:t>
      </w:r>
      <w:r w:rsidR="005657FA" w:rsidRPr="00F704AE">
        <w:rPr>
          <w:rFonts w:ascii="Times New Roman" w:eastAsia="Times New Roman" w:hAnsi="Times New Roman" w:cs="Times New Roman"/>
          <w:sz w:val="24"/>
          <w:szCs w:val="24"/>
          <w:lang w:val="en-GB" w:eastAsia="zh-CN"/>
        </w:rPr>
        <w:t>8</w:t>
      </w:r>
      <w:r w:rsidRPr="00F704AE">
        <w:rPr>
          <w:rFonts w:ascii="Times New Roman" w:eastAsia="Times New Roman" w:hAnsi="Times New Roman" w:cs="Times New Roman"/>
          <w:sz w:val="24"/>
          <w:szCs w:val="24"/>
          <w:lang w:val="en-GB" w:eastAsia="zh-CN"/>
        </w:rPr>
        <w:t xml:space="preserve">. These keywords identified significant research topics of interest in the fields. </w:t>
      </w:r>
      <w:r w:rsidR="00080B54" w:rsidRPr="00F704AE">
        <w:rPr>
          <w:rFonts w:ascii="Times New Roman" w:eastAsia="Times New Roman" w:hAnsi="Times New Roman" w:cs="Times New Roman"/>
          <w:sz w:val="24"/>
          <w:szCs w:val="24"/>
          <w:lang w:val="en-GB" w:eastAsia="zh-CN"/>
        </w:rPr>
        <w:t>The figure</w:t>
      </w:r>
      <w:r w:rsidRPr="00F704AE">
        <w:rPr>
          <w:rFonts w:ascii="Times New Roman" w:eastAsia="Times New Roman" w:hAnsi="Times New Roman" w:cs="Times New Roman"/>
          <w:sz w:val="24"/>
          <w:szCs w:val="24"/>
          <w:lang w:val="en-GB" w:eastAsia="zh-CN"/>
        </w:rPr>
        <w:t xml:space="preserve"> depicts the keyword "deep learning" dominating the research landscape with 1572 occurrences, suggesting its critical role in the field of ophthalmic diagnostic research today. With their ability to accurately analyse large-scale medical imaging datasets, AI-driven deep learning models have improved the precision of glaucoma diagnosis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{"citationItems":[{"id":"ITEM-1","itemData":{"DOI":"10.3390/jpm14101062","ISSN":"20754426","abstract":"Background: Glaucoma is a leading cause of irreversible blindness worldwide, necessitating precise management strategies tailored to individual patient characteristics. Artificial intelligence (AI) holds promise in revolutionizing the approach to glaucoma care by providing personalized interventions. Aim: This review explores the current landscape of AI applications in the personalized management of glaucoma patients, highlighting advancements, challenges, and future directions. Methods: A systematic search of electronic databases, including PubMed, Scopus, and Web of Science, was conducted to identify relevant studies published up to 2024. Studies exploring the use of AI techniques in personalized management strategies for glaucoma patients were included. Results: The review identified diverse AI applications in glaucoma management, ranging from early detection and diagnosis to treatment optimization and prognosis prediction. Machine learning algorithms, particularly deep learning models, demonstrated high accuracy in diagnosing glaucoma from various imaging modalities such as optical coherence tomography (OCT) and visual field tests. AI-driven risk stratification tools facilitated personalized treatment decisions by integrating patient-specific data with predictive analytics, enhancing therapeutic outcomes while minimizing adverse effects. Moreover, AI-based teleophthalmology platforms enabled remote monitoring and timely intervention, improving patient access to specialized care. Conclusions: Integrating AI technologies in the personalized management of glaucoma patients holds immense potential for optimizing clinical decision-making, enhancing treatment efficacy, and mitigating disease progression. However, challenges such as data heterogeneity, model interpretability, and regulatory concerns warrant further investigation. Future research should focus on refining AI algorithms, validating their clinical utility through large-scale prospective studies, and ensuring seamless integration into routine clinical practice to realize the full benefits of personalized glaucoma care.","author":[{"dropping-particle":"","family":"Tonti","given":"Emanuele","non-dropping-particle":"","parse-names":false,"suffix":""},{"dropping-particle":"","family":"Tonti","given":"Sofia","non-dropping-particle":"","parse-names":false,"suffix":""},{"dropping-particle":"","family":"Mancini","given":"Flavia","non-dropping-particle":"","parse-names":false,"suffix":""},{"dropping-particle":"","family":"Bonini","given":"Chiara","non-dropping-particle":"","parse-names":false,"suffix":""},{"dropping-particle":"","family":"Spadea","given":"Leopoldo","non-dropping-particle":"","parse-names":false,"suffix":""},{"dropping-particle":"","family":"D’Esposito","given":"Fabiana","non-dropping-particle":"","parse-names":false,"suffix":""},{"dropping-particle":"","family":"Gagliano","given":"Caterina","non-dropping-particle":"","parse-names":false,"suffix":""},{"dropping-particle":"","family":"Musa","given":"Mutali","non-dropping-particle":"","parse-names":false,"suffix":""},{"dropping-particle":"","family":"Zeppieri","given":"Marco","non-dropping-particle":"","parse-names":false,"suffix":""}],"container-title":"Journal of Personalized Medicine","id":"ITEM-1","issue":"10","issued":{"date-parts":[["2024"]]},"page":"1-16","title":"Artificial Intelligence and Advanced Technology in Glaucoma: A Review","type":"article-journal","volume":"14"},"uris":["http://www.mendeley.com/documents/?uuid=814cdce9-62e4-408e-a261-1e029c071460"]}],"mendeley":{"formattedCitation":"[25]","plainTextFormattedCitation":"[25]","previouslyFormattedCitation":"[24]"},"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[25]</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 xml:space="preserve">. The basis for automated analysis is deep learning, supported by recent developments that highlight the accuracy and efficiency advantages of deep learning over conventional image analysis techniques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{"citationItems":[{"id":"ITEM-1","itemData":{"DOI":"10.1016/j.media.2017.07.005","ISSN":"13618423","PMID":"28778026","abstract":"Deep learning algorithms, in particular convolutional networks, have rapidly become a methodology of choice for analyzing medical images. This paper reviews the major deep learning concepts pertinent to medical image analysis and summarizes over 300 contributions to the field, most of which appeared in the last year. We survey the use of deep learning for image classification, object detection, segmentation, registration, and other tasks. Concise overviews are provided of studies per application area: neuro, retinal, pulmonary, digital pathology, breast, cardiac, abdominal, musculoskeletal. We end with a summary of the current state-of-the-art, a critical discussion of open challenges and directions for future research.","author":[{"dropping-particle":"","family":"Litjens","given":"Geert","non-dropping-particle":"","parse-names":false,"suffix":""},{"dropping-particle":"","family":"Kooi","given":"Thijs","non-dropping-particle":"","parse-names":false,"suffix":""},{"dropping-particle":"","family":"Bejnordi","given":"Babak Ehteshami","non-dropping-particle":"","parse-names":false,"suffix":""},{"dropping-particle":"","family":"Setio","given":"Arnaud Arindra Adiyoso","non-dropping-particle":"","parse-names":false,"suffix":""},{"dropping-particle":"","family":"Ciompi","given":"Francesco","non-dropping-particle":"","parse-names":false,"suffix":""},{"dropping-particle":"","family":"Ghafoorian","given":"Mohsen","non-dropping-particle":"","parse-names":false,"suffix":""},{"dropping-particle":"","family":"Laak","given":"Jeroen A.W.M.","non-dropping-particle":"van der","parse-names":false,"suffix":""},{"dropping-particle":"","family":"Ginneken","given":"Bram","non-dropping-particle":"van","parse-names":false,"suffix":""},{"dropping-particle":"","family":"Sánchez","given":"Clara I.","non-dropping-particle":"","parse-names":false,"suffix":""}],"container-title":"Medical Image Analysis","id":"ITEM-1","issue":"December 2012","issued":{"date-parts":[["2017"]]},"page":"60-88","publisher":"Elsevier B.V.","title":"A survey on deep learning in medical image analysis","type":"article-journal","volume":"42"},"uris":["http://www.mendeley.com/documents/?uuid=41d652b4-fe13-46c8-8e76-3cb010fc5404"]}],"mendeley":{"formattedCitation":"[32]","plainTextFormattedCitation":"[32]","previouslyFormattedCitation":"[31]"},"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[32]</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w:t>
      </w:r>
    </w:p>
    <w:p w14:paraId="0A56D23F"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p>
    <w:p w14:paraId="6E88FEF5" w14:textId="7A408CD1" w:rsidR="00204AB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noProof/>
          <w:sz w:val="24"/>
          <w:szCs w:val="24"/>
          <w:lang w:val="en-GB" w:eastAsia="zh-CN"/>
        </w:rPr>
        <w:lastRenderedPageBreak/>
        <w:drawing>
          <wp:inline distT="0" distB="0" distL="0" distR="0" wp14:anchorId="120DCE59" wp14:editId="720DC0B6">
            <wp:extent cx="5729922" cy="2952750"/>
            <wp:effectExtent l="0" t="0" r="4445" b="0"/>
            <wp:docPr id="1145089418" name="Picture 32" descr="A graph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89418" name="Picture 32" descr="A graph with blue circles and white text&#10;&#10;AI-generated content may be incorrect."/>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b="17626"/>
                    <a:stretch>
                      <a:fillRect/>
                    </a:stretch>
                  </pic:blipFill>
                  <pic:spPr bwMode="auto">
                    <a:xfrm>
                      <a:off x="0" y="0"/>
                      <a:ext cx="5733571" cy="2954631"/>
                    </a:xfrm>
                    <a:prstGeom prst="rect">
                      <a:avLst/>
                    </a:prstGeom>
                    <a:noFill/>
                    <a:ln>
                      <a:noFill/>
                    </a:ln>
                    <a:extLst>
                      <a:ext uri="{53640926-AAD7-44D8-BBD7-CCE9431645EC}">
                        <a14:shadowObscured xmlns:a14="http://schemas.microsoft.com/office/drawing/2010/main"/>
                      </a:ext>
                    </a:extLst>
                  </pic:spPr>
                </pic:pic>
              </a:graphicData>
            </a:graphic>
          </wp:inline>
        </w:drawing>
      </w:r>
    </w:p>
    <w:p w14:paraId="48EB1E0D" w14:textId="0A9DB536" w:rsidR="009B2D34" w:rsidRDefault="009B2D34" w:rsidP="006440DF">
      <w:pPr>
        <w:spacing w:before="240" w:after="240" w:line="240" w:lineRule="auto"/>
        <w:jc w:val="center"/>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Figure </w:t>
      </w:r>
      <w:r w:rsidR="00080B54" w:rsidRPr="00F704AE">
        <w:rPr>
          <w:rFonts w:ascii="Times New Roman" w:eastAsia="Times New Roman" w:hAnsi="Times New Roman" w:cs="Times New Roman"/>
          <w:sz w:val="24"/>
          <w:szCs w:val="24"/>
          <w:lang w:val="en-GB" w:eastAsia="zh-CN"/>
        </w:rPr>
        <w:t>8</w:t>
      </w:r>
      <w:r w:rsidRPr="00F704AE">
        <w:rPr>
          <w:rFonts w:ascii="Times New Roman" w:eastAsia="Times New Roman" w:hAnsi="Times New Roman" w:cs="Times New Roman"/>
          <w:sz w:val="24"/>
          <w:szCs w:val="24"/>
          <w:lang w:val="en-GB" w:eastAsia="zh-CN"/>
        </w:rPr>
        <w:t xml:space="preserve">: Most </w:t>
      </w:r>
      <w:r w:rsidR="00603493" w:rsidRPr="00F704AE">
        <w:rPr>
          <w:rFonts w:ascii="Times New Roman" w:eastAsia="Times New Roman" w:hAnsi="Times New Roman" w:cs="Times New Roman"/>
          <w:sz w:val="24"/>
          <w:szCs w:val="24"/>
          <w:lang w:val="en-GB" w:eastAsia="zh-CN"/>
        </w:rPr>
        <w:t>f</w:t>
      </w:r>
      <w:r w:rsidRPr="00F704AE">
        <w:rPr>
          <w:rFonts w:ascii="Times New Roman" w:eastAsia="Times New Roman" w:hAnsi="Times New Roman" w:cs="Times New Roman"/>
          <w:sz w:val="24"/>
          <w:szCs w:val="24"/>
          <w:lang w:val="en-GB" w:eastAsia="zh-CN"/>
        </w:rPr>
        <w:t xml:space="preserve">requent </w:t>
      </w:r>
      <w:r w:rsidR="00603493" w:rsidRPr="00F704AE">
        <w:rPr>
          <w:rFonts w:ascii="Times New Roman" w:eastAsia="Times New Roman" w:hAnsi="Times New Roman" w:cs="Times New Roman"/>
          <w:sz w:val="24"/>
          <w:szCs w:val="24"/>
          <w:lang w:val="en-GB" w:eastAsia="zh-CN"/>
        </w:rPr>
        <w:t>w</w:t>
      </w:r>
      <w:r w:rsidRPr="00F704AE">
        <w:rPr>
          <w:rFonts w:ascii="Times New Roman" w:eastAsia="Times New Roman" w:hAnsi="Times New Roman" w:cs="Times New Roman"/>
          <w:sz w:val="24"/>
          <w:szCs w:val="24"/>
          <w:lang w:val="en-GB" w:eastAsia="zh-CN"/>
        </w:rPr>
        <w:t>ords</w:t>
      </w:r>
      <w:r w:rsidR="00204AB4" w:rsidRPr="00F704AE">
        <w:rPr>
          <w:rFonts w:ascii="Times New Roman" w:eastAsia="Times New Roman" w:hAnsi="Times New Roman" w:cs="Times New Roman"/>
          <w:sz w:val="24"/>
          <w:szCs w:val="24"/>
          <w:lang w:val="en-GB" w:eastAsia="zh-CN"/>
        </w:rPr>
        <w:t xml:space="preserve"> </w:t>
      </w:r>
      <w:r w:rsidR="00603493" w:rsidRPr="00F704AE">
        <w:rPr>
          <w:rFonts w:ascii="Times New Roman" w:eastAsia="Times New Roman" w:hAnsi="Times New Roman" w:cs="Times New Roman"/>
          <w:sz w:val="24"/>
          <w:szCs w:val="24"/>
          <w:lang w:val="en-GB" w:eastAsia="zh-CN"/>
        </w:rPr>
        <w:t>o</w:t>
      </w:r>
      <w:r w:rsidR="00204AB4" w:rsidRPr="00F704AE">
        <w:rPr>
          <w:rFonts w:ascii="Times New Roman" w:eastAsia="Times New Roman" w:hAnsi="Times New Roman" w:cs="Times New Roman"/>
          <w:sz w:val="24"/>
          <w:szCs w:val="24"/>
          <w:lang w:val="en-GB" w:eastAsia="zh-CN"/>
        </w:rPr>
        <w:t>ccurrences</w:t>
      </w:r>
      <w:r w:rsidR="00603493" w:rsidRPr="00F704AE">
        <w:rPr>
          <w:rFonts w:ascii="Times New Roman" w:eastAsia="Times New Roman" w:hAnsi="Times New Roman" w:cs="Times New Roman"/>
          <w:sz w:val="24"/>
          <w:szCs w:val="24"/>
          <w:lang w:val="en-GB" w:eastAsia="zh-CN"/>
        </w:rPr>
        <w:t xml:space="preserve"> </w:t>
      </w:r>
      <w:r w:rsidR="000924F8" w:rsidRPr="00F704AE">
        <w:rPr>
          <w:rFonts w:ascii="Times New Roman" w:eastAsia="Times New Roman" w:hAnsi="Times New Roman" w:cs="Times New Roman"/>
          <w:sz w:val="24"/>
          <w:szCs w:val="24"/>
          <w:lang w:val="en-GB" w:eastAsia="zh-CN"/>
        </w:rPr>
        <w:t xml:space="preserve">of AI approach in medical imaging for </w:t>
      </w:r>
      <w:r w:rsidR="009B4F72" w:rsidRPr="00F704AE">
        <w:rPr>
          <w:rFonts w:ascii="Times New Roman" w:eastAsia="Times New Roman" w:hAnsi="Times New Roman" w:cs="Times New Roman"/>
          <w:sz w:val="24"/>
          <w:szCs w:val="24"/>
          <w:lang w:val="en-GB" w:eastAsia="zh-CN"/>
        </w:rPr>
        <w:t>g</w:t>
      </w:r>
      <w:r w:rsidR="000924F8" w:rsidRPr="00F704AE">
        <w:rPr>
          <w:rFonts w:ascii="Times New Roman" w:eastAsia="Times New Roman" w:hAnsi="Times New Roman" w:cs="Times New Roman"/>
          <w:sz w:val="24"/>
          <w:szCs w:val="24"/>
          <w:lang w:val="en-GB" w:eastAsia="zh-CN"/>
        </w:rPr>
        <w:t>laucoma detection from 2016 to 2024</w:t>
      </w:r>
    </w:p>
    <w:p w14:paraId="69D508F6" w14:textId="77777777" w:rsidR="003A191C" w:rsidRPr="00F704AE" w:rsidRDefault="003A191C" w:rsidP="006440DF">
      <w:pPr>
        <w:spacing w:before="240" w:after="240" w:line="240" w:lineRule="auto"/>
        <w:jc w:val="center"/>
        <w:rPr>
          <w:rFonts w:ascii="Times New Roman" w:eastAsia="Times New Roman" w:hAnsi="Times New Roman" w:cs="Times New Roman"/>
          <w:sz w:val="24"/>
          <w:szCs w:val="24"/>
          <w:lang w:val="en-GB" w:eastAsia="zh-CN"/>
        </w:rPr>
      </w:pPr>
    </w:p>
    <w:p w14:paraId="5C11D2E2" w14:textId="6266537C"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Following, "image segmentation" (913 occurrences) and "glaucoma" (722 occurrences) show a strong importance in defining ocular structures that are essential for glaucoma evaluation, such as the optic cup and disc. These features can be precisely extracted using image segmentation techniques, which improves diagnostic decision-making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{"citationItems":[{"id":"ITEM-1","itemData":{"DOI":"10.1109/TMI.2018.2791488","ISSN":"1558254X","PMID":"29969410","abstract":"Glaucoma is a chronic eye disease that leads to irreversible vision loss. The cup to disc ratio (CDR) plays an important role in the screening and diagnosis of glaucoma. Thus, the accurate and automatic segmentation of optic disc (OD) and optic cup (OC) from fundus images is a fundamental task. Most existing methods segment them separately, and rely on hand-crafted visual feature from fundus images. In this paper, we propose a deep learning architecture, named M-Net, which solves the OD and OC segmentation jointly in a one-stage multi-label system. The proposed M-Net mainly consists of multi-scale input layer, U-shape convolutional network, side-output layer, and multi-label loss function. The multi-scale input layer constructs an image pyramid to achieve multiple level receptive field sizes. The U-shape convolutional network is employed as the main body network structure to learn the rich hierarchical representation, while the side-output layer acts as an early classifier that produces a companion local prediction map for different scale layers. Finally, a multi-label loss function is proposed to generate the final segmentation map. For improving the segmentation performance further, we also introduce the polar transformation, which provides the representation of the original image in the polar coordinate system. The experiments show that our M-Net system achieves state-of-the-art OD and OC segmentation result on ORIGA data set. Simultaneously, the proposed method also obtains the satisfactory glaucoma screening performances with calculated CDR value on both ORIGA and SCES datasets.","author":[{"dropping-particle":"","family":"Fu","given":"Huazhu","non-dropping-particle":"","parse-names":false,"suffix":""},{"dropping-particle":"","family":"Cheng","given":"Jun","non-dropping-particle":"","parse-names":false,"suffix":""},{"dropping-particle":"","family":"Xu","given":"Yanwu","non-dropping-particle":"","parse-names":false,"suffix":""},{"dropping-particle":"","family":"Wong","given":"Damon Wing Kee","non-dropping-particle":"","parse-names":false,"suffix":""},{"dropping-particle":"","family":"Liu","given":"Jiang","non-dropping-particle":"","parse-names":false,"suffix":""},{"dropping-particle":"","family":"Cao","given":"Xiaochun","non-dropping-particle":"","parse-names":false,"suffix":""}],"container-title":"IEEE Transactions on Medical Imaging","id":"ITEM-1","issue":"7","issued":{"date-parts":[["2018"]]},"page":"1597-1605","title":"Joint Optic Disc and Cup Segmentation Based on Multi-Label Deep Network and Polar Transformation","type":"article-journal","volume":"37"},"uris":["http://www.mendeley.com/documents/?uuid=456aaf71-d397-4727-985d-f6e1425ea599"]}],"mendeley":{"formattedCitation":"[29]","plainTextFormattedCitation":"[29]","previouslyFormattedCitation":"[28]"},"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[29]</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w:t>
      </w:r>
    </w:p>
    <w:p w14:paraId="0F1295E9" w14:textId="125F2225"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Other distinguished keywords that support the larger theme of AI integration in diagnostic systems are "image processing" (627) and "convolutional neural network" (594). These terms reflect the technical foundation and decision support tools in developing automated glaucoma detection. The use of phrases like "diagnostic imaging" (488) and "eye protection" (472) highlights the clinical focus of this study and stresses patient safety as well as diagnostic precision. Methodological diversity and clinical validation of AI-driven approaches are highlighted by keywords such as "eye fundus" (443),</w:t>
      </w:r>
      <w:r w:rsidR="00204AB4" w:rsidRPr="00F704AE">
        <w:rPr>
          <w:rFonts w:ascii="Times New Roman" w:eastAsia="Times New Roman" w:hAnsi="Times New Roman" w:cs="Times New Roman"/>
          <w:sz w:val="24"/>
          <w:szCs w:val="24"/>
          <w:lang w:val="en-GB" w:eastAsia="zh-CN"/>
        </w:rPr>
        <w:t xml:space="preserve"> and</w:t>
      </w:r>
      <w:r w:rsidRPr="00F704AE">
        <w:rPr>
          <w:rFonts w:ascii="Times New Roman" w:eastAsia="Times New Roman" w:hAnsi="Times New Roman" w:cs="Times New Roman"/>
          <w:sz w:val="24"/>
          <w:szCs w:val="24"/>
          <w:lang w:val="en-GB" w:eastAsia="zh-CN"/>
        </w:rPr>
        <w:t xml:space="preserve"> "machine learning" (432).</w:t>
      </w:r>
    </w:p>
    <w:p w14:paraId="570DBA2D" w14:textId="29BB5FA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All things considered, this keyword frequency distribution illustrates how computer science and clinical ophthalmology strategically intersect. It reaffirms</w:t>
      </w:r>
      <w:r w:rsidR="001753C0" w:rsidRPr="00F704AE">
        <w:rPr>
          <w:rFonts w:ascii="Times New Roman" w:eastAsia="Times New Roman" w:hAnsi="Times New Roman" w:cs="Times New Roman"/>
          <w:sz w:val="24"/>
          <w:szCs w:val="24"/>
          <w:lang w:val="en-GB" w:eastAsia="zh-CN"/>
        </w:rPr>
        <w:t xml:space="preserve"> the convergence of computer science and clinical ophthalmology, emphasizing deep learning's fundamental role in advancing scalable, reliable and non-invasive glaucoma detection </w:t>
      </w:r>
      <w:r w:rsidR="001753C0"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10.3389/fcell.2023.1173094","author":[{"dropping-particle":"","family":"Zhang","given":"Linyu","non-dropping-particle":"","parse-names":false,"suffix":""},{"dropping-particle":"","family":"Tang","given":"Li","non-dropping-particle":"","parse-names":false,"suffix":""},{"dropping-particle":"","family":"Xia","given":"Min","non-dropping-particle":"","parse-names":false,"suffix":""},{"dropping-particle":"","family":"Cao","given":"Guofan","non-dropping-particle":"","parse-names":false,"suffix":""}],"container-title":"Frontiers in cell and development biology","id":"ITEM-1","issue":"May","issued":{"date-parts":[["2023"]]},"page":"1-13","title":"The application of arti fi cial intelligence in glaucoma diagnosis and prediction","type":"article-journal"},"uris":["http://www.mendeley.com/documents/?uuid=3f431bb1-f076-4e03-8eff-7b37fd65263b"]}],"mendeley":{"formattedCitation":"[33]","plainTextFormattedCitation":"[33]","previouslyFormattedCitation":"[32]"},"properties":{"noteIndex":0},"schema":"https://github.com/citation-style-language/schema/raw/master/csl-citation.json"}</w:instrText>
      </w:r>
      <w:r w:rsidR="001753C0"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[33]</w:t>
      </w:r>
      <w:r w:rsidR="001753C0" w:rsidRPr="00F704AE">
        <w:rPr>
          <w:rFonts w:ascii="Times New Roman" w:eastAsia="Times New Roman" w:hAnsi="Times New Roman" w:cs="Times New Roman"/>
          <w:sz w:val="24"/>
          <w:szCs w:val="24"/>
          <w:lang w:val="en-GB" w:eastAsia="zh-CN"/>
        </w:rPr>
        <w:fldChar w:fldCharType="end"/>
      </w:r>
      <w:r w:rsidR="001753C0" w:rsidRPr="00F704AE">
        <w:rPr>
          <w:rFonts w:ascii="Times New Roman" w:eastAsia="Times New Roman" w:hAnsi="Times New Roman" w:cs="Times New Roman"/>
          <w:sz w:val="24"/>
          <w:szCs w:val="24"/>
          <w:lang w:val="en-GB" w:eastAsia="zh-CN"/>
        </w:rPr>
        <w:t>.</w:t>
      </w:r>
    </w:p>
    <w:p w14:paraId="1AB3326F" w14:textId="77777777"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p>
    <w:p w14:paraId="605B49A7" w14:textId="510C8CEE" w:rsidR="009B2D34" w:rsidRPr="003A191C" w:rsidRDefault="009B2D34" w:rsidP="003A191C">
      <w:pPr>
        <w:suppressAutoHyphens/>
        <w:adjustRightInd w:val="0"/>
        <w:snapToGrid w:val="0"/>
        <w:spacing w:before="240" w:after="240" w:line="240" w:lineRule="auto"/>
        <w:jc w:val="both"/>
        <w:outlineLvl w:val="2"/>
        <w:rPr>
          <w:rFonts w:ascii="Times New Roman" w:eastAsia="Times New Roman" w:hAnsi="Times New Roman" w:cs="Times New Roman"/>
          <w:b/>
          <w:bCs/>
          <w:sz w:val="24"/>
          <w:szCs w:val="24"/>
          <w:lang w:val="en-GB" w:eastAsia="zh-CN"/>
        </w:rPr>
      </w:pPr>
      <w:bookmarkStart w:id="1" w:name="_Hlk181829008"/>
      <w:r w:rsidRPr="00F704AE">
        <w:rPr>
          <w:rFonts w:ascii="Times New Roman" w:eastAsia="Times New Roman" w:hAnsi="Times New Roman" w:cs="Times New Roman"/>
          <w:b/>
          <w:bCs/>
          <w:sz w:val="24"/>
          <w:szCs w:val="24"/>
          <w:lang w:val="en-GB" w:eastAsia="zh-CN"/>
        </w:rPr>
        <w:t>4.5 Most Relevant Affiliations</w:t>
      </w:r>
      <w:bookmarkEnd w:id="1"/>
    </w:p>
    <w:p w14:paraId="292568E1" w14:textId="2DAE84E9"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The distribution of research contributions across the top </w:t>
      </w:r>
      <w:r w:rsidR="00FA03F7" w:rsidRPr="00F704AE">
        <w:rPr>
          <w:rFonts w:ascii="Times New Roman" w:eastAsia="Times New Roman" w:hAnsi="Times New Roman" w:cs="Times New Roman"/>
          <w:sz w:val="24"/>
          <w:szCs w:val="24"/>
          <w:lang w:val="en-GB" w:eastAsia="zh-CN"/>
        </w:rPr>
        <w:t xml:space="preserve">eight </w:t>
      </w:r>
      <w:r w:rsidRPr="00F704AE">
        <w:rPr>
          <w:rFonts w:ascii="Times New Roman" w:eastAsia="Times New Roman" w:hAnsi="Times New Roman" w:cs="Times New Roman"/>
          <w:sz w:val="24"/>
          <w:szCs w:val="24"/>
          <w:lang w:val="en-GB" w:eastAsia="zh-CN"/>
        </w:rPr>
        <w:t xml:space="preserve">institutional affiliations in the field of glaucoma detection using medical imaging and AI is illustrated in Figure </w:t>
      </w:r>
      <w:r w:rsidR="00F52477" w:rsidRPr="00F704AE">
        <w:rPr>
          <w:rFonts w:ascii="Times New Roman" w:eastAsia="Times New Roman" w:hAnsi="Times New Roman" w:cs="Times New Roman"/>
          <w:sz w:val="24"/>
          <w:szCs w:val="24"/>
          <w:lang w:val="en-GB" w:eastAsia="zh-CN"/>
        </w:rPr>
        <w:t>9</w:t>
      </w:r>
      <w:r w:rsidRPr="00F704AE">
        <w:rPr>
          <w:rFonts w:ascii="Times New Roman" w:eastAsia="Times New Roman" w:hAnsi="Times New Roman" w:cs="Times New Roman"/>
          <w:sz w:val="24"/>
          <w:szCs w:val="24"/>
          <w:lang w:val="en-GB" w:eastAsia="zh-CN"/>
        </w:rPr>
        <w:t>. The data reveal that COMSATS University Islamabad leads with 57 publications, reflecting a significant institutional commitment to advancing AI-driven ophthalmic diagnostics. This prominence may be attributed to the university's focus on computer vision applications in healthcare, particularly in developing regions where glaucoma prevalence remains high.</w:t>
      </w:r>
    </w:p>
    <w:p w14:paraId="1B355815"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p>
    <w:p w14:paraId="3250982D" w14:textId="3D839447" w:rsidR="008748D8"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noProof/>
          <w:sz w:val="24"/>
          <w:szCs w:val="24"/>
          <w:lang w:val="en-GB" w:eastAsia="zh-CN"/>
        </w:rPr>
        <w:lastRenderedPageBreak/>
        <w:drawing>
          <wp:inline distT="0" distB="0" distL="0" distR="0" wp14:anchorId="62C0A86D" wp14:editId="1FD00B15">
            <wp:extent cx="5358738" cy="2476500"/>
            <wp:effectExtent l="0" t="0" r="0" b="0"/>
            <wp:docPr id="535637007" name="Picture 32" descr="A graph with blue dot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37007" name="Picture 32" descr="A graph with blue dots and white text&#10;&#10;AI-generated content may be incorrect."/>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1" b="24559"/>
                    <a:stretch>
                      <a:fillRect/>
                    </a:stretch>
                  </pic:blipFill>
                  <pic:spPr bwMode="auto">
                    <a:xfrm>
                      <a:off x="0" y="0"/>
                      <a:ext cx="5365503" cy="2479626"/>
                    </a:xfrm>
                    <a:prstGeom prst="rect">
                      <a:avLst/>
                    </a:prstGeom>
                    <a:noFill/>
                    <a:ln>
                      <a:noFill/>
                    </a:ln>
                    <a:extLst>
                      <a:ext uri="{53640926-AAD7-44D8-BBD7-CCE9431645EC}">
                        <a14:shadowObscured xmlns:a14="http://schemas.microsoft.com/office/drawing/2010/main"/>
                      </a:ext>
                    </a:extLst>
                  </pic:spPr>
                </pic:pic>
              </a:graphicData>
            </a:graphic>
          </wp:inline>
        </w:drawing>
      </w:r>
    </w:p>
    <w:p w14:paraId="31C5E044" w14:textId="4DE29414" w:rsidR="009B2D34" w:rsidRPr="00F704AE" w:rsidRDefault="009B2D34" w:rsidP="000931A3">
      <w:pPr>
        <w:spacing w:before="240" w:after="240" w:line="240" w:lineRule="auto"/>
        <w:jc w:val="center"/>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Figure </w:t>
      </w:r>
      <w:r w:rsidR="00F52477" w:rsidRPr="00F704AE">
        <w:rPr>
          <w:rFonts w:ascii="Times New Roman" w:eastAsia="Times New Roman" w:hAnsi="Times New Roman" w:cs="Times New Roman"/>
          <w:sz w:val="24"/>
          <w:szCs w:val="24"/>
          <w:lang w:val="en-GB" w:eastAsia="zh-CN"/>
        </w:rPr>
        <w:t>9</w:t>
      </w:r>
      <w:r w:rsidRPr="00F704AE">
        <w:rPr>
          <w:rFonts w:ascii="Times New Roman" w:eastAsia="Times New Roman" w:hAnsi="Times New Roman" w:cs="Times New Roman"/>
          <w:sz w:val="24"/>
          <w:szCs w:val="24"/>
          <w:lang w:val="en-GB" w:eastAsia="zh-CN"/>
        </w:rPr>
        <w:t xml:space="preserve">: Most </w:t>
      </w:r>
      <w:r w:rsidR="009B4F72" w:rsidRPr="00F704AE">
        <w:rPr>
          <w:rFonts w:ascii="Times New Roman" w:eastAsia="Times New Roman" w:hAnsi="Times New Roman" w:cs="Times New Roman"/>
          <w:sz w:val="24"/>
          <w:szCs w:val="24"/>
          <w:lang w:val="en-GB" w:eastAsia="zh-CN"/>
        </w:rPr>
        <w:t>r</w:t>
      </w:r>
      <w:r w:rsidRPr="00F704AE">
        <w:rPr>
          <w:rFonts w:ascii="Times New Roman" w:eastAsia="Times New Roman" w:hAnsi="Times New Roman" w:cs="Times New Roman"/>
          <w:sz w:val="24"/>
          <w:szCs w:val="24"/>
          <w:lang w:val="en-GB" w:eastAsia="zh-CN"/>
        </w:rPr>
        <w:t xml:space="preserve">elevant </w:t>
      </w:r>
      <w:r w:rsidR="009B4F72" w:rsidRPr="00F704AE">
        <w:rPr>
          <w:rFonts w:ascii="Times New Roman" w:eastAsia="Times New Roman" w:hAnsi="Times New Roman" w:cs="Times New Roman"/>
          <w:sz w:val="24"/>
          <w:szCs w:val="24"/>
          <w:lang w:val="en-GB" w:eastAsia="zh-CN"/>
        </w:rPr>
        <w:t>a</w:t>
      </w:r>
      <w:r w:rsidRPr="00F704AE">
        <w:rPr>
          <w:rFonts w:ascii="Times New Roman" w:eastAsia="Times New Roman" w:hAnsi="Times New Roman" w:cs="Times New Roman"/>
          <w:sz w:val="24"/>
          <w:szCs w:val="24"/>
          <w:lang w:val="en-GB" w:eastAsia="zh-CN"/>
        </w:rPr>
        <w:t>ffiliations</w:t>
      </w:r>
      <w:r w:rsidR="009B4F72" w:rsidRPr="00F704AE">
        <w:rPr>
          <w:rFonts w:ascii="Times New Roman" w:eastAsia="Times New Roman" w:hAnsi="Times New Roman" w:cs="Times New Roman"/>
          <w:sz w:val="24"/>
          <w:szCs w:val="24"/>
          <w:lang w:val="en-GB" w:eastAsia="zh-CN"/>
        </w:rPr>
        <w:t xml:space="preserve"> </w:t>
      </w:r>
      <w:bookmarkStart w:id="2" w:name="_Hlk216006637"/>
      <w:r w:rsidR="009B4F72" w:rsidRPr="00F704AE">
        <w:rPr>
          <w:rFonts w:ascii="Times New Roman" w:eastAsia="Times New Roman" w:hAnsi="Times New Roman" w:cs="Times New Roman"/>
          <w:sz w:val="24"/>
          <w:szCs w:val="24"/>
          <w:lang w:val="en-GB" w:eastAsia="zh-CN"/>
        </w:rPr>
        <w:t>of AI approach in medical imaging for glaucoma detection from 2016 to 2024</w:t>
      </w:r>
      <w:bookmarkEnd w:id="2"/>
    </w:p>
    <w:p w14:paraId="25DC2926"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p>
    <w:p w14:paraId="0916049D" w14:textId="2FE8D5CF" w:rsidR="009B2D34"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 xml:space="preserve">Trailing closely are the Southern University of Science and Technology (49 publications) and Capital Medical University (45 publications), both situated in China, underscoring the country's growing dominance in AI and medical imaging research. The National University of Singapore and Shanghai Jiao Tong University each contribute 44 publications, further emphasizing the leadership role of Asian institutions in this domain. These findings align with bibliometric studies by Zhao et al.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{"citationItems":[{"id":"ITEM-1","itemData":{"DOI":"10.21037/qims-24-1340","ISSN":"22234306","abstract":"Background: Recently, deep learning has become a popular area of research, and has revolutionized the diagnosis and prediction of ocular diseases, especially fundus diseases. This study aimed to conduct a bibliometric analysis of deep learning in the field of ophthalmology to describe international research trends and examine the current research directions. Methods: This cross-sectional bibliometric analysis examined the development of research on deep learning in the field of ophthalmology and its sub-topics from 2015 to 2024. Visualization of similarities (VOS)-viewer was used to analyze and evaluate 3,055 articles. Data from the articles were collected on a specific date (September 11, 2024) and downloaded from the Web of Science Core Collection (WOSCC) in plain-text format. Results: A total of 3,055 relevant articles on the WOSCC published from 2015 to 2024 were included in this analysis. The first article on the application of deep learning to ophthalmology was published in 2015, and the number of articles on the subject has grown significantly since 2019. China was the most productive country (n=1,187), followed by the United States (n=673). Sun Yat-sen University was the institution with the most publications. Cheng and Bogunovic were the most frequently published authors. The following four different clusters were identified based on a co-occurrence cluster analysis of high-frequency keywords (I) deep learning for the segmentation and feature extraction of ophthalmic images; (II) deep learning for the automatic detection and classification of ophthalmic images; (III) application of deep learning to ophthalmic imaging techniques; and (IV) deep learning for the diagnosis and management of ophthalmic diseases. Conclusions: The analysis of fundus images and the clinical application of deep learning techniques have emerged as prominent research areas in the field of ophthalmology. The substantial increase in publications and citations signifies the expanding impact and global collaboration in the application of deep learning research to ophthalmology. By identifying four distinct clusters representing sub-topics in deep learning ophthalmology research, this study contributes to the understanding of current trends and potential future advancements in the field.","author":[{"dropping-particle":"","family":"Zhao","given":"Min","non-dropping-particle":"","parse-names":false,"suffix":""},{"dropping-particle":"","family":"Guo","given":"Haoxin","non-dropping-particle":"","parse-names":false,"suffix":""},{"dropping-particle":"","family":"Cao","given":"Xindan","non-dropping-particle":"","parse-names":false,"suffix":""},{"dropping-particle":"","family":"Dai","given":"Junshi","non-dropping-particle":"","parse-names":false,"suffix":""},{"dropping-particle":"","family":"Wang","given":"Zhongqing","non-dropping-particle":"","parse-names":false,"suffix":""},{"dropping-particle":"","family":"Zhao","given":"Jiangyue","non-dropping-particle":"","parse-names":false,"suffix":""},{"dropping-particle":"","family":"Peng","given":"Cheng","non-dropping-particle":"","parse-names":false,"suffix":""}],"container-title":"Quantitative Imaging in Medicine and Surgery","id":"ITEM-1","issue":"1","issued":{"date-parts":[["2025"]]},"page":"852-866","title":"Bibliometric analysis of research on the application of deep learning to ophthalmology","type":"article-journal","volume":"15"},"uris":["http://www.mendeley.com/documents/?uuid=5cc03d11-0ae8-4a84-b384-1d79519254b2"]}],"mendeley":{"formattedCitation":"[34]","plainTextFormattedCitation":"[34]","previouslyFormattedCitation":"[33]"},"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[34]</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 which highlights Asia, especially China as a hotspot for AI innovations in ophthalmology.</w:t>
      </w:r>
    </w:p>
    <w:p w14:paraId="06CD8EB0" w14:textId="66824DA0" w:rsidR="00E45D75"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Owing to their regional diversity and potential for collaboration, universities like King Saud University, Central South University, and Beihang University are establishing the growing research</w:t>
      </w:r>
      <w:r w:rsidRPr="00F704AE">
        <w:rPr>
          <w:rFonts w:ascii="Times New Roman" w:eastAsia="Times New Roman" w:hAnsi="Times New Roman" w:cs="Times New Roman"/>
          <w:sz w:val="24"/>
          <w:szCs w:val="24"/>
          <w:lang w:eastAsia="en-GB"/>
        </w:rPr>
        <w:t xml:space="preserve"> </w:t>
      </w:r>
      <w:r w:rsidRPr="00F704AE">
        <w:rPr>
          <w:rFonts w:ascii="Times New Roman" w:eastAsia="Times New Roman" w:hAnsi="Times New Roman" w:cs="Times New Roman"/>
          <w:sz w:val="24"/>
          <w:szCs w:val="24"/>
          <w:lang w:val="en-GB" w:eastAsia="zh-CN"/>
        </w:rPr>
        <w:t xml:space="preserve">internationalisation. Meanwhile, the academic investment in clinical translation and applied AI in eye care is demonstrated by the 36 publications each from Shenzhen University and Wenzhou Medical University. Building equitable and generalisable AI models in ophthalmology requires this diversification of the global distribution of contributions throughout different healthcare systems </w:t>
      </w:r>
      <w:r w:rsidRPr="00F704AE">
        <w:rPr>
          <w:rFonts w:ascii="Times New Roman" w:eastAsia="Times New Roman" w:hAnsi="Times New Roman" w:cs="Times New Roman"/>
          <w:sz w:val="24"/>
          <w:szCs w:val="24"/>
          <w:lang w:val="en-GB" w:eastAsia="zh-CN"/>
        </w:rPr>
        <w:fldChar w:fldCharType="begin" w:fldLock="1"/>
      </w:r>
      <w:r w:rsidR="002C056A" w:rsidRPr="00F704AE">
        <w:rPr>
          <w:rFonts w:ascii="Times New Roman" w:eastAsia="Times New Roman" w:hAnsi="Times New Roman" w:cs="Times New Roman"/>
          <w:sz w:val="24"/>
          <w:szCs w:val="24"/>
          <w:lang w:val="en-GB" w:eastAsia="zh-CN"/>
        </w:rPr>
        <w:instrText>ADDIN CSL_CITATION {"citationItems":[{"id":"ITEM-1","itemData":{"DOI":"10.1016/S2589-7500(20)30060-1","ISSN":"25897500","PMID":"33328056","abstract":"Background: Deep learning is a novel machine learning technique that has been shown to be as effective as human graders in detecting diabetic retinopathy from fundus photographs. We used a cost-minimisation analysis to evaluate the potential savings of two deep learning approaches as compared with the current human assessment: a semi-automated deep learning model as a triage filter before secondary human assessment; and a fully automated deep learning model without human assessment. Methods: In this economic analysis modelling study, using 39 006 consecutive patients with diabetes in a national diabetic retinopathy screening programme in Singapore in 2015, we used a decision tree model and TreeAge Pro to compare the actual cost of screening this cohort with human graders against the simulated cost for semi-automated and fully automated screening models. Model parameters included diabetic retinopathy prevalence rates, diabetic retinopathy screening costs under each screening model, cost of medical consultation, and diagnostic performance (ie, sensitivity and specificity). The primary outcome was total cost for each screening model. Deterministic sensitivity analyses were done to gauge the sensitivity of the results to key model assumptions. Findings: From the health system perspective, the semi-automated screening model was the least expensive of the three models, at US$62 per patient per year. The fully automated model was $66 per patient per year, and the human assessment model was $77 per patient per year. The savings to the Singapore health system associated with switching to the semi-automated model are estimated to be $489 000, which is roughly 20% of the current annual screening cost. By 2050, Singapore is projected to have 1 million people with diabetes; at this time, the estimated annual savings would be $15 million. Interpretation: This study provides a strong economic rationale for using deep learning systems as an assistive tool to screen for diabetic retinopathy. Funding: Ministry of Health, Singapore.","author":[{"dropping-particle":"","family":"Xie","given":"Yuchen","non-dropping-particle":"","parse-names":false,"suffix":""},{"dropping-particle":"","family":"Nguyen","given":"Quang D.","non-dropping-particle":"","parse-names":false,"suffix":""},{"dropping-particle":"","family":"Hamzah","given":"Haslina","non-dropping-particle":"","parse-names":false,"suffix":""},{"dropping-particle":"","family":"Lim","given":"Gilbert","non-dropping-particle":"","parse-names":false,"suffix":""},{"dropping-particle":"","family":"Bellemo","given":"Valentina","non-dropping-particle":"","parse-names":false,"suffix":""},{"dropping-particle":"V.","family":"Gunasekeran","given":"Dinesh","non-dropping-particle":"","parse-names":false,"suffix":""},{"dropping-particle":"","family":"Yip","given":"Michelle Y.T.","non-dropping-particle":"","parse-names":false,"suffix":""},{"dropping-particle":"","family":"Qi Lee","given":"Xin","non-dropping-particle":"","parse-names":false,"suffix":""},{"dropping-particle":"","family":"Hsu","given":"Wynne","non-dropping-particle":"","parse-names":false,"suffix":""},{"dropping-particle":"","family":"Li Lee","given":"Mong","non-dropping-particle":"","parse-names":false,"suffix":""},{"dropping-particle":"","family":"Tan","given":"Colin S.","non-dropping-particle":"","parse-names":false,"suffix":""},{"dropping-particle":"","family":"Tym Wong","given":"Hon","non-dropping-particle":"","parse-names":false,"suffix":""},{"dropping-particle":"","family":"Lamoureux","given":"Ecosse L.","non-dropping-particle":"","parse-names":false,"suffix":""},{"dropping-particle":"","family":"Tan","given":"Gavin S.W.","non-dropping-particle":"","parse-names":false,"suffix":""},{"dropping-particle":"","family":"Wong","given":"Tien Y.","non-dropping-particle":"","parse-names":false,"suffix":""},{"dropping-particle":"","family":"Finkelstein","given":"Eric A.","non-dropping-particle":"","parse-names":false,"suffix":""},{"dropping-particle":"","family":"Ting","given":"Daniel S.W.","non-dropping-particle":"","parse-names":false,"suffix":""}],"container-title":"The Lancet Digital Health","id":"ITEM-1","issue":"5","issued":{"date-parts":[["2020"]]},"page":"e240-e249","publisher":"The Author(s). Published by Elsevier Ltd. This is an Open Access article under the CC BY-NC-ND 4.0 license","title":"Artificial intelligence for teleophthalmology-based diabetic retinopathy screening in a national programme: an economic analysis modelling study","type":"article-journal","volume":"2"},"uris":["http://www.mendeley.com/documents/?uuid=65659391-a57b-4d5c-a1cb-57375a5ff547"]}],"mendeley":{"formattedCitation":"[35]","plainTextFormattedCitation":"[35]","previouslyFormattedCitation":"[34]"},"properties":{"noteIndex":0},"schema":"https://github.com/citation-style-language/schema/raw/master/csl-citation.json"}</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eastAsia="Times New Roman" w:hAnsi="Times New Roman" w:cs="Times New Roman"/>
          <w:noProof/>
          <w:sz w:val="24"/>
          <w:szCs w:val="24"/>
          <w:lang w:val="en-GB" w:eastAsia="zh-CN"/>
        </w:rPr>
        <w:t>[35]</w:t>
      </w:r>
      <w:r w:rsidRPr="00F704AE">
        <w:rPr>
          <w:rFonts w:ascii="Times New Roman" w:eastAsia="Times New Roman" w:hAnsi="Times New Roman" w:cs="Times New Roman"/>
          <w:sz w:val="24"/>
          <w:szCs w:val="24"/>
          <w:lang w:val="en-GB" w:eastAsia="zh-CN"/>
        </w:rPr>
        <w:fldChar w:fldCharType="end"/>
      </w:r>
      <w:r w:rsidRPr="00F704AE">
        <w:rPr>
          <w:rFonts w:ascii="Times New Roman" w:eastAsia="Times New Roman" w:hAnsi="Times New Roman" w:cs="Times New Roman"/>
          <w:sz w:val="24"/>
          <w:szCs w:val="24"/>
          <w:lang w:val="en-GB" w:eastAsia="zh-CN"/>
        </w:rPr>
        <w:t>.</w:t>
      </w:r>
    </w:p>
    <w:p w14:paraId="46109F9E" w14:textId="523B2648" w:rsidR="006A3AA1" w:rsidRDefault="007313AE" w:rsidP="009F16A5">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t>Improving</w:t>
      </w:r>
      <w:r w:rsidR="00E45D75" w:rsidRPr="00F704AE">
        <w:rPr>
          <w:rFonts w:ascii="Times New Roman" w:eastAsia="Times New Roman" w:hAnsi="Times New Roman" w:cs="Times New Roman"/>
          <w:sz w:val="24"/>
          <w:szCs w:val="24"/>
          <w:lang w:val="en-GB" w:eastAsia="zh-CN"/>
        </w:rPr>
        <w:t xml:space="preserve"> partnerships across different regions and promoting data sharing can play a crucial role in developing AI models for ophthalmology that are more reliable, clinically relevant, and fair for diverse populations worldwide. This </w:t>
      </w:r>
      <w:r w:rsidR="00364824" w:rsidRPr="00F704AE">
        <w:rPr>
          <w:rFonts w:ascii="Times New Roman" w:eastAsia="Times New Roman" w:hAnsi="Times New Roman" w:cs="Times New Roman"/>
          <w:sz w:val="24"/>
          <w:szCs w:val="24"/>
          <w:lang w:val="en-GB" w:eastAsia="zh-CN"/>
        </w:rPr>
        <w:t>emphasizes</w:t>
      </w:r>
      <w:r w:rsidR="00E45D75" w:rsidRPr="00F704AE">
        <w:rPr>
          <w:rFonts w:ascii="Times New Roman" w:eastAsia="Times New Roman" w:hAnsi="Times New Roman" w:cs="Times New Roman"/>
          <w:sz w:val="24"/>
          <w:szCs w:val="24"/>
          <w:lang w:val="en-GB" w:eastAsia="zh-CN"/>
        </w:rPr>
        <w:t xml:space="preserve"> the importance of involving a wide range of institutions and geographic areas to ensure these AI tools are effective and applicable in varied healthcare settings. </w:t>
      </w:r>
    </w:p>
    <w:p w14:paraId="109893AD" w14:textId="77777777" w:rsidR="009F16A5" w:rsidRPr="009F16A5" w:rsidRDefault="009F16A5" w:rsidP="009F16A5">
      <w:pPr>
        <w:spacing w:before="240" w:after="240" w:line="240" w:lineRule="auto"/>
        <w:jc w:val="both"/>
        <w:rPr>
          <w:rFonts w:ascii="Times New Roman" w:eastAsia="Times New Roman" w:hAnsi="Times New Roman" w:cs="Times New Roman"/>
          <w:sz w:val="24"/>
          <w:szCs w:val="24"/>
          <w:lang w:val="en-GB" w:eastAsia="zh-CN"/>
        </w:rPr>
      </w:pPr>
    </w:p>
    <w:p w14:paraId="7CE31853" w14:textId="05D7BEF0" w:rsidR="00480DE8" w:rsidRPr="003A191C" w:rsidRDefault="00480DE8" w:rsidP="003A191C">
      <w:pPr>
        <w:keepNext/>
        <w:suppressAutoHyphens/>
        <w:adjustRightInd w:val="0"/>
        <w:snapToGrid w:val="0"/>
        <w:spacing w:before="240" w:after="240" w:line="240" w:lineRule="auto"/>
        <w:jc w:val="both"/>
        <w:outlineLvl w:val="0"/>
        <w:rPr>
          <w:rFonts w:ascii="Times New Roman" w:eastAsia="Times New Roman" w:hAnsi="Times New Roman" w:cs="Times New Roman"/>
          <w:b/>
          <w:sz w:val="24"/>
          <w:szCs w:val="24"/>
          <w:lang w:val="en-GB" w:eastAsia="zh-CN"/>
        </w:rPr>
      </w:pPr>
      <w:r w:rsidRPr="00F704AE">
        <w:rPr>
          <w:rFonts w:ascii="Times New Roman" w:eastAsia="Times New Roman" w:hAnsi="Times New Roman" w:cs="Times New Roman"/>
          <w:b/>
          <w:sz w:val="24"/>
          <w:szCs w:val="24"/>
          <w:lang w:val="en-GB" w:eastAsia="zh-CN"/>
        </w:rPr>
        <w:t>4.</w:t>
      </w:r>
      <w:r w:rsidR="00B837C7">
        <w:rPr>
          <w:rFonts w:ascii="Times New Roman" w:eastAsia="Times New Roman" w:hAnsi="Times New Roman" w:cs="Times New Roman"/>
          <w:b/>
          <w:sz w:val="24"/>
          <w:szCs w:val="24"/>
          <w:lang w:val="en-GB" w:eastAsia="zh-CN"/>
        </w:rPr>
        <w:t>6</w:t>
      </w:r>
      <w:r w:rsidRPr="00F704AE">
        <w:rPr>
          <w:rFonts w:ascii="Times New Roman" w:eastAsia="Times New Roman" w:hAnsi="Times New Roman" w:cs="Times New Roman"/>
          <w:b/>
          <w:sz w:val="24"/>
          <w:szCs w:val="24"/>
          <w:lang w:val="en-GB" w:eastAsia="zh-CN"/>
        </w:rPr>
        <w:t xml:space="preserve"> </w:t>
      </w:r>
      <w:r w:rsidR="002C056A" w:rsidRPr="00F704AE">
        <w:rPr>
          <w:rFonts w:ascii="Times New Roman" w:eastAsia="Times New Roman" w:hAnsi="Times New Roman" w:cs="Times New Roman"/>
          <w:b/>
          <w:sz w:val="24"/>
          <w:szCs w:val="24"/>
          <w:lang w:val="en-GB" w:eastAsia="zh-CN"/>
        </w:rPr>
        <w:t>Conclusion</w:t>
      </w:r>
      <w:r w:rsidRPr="00F704AE">
        <w:rPr>
          <w:rFonts w:ascii="Times New Roman" w:eastAsia="Times New Roman" w:hAnsi="Times New Roman" w:cs="Times New Roman"/>
          <w:b/>
          <w:sz w:val="24"/>
          <w:szCs w:val="24"/>
          <w:lang w:val="en-GB" w:eastAsia="zh-CN"/>
        </w:rPr>
        <w:t xml:space="preserve"> </w:t>
      </w:r>
    </w:p>
    <w:p w14:paraId="595438ED" w14:textId="6BEC6B60" w:rsidR="00480DE8" w:rsidRPr="00F704AE" w:rsidRDefault="00480DE8"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t>This bibliometric analysis examines 2,193 Scopus-indexed articles published between 2016 and 2024, revealing a remarkable expansion in research on AI and medical imaging for glaucoma detection. Spanning 541 sources and involving 6,711 authors, the field demonstrates an annual growth rate of 93.06%. Deep learning emerges as the dominant theme (1,572 keyword occurrences), closely followed by image segmentation (913 occurrences), with IEEE Access achieving the highest impact (H-index 35) and COMSATS University Islamabad leading institutional contributions (57 publications).​</w:t>
      </w:r>
    </w:p>
    <w:p w14:paraId="41BAED5A" w14:textId="67E024EE" w:rsidR="00480DE8" w:rsidRPr="00F704AE" w:rsidRDefault="00480DE8"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t>These findings align logically with the deep learning revolution around 2016, which transformed OCT and fundus image analysis</w:t>
      </w:r>
      <w:r w:rsidR="00CC0379" w:rsidRPr="00F704AE">
        <w:rPr>
          <w:rFonts w:ascii="Times New Roman" w:eastAsia="Times New Roman" w:hAnsi="Times New Roman" w:cs="Times New Roman"/>
          <w:color w:val="000000"/>
          <w:sz w:val="24"/>
          <w:szCs w:val="24"/>
          <w:lang w:eastAsia="en-GB"/>
        </w:rPr>
        <w:t xml:space="preserve">, </w:t>
      </w:r>
      <w:r w:rsidRPr="00F704AE">
        <w:rPr>
          <w:rFonts w:ascii="Times New Roman" w:eastAsia="Times New Roman" w:hAnsi="Times New Roman" w:cs="Times New Roman"/>
          <w:color w:val="000000"/>
          <w:sz w:val="24"/>
          <w:szCs w:val="24"/>
          <w:lang w:eastAsia="en-GB"/>
        </w:rPr>
        <w:t>exemplified by Gu et al.'s highly cited CE-Net framework (1,737 citations). The prominent role of Asian institutions, particularly from China, reflects both regional glaucoma prevalence and substantial investments in AI, consistent with observed collaboration patterns.​</w:t>
      </w:r>
      <w:r w:rsidR="00CC0379" w:rsidRPr="00F704AE">
        <w:rPr>
          <w:rFonts w:ascii="Times New Roman" w:eastAsia="Times New Roman" w:hAnsi="Times New Roman" w:cs="Times New Roman"/>
          <w:color w:val="000000"/>
          <w:sz w:val="24"/>
          <w:szCs w:val="24"/>
          <w:lang w:eastAsia="en-GB"/>
        </w:rPr>
        <w:t xml:space="preserve"> </w:t>
      </w:r>
    </w:p>
    <w:p w14:paraId="3B306B44" w14:textId="108369AB" w:rsidR="00480DE8" w:rsidRPr="00F704AE" w:rsidRDefault="00480DE8"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r w:rsidRPr="00F704AE">
        <w:rPr>
          <w:rFonts w:ascii="Times New Roman" w:eastAsia="Times New Roman" w:hAnsi="Times New Roman" w:cs="Times New Roman"/>
          <w:color w:val="000000"/>
          <w:sz w:val="24"/>
          <w:szCs w:val="24"/>
          <w:lang w:eastAsia="en-GB"/>
        </w:rPr>
        <w:lastRenderedPageBreak/>
        <w:t>The study's strengths include comprehensive Scopus data extraction, rigorous filtering from 3,853 to 2,193 relevant records, and insightful visualizations highlighting key trends and gaps, such as enhancing model generalizability.</w:t>
      </w:r>
      <w:r w:rsidR="00A36141" w:rsidRPr="00F704AE">
        <w:rPr>
          <w:rFonts w:ascii="Times New Roman" w:eastAsia="Times New Roman" w:hAnsi="Times New Roman" w:cs="Times New Roman"/>
          <w:sz w:val="24"/>
          <w:szCs w:val="24"/>
          <w:lang w:eastAsia="en-GB"/>
        </w:rPr>
        <w:t xml:space="preserve"> </w:t>
      </w:r>
      <w:r w:rsidRPr="00F704AE">
        <w:rPr>
          <w:rFonts w:ascii="Times New Roman" w:eastAsia="Times New Roman" w:hAnsi="Times New Roman" w:cs="Times New Roman"/>
          <w:color w:val="000000"/>
          <w:sz w:val="24"/>
          <w:szCs w:val="24"/>
          <w:lang w:eastAsia="en-GB"/>
        </w:rPr>
        <w:t>Limitations encompass the English-language restriction, potentially overlooking non-Western perspectives, and exclusion of gray literature.</w:t>
      </w:r>
    </w:p>
    <w:p w14:paraId="77D78BAA" w14:textId="77777777" w:rsidR="009B2D34" w:rsidRPr="00F704AE" w:rsidRDefault="009B2D34" w:rsidP="000931A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lang w:eastAsia="en-GB"/>
        </w:rPr>
      </w:pPr>
    </w:p>
    <w:p w14:paraId="1C5BCE5C" w14:textId="732843CA" w:rsidR="009B2D34" w:rsidRPr="00A80712" w:rsidRDefault="008615B1" w:rsidP="00A80712">
      <w:pPr>
        <w:keepNext/>
        <w:suppressAutoHyphens/>
        <w:adjustRightInd w:val="0"/>
        <w:snapToGrid w:val="0"/>
        <w:spacing w:before="240" w:after="240" w:line="240" w:lineRule="auto"/>
        <w:ind w:left="284" w:hanging="284"/>
        <w:jc w:val="both"/>
        <w:outlineLvl w:val="0"/>
        <w:rPr>
          <w:rFonts w:ascii="Times New Roman" w:eastAsia="Times New Roman" w:hAnsi="Times New Roman" w:cs="Times New Roman"/>
          <w:b/>
          <w:sz w:val="28"/>
          <w:szCs w:val="28"/>
          <w:lang w:val="en-GB" w:eastAsia="zh-CN"/>
        </w:rPr>
      </w:pPr>
      <w:r w:rsidRPr="008615B1">
        <w:rPr>
          <w:rFonts w:ascii="Times New Roman" w:eastAsia="Times New Roman" w:hAnsi="Times New Roman" w:cs="Times New Roman"/>
          <w:b/>
          <w:sz w:val="28"/>
          <w:szCs w:val="28"/>
          <w:lang w:val="en-GB" w:eastAsia="zh-CN"/>
        </w:rPr>
        <w:t xml:space="preserve">5.0 CONCLUSION </w:t>
      </w:r>
    </w:p>
    <w:p w14:paraId="207226F1" w14:textId="3C89754F"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r w:rsidRPr="00F704AE">
        <w:rPr>
          <w:rFonts w:ascii="Times New Roman" w:eastAsia="Times New Roman" w:hAnsi="Times New Roman" w:cs="Times New Roman"/>
          <w:sz w:val="24"/>
          <w:szCs w:val="24"/>
          <w:lang w:eastAsia="en-GB"/>
        </w:rPr>
        <w:t>This comprehensive bibliometric analysis provides an overview of research on machine learning for glaucoma detection, highlighting the rapid advancement of the field and its global significance. The principal findings signify that deep learning, especially CNN-based image processing, is crucial for the current diagnosis of glaucoma, despite ongoing challenges related to data access, privacy, and model suitability for diverse populations. Future studies are advised to tackle these challenges by enhancing the model's robustness and effectiveness in diverse clinical environments.  It is important to recognise that progressions in machine learning could enhance glaucoma detection and promote global eye health as AI technology grows rapidly.</w:t>
      </w:r>
      <w:r w:rsidR="00DF693D" w:rsidRPr="00F704AE">
        <w:rPr>
          <w:rFonts w:ascii="Times New Roman" w:eastAsia="Times New Roman" w:hAnsi="Times New Roman" w:cs="Times New Roman"/>
          <w:sz w:val="24"/>
          <w:szCs w:val="24"/>
          <w:lang w:eastAsia="en-GB"/>
        </w:rPr>
        <w:t xml:space="preserve"> I</w:t>
      </w:r>
      <w:r w:rsidRPr="00F704AE">
        <w:rPr>
          <w:rFonts w:ascii="Times New Roman" w:eastAsia="Times New Roman" w:hAnsi="Times New Roman" w:cs="Times New Roman"/>
          <w:sz w:val="24"/>
          <w:szCs w:val="24"/>
          <w:lang w:eastAsia="en-GB"/>
        </w:rPr>
        <w:t>t is worth noting that ocular and systemic biomarkers, advancements in telemedicine, real-world clinical trials, and sophisticated AI algorithms will together impact AI-driven ophthalmology worldwide</w:t>
      </w:r>
      <w:r w:rsidRPr="00F704AE">
        <w:rPr>
          <w:rFonts w:ascii="Times New Roman" w:eastAsia="Times New Roman" w:hAnsi="Times New Roman" w:cs="Times New Roman"/>
          <w:color w:val="000000"/>
          <w:sz w:val="24"/>
          <w:szCs w:val="24"/>
          <w:lang w:eastAsia="en-GB"/>
        </w:rPr>
        <w:t xml:space="preserve"> </w:t>
      </w:r>
      <w:r w:rsidRPr="00F704AE">
        <w:rPr>
          <w:rFonts w:ascii="Times New Roman" w:eastAsia="Times New Roman" w:hAnsi="Times New Roman" w:cs="Times New Roman"/>
          <w:sz w:val="24"/>
          <w:szCs w:val="24"/>
          <w:lang w:eastAsia="en-GB"/>
        </w:rPr>
        <w:fldChar w:fldCharType="begin" w:fldLock="1"/>
      </w:r>
      <w:r w:rsidR="002C056A" w:rsidRPr="00F704AE">
        <w:rPr>
          <w:rFonts w:ascii="Times New Roman" w:eastAsia="Times New Roman" w:hAnsi="Times New Roman" w:cs="Times New Roman"/>
          <w:sz w:val="24"/>
          <w:szCs w:val="24"/>
          <w:lang w:eastAsia="en-GB"/>
        </w:rPr>
        <w:instrText>ADDIN CSL_CITATION {"citationItems":[{"id":"ITEM-1","itemData":{"DOI":"10.21037/atm-22-3773","ISSN":"23055839","abstract":"BACKGROUND: The literature on artificial intelligence (AI)-related topics has been expanding rapidly over the last two decades, showing that AI is a crucial force in advancing ophthalmology. This analysis aims to provide a dynamic and longitudinal bibliometric analysis of AI-related ophthalmic papers. METHODS: The Web of Science was searched to retrieve papers regarding the application of AI in ophthalmology published in the English language up to May 2022. The variables were analyzed using Microsoft Excel 2019 and GraphPad Prism 9. Data visualization was performed using VOSviewer and CiteSpace. RESULTS: In this study, a total of 1,686 publications were analyzed. Recently, AI-related ophthalmology research has increased exponentially. China was the most productive country in this research field, with 483 articles, but the United States of America (446 publications) contributed most to the sum of citations and the H-index. The League of European Research Universities, Ting DSW, and Daniel SW were the most prolific institution and researchers. This field is primarily concerned with diabetic retinopathy (DR), glaucoma, optical coherence tomography, and the classification and diagnosis of fundus pictures. Current hotspots in AI research include deep learning, diagnosing and predicting systemic disorders by fundus images, incidence and progression of ocular diseases, and outcome prediction. CONCLUSIONS: This analysis thoroughly reviews AI-related research in ophthalmology to help academics better comprehend the growth and possible practice consequences of AI. The association between eye and systemic biomarkers, telemedicine, real-world studies, and the development and application of new AI algorithms, such as visual converters, will continue to be research hotspots over the next few years.","author":[{"dropping-particle":"","family":"Jiang","given":"Xue","non-dropping-particle":"","parse-names":false,"suffix":""},{"dropping-particle":"","family":"Xie","given":"Minyue","non-dropping-particle":"","parse-names":false,"suffix":""},{"dropping-particle":"","family":"Ma","given":"Lan","non-dropping-particle":"","parse-names":false,"suffix":""},{"dropping-particle":"","family":"Dong","given":"Li","non-dropping-particle":"","parse-names":false,"suffix":""},{"dropping-particle":"","family":"Li","given":"Dongmei","non-dropping-particle":"","parse-names":false,"suffix":""}],"container-title":"Annals of Translational Medicine","id":"ITEM-1","issue":"5","issued":{"date-parts":[["2023"]]},"page":"219-219","title":"International publication trends in the application of artificial intelligence in ophthalmology research: an updated bibliometric analysis","type":"article-journal","volume":"11"},"uris":["http://www.mendeley.com/documents/?uuid=eb74608c-73ea-4abf-a720-91ebe2db82db"]}],"mendeley":{"formattedCitation":"[11]","plainTextFormattedCitation":"[11]","previouslyFormattedCitation":"[36]"},"properties":{"noteIndex":0},"schema":"https://github.com/citation-style-language/schema/raw/master/csl-citation.json"}</w:instrText>
      </w:r>
      <w:r w:rsidRPr="00F704AE">
        <w:rPr>
          <w:rFonts w:ascii="Times New Roman" w:eastAsia="Times New Roman" w:hAnsi="Times New Roman" w:cs="Times New Roman"/>
          <w:sz w:val="24"/>
          <w:szCs w:val="24"/>
          <w:lang w:eastAsia="en-GB"/>
        </w:rPr>
        <w:fldChar w:fldCharType="separate"/>
      </w:r>
      <w:r w:rsidR="002C056A" w:rsidRPr="00F704AE">
        <w:rPr>
          <w:rFonts w:ascii="Times New Roman" w:eastAsia="Times New Roman" w:hAnsi="Times New Roman" w:cs="Times New Roman"/>
          <w:noProof/>
          <w:sz w:val="24"/>
          <w:szCs w:val="24"/>
          <w:lang w:eastAsia="en-GB"/>
        </w:rPr>
        <w:t>[11]</w:t>
      </w:r>
      <w:r w:rsidRPr="00F704AE">
        <w:rPr>
          <w:rFonts w:ascii="Times New Roman" w:eastAsia="Times New Roman" w:hAnsi="Times New Roman" w:cs="Times New Roman"/>
          <w:sz w:val="24"/>
          <w:szCs w:val="24"/>
          <w:lang w:eastAsia="en-GB"/>
        </w:rPr>
        <w:fldChar w:fldCharType="end"/>
      </w:r>
      <w:r w:rsidRPr="00F704AE">
        <w:rPr>
          <w:rFonts w:ascii="Times New Roman" w:eastAsia="Times New Roman" w:hAnsi="Times New Roman" w:cs="Times New Roman"/>
          <w:sz w:val="24"/>
          <w:szCs w:val="24"/>
          <w:lang w:eastAsia="en-GB"/>
        </w:rPr>
        <w:t>.</w:t>
      </w:r>
      <w:r w:rsidR="003852FF" w:rsidRPr="00F704AE">
        <w:rPr>
          <w:rFonts w:ascii="Times New Roman" w:eastAsia="Times New Roman" w:hAnsi="Times New Roman" w:cs="Times New Roman"/>
          <w:sz w:val="24"/>
          <w:szCs w:val="24"/>
          <w:lang w:eastAsia="en-GB"/>
        </w:rPr>
        <w:t xml:space="preserve"> </w:t>
      </w:r>
      <w:r w:rsidR="00CE5C98" w:rsidRPr="00F704AE">
        <w:rPr>
          <w:rFonts w:ascii="Times New Roman" w:eastAsia="Times New Roman" w:hAnsi="Times New Roman" w:cs="Times New Roman"/>
          <w:sz w:val="24"/>
          <w:szCs w:val="24"/>
          <w:lang w:eastAsia="en-GB"/>
        </w:rPr>
        <w:t xml:space="preserve">On the other hand, by </w:t>
      </w:r>
      <w:r w:rsidR="00DF693D" w:rsidRPr="00F704AE">
        <w:rPr>
          <w:rFonts w:ascii="Times New Roman" w:eastAsia="Times New Roman" w:hAnsi="Times New Roman" w:cs="Times New Roman"/>
          <w:sz w:val="24"/>
          <w:szCs w:val="24"/>
          <w:lang w:eastAsia="en-GB"/>
        </w:rPr>
        <w:t>broadening collaboration, research</w:t>
      </w:r>
      <w:r w:rsidR="00B36594" w:rsidRPr="00F704AE">
        <w:rPr>
          <w:rFonts w:ascii="Times New Roman" w:eastAsia="Times New Roman" w:hAnsi="Times New Roman" w:cs="Times New Roman"/>
          <w:sz w:val="24"/>
          <w:szCs w:val="24"/>
          <w:lang w:eastAsia="en-GB"/>
        </w:rPr>
        <w:t>ers</w:t>
      </w:r>
      <w:r w:rsidR="00DF693D" w:rsidRPr="00F704AE">
        <w:rPr>
          <w:rFonts w:ascii="Times New Roman" w:eastAsia="Times New Roman" w:hAnsi="Times New Roman" w:cs="Times New Roman"/>
          <w:sz w:val="24"/>
          <w:szCs w:val="24"/>
          <w:lang w:eastAsia="en-GB"/>
        </w:rPr>
        <w:t xml:space="preserve"> can overcome current limitations related to data variability and accessibility, paving the way for glaucoma diagnostics that truly serve global needs. </w:t>
      </w:r>
      <w:r w:rsidR="003852FF" w:rsidRPr="00F704AE">
        <w:rPr>
          <w:rFonts w:ascii="Times New Roman" w:eastAsia="Times New Roman" w:hAnsi="Times New Roman" w:cs="Times New Roman"/>
          <w:sz w:val="24"/>
          <w:szCs w:val="24"/>
          <w:lang w:eastAsia="en-GB"/>
        </w:rPr>
        <w:t>Looking ahead, the real wins will come from multimodal datasets, explainable AI to build clinician trust, and real-world trials across varied groups, steps that could finally turn these innovations into everyday tools for fairer, more effective eye care worldwide.</w:t>
      </w:r>
    </w:p>
    <w:p w14:paraId="564CBD12" w14:textId="77777777" w:rsidR="009B2D34" w:rsidRPr="00F704AE" w:rsidRDefault="009B2D34" w:rsidP="000931A3">
      <w:pPr>
        <w:spacing w:before="240" w:after="240" w:line="240" w:lineRule="auto"/>
        <w:jc w:val="both"/>
        <w:rPr>
          <w:rFonts w:ascii="Times New Roman" w:eastAsia="Times New Roman" w:hAnsi="Times New Roman" w:cs="Times New Roman"/>
          <w:sz w:val="24"/>
          <w:szCs w:val="24"/>
          <w:lang w:eastAsia="en-GB"/>
        </w:rPr>
      </w:pPr>
    </w:p>
    <w:p w14:paraId="58FE4D5B" w14:textId="77777777" w:rsidR="009B2D34" w:rsidRPr="008615B1" w:rsidRDefault="009B2D34" w:rsidP="000931A3">
      <w:pPr>
        <w:keepNext/>
        <w:suppressAutoHyphens/>
        <w:adjustRightInd w:val="0"/>
        <w:snapToGrid w:val="0"/>
        <w:spacing w:before="240" w:after="240" w:line="240" w:lineRule="auto"/>
        <w:jc w:val="both"/>
        <w:outlineLvl w:val="0"/>
        <w:rPr>
          <w:rFonts w:ascii="Times New Roman" w:eastAsia="Times New Roman" w:hAnsi="Times New Roman" w:cs="Times New Roman"/>
          <w:b/>
          <w:sz w:val="28"/>
          <w:szCs w:val="28"/>
          <w:lang w:val="en-GB" w:eastAsia="zh-CN"/>
        </w:rPr>
      </w:pPr>
      <w:r w:rsidRPr="008615B1">
        <w:rPr>
          <w:rFonts w:ascii="Times New Roman" w:eastAsia="Times New Roman" w:hAnsi="Times New Roman" w:cs="Times New Roman"/>
          <w:b/>
          <w:sz w:val="28"/>
          <w:szCs w:val="28"/>
          <w:lang w:val="en-GB" w:eastAsia="zh-CN"/>
        </w:rPr>
        <w:t xml:space="preserve">REFERENCES </w:t>
      </w:r>
    </w:p>
    <w:p w14:paraId="2EEA7287" w14:textId="77777777" w:rsidR="009B2D34" w:rsidRPr="00F704AE" w:rsidRDefault="009B2D34" w:rsidP="000931A3">
      <w:pPr>
        <w:spacing w:before="240" w:after="240" w:line="240" w:lineRule="auto"/>
        <w:rPr>
          <w:rFonts w:ascii="Times New Roman" w:eastAsia="Times New Roman" w:hAnsi="Times New Roman" w:cs="Times New Roman"/>
          <w:sz w:val="24"/>
          <w:szCs w:val="24"/>
          <w:lang w:val="en-GB" w:eastAsia="zh-CN"/>
        </w:rPr>
      </w:pPr>
    </w:p>
    <w:p w14:paraId="0E33DC9E" w14:textId="5BE86499" w:rsidR="002C056A" w:rsidRPr="00F704AE" w:rsidRDefault="009B2D34"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eastAsia="Times New Roman" w:hAnsi="Times New Roman" w:cs="Times New Roman"/>
          <w:sz w:val="24"/>
          <w:szCs w:val="24"/>
          <w:lang w:val="en-GB" w:eastAsia="zh-CN"/>
        </w:rPr>
        <w:fldChar w:fldCharType="begin" w:fldLock="1"/>
      </w:r>
      <w:r w:rsidRPr="00F704AE">
        <w:rPr>
          <w:rFonts w:ascii="Times New Roman" w:eastAsia="Times New Roman" w:hAnsi="Times New Roman" w:cs="Times New Roman"/>
          <w:sz w:val="24"/>
          <w:szCs w:val="24"/>
          <w:lang w:val="en-GB" w:eastAsia="zh-CN"/>
        </w:rPr>
        <w:instrText xml:space="preserve">ADDIN Mendeley Bibliography CSL_BIBLIOGRAPHY </w:instrText>
      </w:r>
      <w:r w:rsidRPr="00F704AE">
        <w:rPr>
          <w:rFonts w:ascii="Times New Roman" w:eastAsia="Times New Roman" w:hAnsi="Times New Roman" w:cs="Times New Roman"/>
          <w:sz w:val="24"/>
          <w:szCs w:val="24"/>
          <w:lang w:val="en-GB" w:eastAsia="zh-CN"/>
        </w:rPr>
        <w:fldChar w:fldCharType="separate"/>
      </w:r>
      <w:r w:rsidR="002C056A" w:rsidRPr="00F704AE">
        <w:rPr>
          <w:rFonts w:ascii="Times New Roman" w:hAnsi="Times New Roman" w:cs="Times New Roman"/>
          <w:noProof/>
          <w:sz w:val="24"/>
          <w:szCs w:val="24"/>
        </w:rPr>
        <w:t>[1]</w:t>
      </w:r>
      <w:r w:rsidR="002C056A" w:rsidRPr="00F704AE">
        <w:rPr>
          <w:rFonts w:ascii="Times New Roman" w:hAnsi="Times New Roman" w:cs="Times New Roman"/>
          <w:noProof/>
          <w:sz w:val="24"/>
          <w:szCs w:val="24"/>
        </w:rPr>
        <w:tab/>
        <w:t xml:space="preserve">Y. C. Tham, X. Li, T. Y. Wong, H. A. Quigley, T. Aung, and C. Y. Cheng, “Global prevalence of glaucoma and projections of glaucoma burden through 2040: A systematic review and meta-analysis,” </w:t>
      </w:r>
      <w:r w:rsidR="002C056A" w:rsidRPr="00F704AE">
        <w:rPr>
          <w:rFonts w:ascii="Times New Roman" w:hAnsi="Times New Roman" w:cs="Times New Roman"/>
          <w:i/>
          <w:iCs/>
          <w:noProof/>
          <w:sz w:val="24"/>
          <w:szCs w:val="24"/>
        </w:rPr>
        <w:t>Ophthalmology</w:t>
      </w:r>
      <w:r w:rsidR="002C056A" w:rsidRPr="00F704AE">
        <w:rPr>
          <w:rFonts w:ascii="Times New Roman" w:hAnsi="Times New Roman" w:cs="Times New Roman"/>
          <w:noProof/>
          <w:sz w:val="24"/>
          <w:szCs w:val="24"/>
        </w:rPr>
        <w:t>, vol. 121, no. 11, pp. 2081–2090, 2014, doi: 10.1016/j.ophtha.2014.05.013.</w:t>
      </w:r>
    </w:p>
    <w:p w14:paraId="76A35FFA"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w:t>
      </w:r>
      <w:r w:rsidRPr="00F704AE">
        <w:rPr>
          <w:rFonts w:ascii="Times New Roman" w:hAnsi="Times New Roman" w:cs="Times New Roman"/>
          <w:noProof/>
          <w:sz w:val="24"/>
          <w:szCs w:val="24"/>
        </w:rPr>
        <w:tab/>
        <w:t>“https://www.who.int,” 2023. .</w:t>
      </w:r>
    </w:p>
    <w:p w14:paraId="74A5FE11"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[3]</w:t>
      </w:r>
      <w:r w:rsidRPr="00F704AE">
        <w:rPr>
          <w:rFonts w:ascii="Times New Roman" w:hAnsi="Times New Roman" w:cs="Times New Roman"/>
          <w:noProof/>
          <w:sz w:val="24"/>
          <w:szCs w:val="24"/>
        </w:rPr>
        <w:tab/>
        <w:t xml:space="preserve">R. K. Goit, “Exploring Glaucoma : From Pathogenesis to Emerging Diagnostic,” </w:t>
      </w:r>
      <w:r w:rsidRPr="00F704AE">
        <w:rPr>
          <w:rFonts w:ascii="Times New Roman" w:hAnsi="Times New Roman" w:cs="Times New Roman"/>
          <w:i/>
          <w:iCs/>
          <w:noProof/>
          <w:sz w:val="24"/>
          <w:szCs w:val="24"/>
        </w:rPr>
        <w:t>J. Ophthalmol.</w:t>
      </w:r>
      <w:r w:rsidRPr="00F704AE">
        <w:rPr>
          <w:rFonts w:ascii="Times New Roman" w:hAnsi="Times New Roman" w:cs="Times New Roman"/>
          <w:noProof/>
          <w:sz w:val="24"/>
          <w:szCs w:val="24"/>
        </w:rPr>
        <w:t>, vol. 2025, 2025, doi: 10.1155/joph/8476785.</w:t>
      </w:r>
    </w:p>
    <w:p w14:paraId="1F10C2F2"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[4]</w:t>
      </w:r>
      <w:r w:rsidRPr="00F704AE">
        <w:rPr>
          <w:rFonts w:ascii="Times New Roman" w:hAnsi="Times New Roman" w:cs="Times New Roman"/>
          <w:noProof/>
          <w:sz w:val="24"/>
          <w:szCs w:val="24"/>
        </w:rPr>
        <w:tab/>
        <w:t xml:space="preserve">K. V Stuart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“Prevalence of Glaucoma in Europe and Projections to 2050 Findings from the European Eye Epidemiology Consortium,” </w:t>
      </w:r>
      <w:r w:rsidRPr="00F704AE">
        <w:rPr>
          <w:rFonts w:ascii="Times New Roman" w:hAnsi="Times New Roman" w:cs="Times New Roman"/>
          <w:i/>
          <w:iCs/>
          <w:noProof/>
          <w:sz w:val="24"/>
          <w:szCs w:val="24"/>
        </w:rPr>
        <w:t>Am. Acad. Ophthalmol.</w:t>
      </w:r>
      <w:r w:rsidRPr="00F704AE">
        <w:rPr>
          <w:rFonts w:ascii="Times New Roman" w:hAnsi="Times New Roman" w:cs="Times New Roman"/>
          <w:noProof/>
          <w:sz w:val="24"/>
          <w:szCs w:val="24"/>
        </w:rPr>
        <w:t>, pp. 1114–1124, 2025, doi: 10.1016/j.ophtha.2025.06.002.</w:t>
      </w:r>
    </w:p>
    <w:p w14:paraId="61137FA0"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[5]</w:t>
      </w:r>
      <w:r w:rsidRPr="00F704AE">
        <w:rPr>
          <w:rFonts w:ascii="Times New Roman" w:hAnsi="Times New Roman" w:cs="Times New Roman"/>
          <w:noProof/>
          <w:sz w:val="24"/>
          <w:szCs w:val="24"/>
        </w:rPr>
        <w:tab/>
        <w:t xml:space="preserve">Y. Hagiwara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“Computer-aided diagnosis of glaucoma using fundus images: A review,” </w:t>
      </w:r>
      <w:r w:rsidRPr="00F704AE">
        <w:rPr>
          <w:rFonts w:ascii="Times New Roman" w:hAnsi="Times New Roman" w:cs="Times New Roman"/>
          <w:i/>
          <w:iCs/>
          <w:noProof/>
          <w:sz w:val="24"/>
          <w:szCs w:val="24"/>
        </w:rPr>
        <w:t>Comput. Methods Programs Biomed.</w:t>
      </w:r>
      <w:r w:rsidRPr="00F704AE">
        <w:rPr>
          <w:rFonts w:ascii="Times New Roman" w:hAnsi="Times New Roman" w:cs="Times New Roman"/>
          <w:noProof/>
          <w:sz w:val="24"/>
          <w:szCs w:val="24"/>
        </w:rPr>
        <w:t>, vol. 165, no. July, pp. 1–12, 2018, doi: 10.1016/j.cmpb.2018.07.012.</w:t>
      </w:r>
    </w:p>
    <w:p w14:paraId="4414026E"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[6]</w:t>
      </w:r>
      <w:r w:rsidRPr="00F704AE">
        <w:rPr>
          <w:rFonts w:ascii="Times New Roman" w:hAnsi="Times New Roman" w:cs="Times New Roman"/>
          <w:noProof/>
          <w:sz w:val="24"/>
          <w:szCs w:val="24"/>
        </w:rPr>
        <w:tab/>
        <w:t xml:space="preserve">C. Liu, L. Y. Wang, K. Y. Zhu, C. M. Liu, and J. G. Duan, “Systematic bibliometric and visualized analysis of research hotspots and trends on the application of artificial intelligence in glaucoma from 2013 to 2022,” </w:t>
      </w:r>
      <w:r w:rsidRPr="00F704AE">
        <w:rPr>
          <w:rFonts w:ascii="Times New Roman" w:hAnsi="Times New Roman" w:cs="Times New Roman"/>
          <w:i/>
          <w:iCs/>
          <w:noProof/>
          <w:sz w:val="24"/>
          <w:szCs w:val="24"/>
        </w:rPr>
        <w:t>Int. J. Ophthalmol.</w:t>
      </w:r>
      <w:r w:rsidRPr="00F704AE">
        <w:rPr>
          <w:rFonts w:ascii="Times New Roman" w:hAnsi="Times New Roman" w:cs="Times New Roman"/>
          <w:noProof/>
          <w:sz w:val="24"/>
          <w:szCs w:val="24"/>
        </w:rPr>
        <w:t>, vol. 17, no. 9, pp. 1731–1742, 2024, doi: 10.18240/ijo.2024.09.22.</w:t>
      </w:r>
    </w:p>
    <w:p w14:paraId="4EADFF9D"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[7]</w:t>
      </w:r>
      <w:r w:rsidRPr="00F704AE">
        <w:rPr>
          <w:rFonts w:ascii="Times New Roman" w:hAnsi="Times New Roman" w:cs="Times New Roman"/>
          <w:noProof/>
          <w:sz w:val="24"/>
          <w:szCs w:val="24"/>
        </w:rPr>
        <w:tab/>
        <w:t xml:space="preserve">S. Hung and W. Yen, “Advances in Glaucoma Diagnosis and Treatment : Integrating Innovations for Enhanced Patient Outcomes,” </w:t>
      </w:r>
      <w:r w:rsidRPr="00F704AE">
        <w:rPr>
          <w:rFonts w:ascii="Times New Roman" w:hAnsi="Times New Roman" w:cs="Times New Roman"/>
          <w:i/>
          <w:iCs/>
          <w:noProof/>
          <w:sz w:val="24"/>
          <w:szCs w:val="24"/>
        </w:rPr>
        <w:t>Biomedicines</w:t>
      </w:r>
      <w:r w:rsidRPr="00F704AE">
        <w:rPr>
          <w:rFonts w:ascii="Times New Roman" w:hAnsi="Times New Roman" w:cs="Times New Roman"/>
          <w:noProof/>
          <w:sz w:val="24"/>
          <w:szCs w:val="24"/>
        </w:rPr>
        <w:t>, pp. 1–11, 2025.</w:t>
      </w:r>
    </w:p>
    <w:p w14:paraId="04341915"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[8]</w:t>
      </w:r>
      <w:r w:rsidRPr="00F704AE">
        <w:rPr>
          <w:rFonts w:ascii="Times New Roman" w:hAnsi="Times New Roman" w:cs="Times New Roman"/>
          <w:noProof/>
          <w:sz w:val="24"/>
          <w:szCs w:val="24"/>
        </w:rPr>
        <w:tab/>
        <w:t xml:space="preserve">X. Huang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w:t>
      </w:r>
      <w:r w:rsidRPr="00F704AE">
        <w:rPr>
          <w:rFonts w:ascii="Times New Roman" w:hAnsi="Times New Roman" w:cs="Times New Roman"/>
          <w:i/>
          <w:iCs/>
          <w:noProof/>
          <w:sz w:val="24"/>
          <w:szCs w:val="24"/>
        </w:rPr>
        <w:t>Artificial intelligence in glaucoma: opportunities, challenges, and future directions</w:t>
      </w:r>
      <w:r w:rsidRPr="00F704AE">
        <w:rPr>
          <w:rFonts w:ascii="Times New Roman" w:hAnsi="Times New Roman" w:cs="Times New Roman"/>
          <w:noProof/>
          <w:sz w:val="24"/>
          <w:szCs w:val="24"/>
        </w:rPr>
        <w:t>, vol. 22, no. 1. 2023.</w:t>
      </w:r>
    </w:p>
    <w:p w14:paraId="5DB2F572"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lastRenderedPageBreak/>
        <w:t>[9]</w:t>
      </w:r>
      <w:r w:rsidRPr="00F704AE">
        <w:rPr>
          <w:rFonts w:ascii="Times New Roman" w:hAnsi="Times New Roman" w:cs="Times New Roman"/>
          <w:noProof/>
          <w:sz w:val="24"/>
          <w:szCs w:val="24"/>
        </w:rPr>
        <w:tab/>
        <w:t xml:space="preserve">C. Lan, T. Chiu, and W. Yen, “Artificial Intelligence in Glaucoma : Advances in Diagnosis , Progression Forecasting , and Surgical Outcome Prediction,” </w:t>
      </w:r>
      <w:r w:rsidRPr="00F704AE">
        <w:rPr>
          <w:rFonts w:ascii="Times New Roman" w:hAnsi="Times New Roman" w:cs="Times New Roman"/>
          <w:i/>
          <w:iCs/>
          <w:noProof/>
          <w:sz w:val="24"/>
          <w:szCs w:val="24"/>
        </w:rPr>
        <w:t>Int. J. Mol. Sci.</w:t>
      </w:r>
      <w:r w:rsidRPr="00F704AE">
        <w:rPr>
          <w:rFonts w:ascii="Times New Roman" w:hAnsi="Times New Roman" w:cs="Times New Roman"/>
          <w:noProof/>
          <w:sz w:val="24"/>
          <w:szCs w:val="24"/>
        </w:rPr>
        <w:t>, pp. 1–20, 2025.</w:t>
      </w:r>
    </w:p>
    <w:p w14:paraId="357F06CF"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[10]</w:t>
      </w:r>
      <w:r w:rsidRPr="00F704AE">
        <w:rPr>
          <w:rFonts w:ascii="Times New Roman" w:hAnsi="Times New Roman" w:cs="Times New Roman"/>
          <w:noProof/>
          <w:sz w:val="24"/>
          <w:szCs w:val="24"/>
        </w:rPr>
        <w:tab/>
        <w:t xml:space="preserve">L. Liang and K. Xu, “Artificial intelligence and glaucoma : a lucid and comprehensive review,” </w:t>
      </w:r>
      <w:r w:rsidRPr="00F704AE">
        <w:rPr>
          <w:rFonts w:ascii="Times New Roman" w:hAnsi="Times New Roman" w:cs="Times New Roman"/>
          <w:i/>
          <w:iCs/>
          <w:noProof/>
          <w:sz w:val="24"/>
          <w:szCs w:val="24"/>
        </w:rPr>
        <w:t>Front. Med.</w:t>
      </w:r>
      <w:r w:rsidRPr="00F704AE">
        <w:rPr>
          <w:rFonts w:ascii="Times New Roman" w:hAnsi="Times New Roman" w:cs="Times New Roman"/>
          <w:noProof/>
          <w:sz w:val="24"/>
          <w:szCs w:val="24"/>
        </w:rPr>
        <w:t>, no. December, pp. 1–6, 2024, doi: 10.3389/fmed.2024.1423813.</w:t>
      </w:r>
    </w:p>
    <w:p w14:paraId="6534F85B"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[11]</w:t>
      </w:r>
      <w:r w:rsidRPr="00F704AE">
        <w:rPr>
          <w:rFonts w:ascii="Times New Roman" w:hAnsi="Times New Roman" w:cs="Times New Roman"/>
          <w:noProof/>
          <w:sz w:val="24"/>
          <w:szCs w:val="24"/>
        </w:rPr>
        <w:tab/>
        <w:t xml:space="preserve">X. Jiang, M. Xie, L. Ma, L. Dong, and D. Li, “International publication trends in the application of artificial intelligence in ophthalmology research: an updated bibliometric analysis,” </w:t>
      </w:r>
      <w:r w:rsidRPr="00F704AE">
        <w:rPr>
          <w:rFonts w:ascii="Times New Roman" w:hAnsi="Times New Roman" w:cs="Times New Roman"/>
          <w:i/>
          <w:iCs/>
          <w:noProof/>
          <w:sz w:val="24"/>
          <w:szCs w:val="24"/>
        </w:rPr>
        <w:t>Ann. Transl. Med.</w:t>
      </w:r>
      <w:r w:rsidRPr="00F704AE">
        <w:rPr>
          <w:rFonts w:ascii="Times New Roman" w:hAnsi="Times New Roman" w:cs="Times New Roman"/>
          <w:noProof/>
          <w:sz w:val="24"/>
          <w:szCs w:val="24"/>
        </w:rPr>
        <w:t>, vol. 11, no. 5, pp. 219–219, 2023, doi: 10.21037/atm-22-3773.</w:t>
      </w:r>
    </w:p>
    <w:p w14:paraId="3C28AE00"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[12]</w:t>
      </w:r>
      <w:r w:rsidRPr="00F704AE">
        <w:rPr>
          <w:rFonts w:ascii="Times New Roman" w:hAnsi="Times New Roman" w:cs="Times New Roman"/>
          <w:noProof/>
          <w:sz w:val="24"/>
          <w:szCs w:val="24"/>
        </w:rPr>
        <w:tab/>
        <w:t xml:space="preserve">R. Senthil, T. Anand, C. S. Somala, and K. M. Saravanan, “Bibliometric analysis of artificial intelligence in healthcare research: Trends and future directions,” </w:t>
      </w:r>
      <w:r w:rsidRPr="00F704AE">
        <w:rPr>
          <w:rFonts w:ascii="Times New Roman" w:hAnsi="Times New Roman" w:cs="Times New Roman"/>
          <w:i/>
          <w:iCs/>
          <w:noProof/>
          <w:sz w:val="24"/>
          <w:szCs w:val="24"/>
        </w:rPr>
        <w:t>Futur. Healthc. J.</w:t>
      </w:r>
      <w:r w:rsidRPr="00F704AE">
        <w:rPr>
          <w:rFonts w:ascii="Times New Roman" w:hAnsi="Times New Roman" w:cs="Times New Roman"/>
          <w:noProof/>
          <w:sz w:val="24"/>
          <w:szCs w:val="24"/>
        </w:rPr>
        <w:t>, vol. 11, no. 3, p. 100182, 2024, doi: 10.1016/j.fhj.2024.100182.</w:t>
      </w:r>
    </w:p>
    <w:p w14:paraId="7FA801E6"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[13]</w:t>
      </w:r>
      <w:r w:rsidRPr="00F704AE">
        <w:rPr>
          <w:rFonts w:ascii="Times New Roman" w:hAnsi="Times New Roman" w:cs="Times New Roman"/>
          <w:noProof/>
          <w:sz w:val="24"/>
          <w:szCs w:val="24"/>
        </w:rPr>
        <w:tab/>
        <w:t xml:space="preserve">B. Kocak, B. Baessler, R. Cuocolo, N. Mercaldo, and D. Pinto dos Santos, “Trends and statistics of artificial intelligence and radiomics research in Radiology, Nuclear Medicine, and Medical Imaging: bibliometric analysis,” </w:t>
      </w:r>
      <w:r w:rsidRPr="00F704AE">
        <w:rPr>
          <w:rFonts w:ascii="Times New Roman" w:hAnsi="Times New Roman" w:cs="Times New Roman"/>
          <w:i/>
          <w:iCs/>
          <w:noProof/>
          <w:sz w:val="24"/>
          <w:szCs w:val="24"/>
        </w:rPr>
        <w:t>Eur. Radiol.</w:t>
      </w:r>
      <w:r w:rsidRPr="00F704AE">
        <w:rPr>
          <w:rFonts w:ascii="Times New Roman" w:hAnsi="Times New Roman" w:cs="Times New Roman"/>
          <w:noProof/>
          <w:sz w:val="24"/>
          <w:szCs w:val="24"/>
        </w:rPr>
        <w:t>, vol. 33, no. 11, pp. 7542–7555, 2023, doi: 10.1007/s00330-023-09772-0.</w:t>
      </w:r>
    </w:p>
    <w:p w14:paraId="6B5DD4D4"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[14]</w:t>
      </w:r>
      <w:r w:rsidRPr="00F704AE">
        <w:rPr>
          <w:rFonts w:ascii="Times New Roman" w:hAnsi="Times New Roman" w:cs="Times New Roman"/>
          <w:noProof/>
          <w:sz w:val="24"/>
          <w:szCs w:val="24"/>
        </w:rPr>
        <w:tab/>
        <w:t xml:space="preserve">J. Cui, X. Miao, X. Yanghao, and X. Qin, “Bibliometric research on the developments of artificial intelligence in radiomics toward nervous system diseases,” </w:t>
      </w:r>
      <w:r w:rsidRPr="00F704AE">
        <w:rPr>
          <w:rFonts w:ascii="Times New Roman" w:hAnsi="Times New Roman" w:cs="Times New Roman"/>
          <w:i/>
          <w:iCs/>
          <w:noProof/>
          <w:sz w:val="24"/>
          <w:szCs w:val="24"/>
        </w:rPr>
        <w:t>Front. Neurol.</w:t>
      </w:r>
      <w:r w:rsidRPr="00F704AE">
        <w:rPr>
          <w:rFonts w:ascii="Times New Roman" w:hAnsi="Times New Roman" w:cs="Times New Roman"/>
          <w:noProof/>
          <w:sz w:val="24"/>
          <w:szCs w:val="24"/>
        </w:rPr>
        <w:t>, vol. 14, 2023, doi: 10.3389/fneur.2023.1171167.</w:t>
      </w:r>
    </w:p>
    <w:p w14:paraId="09BAC806"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[15]</w:t>
      </w:r>
      <w:r w:rsidRPr="00F704AE">
        <w:rPr>
          <w:rFonts w:ascii="Times New Roman" w:hAnsi="Times New Roman" w:cs="Times New Roman"/>
          <w:noProof/>
          <w:sz w:val="24"/>
          <w:szCs w:val="24"/>
        </w:rPr>
        <w:tab/>
        <w:t xml:space="preserve">H. Chiroma, I. A. T. Hashem, and M. Maray, “Bibliometric analysis for artificial intelligence in the internet of medical things: mapping and performance analysis,” </w:t>
      </w:r>
      <w:r w:rsidRPr="00F704AE">
        <w:rPr>
          <w:rFonts w:ascii="Times New Roman" w:hAnsi="Times New Roman" w:cs="Times New Roman"/>
          <w:i/>
          <w:iCs/>
          <w:noProof/>
          <w:sz w:val="24"/>
          <w:szCs w:val="24"/>
        </w:rPr>
        <w:t>Front. Artif. Intell.</w:t>
      </w:r>
      <w:r w:rsidRPr="00F704AE">
        <w:rPr>
          <w:rFonts w:ascii="Times New Roman" w:hAnsi="Times New Roman" w:cs="Times New Roman"/>
          <w:noProof/>
          <w:sz w:val="24"/>
          <w:szCs w:val="24"/>
        </w:rPr>
        <w:t>, vol. 7, 2024, doi: 10.3389/frai.2024.1347815.</w:t>
      </w:r>
    </w:p>
    <w:p w14:paraId="5D983D29"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[16]</w:t>
      </w:r>
      <w:r w:rsidRPr="00F704AE">
        <w:rPr>
          <w:rFonts w:ascii="Times New Roman" w:hAnsi="Times New Roman" w:cs="Times New Roman"/>
          <w:noProof/>
          <w:sz w:val="24"/>
          <w:szCs w:val="24"/>
        </w:rPr>
        <w:tab/>
        <w:t xml:space="preserve">A. Aljohani and R. Y. Aburasain, “A hybrid framework for glaucoma detection through federated machine learning and deep learning models,” </w:t>
      </w:r>
      <w:r w:rsidRPr="00F704AE">
        <w:rPr>
          <w:rFonts w:ascii="Times New Roman" w:hAnsi="Times New Roman" w:cs="Times New Roman"/>
          <w:i/>
          <w:iCs/>
          <w:noProof/>
          <w:sz w:val="24"/>
          <w:szCs w:val="24"/>
        </w:rPr>
        <w:t>BMC Med. Inform. Decis. Mak.</w:t>
      </w:r>
      <w:r w:rsidRPr="00F704AE">
        <w:rPr>
          <w:rFonts w:ascii="Times New Roman" w:hAnsi="Times New Roman" w:cs="Times New Roman"/>
          <w:noProof/>
          <w:sz w:val="24"/>
          <w:szCs w:val="24"/>
        </w:rPr>
        <w:t>, vol. 24, no. 1, 2024, doi: 10.1186/s12911-024-02518-y.</w:t>
      </w:r>
    </w:p>
    <w:p w14:paraId="346F2377"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[17]</w:t>
      </w:r>
      <w:r w:rsidRPr="00F704AE">
        <w:rPr>
          <w:rFonts w:ascii="Times New Roman" w:hAnsi="Times New Roman" w:cs="Times New Roman"/>
          <w:noProof/>
          <w:sz w:val="24"/>
          <w:szCs w:val="24"/>
        </w:rPr>
        <w:tab/>
        <w:t xml:space="preserve">C. W. Wu, H. Y. Chen, J. Y. Chen, and C. H. Lee, “Glaucoma Detection Using Support Vector Machine Method Based on Spectralis OCT,” </w:t>
      </w:r>
      <w:r w:rsidRPr="00F704AE">
        <w:rPr>
          <w:rFonts w:ascii="Times New Roman" w:hAnsi="Times New Roman" w:cs="Times New Roman"/>
          <w:i/>
          <w:iCs/>
          <w:noProof/>
          <w:sz w:val="24"/>
          <w:szCs w:val="24"/>
        </w:rPr>
        <w:t>Diagnostics</w:t>
      </w:r>
      <w:r w:rsidRPr="00F704AE">
        <w:rPr>
          <w:rFonts w:ascii="Times New Roman" w:hAnsi="Times New Roman" w:cs="Times New Roman"/>
          <w:noProof/>
          <w:sz w:val="24"/>
          <w:szCs w:val="24"/>
        </w:rPr>
        <w:t>, vol. 12, no. 2, 2022, doi: 10.3390/diagnostics12020391.</w:t>
      </w:r>
    </w:p>
    <w:p w14:paraId="26B05058"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[18]</w:t>
      </w:r>
      <w:r w:rsidRPr="00F704AE">
        <w:rPr>
          <w:rFonts w:ascii="Times New Roman" w:hAnsi="Times New Roman" w:cs="Times New Roman"/>
          <w:noProof/>
          <w:sz w:val="24"/>
          <w:szCs w:val="24"/>
        </w:rPr>
        <w:tab/>
        <w:t xml:space="preserve">J. Raja, P. Shanmugam, and R. Pitchai, “An Automated Early Detection of Glaucoma using Support Vector Machine Based Visual Geometry Group 19 (VGG-19) Convolutional Neural Network,” </w:t>
      </w:r>
      <w:r w:rsidRPr="00F704AE">
        <w:rPr>
          <w:rFonts w:ascii="Times New Roman" w:hAnsi="Times New Roman" w:cs="Times New Roman"/>
          <w:i/>
          <w:iCs/>
          <w:noProof/>
          <w:sz w:val="24"/>
          <w:szCs w:val="24"/>
        </w:rPr>
        <w:t>Wirel. Pers. Commun.</w:t>
      </w:r>
      <w:r w:rsidRPr="00F704AE">
        <w:rPr>
          <w:rFonts w:ascii="Times New Roman" w:hAnsi="Times New Roman" w:cs="Times New Roman"/>
          <w:noProof/>
          <w:sz w:val="24"/>
          <w:szCs w:val="24"/>
        </w:rPr>
        <w:t>, vol. 118, no. 1, pp. 523–534, 2021, doi: 10.1007/s11277-020-08029-z.</w:t>
      </w:r>
    </w:p>
    <w:p w14:paraId="5506F7B7"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[19]</w:t>
      </w:r>
      <w:r w:rsidRPr="00F704AE">
        <w:rPr>
          <w:rFonts w:ascii="Times New Roman" w:hAnsi="Times New Roman" w:cs="Times New Roman"/>
          <w:noProof/>
          <w:sz w:val="24"/>
          <w:szCs w:val="24"/>
        </w:rPr>
        <w:tab/>
        <w:t xml:space="preserve">A. Shoukat, S. Akbar, S. A. Hassan, S. Iqbal, A. Mehmood, and Q. M. Ilyas, “Automatic Diagnosis of Glaucoma from Retinal Images Using Deep Learning Approach,” </w:t>
      </w:r>
      <w:r w:rsidRPr="00F704AE">
        <w:rPr>
          <w:rFonts w:ascii="Times New Roman" w:hAnsi="Times New Roman" w:cs="Times New Roman"/>
          <w:i/>
          <w:iCs/>
          <w:noProof/>
          <w:sz w:val="24"/>
          <w:szCs w:val="24"/>
        </w:rPr>
        <w:t>Diagnostics</w:t>
      </w:r>
      <w:r w:rsidRPr="00F704AE">
        <w:rPr>
          <w:rFonts w:ascii="Times New Roman" w:hAnsi="Times New Roman" w:cs="Times New Roman"/>
          <w:noProof/>
          <w:sz w:val="24"/>
          <w:szCs w:val="24"/>
        </w:rPr>
        <w:t>, vol. 13, no. 10, 2023, doi: 10.3390/diagnostics13101738.</w:t>
      </w:r>
    </w:p>
    <w:p w14:paraId="075A06B8"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[20]</w:t>
      </w:r>
      <w:r w:rsidRPr="00F704AE">
        <w:rPr>
          <w:rFonts w:ascii="Times New Roman" w:hAnsi="Times New Roman" w:cs="Times New Roman"/>
          <w:noProof/>
          <w:sz w:val="24"/>
          <w:szCs w:val="24"/>
        </w:rPr>
        <w:tab/>
        <w:t xml:space="preserve">J. Zhao, Y. Lu, S. Zhu, K. Li, Q. Jiang, and W. Yang, “Systematic Bibliometric and Visualized Analysis of Research Hotspots and Trends on the Application of Artificial Intelligence in Ophthalmic Disease Diagnosis,” </w:t>
      </w:r>
      <w:r w:rsidRPr="00F704AE">
        <w:rPr>
          <w:rFonts w:ascii="Times New Roman" w:hAnsi="Times New Roman" w:cs="Times New Roman"/>
          <w:i/>
          <w:iCs/>
          <w:noProof/>
          <w:sz w:val="24"/>
          <w:szCs w:val="24"/>
        </w:rPr>
        <w:t>Front. Pharmacol.</w:t>
      </w:r>
      <w:r w:rsidRPr="00F704AE">
        <w:rPr>
          <w:rFonts w:ascii="Times New Roman" w:hAnsi="Times New Roman" w:cs="Times New Roman"/>
          <w:noProof/>
          <w:sz w:val="24"/>
          <w:szCs w:val="24"/>
        </w:rPr>
        <w:t>, vol. 13, no. June, pp. 1–12, 2022, doi: 10.3389/fphar.2022.930520.</w:t>
      </w:r>
    </w:p>
    <w:p w14:paraId="23C06F27"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[21]</w:t>
      </w:r>
      <w:r w:rsidRPr="00F704AE">
        <w:rPr>
          <w:rFonts w:ascii="Times New Roman" w:hAnsi="Times New Roman" w:cs="Times New Roman"/>
          <w:noProof/>
          <w:sz w:val="24"/>
          <w:szCs w:val="24"/>
        </w:rPr>
        <w:tab/>
        <w:t xml:space="preserve">R. Y. Wang, S. Y. Zhu, X. Y. Hu, L. Sun, S. C. Zhang, and W. H. Yang, “Artificial intelligence applications in ophthalmic optical coherence tomography: a 12-year bibliometric analysis,” </w:t>
      </w:r>
      <w:r w:rsidRPr="00F704AE">
        <w:rPr>
          <w:rFonts w:ascii="Times New Roman" w:hAnsi="Times New Roman" w:cs="Times New Roman"/>
          <w:i/>
          <w:iCs/>
          <w:noProof/>
          <w:sz w:val="24"/>
          <w:szCs w:val="24"/>
        </w:rPr>
        <w:t>Int. J. Ophthalmol.</w:t>
      </w:r>
      <w:r w:rsidRPr="00F704AE">
        <w:rPr>
          <w:rFonts w:ascii="Times New Roman" w:hAnsi="Times New Roman" w:cs="Times New Roman"/>
          <w:noProof/>
          <w:sz w:val="24"/>
          <w:szCs w:val="24"/>
        </w:rPr>
        <w:t>, vol. 17, no. 12, pp. 2295–2307, 2024, doi: 10.18240/ijo.2024.12.19.</w:t>
      </w:r>
    </w:p>
    <w:p w14:paraId="2874E863"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[22]</w:t>
      </w:r>
      <w:r w:rsidRPr="00F704AE">
        <w:rPr>
          <w:rFonts w:ascii="Times New Roman" w:hAnsi="Times New Roman" w:cs="Times New Roman"/>
          <w:noProof/>
          <w:sz w:val="24"/>
          <w:szCs w:val="24"/>
        </w:rPr>
        <w:tab/>
        <w:t xml:space="preserve">R. T. Yanagihara, C. S. Lee, D. S. W. Ting, and A. Y. Lee, “Methodological challenges of deep learning in optical coherence tomography for retinal diseases: A review,” </w:t>
      </w:r>
      <w:r w:rsidRPr="00F704AE">
        <w:rPr>
          <w:rFonts w:ascii="Times New Roman" w:hAnsi="Times New Roman" w:cs="Times New Roman"/>
          <w:i/>
          <w:iCs/>
          <w:noProof/>
          <w:sz w:val="24"/>
          <w:szCs w:val="24"/>
        </w:rPr>
        <w:t>Transl. Vis. Sci. Technol.</w:t>
      </w:r>
      <w:r w:rsidRPr="00F704AE">
        <w:rPr>
          <w:rFonts w:ascii="Times New Roman" w:hAnsi="Times New Roman" w:cs="Times New Roman"/>
          <w:noProof/>
          <w:sz w:val="24"/>
          <w:szCs w:val="24"/>
        </w:rPr>
        <w:t>, vol. 9, no. 2, pp. 17–19, 2020, doi: 10.1167/tvst.9.2.11.</w:t>
      </w:r>
    </w:p>
    <w:p w14:paraId="2803E0CD"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lastRenderedPageBreak/>
        <w:t>[23]</w:t>
      </w:r>
      <w:r w:rsidRPr="00F704AE">
        <w:rPr>
          <w:rFonts w:ascii="Times New Roman" w:hAnsi="Times New Roman" w:cs="Times New Roman"/>
          <w:noProof/>
          <w:sz w:val="24"/>
          <w:szCs w:val="24"/>
        </w:rPr>
        <w:tab/>
        <w:t xml:space="preserve">V. Mares, M. B. Nehemy, H. Bogunovic, S. Frank, G. S. Reiter, and U. Schmidt-Erfurth, “AI-based support for optical coherence tomography in age-related macular degeneration,” </w:t>
      </w:r>
      <w:r w:rsidRPr="00F704AE">
        <w:rPr>
          <w:rFonts w:ascii="Times New Roman" w:hAnsi="Times New Roman" w:cs="Times New Roman"/>
          <w:i/>
          <w:iCs/>
          <w:noProof/>
          <w:sz w:val="24"/>
          <w:szCs w:val="24"/>
        </w:rPr>
        <w:t>Int. J. Retin. Vitr.</w:t>
      </w:r>
      <w:r w:rsidRPr="00F704AE">
        <w:rPr>
          <w:rFonts w:ascii="Times New Roman" w:hAnsi="Times New Roman" w:cs="Times New Roman"/>
          <w:noProof/>
          <w:sz w:val="24"/>
          <w:szCs w:val="24"/>
        </w:rPr>
        <w:t>, vol. 10, no. 1, pp. 1–11, 2024, doi: 10.1186/s40942-024-00549-1.</w:t>
      </w:r>
    </w:p>
    <w:p w14:paraId="37D3F336"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[24]</w:t>
      </w:r>
      <w:r w:rsidRPr="00F704AE">
        <w:rPr>
          <w:rFonts w:ascii="Times New Roman" w:hAnsi="Times New Roman" w:cs="Times New Roman"/>
          <w:noProof/>
          <w:sz w:val="24"/>
          <w:szCs w:val="24"/>
        </w:rPr>
        <w:tab/>
        <w:t xml:space="preserve">D. S. W. Ting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“Artificial intelligence and deep learning in ophthalmology,” </w:t>
      </w:r>
      <w:r w:rsidRPr="00F704AE">
        <w:rPr>
          <w:rFonts w:ascii="Times New Roman" w:hAnsi="Times New Roman" w:cs="Times New Roman"/>
          <w:i/>
          <w:iCs/>
          <w:noProof/>
          <w:sz w:val="24"/>
          <w:szCs w:val="24"/>
        </w:rPr>
        <w:t>Br. J. Ophthalmol.</w:t>
      </w:r>
      <w:r w:rsidRPr="00F704AE">
        <w:rPr>
          <w:rFonts w:ascii="Times New Roman" w:hAnsi="Times New Roman" w:cs="Times New Roman"/>
          <w:noProof/>
          <w:sz w:val="24"/>
          <w:szCs w:val="24"/>
        </w:rPr>
        <w:t>, vol. 103, no. 2, pp. 167–175, 2019, doi: 10.1136/bjophthalmol-2018-313173.</w:t>
      </w:r>
    </w:p>
    <w:p w14:paraId="5926372E"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[25]</w:t>
      </w:r>
      <w:r w:rsidRPr="00F704AE">
        <w:rPr>
          <w:rFonts w:ascii="Times New Roman" w:hAnsi="Times New Roman" w:cs="Times New Roman"/>
          <w:noProof/>
          <w:sz w:val="24"/>
          <w:szCs w:val="24"/>
        </w:rPr>
        <w:tab/>
        <w:t xml:space="preserve">E. Tonti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“Artificial Intelligence and Advanced Technology in Glaucoma: A Review,” </w:t>
      </w:r>
      <w:r w:rsidRPr="00F704AE">
        <w:rPr>
          <w:rFonts w:ascii="Times New Roman" w:hAnsi="Times New Roman" w:cs="Times New Roman"/>
          <w:i/>
          <w:iCs/>
          <w:noProof/>
          <w:sz w:val="24"/>
          <w:szCs w:val="24"/>
        </w:rPr>
        <w:t>J. Pers. Med.</w:t>
      </w:r>
      <w:r w:rsidRPr="00F704AE">
        <w:rPr>
          <w:rFonts w:ascii="Times New Roman" w:hAnsi="Times New Roman" w:cs="Times New Roman"/>
          <w:noProof/>
          <w:sz w:val="24"/>
          <w:szCs w:val="24"/>
        </w:rPr>
        <w:t>, vol. 14, no. 10, pp. 1–16, 2024, doi: 10.3390/jpm14101062.</w:t>
      </w:r>
    </w:p>
    <w:p w14:paraId="2A1FD460"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[26]</w:t>
      </w:r>
      <w:r w:rsidRPr="00F704AE">
        <w:rPr>
          <w:rFonts w:ascii="Times New Roman" w:hAnsi="Times New Roman" w:cs="Times New Roman"/>
          <w:noProof/>
          <w:sz w:val="24"/>
          <w:szCs w:val="24"/>
        </w:rPr>
        <w:tab/>
        <w:t xml:space="preserve">Z. Gu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“CE-Net: Context Encoder Network for 2D Medical Image Segmentation,” </w:t>
      </w:r>
      <w:r w:rsidRPr="00F704AE">
        <w:rPr>
          <w:rFonts w:ascii="Times New Roman" w:hAnsi="Times New Roman" w:cs="Times New Roman"/>
          <w:i/>
          <w:iCs/>
          <w:noProof/>
          <w:sz w:val="24"/>
          <w:szCs w:val="24"/>
        </w:rPr>
        <w:t>IEEE Trans. Med. Imaging</w:t>
      </w:r>
      <w:r w:rsidRPr="00F704AE">
        <w:rPr>
          <w:rFonts w:ascii="Times New Roman" w:hAnsi="Times New Roman" w:cs="Times New Roman"/>
          <w:noProof/>
          <w:sz w:val="24"/>
          <w:szCs w:val="24"/>
        </w:rPr>
        <w:t>, vol. 38, no. 10, pp. 2281–2292, 2019, doi: 10.1109/TMI.2019.2903562.</w:t>
      </w:r>
    </w:p>
    <w:p w14:paraId="22233999"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[27]</w:t>
      </w:r>
      <w:r w:rsidRPr="00F704AE">
        <w:rPr>
          <w:rFonts w:ascii="Times New Roman" w:hAnsi="Times New Roman" w:cs="Times New Roman"/>
          <w:noProof/>
          <w:sz w:val="24"/>
          <w:szCs w:val="24"/>
        </w:rPr>
        <w:tab/>
        <w:t xml:space="preserve">X. Liu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“A comparison of deep learning performance against health-care professionals in detecting diseases from medical imaging: a systematic review and meta-analysis,” </w:t>
      </w:r>
      <w:r w:rsidRPr="00F704AE">
        <w:rPr>
          <w:rFonts w:ascii="Times New Roman" w:hAnsi="Times New Roman" w:cs="Times New Roman"/>
          <w:i/>
          <w:iCs/>
          <w:noProof/>
          <w:sz w:val="24"/>
          <w:szCs w:val="24"/>
        </w:rPr>
        <w:t>Lancet Digit. Heal.</w:t>
      </w:r>
      <w:r w:rsidRPr="00F704AE">
        <w:rPr>
          <w:rFonts w:ascii="Times New Roman" w:hAnsi="Times New Roman" w:cs="Times New Roman"/>
          <w:noProof/>
          <w:sz w:val="24"/>
          <w:szCs w:val="24"/>
        </w:rPr>
        <w:t>, vol. 1, no. 6, pp. e271–e297, 2019, doi: 10.1016/S2589-7500(19)30123-2.</w:t>
      </w:r>
    </w:p>
    <w:p w14:paraId="3C656A70"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[28]</w:t>
      </w:r>
      <w:r w:rsidRPr="00F704AE">
        <w:rPr>
          <w:rFonts w:ascii="Times New Roman" w:hAnsi="Times New Roman" w:cs="Times New Roman"/>
          <w:noProof/>
          <w:sz w:val="24"/>
          <w:szCs w:val="24"/>
        </w:rPr>
        <w:tab/>
        <w:t xml:space="preserve">N. Siddique, S. Paheding, C. P. Elkin, and V. Devabhaktuni, “U-Net and Its Variants for Medical Image Segmentation: A Review of Theory and Applications,” </w:t>
      </w:r>
      <w:r w:rsidRPr="00F704AE">
        <w:rPr>
          <w:rFonts w:ascii="Times New Roman" w:hAnsi="Times New Roman" w:cs="Times New Roman"/>
          <w:i/>
          <w:iCs/>
          <w:noProof/>
          <w:sz w:val="24"/>
          <w:szCs w:val="24"/>
        </w:rPr>
        <w:t>IEEE Access</w:t>
      </w:r>
      <w:r w:rsidRPr="00F704AE">
        <w:rPr>
          <w:rFonts w:ascii="Times New Roman" w:hAnsi="Times New Roman" w:cs="Times New Roman"/>
          <w:noProof/>
          <w:sz w:val="24"/>
          <w:szCs w:val="24"/>
        </w:rPr>
        <w:t>, vol. 9, pp. 82031–82057, 2021, doi: 10.1109/ACCESS.2021.3086020.</w:t>
      </w:r>
    </w:p>
    <w:p w14:paraId="19B12BF2"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[29]</w:t>
      </w:r>
      <w:r w:rsidRPr="00F704AE">
        <w:rPr>
          <w:rFonts w:ascii="Times New Roman" w:hAnsi="Times New Roman" w:cs="Times New Roman"/>
          <w:noProof/>
          <w:sz w:val="24"/>
          <w:szCs w:val="24"/>
        </w:rPr>
        <w:tab/>
        <w:t xml:space="preserve">H. Fu, J. Cheng, Y. Xu, D. W. K. Wong, J. Liu, and X. Cao, “Joint Optic Disc and Cup Segmentation Based on Multi-Label Deep Network and Polar Transformation,” </w:t>
      </w:r>
      <w:r w:rsidRPr="00F704AE">
        <w:rPr>
          <w:rFonts w:ascii="Times New Roman" w:hAnsi="Times New Roman" w:cs="Times New Roman"/>
          <w:i/>
          <w:iCs/>
          <w:noProof/>
          <w:sz w:val="24"/>
          <w:szCs w:val="24"/>
        </w:rPr>
        <w:t>IEEE Trans. Med. Imaging</w:t>
      </w:r>
      <w:r w:rsidRPr="00F704AE">
        <w:rPr>
          <w:rFonts w:ascii="Times New Roman" w:hAnsi="Times New Roman" w:cs="Times New Roman"/>
          <w:noProof/>
          <w:sz w:val="24"/>
          <w:szCs w:val="24"/>
        </w:rPr>
        <w:t>, vol. 37, no. 7, pp. 1597–1605, 2018, doi: 10.1109/TMI.2018.2791488.</w:t>
      </w:r>
    </w:p>
    <w:p w14:paraId="3CEFB3E9"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[30]</w:t>
      </w:r>
      <w:r w:rsidRPr="00F704AE">
        <w:rPr>
          <w:rFonts w:ascii="Times New Roman" w:hAnsi="Times New Roman" w:cs="Times New Roman"/>
          <w:noProof/>
          <w:sz w:val="24"/>
          <w:szCs w:val="24"/>
        </w:rPr>
        <w:tab/>
        <w:t xml:space="preserve">Q. Jin, Z. Meng, T. D. Pham, Q. Chen, L. Wei, and R. Su, “DUNet: A deformable network for retinal vessel segmentation,” </w:t>
      </w:r>
      <w:r w:rsidRPr="00F704AE">
        <w:rPr>
          <w:rFonts w:ascii="Times New Roman" w:hAnsi="Times New Roman" w:cs="Times New Roman"/>
          <w:i/>
          <w:iCs/>
          <w:noProof/>
          <w:sz w:val="24"/>
          <w:szCs w:val="24"/>
        </w:rPr>
        <w:t>Knowledge-Based Syst.</w:t>
      </w:r>
      <w:r w:rsidRPr="00F704AE">
        <w:rPr>
          <w:rFonts w:ascii="Times New Roman" w:hAnsi="Times New Roman" w:cs="Times New Roman"/>
          <w:noProof/>
          <w:sz w:val="24"/>
          <w:szCs w:val="24"/>
        </w:rPr>
        <w:t>, vol. 178, pp. 149–162, 2019, doi: 10.1016/j.knosys.2019.04.025.</w:t>
      </w:r>
    </w:p>
    <w:p w14:paraId="52D5D90B"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[31]</w:t>
      </w:r>
      <w:r w:rsidRPr="00F704AE">
        <w:rPr>
          <w:rFonts w:ascii="Times New Roman" w:hAnsi="Times New Roman" w:cs="Times New Roman"/>
          <w:noProof/>
          <w:sz w:val="24"/>
          <w:szCs w:val="24"/>
        </w:rPr>
        <w:tab/>
        <w:t xml:space="preserve">Z. Li, Y. He, S. Keel, W. Meng, R. T. Chang, and M. He, “Efficacy of a Deep Learning System for Detecting Glaucomatous Optic Neuropathy Based on Color Fundus Photographs,” </w:t>
      </w:r>
      <w:r w:rsidRPr="00F704AE">
        <w:rPr>
          <w:rFonts w:ascii="Times New Roman" w:hAnsi="Times New Roman" w:cs="Times New Roman"/>
          <w:i/>
          <w:iCs/>
          <w:noProof/>
          <w:sz w:val="24"/>
          <w:szCs w:val="24"/>
        </w:rPr>
        <w:t>Ophthalmology</w:t>
      </w:r>
      <w:r w:rsidRPr="00F704AE">
        <w:rPr>
          <w:rFonts w:ascii="Times New Roman" w:hAnsi="Times New Roman" w:cs="Times New Roman"/>
          <w:noProof/>
          <w:sz w:val="24"/>
          <w:szCs w:val="24"/>
        </w:rPr>
        <w:t>, vol. 125, no. 8, pp. 1199–1206, 2018, doi: 10.1016/j.ophtha.2018.01.023.</w:t>
      </w:r>
    </w:p>
    <w:p w14:paraId="70F46E4F"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[32]</w:t>
      </w:r>
      <w:r w:rsidRPr="00F704AE">
        <w:rPr>
          <w:rFonts w:ascii="Times New Roman" w:hAnsi="Times New Roman" w:cs="Times New Roman"/>
          <w:noProof/>
          <w:sz w:val="24"/>
          <w:szCs w:val="24"/>
        </w:rPr>
        <w:tab/>
        <w:t xml:space="preserve">G. Litjens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“A survey on deep learning in medical image analysis,” </w:t>
      </w:r>
      <w:r w:rsidRPr="00F704AE">
        <w:rPr>
          <w:rFonts w:ascii="Times New Roman" w:hAnsi="Times New Roman" w:cs="Times New Roman"/>
          <w:i/>
          <w:iCs/>
          <w:noProof/>
          <w:sz w:val="24"/>
          <w:szCs w:val="24"/>
        </w:rPr>
        <w:t>Med. Image Anal.</w:t>
      </w:r>
      <w:r w:rsidRPr="00F704AE">
        <w:rPr>
          <w:rFonts w:ascii="Times New Roman" w:hAnsi="Times New Roman" w:cs="Times New Roman"/>
          <w:noProof/>
          <w:sz w:val="24"/>
          <w:szCs w:val="24"/>
        </w:rPr>
        <w:t>, vol. 42, no. December 2012, pp. 60–88, 2017, doi: 10.1016/j.media.2017.07.005.</w:t>
      </w:r>
    </w:p>
    <w:p w14:paraId="6C38BB71"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[33]</w:t>
      </w:r>
      <w:r w:rsidRPr="00F704AE">
        <w:rPr>
          <w:rFonts w:ascii="Times New Roman" w:hAnsi="Times New Roman" w:cs="Times New Roman"/>
          <w:noProof/>
          <w:sz w:val="24"/>
          <w:szCs w:val="24"/>
        </w:rPr>
        <w:tab/>
        <w:t xml:space="preserve">L. Zhang, L. Tang, M. Xia, and G. Cao, “The application of arti fi cial intelligence in glaucoma diagnosis and prediction,” </w:t>
      </w:r>
      <w:r w:rsidRPr="00F704AE">
        <w:rPr>
          <w:rFonts w:ascii="Times New Roman" w:hAnsi="Times New Roman" w:cs="Times New Roman"/>
          <w:i/>
          <w:iCs/>
          <w:noProof/>
          <w:sz w:val="24"/>
          <w:szCs w:val="24"/>
        </w:rPr>
        <w:t>Front. cell Dev. Biol.</w:t>
      </w:r>
      <w:r w:rsidRPr="00F704AE">
        <w:rPr>
          <w:rFonts w:ascii="Times New Roman" w:hAnsi="Times New Roman" w:cs="Times New Roman"/>
          <w:noProof/>
          <w:sz w:val="24"/>
          <w:szCs w:val="24"/>
        </w:rPr>
        <w:t>, no. May, pp. 1–13, 2023, doi: 10.3389/fcell.2023.1173094.</w:t>
      </w:r>
    </w:p>
    <w:p w14:paraId="577BC9DF"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[34]</w:t>
      </w:r>
      <w:r w:rsidRPr="00F704AE">
        <w:rPr>
          <w:rFonts w:ascii="Times New Roman" w:hAnsi="Times New Roman" w:cs="Times New Roman"/>
          <w:noProof/>
          <w:sz w:val="24"/>
          <w:szCs w:val="24"/>
        </w:rPr>
        <w:tab/>
        <w:t xml:space="preserve">M. Zhao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“Bibliometric analysis of research on the application of deep learning to ophthalmology,” </w:t>
      </w:r>
      <w:r w:rsidRPr="00F704AE">
        <w:rPr>
          <w:rFonts w:ascii="Times New Roman" w:hAnsi="Times New Roman" w:cs="Times New Roman"/>
          <w:i/>
          <w:iCs/>
          <w:noProof/>
          <w:sz w:val="24"/>
          <w:szCs w:val="24"/>
        </w:rPr>
        <w:t>Quant. Imaging Med. Surg.</w:t>
      </w:r>
      <w:r w:rsidRPr="00F704AE">
        <w:rPr>
          <w:rFonts w:ascii="Times New Roman" w:hAnsi="Times New Roman" w:cs="Times New Roman"/>
          <w:noProof/>
          <w:sz w:val="24"/>
          <w:szCs w:val="24"/>
        </w:rPr>
        <w:t>, vol. 15, no. 1, pp. 852–866, 2025, doi: 10.21037/qims-24-1340.</w:t>
      </w:r>
    </w:p>
    <w:p w14:paraId="42FC5889"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[35]</w:t>
      </w:r>
      <w:r w:rsidRPr="00F704AE">
        <w:rPr>
          <w:rFonts w:ascii="Times New Roman" w:hAnsi="Times New Roman" w:cs="Times New Roman"/>
          <w:noProof/>
          <w:sz w:val="24"/>
          <w:szCs w:val="24"/>
        </w:rPr>
        <w:tab/>
        <w:t xml:space="preserve">Y. Xie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“Artificial intelligence for teleophthalmology-based diabetic retinopathy screening in a national programme: an economic analysis modelling study,” </w:t>
      </w:r>
      <w:r w:rsidRPr="00F704AE">
        <w:rPr>
          <w:rFonts w:ascii="Times New Roman" w:hAnsi="Times New Roman" w:cs="Times New Roman"/>
          <w:i/>
          <w:iCs/>
          <w:noProof/>
          <w:sz w:val="24"/>
          <w:szCs w:val="24"/>
        </w:rPr>
        <w:t>Lancet Digit. Heal.</w:t>
      </w:r>
      <w:r w:rsidRPr="00F704AE">
        <w:rPr>
          <w:rFonts w:ascii="Times New Roman" w:hAnsi="Times New Roman" w:cs="Times New Roman"/>
          <w:noProof/>
          <w:sz w:val="24"/>
          <w:szCs w:val="24"/>
        </w:rPr>
        <w:t>, vol. 2, no. 5, pp. e240–e249, 2020, doi: 10.1016/S2589-7500(20)30060-1.</w:t>
      </w:r>
    </w:p>
    <w:p w14:paraId="65DD6884" w14:textId="77777777" w:rsidR="002C056A" w:rsidRPr="00F704AE" w:rsidRDefault="002C056A" w:rsidP="000931A3">
      <w:pPr>
        <w:widowControl w:val="0"/>
        <w:autoSpaceDE w:val="0"/>
        <w:autoSpaceDN w:val="0"/>
        <w:adjustRightInd w:val="0"/>
        <w:spacing w:before="240" w:after="240" w:line="240" w:lineRule="auto"/>
        <w:ind w:left="640" w:hanging="640"/>
        <w:rPr>
          <w:rFonts w:ascii="Times New Roman" w:hAnsi="Times New Roman" w:cs="Times New Roman"/>
          <w:noProof/>
          <w:sz w:val="24"/>
          <w:szCs w:val="24"/>
        </w:rPr>
      </w:pPr>
      <w:r w:rsidRPr="00F704AE">
        <w:rPr>
          <w:rFonts w:ascii="Times New Roman" w:hAnsi="Times New Roman" w:cs="Times New Roman"/>
          <w:noProof/>
          <w:sz w:val="24"/>
          <w:szCs w:val="24"/>
        </w:rPr>
        <w:t>[36]</w:t>
      </w:r>
      <w:r w:rsidRPr="00F704AE">
        <w:rPr>
          <w:rFonts w:ascii="Times New Roman" w:hAnsi="Times New Roman" w:cs="Times New Roman"/>
          <w:noProof/>
          <w:sz w:val="24"/>
          <w:szCs w:val="24"/>
        </w:rPr>
        <w:tab/>
        <w:t xml:space="preserve">J. Schlemper </w:t>
      </w:r>
      <w:r w:rsidRPr="00F704AE">
        <w:rPr>
          <w:rFonts w:ascii="Times New Roman" w:hAnsi="Times New Roman" w:cs="Times New Roman"/>
          <w:i/>
          <w:iCs/>
          <w:noProof/>
          <w:sz w:val="24"/>
          <w:szCs w:val="24"/>
        </w:rPr>
        <w:t>et al.</w:t>
      </w:r>
      <w:r w:rsidRPr="00F704AE">
        <w:rPr>
          <w:rFonts w:ascii="Times New Roman" w:hAnsi="Times New Roman" w:cs="Times New Roman"/>
          <w:noProof/>
          <w:sz w:val="24"/>
          <w:szCs w:val="24"/>
        </w:rPr>
        <w:t xml:space="preserve">, “Attention gated networks: Learning to leverage salient regions in medical images,” </w:t>
      </w:r>
      <w:r w:rsidRPr="00F704AE">
        <w:rPr>
          <w:rFonts w:ascii="Times New Roman" w:hAnsi="Times New Roman" w:cs="Times New Roman"/>
          <w:i/>
          <w:iCs/>
          <w:noProof/>
          <w:sz w:val="24"/>
          <w:szCs w:val="24"/>
        </w:rPr>
        <w:t>Med. Image Anal.</w:t>
      </w:r>
      <w:r w:rsidRPr="00F704AE">
        <w:rPr>
          <w:rFonts w:ascii="Times New Roman" w:hAnsi="Times New Roman" w:cs="Times New Roman"/>
          <w:noProof/>
          <w:sz w:val="24"/>
          <w:szCs w:val="24"/>
        </w:rPr>
        <w:t>, vol. 53, pp. 197–207, 2019, doi: 10.1016/j.media.2019.01.012.</w:t>
      </w:r>
    </w:p>
    <w:p w14:paraId="673A296B" w14:textId="042EC061" w:rsidR="00331057" w:rsidRPr="00F704AE" w:rsidRDefault="009B2D34" w:rsidP="000931A3">
      <w:pPr>
        <w:spacing w:before="240" w:after="240" w:line="240" w:lineRule="auto"/>
        <w:jc w:val="both"/>
        <w:rPr>
          <w:rFonts w:ascii="Times New Roman" w:eastAsia="Times New Roman" w:hAnsi="Times New Roman" w:cs="Times New Roman"/>
          <w:sz w:val="24"/>
          <w:szCs w:val="24"/>
          <w:lang w:val="en-GB" w:eastAsia="zh-CN"/>
        </w:rPr>
      </w:pPr>
      <w:r w:rsidRPr="00F704AE">
        <w:rPr>
          <w:rFonts w:ascii="Times New Roman" w:eastAsia="Times New Roman" w:hAnsi="Times New Roman" w:cs="Times New Roman"/>
          <w:sz w:val="24"/>
          <w:szCs w:val="24"/>
          <w:lang w:val="en-GB" w:eastAsia="zh-CN"/>
        </w:rPr>
        <w:fldChar w:fldCharType="end"/>
      </w:r>
    </w:p>
    <w:sectPr w:rsidR="00331057" w:rsidRPr="00F704AE" w:rsidSect="008E4867">
      <w:type w:val="continuous"/>
      <w:pgSz w:w="11907" w:h="16840"/>
      <w:pgMar w:top="1077" w:right="624" w:bottom="624" w:left="624" w:header="34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DDA52" w14:textId="77777777" w:rsidR="00E77185" w:rsidRDefault="00E77185">
      <w:pPr>
        <w:spacing w:after="0" w:line="240" w:lineRule="auto"/>
      </w:pPr>
      <w:r>
        <w:separator/>
      </w:r>
    </w:p>
  </w:endnote>
  <w:endnote w:type="continuationSeparator" w:id="0">
    <w:p w14:paraId="6A05DC6A" w14:textId="77777777" w:rsidR="00E77185" w:rsidRDefault="00E77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585633"/>
      <w:docPartObj>
        <w:docPartGallery w:val="Page Numbers (Bottom of Page)"/>
        <w:docPartUnique/>
      </w:docPartObj>
    </w:sdtPr>
    <w:sdtContent>
      <w:p w14:paraId="27CFE2B4" w14:textId="275C3993" w:rsidR="002D40B6" w:rsidRDefault="002D40B6" w:rsidP="00B00803">
        <w:pPr>
          <w:pStyle w:val="Footer"/>
          <w:tabs>
            <w:tab w:val="left" w:pos="8222"/>
          </w:tabs>
          <w:jc w:val="center"/>
        </w:pPr>
        <w:r>
          <w:fldChar w:fldCharType="begin"/>
        </w:r>
        <w:r>
          <w:instrText>PAGE   \* MERGEFORMAT</w:instrText>
        </w:r>
        <w:r>
          <w:fldChar w:fldCharType="separate"/>
        </w:r>
        <w:r>
          <w:rPr>
            <w:lang w:val="en-GB"/>
          </w:rPr>
          <w:t>2</w:t>
        </w:r>
        <w:r>
          <w:fldChar w:fldCharType="end"/>
        </w:r>
      </w:p>
    </w:sdtContent>
  </w:sdt>
  <w:p w14:paraId="6042B6A8" w14:textId="77777777" w:rsidR="002D40B6" w:rsidRDefault="002D4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C094D" w14:textId="77777777" w:rsidR="00E77185" w:rsidRDefault="00E77185">
      <w:pPr>
        <w:spacing w:after="0" w:line="240" w:lineRule="auto"/>
      </w:pPr>
      <w:r>
        <w:separator/>
      </w:r>
    </w:p>
  </w:footnote>
  <w:footnote w:type="continuationSeparator" w:id="0">
    <w:p w14:paraId="746E2233" w14:textId="77777777" w:rsidR="00E77185" w:rsidRDefault="00E77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4F7A" w14:textId="77777777" w:rsidR="009B2D34" w:rsidRDefault="009B2D34">
    <w:pPr>
      <w:pBdr>
        <w:top w:val="nil"/>
        <w:left w:val="nil"/>
        <w:bottom w:val="nil"/>
        <w:right w:val="nil"/>
        <w:between w:val="nil"/>
      </w:pBdr>
      <w:tabs>
        <w:tab w:val="center" w:pos="4320"/>
        <w:tab w:val="right" w:pos="8640"/>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34"/>
    <w:rsid w:val="000225A7"/>
    <w:rsid w:val="00033B4F"/>
    <w:rsid w:val="00061D0C"/>
    <w:rsid w:val="0006394C"/>
    <w:rsid w:val="00080B54"/>
    <w:rsid w:val="00087754"/>
    <w:rsid w:val="000924F8"/>
    <w:rsid w:val="000931A3"/>
    <w:rsid w:val="000A3A1A"/>
    <w:rsid w:val="000B0878"/>
    <w:rsid w:val="000B1BED"/>
    <w:rsid w:val="000D0D38"/>
    <w:rsid w:val="000D53EE"/>
    <w:rsid w:val="000D7081"/>
    <w:rsid w:val="000F713D"/>
    <w:rsid w:val="00114745"/>
    <w:rsid w:val="00122AC9"/>
    <w:rsid w:val="00124311"/>
    <w:rsid w:val="001244A7"/>
    <w:rsid w:val="0012667C"/>
    <w:rsid w:val="00131FCB"/>
    <w:rsid w:val="00134109"/>
    <w:rsid w:val="00136369"/>
    <w:rsid w:val="00143705"/>
    <w:rsid w:val="00147D4B"/>
    <w:rsid w:val="00152123"/>
    <w:rsid w:val="001550F0"/>
    <w:rsid w:val="001631F8"/>
    <w:rsid w:val="001753C0"/>
    <w:rsid w:val="001A153A"/>
    <w:rsid w:val="001A63AA"/>
    <w:rsid w:val="001B4B07"/>
    <w:rsid w:val="001C1810"/>
    <w:rsid w:val="001C3022"/>
    <w:rsid w:val="001C7D5A"/>
    <w:rsid w:val="001E25E8"/>
    <w:rsid w:val="001E386D"/>
    <w:rsid w:val="001F7FE1"/>
    <w:rsid w:val="00204AB4"/>
    <w:rsid w:val="00213161"/>
    <w:rsid w:val="002144FD"/>
    <w:rsid w:val="00226EC8"/>
    <w:rsid w:val="0024606E"/>
    <w:rsid w:val="002468FE"/>
    <w:rsid w:val="00277DB7"/>
    <w:rsid w:val="002B033A"/>
    <w:rsid w:val="002B3B63"/>
    <w:rsid w:val="002B437A"/>
    <w:rsid w:val="002C056A"/>
    <w:rsid w:val="002D40B6"/>
    <w:rsid w:val="002D5A9B"/>
    <w:rsid w:val="002E596C"/>
    <w:rsid w:val="0031267D"/>
    <w:rsid w:val="00331057"/>
    <w:rsid w:val="00335E35"/>
    <w:rsid w:val="00350E3B"/>
    <w:rsid w:val="00355DB5"/>
    <w:rsid w:val="00364824"/>
    <w:rsid w:val="00370175"/>
    <w:rsid w:val="00375985"/>
    <w:rsid w:val="003778B0"/>
    <w:rsid w:val="003835D8"/>
    <w:rsid w:val="003852FF"/>
    <w:rsid w:val="00392E40"/>
    <w:rsid w:val="003961C0"/>
    <w:rsid w:val="003A1201"/>
    <w:rsid w:val="003A191C"/>
    <w:rsid w:val="003A41AE"/>
    <w:rsid w:val="003C5C0B"/>
    <w:rsid w:val="003C6E2F"/>
    <w:rsid w:val="003D4110"/>
    <w:rsid w:val="003D536C"/>
    <w:rsid w:val="003E0745"/>
    <w:rsid w:val="003E29BE"/>
    <w:rsid w:val="003F5046"/>
    <w:rsid w:val="0040233C"/>
    <w:rsid w:val="00420309"/>
    <w:rsid w:val="00420AAD"/>
    <w:rsid w:val="00422B83"/>
    <w:rsid w:val="0043075F"/>
    <w:rsid w:val="004321FA"/>
    <w:rsid w:val="00436092"/>
    <w:rsid w:val="00457829"/>
    <w:rsid w:val="00480DE8"/>
    <w:rsid w:val="00483A18"/>
    <w:rsid w:val="004A3AE7"/>
    <w:rsid w:val="004B28F4"/>
    <w:rsid w:val="004B6826"/>
    <w:rsid w:val="004D5A86"/>
    <w:rsid w:val="004E0987"/>
    <w:rsid w:val="004F0E01"/>
    <w:rsid w:val="004F38A4"/>
    <w:rsid w:val="004F6575"/>
    <w:rsid w:val="004F6C3C"/>
    <w:rsid w:val="004F6D45"/>
    <w:rsid w:val="0050200F"/>
    <w:rsid w:val="00505DAB"/>
    <w:rsid w:val="005068B5"/>
    <w:rsid w:val="00510023"/>
    <w:rsid w:val="005123E2"/>
    <w:rsid w:val="00530904"/>
    <w:rsid w:val="00545BB1"/>
    <w:rsid w:val="005657FA"/>
    <w:rsid w:val="0057344B"/>
    <w:rsid w:val="00576DD8"/>
    <w:rsid w:val="0057744D"/>
    <w:rsid w:val="00584E48"/>
    <w:rsid w:val="00586270"/>
    <w:rsid w:val="005B76A7"/>
    <w:rsid w:val="005C6817"/>
    <w:rsid w:val="005D5B59"/>
    <w:rsid w:val="005E0CC6"/>
    <w:rsid w:val="005F6A19"/>
    <w:rsid w:val="00602FF2"/>
    <w:rsid w:val="00603493"/>
    <w:rsid w:val="00612DC7"/>
    <w:rsid w:val="00625755"/>
    <w:rsid w:val="0063173B"/>
    <w:rsid w:val="006420E5"/>
    <w:rsid w:val="006440DF"/>
    <w:rsid w:val="006633DB"/>
    <w:rsid w:val="0067430D"/>
    <w:rsid w:val="006826B5"/>
    <w:rsid w:val="006A3AA1"/>
    <w:rsid w:val="006A4D35"/>
    <w:rsid w:val="006B73ED"/>
    <w:rsid w:val="006E14CA"/>
    <w:rsid w:val="006F3DE0"/>
    <w:rsid w:val="007023CC"/>
    <w:rsid w:val="007136B8"/>
    <w:rsid w:val="00713959"/>
    <w:rsid w:val="0071573E"/>
    <w:rsid w:val="007309DA"/>
    <w:rsid w:val="007313AE"/>
    <w:rsid w:val="00744AC6"/>
    <w:rsid w:val="00745733"/>
    <w:rsid w:val="007521F1"/>
    <w:rsid w:val="007544B9"/>
    <w:rsid w:val="0075633D"/>
    <w:rsid w:val="00765BA5"/>
    <w:rsid w:val="00772220"/>
    <w:rsid w:val="00777B18"/>
    <w:rsid w:val="00784626"/>
    <w:rsid w:val="00786237"/>
    <w:rsid w:val="007B65A4"/>
    <w:rsid w:val="007F4BD4"/>
    <w:rsid w:val="008005B4"/>
    <w:rsid w:val="008142FD"/>
    <w:rsid w:val="00831638"/>
    <w:rsid w:val="0083340E"/>
    <w:rsid w:val="00851715"/>
    <w:rsid w:val="008615B1"/>
    <w:rsid w:val="008706D7"/>
    <w:rsid w:val="008727C5"/>
    <w:rsid w:val="008748D8"/>
    <w:rsid w:val="008817C1"/>
    <w:rsid w:val="008825DA"/>
    <w:rsid w:val="008B190E"/>
    <w:rsid w:val="008D5CD1"/>
    <w:rsid w:val="008E4867"/>
    <w:rsid w:val="008F15B2"/>
    <w:rsid w:val="008F5240"/>
    <w:rsid w:val="008F52B1"/>
    <w:rsid w:val="009130F4"/>
    <w:rsid w:val="009358FF"/>
    <w:rsid w:val="00937663"/>
    <w:rsid w:val="0094111B"/>
    <w:rsid w:val="00946DF9"/>
    <w:rsid w:val="009627B8"/>
    <w:rsid w:val="00994BA9"/>
    <w:rsid w:val="00997C76"/>
    <w:rsid w:val="009A7427"/>
    <w:rsid w:val="009B2D34"/>
    <w:rsid w:val="009B4F72"/>
    <w:rsid w:val="009B73C7"/>
    <w:rsid w:val="009C24D8"/>
    <w:rsid w:val="009D444D"/>
    <w:rsid w:val="009D5619"/>
    <w:rsid w:val="009D738F"/>
    <w:rsid w:val="009F16A5"/>
    <w:rsid w:val="009F5CCC"/>
    <w:rsid w:val="00A149D1"/>
    <w:rsid w:val="00A2607D"/>
    <w:rsid w:val="00A36141"/>
    <w:rsid w:val="00A5796A"/>
    <w:rsid w:val="00A61B45"/>
    <w:rsid w:val="00A72234"/>
    <w:rsid w:val="00A7692E"/>
    <w:rsid w:val="00A80712"/>
    <w:rsid w:val="00A826CC"/>
    <w:rsid w:val="00A84655"/>
    <w:rsid w:val="00A852D7"/>
    <w:rsid w:val="00A90110"/>
    <w:rsid w:val="00A97132"/>
    <w:rsid w:val="00AB1A1D"/>
    <w:rsid w:val="00AB2644"/>
    <w:rsid w:val="00AB5ADC"/>
    <w:rsid w:val="00AB6F68"/>
    <w:rsid w:val="00AC6F0E"/>
    <w:rsid w:val="00AE0EA7"/>
    <w:rsid w:val="00AE1A53"/>
    <w:rsid w:val="00AF5037"/>
    <w:rsid w:val="00B00803"/>
    <w:rsid w:val="00B12715"/>
    <w:rsid w:val="00B17BAC"/>
    <w:rsid w:val="00B310B6"/>
    <w:rsid w:val="00B31F0A"/>
    <w:rsid w:val="00B36594"/>
    <w:rsid w:val="00B44C2B"/>
    <w:rsid w:val="00B47A6A"/>
    <w:rsid w:val="00B82019"/>
    <w:rsid w:val="00B837C7"/>
    <w:rsid w:val="00B91AA6"/>
    <w:rsid w:val="00B97FB4"/>
    <w:rsid w:val="00BB07E0"/>
    <w:rsid w:val="00BB490E"/>
    <w:rsid w:val="00BC4B45"/>
    <w:rsid w:val="00BD3EFA"/>
    <w:rsid w:val="00BD42D1"/>
    <w:rsid w:val="00BE48FA"/>
    <w:rsid w:val="00BF0282"/>
    <w:rsid w:val="00BF2053"/>
    <w:rsid w:val="00BF2214"/>
    <w:rsid w:val="00BF59A6"/>
    <w:rsid w:val="00BF6018"/>
    <w:rsid w:val="00BF77F1"/>
    <w:rsid w:val="00C01CC1"/>
    <w:rsid w:val="00C0219F"/>
    <w:rsid w:val="00C3231C"/>
    <w:rsid w:val="00C37236"/>
    <w:rsid w:val="00C50DFC"/>
    <w:rsid w:val="00C54E86"/>
    <w:rsid w:val="00C57BFD"/>
    <w:rsid w:val="00C65684"/>
    <w:rsid w:val="00C77349"/>
    <w:rsid w:val="00C77B82"/>
    <w:rsid w:val="00C81428"/>
    <w:rsid w:val="00CB26C2"/>
    <w:rsid w:val="00CC0379"/>
    <w:rsid w:val="00CC1A1B"/>
    <w:rsid w:val="00CC3275"/>
    <w:rsid w:val="00CC439F"/>
    <w:rsid w:val="00CC455F"/>
    <w:rsid w:val="00CC6701"/>
    <w:rsid w:val="00CD5796"/>
    <w:rsid w:val="00CD7682"/>
    <w:rsid w:val="00CE4B90"/>
    <w:rsid w:val="00CE5C98"/>
    <w:rsid w:val="00CF0846"/>
    <w:rsid w:val="00CF25B5"/>
    <w:rsid w:val="00D0780C"/>
    <w:rsid w:val="00D11757"/>
    <w:rsid w:val="00D34314"/>
    <w:rsid w:val="00D5680C"/>
    <w:rsid w:val="00D80383"/>
    <w:rsid w:val="00D82CFE"/>
    <w:rsid w:val="00D90930"/>
    <w:rsid w:val="00D92F0A"/>
    <w:rsid w:val="00D95833"/>
    <w:rsid w:val="00DA2BFA"/>
    <w:rsid w:val="00DB0D1C"/>
    <w:rsid w:val="00DB3889"/>
    <w:rsid w:val="00DB58AD"/>
    <w:rsid w:val="00DC5B31"/>
    <w:rsid w:val="00DC68B7"/>
    <w:rsid w:val="00DD6F3A"/>
    <w:rsid w:val="00DE3B2A"/>
    <w:rsid w:val="00DF693D"/>
    <w:rsid w:val="00E119CC"/>
    <w:rsid w:val="00E323BA"/>
    <w:rsid w:val="00E44540"/>
    <w:rsid w:val="00E45D75"/>
    <w:rsid w:val="00E46E13"/>
    <w:rsid w:val="00E747ED"/>
    <w:rsid w:val="00E77185"/>
    <w:rsid w:val="00E8106A"/>
    <w:rsid w:val="00E8628E"/>
    <w:rsid w:val="00EA0873"/>
    <w:rsid w:val="00EC27BD"/>
    <w:rsid w:val="00EC5BC7"/>
    <w:rsid w:val="00EE6A85"/>
    <w:rsid w:val="00EE7EB9"/>
    <w:rsid w:val="00EF240F"/>
    <w:rsid w:val="00EF3ACF"/>
    <w:rsid w:val="00F17F75"/>
    <w:rsid w:val="00F21D7E"/>
    <w:rsid w:val="00F224A3"/>
    <w:rsid w:val="00F31156"/>
    <w:rsid w:val="00F32852"/>
    <w:rsid w:val="00F52477"/>
    <w:rsid w:val="00F53257"/>
    <w:rsid w:val="00F571FD"/>
    <w:rsid w:val="00F704AE"/>
    <w:rsid w:val="00F81B9F"/>
    <w:rsid w:val="00FA03F7"/>
    <w:rsid w:val="00FA0AF0"/>
    <w:rsid w:val="00FD4D4E"/>
    <w:rsid w:val="00FF7D5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558B8"/>
  <w15:chartTrackingRefBased/>
  <w15:docId w15:val="{36BFC6D3-1BEE-4C60-BE4C-717630931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4D8"/>
  </w:style>
  <w:style w:type="paragraph" w:styleId="Heading1">
    <w:name w:val="heading 1"/>
    <w:basedOn w:val="Normal"/>
    <w:next w:val="Normal"/>
    <w:link w:val="Heading1Char"/>
    <w:uiPriority w:val="9"/>
    <w:qFormat/>
    <w:rsid w:val="009B2D3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B2D3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B2D3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B2D3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B2D3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B2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D3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B2D3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B2D3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B2D3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B2D3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B2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D34"/>
    <w:rPr>
      <w:rFonts w:eastAsiaTheme="majorEastAsia" w:cstheme="majorBidi"/>
      <w:color w:val="272727" w:themeColor="text1" w:themeTint="D8"/>
    </w:rPr>
  </w:style>
  <w:style w:type="paragraph" w:styleId="Title">
    <w:name w:val="Title"/>
    <w:basedOn w:val="Normal"/>
    <w:next w:val="Normal"/>
    <w:link w:val="TitleChar"/>
    <w:uiPriority w:val="10"/>
    <w:qFormat/>
    <w:rsid w:val="009B2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D34"/>
    <w:pPr>
      <w:spacing w:before="160"/>
      <w:jc w:val="center"/>
    </w:pPr>
    <w:rPr>
      <w:i/>
      <w:iCs/>
      <w:color w:val="404040" w:themeColor="text1" w:themeTint="BF"/>
    </w:rPr>
  </w:style>
  <w:style w:type="character" w:customStyle="1" w:styleId="QuoteChar">
    <w:name w:val="Quote Char"/>
    <w:basedOn w:val="DefaultParagraphFont"/>
    <w:link w:val="Quote"/>
    <w:uiPriority w:val="29"/>
    <w:rsid w:val="009B2D34"/>
    <w:rPr>
      <w:i/>
      <w:iCs/>
      <w:color w:val="404040" w:themeColor="text1" w:themeTint="BF"/>
    </w:rPr>
  </w:style>
  <w:style w:type="paragraph" w:styleId="ListParagraph">
    <w:name w:val="List Paragraph"/>
    <w:basedOn w:val="Normal"/>
    <w:uiPriority w:val="34"/>
    <w:qFormat/>
    <w:rsid w:val="009B2D34"/>
    <w:pPr>
      <w:ind w:left="720"/>
      <w:contextualSpacing/>
    </w:pPr>
  </w:style>
  <w:style w:type="character" w:styleId="IntenseEmphasis">
    <w:name w:val="Intense Emphasis"/>
    <w:basedOn w:val="DefaultParagraphFont"/>
    <w:uiPriority w:val="21"/>
    <w:qFormat/>
    <w:rsid w:val="009B2D34"/>
    <w:rPr>
      <w:i/>
      <w:iCs/>
      <w:color w:val="2E74B5" w:themeColor="accent1" w:themeShade="BF"/>
    </w:rPr>
  </w:style>
  <w:style w:type="paragraph" w:styleId="IntenseQuote">
    <w:name w:val="Intense Quote"/>
    <w:basedOn w:val="Normal"/>
    <w:next w:val="Normal"/>
    <w:link w:val="IntenseQuoteChar"/>
    <w:uiPriority w:val="30"/>
    <w:qFormat/>
    <w:rsid w:val="009B2D3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B2D34"/>
    <w:rPr>
      <w:i/>
      <w:iCs/>
      <w:color w:val="2E74B5" w:themeColor="accent1" w:themeShade="BF"/>
    </w:rPr>
  </w:style>
  <w:style w:type="character" w:styleId="IntenseReference">
    <w:name w:val="Intense Reference"/>
    <w:basedOn w:val="DefaultParagraphFont"/>
    <w:uiPriority w:val="32"/>
    <w:qFormat/>
    <w:rsid w:val="009B2D34"/>
    <w:rPr>
      <w:b/>
      <w:bCs/>
      <w:smallCaps/>
      <w:color w:val="2E74B5" w:themeColor="accent1" w:themeShade="BF"/>
      <w:spacing w:val="5"/>
    </w:rPr>
  </w:style>
  <w:style w:type="character" w:styleId="LineNumber">
    <w:name w:val="line number"/>
    <w:basedOn w:val="DefaultParagraphFont"/>
    <w:uiPriority w:val="99"/>
    <w:semiHidden/>
    <w:unhideWhenUsed/>
    <w:rsid w:val="00457829"/>
  </w:style>
  <w:style w:type="paragraph" w:styleId="Header">
    <w:name w:val="header"/>
    <w:basedOn w:val="Normal"/>
    <w:link w:val="HeaderChar"/>
    <w:uiPriority w:val="99"/>
    <w:unhideWhenUsed/>
    <w:rsid w:val="002D4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0B6"/>
  </w:style>
  <w:style w:type="paragraph" w:styleId="Footer">
    <w:name w:val="footer"/>
    <w:basedOn w:val="Normal"/>
    <w:link w:val="FooterChar"/>
    <w:uiPriority w:val="99"/>
    <w:unhideWhenUsed/>
    <w:rsid w:val="002D40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header" Target="header1.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6CCD9-6015-4C46-B7A6-44AD81B42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22518</Words>
  <Characters>128359</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AZIEAN BINTI MOHD AZIZE</dc:creator>
  <cp:keywords/>
  <dc:description/>
  <cp:lastModifiedBy>AZIEAN BINTI MOHD AZIZE</cp:lastModifiedBy>
  <cp:revision>7</cp:revision>
  <dcterms:created xsi:type="dcterms:W3CDTF">2026-06-08T08:49:00Z</dcterms:created>
  <dcterms:modified xsi:type="dcterms:W3CDTF">2026-06-08T08:57:00Z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13191463-1651-473e-93f4-9f8702bbdb5f</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https://csl.mendeley.com/styles/480481211/GayaUKM-Haroon-English</vt:lpwstr>
  </property>
  <property fmtid="{D5CDD505-2E9C-101B-9397-08002B2CF9AE}" pid="14" name="Mendeley Recent Style Name 5_1">
    <vt:lpwstr>Gaya UKM (English-2022) - Dr. Haroon Rashid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4232d6a8-79d2-3744-8cf7-ffefda1ad563</vt:lpwstr>
  </property>
  <property fmtid="{D5CDD505-2E9C-101B-9397-08002B2CF9AE}" pid="25" name="Mendeley Citation Style_1">
    <vt:lpwstr>http://www.zotero.org/styles/ieee</vt:lpwstr>
  </property>
</Properties>
</file>