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ADVANTAGES OF CEMENTED MODULAR DUAL MOBILITY (MDM) ACETABULAR COMPONENTS  COMPARED WITH UNCEMENTED FIXATION IN TOTAL HIP ARTHROPLASTY</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Authors: Naresh Lalam, ; Co-Author : Shalem Srikar Perumallapalli, Podili Rajesh , Ram Mohan Reddy Venuthurla </w:t>
      </w:r>
    </w:p>
    <w:p w:rsidR="00000000" w:rsidDel="00000000" w:rsidP="00000000" w:rsidRDefault="00000000" w:rsidRPr="00000000" w14:paraId="00000004">
      <w:pPr>
        <w:rPr>
          <w:sz w:val="28"/>
          <w:szCs w:val="28"/>
        </w:rPr>
      </w:pPr>
      <w:r w:rsidDel="00000000" w:rsidR="00000000" w:rsidRPr="00000000">
        <w:rPr>
          <w:sz w:val="28"/>
          <w:szCs w:val="28"/>
          <w:rtl w:val="0"/>
        </w:rPr>
        <w:t xml:space="preserve">Institution: Department of Orthopaedics,  Hospital, Hyderabad, India</w:t>
      </w:r>
    </w:p>
    <w:p w:rsidR="00000000" w:rsidDel="00000000" w:rsidP="00000000" w:rsidRDefault="00000000" w:rsidRPr="00000000" w14:paraId="00000005">
      <w:pPr>
        <w:rPr>
          <w:sz w:val="28"/>
          <w:szCs w:val="28"/>
        </w:rPr>
      </w:pPr>
      <w:r w:rsidDel="00000000" w:rsidR="00000000" w:rsidRPr="00000000">
        <w:rPr>
          <w:sz w:val="28"/>
          <w:szCs w:val="28"/>
          <w:rtl w:val="0"/>
        </w:rPr>
        <w:t xml:space="preserve">Correspondence: </w:t>
      </w:r>
      <w:hyperlink r:id="rId6">
        <w:r w:rsidDel="00000000" w:rsidR="00000000" w:rsidRPr="00000000">
          <w:rPr>
            <w:color w:val="1155cc"/>
            <w:sz w:val="28"/>
            <w:szCs w:val="28"/>
            <w:u w:val="single"/>
            <w:rtl w:val="0"/>
          </w:rPr>
          <w:t xml:space="preserve">naresh.lalam225@gmail.com</w:t>
        </w:r>
      </w:hyperlink>
      <w:r w:rsidDel="00000000" w:rsidR="00000000" w:rsidRPr="00000000">
        <w:rPr>
          <w:sz w:val="28"/>
          <w:szCs w:val="28"/>
          <w:rtl w:val="0"/>
        </w:rPr>
        <w:t xml:space="preserve"> / 7981790963</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ABSTRACT </w:t>
      </w:r>
    </w:p>
    <w:p w:rsidR="00000000" w:rsidDel="00000000" w:rsidP="00000000" w:rsidRDefault="00000000" w:rsidRPr="00000000" w14:paraId="00000009">
      <w:pPr>
        <w:rPr>
          <w:sz w:val="28"/>
          <w:szCs w:val="28"/>
        </w:rPr>
      </w:pPr>
      <w:r w:rsidDel="00000000" w:rsidR="00000000" w:rsidRPr="00000000">
        <w:rPr>
          <w:sz w:val="28"/>
          <w:szCs w:val="28"/>
          <w:rtl w:val="0"/>
        </w:rPr>
        <w:t xml:space="preserve">Background: Modular dual mobility (MDM) acetabular constructs reduce dislocation risk in total hip arthroplasty (THA) by increasing effective femoral head size (28-44mm) and jump distance (32-38mm vs 14mm conventional), achieving 71-85% relative risk reduction[7,8]. While uncemented press-fit shells remain standard (92% market share), cemented MDM demonstrates equivalent 10-year survivorship with superior early stability[9,2].</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Methods: Systematic synthesis of biomechanical principles (finite element analysis, RSA migration studies), cement mantle mechanics, dual-mobility kinematics, and meta-analysis of 18,472 THA cases (3,452 cemented DM)[10,11].</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Results: Cemented MDM provides: (1) immediate fixation independent of bone quality (T-score &lt; -2.5) with 100% 90-day stability[2]; (2) micromotion &lt;50μm vs 150-300μm uncemented at 6 weeks[10]; (3) cup orientation precision ±3° maximizing jump distance[12]; (4) 96% fracture risk reduction eliminating impaction forces[13]; (5) 92% 5-year survival in Paprosky 2-3B defects[14]; (6) 73% lower modular junction corrosion (serum Co/Cr)[15].</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Conclusion: Cemented MDM optimal for instability-prone patients (age &gt;75, neuromuscular disease, BMI &gt;35, revision). Level I trials needed[7,8].</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1. INTRODUCTION</w:t>
      </w:r>
    </w:p>
    <w:p w:rsidR="00000000" w:rsidDel="00000000" w:rsidP="00000000" w:rsidRDefault="00000000" w:rsidRPr="00000000" w14:paraId="00000013">
      <w:pPr>
        <w:rPr>
          <w:sz w:val="28"/>
          <w:szCs w:val="28"/>
        </w:rPr>
      </w:pPr>
      <w:r w:rsidDel="00000000" w:rsidR="00000000" w:rsidRPr="00000000">
        <w:rPr>
          <w:sz w:val="28"/>
          <w:szCs w:val="28"/>
          <w:rtl w:val="0"/>
        </w:rPr>
        <w:t xml:space="preserve">Hip dislocation remains the most common reason for revision THA (0.4-5.8% primary, 4-30% revision)[7]. Dual mobility reduces this risk through increased effective head size and jump distance[16]. Cemented MDM gaining attention for complex cases with compromised bone stock[8,14].</w:t>
      </w:r>
      <w:r w:rsidDel="00000000" w:rsidR="00000000" w:rsidRPr="00000000">
        <w:rPr>
          <w:sz w:val="28"/>
          <w:szCs w:val="28"/>
        </w:rPr>
        <w:drawing>
          <wp:inline distB="114300" distT="114300" distL="114300" distR="114300">
            <wp:extent cx="5943600" cy="31369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Pr>
        <w:drawing>
          <wp:inline distB="114300" distT="114300" distL="114300" distR="114300">
            <wp:extent cx="5191125" cy="399304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191125" cy="399304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Style w:val="Heading1"/>
        <w:keepNext w:val="0"/>
        <w:keepLines w:val="0"/>
        <w:spacing w:after="0" w:before="0" w:line="312" w:lineRule="auto"/>
        <w:rPr>
          <w:color w:val="111111"/>
          <w:sz w:val="28"/>
          <w:szCs w:val="28"/>
        </w:rPr>
      </w:pPr>
      <w:bookmarkStart w:colFirst="0" w:colLast="0" w:name="_6aw0p2ss03lu" w:id="0"/>
      <w:bookmarkEnd w:id="0"/>
      <w:r w:rsidDel="00000000" w:rsidR="00000000" w:rsidRPr="00000000">
        <w:rPr>
          <w:color w:val="111111"/>
          <w:sz w:val="28"/>
          <w:szCs w:val="28"/>
          <w:rtl w:val="0"/>
        </w:rPr>
        <w:t xml:space="preserve">The two different dual mobility hip systems. Modular (top) and Anatomical (bottom) Dual Mobility Cups</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2. BIOMECHANICAL ADVANTAGES</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sz w:val="28"/>
          <w:szCs w:val="28"/>
          <w:rtl w:val="0"/>
        </w:rPr>
        <w:t xml:space="preserve">2.1 Immediate Fixation Independent of Bone Quality</w:t>
      </w:r>
    </w:p>
    <w:p w:rsidR="00000000" w:rsidDel="00000000" w:rsidP="00000000" w:rsidRDefault="00000000" w:rsidRPr="00000000" w14:paraId="0000001C">
      <w:pPr>
        <w:rPr>
          <w:sz w:val="28"/>
          <w:szCs w:val="28"/>
        </w:rPr>
      </w:pPr>
      <w:r w:rsidDel="00000000" w:rsidR="00000000" w:rsidRPr="00000000">
        <w:rPr>
          <w:sz w:val="28"/>
          <w:szCs w:val="28"/>
          <w:rtl w:val="0"/>
        </w:rPr>
        <w:t xml:space="preserve">Cement achieves immediate shear strength &gt;12MPa through trabecular interdigitation, eliminating press-fit dependency on cortical rim contact[2]. RSA studies confirm cemented cups average 0.02mm migration at 6 months vs 0.15-0.48mm uncemented in osteoporotic bone (T-score -3.2)[10]. Clinical result: 0% early failure in 847 elderly fractures vs 4.2% uncemented conversions[14].</w:t>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sz w:val="28"/>
          <w:szCs w:val="28"/>
          <w:rtl w:val="0"/>
        </w:rPr>
        <w:t xml:space="preserve">2.2 Micromotion and Migration Superiority</w:t>
      </w:r>
    </w:p>
    <w:p w:rsidR="00000000" w:rsidDel="00000000" w:rsidP="00000000" w:rsidRDefault="00000000" w:rsidRPr="00000000" w14:paraId="00000021">
      <w:pPr>
        <w:rPr>
          <w:sz w:val="28"/>
          <w:szCs w:val="28"/>
        </w:rPr>
      </w:pPr>
      <w:r w:rsidDel="00000000" w:rsidR="00000000" w:rsidRPr="00000000">
        <w:rPr>
          <w:sz w:val="28"/>
          <w:szCs w:val="28"/>
          <w:rtl w:val="0"/>
        </w:rPr>
        <w:t xml:space="preserve">Acceptable migration threshold: &lt;150μm total translation prevents fibrous membrane formation[10]. Cemented constructs achieve 42-68μm at 2 years vs 212-425μm uncemented, reducing 10-year loosening by 82%[17].</w:t>
      </w:r>
    </w:p>
    <w:p w:rsidR="00000000" w:rsidDel="00000000" w:rsidP="00000000" w:rsidRDefault="00000000" w:rsidRPr="00000000" w14:paraId="00000022">
      <w:pPr>
        <w:rPr>
          <w:sz w:val="28"/>
          <w:szCs w:val="28"/>
        </w:rPr>
      </w:pPr>
      <w:r w:rsidDel="00000000" w:rsidR="00000000" w:rsidRPr="00000000">
        <w:rPr>
          <w:sz w:val="28"/>
          <w:szCs w:val="28"/>
          <w:rtl w:val="0"/>
        </w:rPr>
        <w:t xml:space="preserve">TABLE: RSA Migration Measurements (μm total translation)</w:t>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rPr>
          <w:sz w:val="28"/>
          <w:szCs w:val="28"/>
        </w:rPr>
      </w:pPr>
      <w:r w:rsidDel="00000000" w:rsidR="00000000" w:rsidRPr="00000000">
        <w:rPr>
          <w:sz w:val="28"/>
          <w:szCs w:val="28"/>
          <w:rtl w:val="0"/>
        </w:rPr>
        <w:t xml:space="preserve">Time Point     | Cemented MDM | Uncemented | Threshold</w:t>
      </w:r>
    </w:p>
    <w:p w:rsidR="00000000" w:rsidDel="00000000" w:rsidP="00000000" w:rsidRDefault="00000000" w:rsidRPr="00000000" w14:paraId="00000025">
      <w:pPr>
        <w:rPr>
          <w:sz w:val="28"/>
          <w:szCs w:val="28"/>
        </w:rPr>
      </w:pPr>
      <w:r w:rsidDel="00000000" w:rsidR="00000000" w:rsidRPr="00000000">
        <w:rPr>
          <w:sz w:val="28"/>
          <w:szCs w:val="28"/>
          <w:rtl w:val="0"/>
        </w:rPr>
        <w:t xml:space="preserve">---------------|--------------|------------|----------</w:t>
      </w:r>
    </w:p>
    <w:p w:rsidR="00000000" w:rsidDel="00000000" w:rsidP="00000000" w:rsidRDefault="00000000" w:rsidRPr="00000000" w14:paraId="00000026">
      <w:pPr>
        <w:rPr>
          <w:sz w:val="28"/>
          <w:szCs w:val="28"/>
        </w:rPr>
      </w:pPr>
      <w:r w:rsidDel="00000000" w:rsidR="00000000" w:rsidRPr="00000000">
        <w:rPr>
          <w:sz w:val="28"/>
          <w:szCs w:val="28"/>
          <w:rtl w:val="0"/>
        </w:rPr>
        <w:t xml:space="preserve">6 weeks        | 42-50        | 150-300    | &lt;150μm¹</w:t>
      </w:r>
    </w:p>
    <w:p w:rsidR="00000000" w:rsidDel="00000000" w:rsidP="00000000" w:rsidRDefault="00000000" w:rsidRPr="00000000" w14:paraId="00000027">
      <w:pPr>
        <w:rPr>
          <w:sz w:val="28"/>
          <w:szCs w:val="28"/>
        </w:rPr>
      </w:pPr>
      <w:r w:rsidDel="00000000" w:rsidR="00000000" w:rsidRPr="00000000">
        <w:rPr>
          <w:sz w:val="28"/>
          <w:szCs w:val="28"/>
          <w:rtl w:val="0"/>
        </w:rPr>
        <w:t xml:space="preserve">6 months       | 50-55        | 212-350    | </w:t>
      </w:r>
    </w:p>
    <w:p w:rsidR="00000000" w:rsidDel="00000000" w:rsidP="00000000" w:rsidRDefault="00000000" w:rsidRPr="00000000" w14:paraId="00000028">
      <w:pPr>
        <w:rPr>
          <w:sz w:val="28"/>
          <w:szCs w:val="28"/>
        </w:rPr>
      </w:pPr>
      <w:r w:rsidDel="00000000" w:rsidR="00000000" w:rsidRPr="00000000">
        <w:rPr>
          <w:sz w:val="28"/>
          <w:szCs w:val="28"/>
          <w:rtl w:val="0"/>
        </w:rPr>
        <w:t xml:space="preserve">2 years        | 42-68        | 212-425    | </w:t>
      </w:r>
    </w:p>
    <w:p w:rsidR="00000000" w:rsidDel="00000000" w:rsidP="00000000" w:rsidRDefault="00000000" w:rsidRPr="00000000" w14:paraId="00000029">
      <w:pPr>
        <w:rPr>
          <w:sz w:val="28"/>
          <w:szCs w:val="28"/>
        </w:rPr>
      </w:pPr>
      <w:r w:rsidDel="00000000" w:rsidR="00000000" w:rsidRPr="00000000">
        <w:rPr>
          <w:rFonts w:ascii="Arial Unicode MS" w:cs="Arial Unicode MS" w:eastAsia="Arial Unicode MS" w:hAnsi="Arial Unicode MS"/>
          <w:sz w:val="28"/>
          <w:szCs w:val="28"/>
          <w:rtl w:val="0"/>
        </w:rPr>
        <w:t xml:space="preserve">10-year effect | 82%↓ loosening|            | ¹[10]</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sz w:val="28"/>
          <w:szCs w:val="28"/>
          <w:rtl w:val="0"/>
        </w:rPr>
        <w:t xml:space="preserve">500μm │</w:t>
      </w:r>
    </w:p>
    <w:p w:rsidR="00000000" w:rsidDel="00000000" w:rsidP="00000000" w:rsidRDefault="00000000" w:rsidRPr="00000000" w14:paraId="0000002C">
      <w:pPr>
        <w:rPr>
          <w:sz w:val="28"/>
          <w:szCs w:val="28"/>
        </w:rPr>
      </w:pPr>
      <w:r w:rsidDel="00000000" w:rsidR="00000000" w:rsidRPr="00000000">
        <w:rPr>
          <w:sz w:val="28"/>
          <w:szCs w:val="28"/>
          <w:rtl w:val="0"/>
        </w:rPr>
        <w:t xml:space="preserve">Threshold 150μm ├─────────────── 150μm LINE (red dashed)</w:t>
      </w:r>
    </w:p>
    <w:p w:rsidR="00000000" w:rsidDel="00000000" w:rsidP="00000000" w:rsidRDefault="00000000" w:rsidRPr="00000000" w14:paraId="0000002D">
      <w:pPr>
        <w:rPr>
          <w:sz w:val="28"/>
          <w:szCs w:val="28"/>
        </w:rPr>
      </w:pPr>
      <w:r w:rsidDel="00000000" w:rsidR="00000000" w:rsidRPr="00000000">
        <w:rPr>
          <w:sz w:val="28"/>
          <w:szCs w:val="28"/>
          <w:rtl w:val="0"/>
        </w:rPr>
        <w:t xml:space="preserve">              │       ████████</w:t>
      </w:r>
    </w:p>
    <w:p w:rsidR="00000000" w:rsidDel="00000000" w:rsidP="00000000" w:rsidRDefault="00000000" w:rsidRPr="00000000" w14:paraId="0000002E">
      <w:pPr>
        <w:rPr>
          <w:sz w:val="28"/>
          <w:szCs w:val="28"/>
        </w:rPr>
      </w:pPr>
      <w:r w:rsidDel="00000000" w:rsidR="00000000" w:rsidRPr="00000000">
        <w:rPr>
          <w:sz w:val="28"/>
          <w:szCs w:val="28"/>
          <w:rtl w:val="0"/>
        </w:rPr>
        <w:t xml:space="preserve">              │    ██ │██████</w:t>
      </w:r>
    </w:p>
    <w:p w:rsidR="00000000" w:rsidDel="00000000" w:rsidP="00000000" w:rsidRDefault="00000000" w:rsidRPr="00000000" w14:paraId="0000002F">
      <w:pPr>
        <w:rPr>
          <w:sz w:val="28"/>
          <w:szCs w:val="28"/>
        </w:rPr>
      </w:pPr>
      <w:r w:rsidDel="00000000" w:rsidR="00000000" w:rsidRPr="00000000">
        <w:rPr>
          <w:sz w:val="28"/>
          <w:szCs w:val="28"/>
          <w:rtl w:val="0"/>
        </w:rPr>
        <w:t xml:space="preserve">              │  ██   │  ████</w:t>
      </w:r>
    </w:p>
    <w:p w:rsidR="00000000" w:rsidDel="00000000" w:rsidP="00000000" w:rsidRDefault="00000000" w:rsidRPr="00000000" w14:paraId="00000030">
      <w:pPr>
        <w:rPr>
          <w:sz w:val="28"/>
          <w:szCs w:val="28"/>
        </w:rPr>
      </w:pPr>
      <w:r w:rsidDel="00000000" w:rsidR="00000000" w:rsidRPr="00000000">
        <w:rPr>
          <w:sz w:val="28"/>
          <w:szCs w:val="28"/>
          <w:rtl w:val="0"/>
        </w:rPr>
        <w:t xml:space="preserve">              │██     │    ██</w:t>
      </w:r>
    </w:p>
    <w:p w:rsidR="00000000" w:rsidDel="00000000" w:rsidP="00000000" w:rsidRDefault="00000000" w:rsidRPr="00000000" w14:paraId="00000031">
      <w:pPr>
        <w:rPr>
          <w:sz w:val="28"/>
          <w:szCs w:val="28"/>
        </w:rPr>
      </w:pPr>
      <w:r w:rsidDel="00000000" w:rsidR="00000000" w:rsidRPr="00000000">
        <w:rPr>
          <w:sz w:val="28"/>
          <w:szCs w:val="28"/>
          <w:rtl w:val="0"/>
        </w:rPr>
        <w:t xml:space="preserve">     0μm  ────┴────────┴───────</w:t>
      </w:r>
    </w:p>
    <w:p w:rsidR="00000000" w:rsidDel="00000000" w:rsidP="00000000" w:rsidRDefault="00000000" w:rsidRPr="00000000" w14:paraId="00000032">
      <w:pPr>
        <w:rPr>
          <w:sz w:val="28"/>
          <w:szCs w:val="28"/>
        </w:rPr>
      </w:pPr>
      <w:r w:rsidDel="00000000" w:rsidR="00000000" w:rsidRPr="00000000">
        <w:rPr>
          <w:sz w:val="28"/>
          <w:szCs w:val="28"/>
          <w:rtl w:val="0"/>
        </w:rPr>
        <w:t xml:space="preserve">         6wk   6mo   2yr</w:t>
      </w:r>
    </w:p>
    <w:p w:rsidR="00000000" w:rsidDel="00000000" w:rsidP="00000000" w:rsidRDefault="00000000" w:rsidRPr="00000000" w14:paraId="00000033">
      <w:pPr>
        <w:rPr>
          <w:sz w:val="28"/>
          <w:szCs w:val="28"/>
        </w:rPr>
      </w:pPr>
      <w:r w:rsidDel="00000000" w:rsidR="00000000" w:rsidRPr="00000000">
        <w:rPr>
          <w:sz w:val="28"/>
          <w:szCs w:val="28"/>
          <w:rtl w:val="0"/>
        </w:rPr>
        <w:t xml:space="preserve">       ◆Cement ◆Uncemented</w:t>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rtl w:val="0"/>
        </w:rPr>
      </w:r>
    </w:p>
    <w:p w:rsidR="00000000" w:rsidDel="00000000" w:rsidP="00000000" w:rsidRDefault="00000000" w:rsidRPr="00000000" w14:paraId="00000036">
      <w:pPr>
        <w:rPr>
          <w:sz w:val="28"/>
          <w:szCs w:val="28"/>
        </w:rPr>
      </w:pPr>
      <w:r w:rsidDel="00000000" w:rsidR="00000000" w:rsidRPr="00000000">
        <w:rPr>
          <w:rtl w:val="0"/>
        </w:rPr>
      </w:r>
    </w:p>
    <w:p w:rsidR="00000000" w:rsidDel="00000000" w:rsidP="00000000" w:rsidRDefault="00000000" w:rsidRPr="00000000" w14:paraId="00000037">
      <w:pPr>
        <w:rPr>
          <w:sz w:val="28"/>
          <w:szCs w:val="28"/>
        </w:rPr>
      </w:pPr>
      <w:r w:rsidDel="00000000" w:rsidR="00000000" w:rsidRPr="00000000">
        <w:rPr>
          <w:sz w:val="28"/>
          <w:szCs w:val="28"/>
          <w:rtl w:val="0"/>
        </w:rPr>
        <w:t xml:space="preserve">2.3 Jump Distance Optimization</w:t>
      </w:r>
    </w:p>
    <w:p w:rsidR="00000000" w:rsidDel="00000000" w:rsidP="00000000" w:rsidRDefault="00000000" w:rsidRPr="00000000" w14:paraId="00000038">
      <w:pPr>
        <w:rPr>
          <w:sz w:val="28"/>
          <w:szCs w:val="28"/>
        </w:rPr>
      </w:pPr>
      <w:r w:rsidDel="00000000" w:rsidR="00000000" w:rsidRPr="00000000">
        <w:rPr>
          <w:sz w:val="28"/>
          <w:szCs w:val="28"/>
          <w:rtl w:val="0"/>
        </w:rPr>
        <w:t xml:space="preserve">Jump distance formula: JD = 2 × R_pe × sin(α/2), where R_pe = polyethylene inner radius, α = coverage angle[12]. MDM achieves 36mm JD (44mm PE liner, 190° coverage) vs 14mm (32mm head standard liner)[16]. Cemented fixation enables canting adjustment ±15°, increasing JD 18-24%[12].</w:t>
      </w:r>
    </w:p>
    <w:p w:rsidR="00000000" w:rsidDel="00000000" w:rsidP="00000000" w:rsidRDefault="00000000" w:rsidRPr="00000000" w14:paraId="00000039">
      <w:pPr>
        <w:rPr>
          <w:sz w:val="28"/>
          <w:szCs w:val="28"/>
        </w:rPr>
      </w:pPr>
      <w:r w:rsidDel="00000000" w:rsidR="00000000" w:rsidRPr="00000000">
        <w:rPr>
          <w:sz w:val="28"/>
          <w:szCs w:val="28"/>
        </w:rPr>
        <w:drawing>
          <wp:inline distB="114300" distT="114300" distL="114300" distR="114300">
            <wp:extent cx="6167438" cy="5743575"/>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167438" cy="574357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sz w:val="28"/>
          <w:szCs w:val="28"/>
        </w:rPr>
      </w:pPr>
      <w:r w:rsidDel="00000000" w:rsidR="00000000" w:rsidRPr="00000000">
        <w:rPr>
          <w:sz w:val="28"/>
          <w:szCs w:val="28"/>
          <w:highlight w:val="white"/>
          <w:rtl w:val="0"/>
        </w:rPr>
        <w:t xml:space="preserve">Graphic demonstration of impingement leverage causing a ‘jump height’ in a standard hip    replacement versus a DM hip replacement.</w:t>
      </w:r>
      <w:r w:rsidDel="00000000" w:rsidR="00000000" w:rsidRPr="00000000">
        <w:rPr>
          <w:rtl w:val="0"/>
        </w:rPr>
      </w:r>
    </w:p>
    <w:p w:rsidR="00000000" w:rsidDel="00000000" w:rsidP="00000000" w:rsidRDefault="00000000" w:rsidRPr="00000000" w14:paraId="0000003B">
      <w:pPr>
        <w:rPr>
          <w:sz w:val="28"/>
          <w:szCs w:val="28"/>
        </w:rPr>
      </w:pPr>
      <w:r w:rsidDel="00000000" w:rsidR="00000000" w:rsidRPr="00000000">
        <w:rPr>
          <w:rtl w:val="0"/>
        </w:rPr>
      </w:r>
    </w:p>
    <w:p w:rsidR="00000000" w:rsidDel="00000000" w:rsidP="00000000" w:rsidRDefault="00000000" w:rsidRPr="00000000" w14:paraId="0000003C">
      <w:pPr>
        <w:rPr>
          <w:sz w:val="28"/>
          <w:szCs w:val="28"/>
        </w:rPr>
      </w:pPr>
      <w:r w:rsidDel="00000000" w:rsidR="00000000" w:rsidRPr="00000000">
        <w:rPr>
          <w:sz w:val="28"/>
          <w:szCs w:val="28"/>
          <w:rtl w:val="0"/>
        </w:rPr>
        <w:t xml:space="preserve">2.4 Orientation Precision (Canting)</w:t>
      </w:r>
    </w:p>
    <w:p w:rsidR="00000000" w:rsidDel="00000000" w:rsidP="00000000" w:rsidRDefault="00000000" w:rsidRPr="00000000" w14:paraId="0000003D">
      <w:pPr>
        <w:rPr>
          <w:sz w:val="28"/>
          <w:szCs w:val="28"/>
        </w:rPr>
      </w:pPr>
      <w:r w:rsidDel="00000000" w:rsidR="00000000" w:rsidRPr="00000000">
        <w:rPr>
          <w:sz w:val="28"/>
          <w:szCs w:val="28"/>
          <w:rtl w:val="0"/>
        </w:rPr>
        <w:t xml:space="preserve">Lewinnek safe zone: 40±10° inclination, 15±10° anteversion [18]. Cemented cups achieve 38.2±2.8°/12.4±3.1° vs uncemented 43.6±8.4°/21.7±9.2° [18]. Navigation-equivalent precision reduces outlier rate 91% [19].</w:t>
      </w:r>
    </w:p>
    <w:p w:rsidR="00000000" w:rsidDel="00000000" w:rsidP="00000000" w:rsidRDefault="00000000" w:rsidRPr="00000000" w14:paraId="0000003E">
      <w:pPr>
        <w:rPr>
          <w:sz w:val="28"/>
          <w:szCs w:val="28"/>
        </w:rPr>
      </w:pPr>
      <w:r w:rsidDel="00000000" w:rsidR="00000000" w:rsidRPr="00000000">
        <w:rPr>
          <w:rtl w:val="0"/>
        </w:rPr>
      </w:r>
    </w:p>
    <w:p w:rsidR="00000000" w:rsidDel="00000000" w:rsidP="00000000" w:rsidRDefault="00000000" w:rsidRPr="00000000" w14:paraId="0000003F">
      <w:pPr>
        <w:rPr>
          <w:sz w:val="28"/>
          <w:szCs w:val="28"/>
        </w:rPr>
      </w:pPr>
      <w:r w:rsidDel="00000000" w:rsidR="00000000" w:rsidRPr="00000000">
        <w:rPr>
          <w:sz w:val="28"/>
          <w:szCs w:val="28"/>
        </w:rPr>
        <w:drawing>
          <wp:inline distB="114300" distT="114300" distL="114300" distR="114300">
            <wp:extent cx="5943600" cy="4533900"/>
            <wp:effectExtent b="0" l="0" r="0" 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45339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pStyle w:val="Heading1"/>
        <w:keepNext w:val="0"/>
        <w:keepLines w:val="0"/>
        <w:spacing w:after="0" w:before="0" w:line="312" w:lineRule="auto"/>
        <w:rPr>
          <w:color w:val="111111"/>
          <w:sz w:val="28"/>
          <w:szCs w:val="28"/>
        </w:rPr>
      </w:pPr>
      <w:bookmarkStart w:colFirst="0" w:colLast="0" w:name="_iqdu90n00xfq" w:id="1"/>
      <w:bookmarkEnd w:id="1"/>
      <w:r w:rsidDel="00000000" w:rsidR="00000000" w:rsidRPr="00000000">
        <w:rPr>
          <w:color w:val="111111"/>
          <w:sz w:val="28"/>
          <w:szCs w:val="28"/>
          <w:rtl w:val="0"/>
        </w:rPr>
        <w:t xml:space="preserve">A photograph shows an example of a malseated liner placed in a Sawbones 1 pelvis. The arrow indicates the gap where the liner is not completely seated. </w:t>
      </w:r>
    </w:p>
    <w:p w:rsidR="00000000" w:rsidDel="00000000" w:rsidP="00000000" w:rsidRDefault="00000000" w:rsidRPr="00000000" w14:paraId="00000042">
      <w:pPr>
        <w:rPr>
          <w:sz w:val="28"/>
          <w:szCs w:val="28"/>
        </w:rPr>
      </w:pPr>
      <w:r w:rsidDel="00000000" w:rsidR="00000000" w:rsidRPr="00000000">
        <w:rPr>
          <w:rtl w:val="0"/>
        </w:rPr>
      </w:r>
    </w:p>
    <w:p w:rsidR="00000000" w:rsidDel="00000000" w:rsidP="00000000" w:rsidRDefault="00000000" w:rsidRPr="00000000" w14:paraId="00000043">
      <w:pPr>
        <w:rPr>
          <w:sz w:val="28"/>
          <w:szCs w:val="28"/>
        </w:rPr>
      </w:pPr>
      <w:r w:rsidDel="00000000" w:rsidR="00000000" w:rsidRPr="00000000">
        <w:rPr>
          <w:sz w:val="28"/>
          <w:szCs w:val="28"/>
        </w:rPr>
        <w:drawing>
          <wp:inline distB="114300" distT="114300" distL="114300" distR="114300">
            <wp:extent cx="5943600" cy="4013200"/>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943600" cy="40132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Style w:val="Heading1"/>
        <w:keepNext w:val="0"/>
        <w:keepLines w:val="0"/>
        <w:spacing w:after="0" w:before="0" w:line="312" w:lineRule="auto"/>
        <w:rPr>
          <w:color w:val="111111"/>
          <w:sz w:val="28"/>
          <w:szCs w:val="28"/>
        </w:rPr>
      </w:pPr>
      <w:bookmarkStart w:colFirst="0" w:colLast="0" w:name="_rhju083eod0m" w:id="2"/>
      <w:bookmarkEnd w:id="2"/>
      <w:r w:rsidDel="00000000" w:rsidR="00000000" w:rsidRPr="00000000">
        <w:rPr>
          <w:color w:val="111111"/>
          <w:sz w:val="28"/>
          <w:szCs w:val="28"/>
          <w:rtl w:val="0"/>
        </w:rPr>
        <w:t xml:space="preserve">A radiograph shows an incorrectly seated liner with a visible gap. The lower arrow indicates the gap evident on the radiograph when the liner is malseated. The upper arrowhead shows an apparently well-seated liner. </w:t>
      </w:r>
    </w:p>
    <w:p w:rsidR="00000000" w:rsidDel="00000000" w:rsidP="00000000" w:rsidRDefault="00000000" w:rsidRPr="00000000" w14:paraId="00000045">
      <w:pPr>
        <w:rPr>
          <w:sz w:val="28"/>
          <w:szCs w:val="28"/>
        </w:rPr>
      </w:pPr>
      <w:r w:rsidDel="00000000" w:rsidR="00000000" w:rsidRPr="00000000">
        <w:rPr>
          <w:rtl w:val="0"/>
        </w:rPr>
      </w:r>
    </w:p>
    <w:p w:rsidR="00000000" w:rsidDel="00000000" w:rsidP="00000000" w:rsidRDefault="00000000" w:rsidRPr="00000000" w14:paraId="00000046">
      <w:pPr>
        <w:rPr>
          <w:sz w:val="28"/>
          <w:szCs w:val="28"/>
        </w:rPr>
      </w:pPr>
      <w:r w:rsidDel="00000000" w:rsidR="00000000" w:rsidRPr="00000000">
        <w:rPr>
          <w:sz w:val="28"/>
          <w:szCs w:val="28"/>
          <w:rtl w:val="0"/>
        </w:rPr>
        <w:t xml:space="preserve">2.5 Reduced Intraoperative Bone Injury</w:t>
      </w:r>
    </w:p>
    <w:p w:rsidR="00000000" w:rsidDel="00000000" w:rsidP="00000000" w:rsidRDefault="00000000" w:rsidRPr="00000000" w14:paraId="00000047">
      <w:pPr>
        <w:rPr>
          <w:sz w:val="28"/>
          <w:szCs w:val="28"/>
        </w:rPr>
      </w:pPr>
      <w:r w:rsidDel="00000000" w:rsidR="00000000" w:rsidRPr="00000000">
        <w:rPr>
          <w:sz w:val="28"/>
          <w:szCs w:val="28"/>
          <w:rtl w:val="0"/>
        </w:rPr>
        <w:t xml:space="preserve">Press-fit cups require forceful impaction risking rim fractures (4.2% elderly) [13]. Cemented insertion eliminates these forces, reducing fracture risk 96% [13].</w:t>
      </w:r>
    </w:p>
    <w:p w:rsidR="00000000" w:rsidDel="00000000" w:rsidP="00000000" w:rsidRDefault="00000000" w:rsidRPr="00000000" w14:paraId="00000048">
      <w:pPr>
        <w:rPr>
          <w:sz w:val="28"/>
          <w:szCs w:val="28"/>
        </w:rPr>
      </w:pPr>
      <w:r w:rsidDel="00000000" w:rsidR="00000000" w:rsidRPr="00000000">
        <w:rPr>
          <w:rtl w:val="0"/>
        </w:rPr>
      </w:r>
    </w:p>
    <w:p w:rsidR="00000000" w:rsidDel="00000000" w:rsidP="00000000" w:rsidRDefault="00000000" w:rsidRPr="00000000" w14:paraId="00000049">
      <w:pPr>
        <w:rPr>
          <w:sz w:val="28"/>
          <w:szCs w:val="28"/>
        </w:rPr>
      </w:pPr>
      <w:r w:rsidDel="00000000" w:rsidR="00000000" w:rsidRPr="00000000">
        <w:rPr>
          <w:sz w:val="28"/>
          <w:szCs w:val="28"/>
          <w:rtl w:val="0"/>
        </w:rPr>
        <w:t xml:space="preserve">2.6 Reduced Modular Interface Issues</w:t>
      </w:r>
    </w:p>
    <w:p w:rsidR="00000000" w:rsidDel="00000000" w:rsidP="00000000" w:rsidRDefault="00000000" w:rsidRPr="00000000" w14:paraId="0000004A">
      <w:pPr>
        <w:rPr>
          <w:sz w:val="28"/>
          <w:szCs w:val="28"/>
        </w:rPr>
      </w:pPr>
      <w:r w:rsidDel="00000000" w:rsidR="00000000" w:rsidRPr="00000000">
        <w:rPr>
          <w:sz w:val="28"/>
          <w:szCs w:val="28"/>
          <w:rtl w:val="0"/>
        </w:rPr>
        <w:t xml:space="preserve">Cemented fixation decreases overall system micromotion, reducing taper corrosion 73% (serum Co/Cr levels) [15].</w:t>
      </w:r>
    </w:p>
    <w:p w:rsidR="00000000" w:rsidDel="00000000" w:rsidP="00000000" w:rsidRDefault="00000000" w:rsidRPr="00000000" w14:paraId="0000004B">
      <w:pPr>
        <w:rPr>
          <w:sz w:val="28"/>
          <w:szCs w:val="28"/>
        </w:rPr>
      </w:pP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rtl w:val="0"/>
        </w:rPr>
      </w:r>
    </w:p>
    <w:p w:rsidR="00000000" w:rsidDel="00000000" w:rsidP="00000000" w:rsidRDefault="00000000" w:rsidRPr="00000000" w14:paraId="0000004D">
      <w:pPr>
        <w:rPr>
          <w:sz w:val="28"/>
          <w:szCs w:val="28"/>
        </w:rPr>
      </w:pPr>
      <w:r w:rsidDel="00000000" w:rsidR="00000000" w:rsidRPr="00000000">
        <w:rPr>
          <w:rtl w:val="0"/>
        </w:rPr>
      </w:r>
    </w:p>
    <w:p w:rsidR="00000000" w:rsidDel="00000000" w:rsidP="00000000" w:rsidRDefault="00000000" w:rsidRPr="00000000" w14:paraId="0000004E">
      <w:pPr>
        <w:rPr>
          <w:sz w:val="28"/>
          <w:szCs w:val="28"/>
        </w:rPr>
      </w:pPr>
      <w:r w:rsidDel="00000000" w:rsidR="00000000" w:rsidRPr="00000000">
        <w:rPr>
          <w:rtl w:val="0"/>
        </w:rPr>
      </w:r>
    </w:p>
    <w:p w:rsidR="00000000" w:rsidDel="00000000" w:rsidP="00000000" w:rsidRDefault="00000000" w:rsidRPr="00000000" w14:paraId="0000004F">
      <w:pPr>
        <w:rPr>
          <w:sz w:val="28"/>
          <w:szCs w:val="28"/>
        </w:rPr>
      </w:pPr>
      <w:r w:rsidDel="00000000" w:rsidR="00000000" w:rsidRPr="00000000">
        <w:rPr>
          <w:rtl w:val="0"/>
        </w:rPr>
      </w:r>
    </w:p>
    <w:p w:rsidR="00000000" w:rsidDel="00000000" w:rsidP="00000000" w:rsidRDefault="00000000" w:rsidRPr="00000000" w14:paraId="00000050">
      <w:pPr>
        <w:rPr>
          <w:sz w:val="28"/>
          <w:szCs w:val="28"/>
        </w:rPr>
      </w:pPr>
      <w:r w:rsidDel="00000000" w:rsidR="00000000" w:rsidRPr="00000000">
        <w:rPr>
          <w:sz w:val="28"/>
          <w:szCs w:val="28"/>
          <w:rtl w:val="0"/>
        </w:rPr>
        <w:t xml:space="preserve">3. CLINICAL OUTCOMES</w:t>
      </w:r>
    </w:p>
    <w:p w:rsidR="00000000" w:rsidDel="00000000" w:rsidP="00000000" w:rsidRDefault="00000000" w:rsidRPr="00000000" w14:paraId="00000051">
      <w:pPr>
        <w:rPr>
          <w:sz w:val="28"/>
          <w:szCs w:val="28"/>
        </w:rPr>
      </w:pPr>
      <w:r w:rsidDel="00000000" w:rsidR="00000000" w:rsidRPr="00000000">
        <w:rPr>
          <w:rtl w:val="0"/>
        </w:rPr>
      </w:r>
    </w:p>
    <w:p w:rsidR="00000000" w:rsidDel="00000000" w:rsidP="00000000" w:rsidRDefault="00000000" w:rsidRPr="00000000" w14:paraId="00000052">
      <w:pPr>
        <w:rPr>
          <w:sz w:val="28"/>
          <w:szCs w:val="28"/>
        </w:rPr>
      </w:pPr>
      <w:r w:rsidDel="00000000" w:rsidR="00000000" w:rsidRPr="00000000">
        <w:rPr>
          <w:sz w:val="28"/>
          <w:szCs w:val="28"/>
          <w:rtl w:val="0"/>
        </w:rPr>
        <w:t xml:space="preserve">3.1 Dislocation Risk Reduction</w:t>
      </w:r>
    </w:p>
    <w:p w:rsidR="00000000" w:rsidDel="00000000" w:rsidP="00000000" w:rsidRDefault="00000000" w:rsidRPr="00000000" w14:paraId="00000053">
      <w:pPr>
        <w:rPr>
          <w:sz w:val="28"/>
          <w:szCs w:val="28"/>
        </w:rPr>
      </w:pPr>
      <w:r w:rsidDel="00000000" w:rsidR="00000000" w:rsidRPr="00000000">
        <w:rPr>
          <w:sz w:val="28"/>
          <w:szCs w:val="28"/>
          <w:rtl w:val="0"/>
        </w:rPr>
        <w:t xml:space="preserve">Meta-analysis (18,472 THA): Cemented DM 0.84% dislocation (31/3,452) vs 3.1% standard cups at 46 months [11]. High-risk cohort: 1.2% vs 12.8% (86% RRR) [11].</w:t>
      </w:r>
    </w:p>
    <w:p w:rsidR="00000000" w:rsidDel="00000000" w:rsidP="00000000" w:rsidRDefault="00000000" w:rsidRPr="00000000" w14:paraId="00000054">
      <w:pPr>
        <w:rPr>
          <w:sz w:val="28"/>
          <w:szCs w:val="28"/>
        </w:rPr>
      </w:pPr>
      <w:r w:rsidDel="00000000" w:rsidR="00000000" w:rsidRPr="00000000">
        <w:rPr>
          <w:rtl w:val="0"/>
        </w:rPr>
      </w:r>
    </w:p>
    <w:p w:rsidR="00000000" w:rsidDel="00000000" w:rsidP="00000000" w:rsidRDefault="00000000" w:rsidRPr="00000000" w14:paraId="00000055">
      <w:pPr>
        <w:rPr>
          <w:sz w:val="28"/>
          <w:szCs w:val="28"/>
        </w:rPr>
      </w:pPr>
      <w:r w:rsidDel="00000000" w:rsidR="00000000" w:rsidRPr="00000000">
        <w:rPr>
          <w:sz w:val="28"/>
          <w:szCs w:val="28"/>
          <w:rtl w:val="0"/>
        </w:rPr>
        <w:t xml:space="preserve">3.2 Revision Performance</w:t>
      </w:r>
    </w:p>
    <w:p w:rsidR="00000000" w:rsidDel="00000000" w:rsidP="00000000" w:rsidRDefault="00000000" w:rsidRPr="00000000" w14:paraId="00000056">
      <w:pPr>
        <w:rPr>
          <w:sz w:val="28"/>
          <w:szCs w:val="28"/>
        </w:rPr>
      </w:pPr>
      <w:r w:rsidDel="00000000" w:rsidR="00000000" w:rsidRPr="00000000">
        <w:rPr>
          <w:sz w:val="28"/>
          <w:szCs w:val="28"/>
          <w:rtl w:val="0"/>
        </w:rPr>
        <w:t xml:space="preserve">Paprosky Classification Outcomes (5yr survival) [8,14]:</w:t>
      </w:r>
    </w:p>
    <w:p w:rsidR="00000000" w:rsidDel="00000000" w:rsidP="00000000" w:rsidRDefault="00000000" w:rsidRPr="00000000" w14:paraId="00000057">
      <w:pPr>
        <w:rPr>
          <w:sz w:val="28"/>
          <w:szCs w:val="28"/>
        </w:rPr>
      </w:pPr>
      <w:r w:rsidDel="00000000" w:rsidR="00000000" w:rsidRPr="00000000">
        <w:rPr>
          <w:rtl w:val="0"/>
        </w:rPr>
      </w:r>
    </w:p>
    <w:p w:rsidR="00000000" w:rsidDel="00000000" w:rsidP="00000000" w:rsidRDefault="00000000" w:rsidRPr="00000000" w14:paraId="00000058">
      <w:pPr>
        <w:rPr>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sz w:val="28"/>
                <w:szCs w:val="28"/>
              </w:rPr>
            </w:pPr>
            <w:r w:rsidDel="00000000" w:rsidR="00000000" w:rsidRPr="00000000">
              <w:rPr>
                <w:sz w:val="28"/>
                <w:szCs w:val="28"/>
                <w:rtl w:val="0"/>
              </w:rPr>
              <w:t xml:space="preserve">Defect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rPr>
                <w:sz w:val="28"/>
                <w:szCs w:val="28"/>
              </w:rPr>
            </w:pPr>
            <w:r w:rsidDel="00000000" w:rsidR="00000000" w:rsidRPr="00000000">
              <w:rPr>
                <w:sz w:val="28"/>
                <w:szCs w:val="28"/>
                <w:rtl w:val="0"/>
              </w:rPr>
              <w:t xml:space="preserve">Cemented  MDM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sz w:val="28"/>
                <w:szCs w:val="28"/>
              </w:rPr>
            </w:pPr>
            <w:r w:rsidDel="00000000" w:rsidR="00000000" w:rsidRPr="00000000">
              <w:rPr>
                <w:sz w:val="28"/>
                <w:szCs w:val="28"/>
                <w:rtl w:val="0"/>
              </w:rPr>
              <w:t xml:space="preserve">Uncemented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Type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Type 2B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92%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Type 3A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62%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Type 3B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41%</w:t>
            </w:r>
          </w:p>
        </w:tc>
      </w:tr>
    </w:tbl>
    <w:p w:rsidR="00000000" w:rsidDel="00000000" w:rsidP="00000000" w:rsidRDefault="00000000" w:rsidRPr="00000000" w14:paraId="00000068">
      <w:pPr>
        <w:rPr>
          <w:sz w:val="28"/>
          <w:szCs w:val="28"/>
        </w:rPr>
      </w:pPr>
      <w:r w:rsidDel="00000000" w:rsidR="00000000" w:rsidRPr="00000000">
        <w:rPr>
          <w:rtl w:val="0"/>
        </w:rPr>
      </w:r>
    </w:p>
    <w:p w:rsidR="00000000" w:rsidDel="00000000" w:rsidP="00000000" w:rsidRDefault="00000000" w:rsidRPr="00000000" w14:paraId="00000069">
      <w:pPr>
        <w:rPr>
          <w:sz w:val="28"/>
          <w:szCs w:val="28"/>
        </w:rPr>
      </w:pPr>
      <w:r w:rsidDel="00000000" w:rsidR="00000000" w:rsidRPr="00000000">
        <w:rPr>
          <w:rtl w:val="0"/>
        </w:rPr>
      </w:r>
    </w:p>
    <w:p w:rsidR="00000000" w:rsidDel="00000000" w:rsidP="00000000" w:rsidRDefault="00000000" w:rsidRPr="00000000" w14:paraId="0000006A">
      <w:pPr>
        <w:rPr>
          <w:sz w:val="28"/>
          <w:szCs w:val="28"/>
        </w:rPr>
      </w:pPr>
      <w:r w:rsidDel="00000000" w:rsidR="00000000" w:rsidRPr="00000000">
        <w:rPr>
          <w:sz w:val="28"/>
          <w:szCs w:val="28"/>
          <w:rtl w:val="0"/>
        </w:rPr>
        <w:t xml:space="preserve">Cup-in-cup technique: 64 patients, 0% dislocation, 92% aseptic survival at 2 years [8].</w:t>
      </w:r>
    </w:p>
    <w:p w:rsidR="00000000" w:rsidDel="00000000" w:rsidP="00000000" w:rsidRDefault="00000000" w:rsidRPr="00000000" w14:paraId="0000006B">
      <w:pPr>
        <w:rPr>
          <w:sz w:val="28"/>
          <w:szCs w:val="28"/>
        </w:rPr>
      </w:pPr>
      <w:r w:rsidDel="00000000" w:rsidR="00000000" w:rsidRPr="00000000">
        <w:rPr>
          <w:rtl w:val="0"/>
        </w:rPr>
      </w:r>
    </w:p>
    <w:p w:rsidR="00000000" w:rsidDel="00000000" w:rsidP="00000000" w:rsidRDefault="00000000" w:rsidRPr="00000000" w14:paraId="0000006C">
      <w:pPr>
        <w:rPr>
          <w:sz w:val="28"/>
          <w:szCs w:val="28"/>
        </w:rPr>
      </w:pPr>
      <w:r w:rsidDel="00000000" w:rsidR="00000000" w:rsidRPr="00000000">
        <w:rPr>
          <w:rtl w:val="0"/>
        </w:rPr>
      </w:r>
    </w:p>
    <w:p w:rsidR="00000000" w:rsidDel="00000000" w:rsidP="00000000" w:rsidRDefault="00000000" w:rsidRPr="00000000" w14:paraId="0000006D">
      <w:pPr>
        <w:rPr>
          <w:sz w:val="28"/>
          <w:szCs w:val="28"/>
        </w:rPr>
      </w:pPr>
      <w:r w:rsidDel="00000000" w:rsidR="00000000" w:rsidRPr="00000000">
        <w:rPr>
          <w:sz w:val="28"/>
          <w:szCs w:val="28"/>
          <w:rtl w:val="0"/>
        </w:rPr>
        <w:t xml:space="preserve">4. TECHNICAL CONSIDERATIONS</w:t>
      </w:r>
    </w:p>
    <w:p w:rsidR="00000000" w:rsidDel="00000000" w:rsidP="00000000" w:rsidRDefault="00000000" w:rsidRPr="00000000" w14:paraId="0000006E">
      <w:pPr>
        <w:rPr>
          <w:sz w:val="28"/>
          <w:szCs w:val="28"/>
        </w:rPr>
      </w:pPr>
      <w:r w:rsidDel="00000000" w:rsidR="00000000" w:rsidRPr="00000000">
        <w:rPr>
          <w:rtl w:val="0"/>
        </w:rPr>
      </w:r>
    </w:p>
    <w:p w:rsidR="00000000" w:rsidDel="00000000" w:rsidP="00000000" w:rsidRDefault="00000000" w:rsidRPr="00000000" w14:paraId="0000006F">
      <w:pPr>
        <w:rPr>
          <w:sz w:val="28"/>
          <w:szCs w:val="28"/>
        </w:rPr>
      </w:pPr>
      <w:r w:rsidDel="00000000" w:rsidR="00000000" w:rsidRPr="00000000">
        <w:rPr>
          <w:sz w:val="28"/>
          <w:szCs w:val="28"/>
          <w:rtl w:val="0"/>
        </w:rPr>
        <w:t xml:space="preserve">4.1 Cement Mantle Optimization [20]</w:t>
      </w:r>
    </w:p>
    <w:p w:rsidR="00000000" w:rsidDel="00000000" w:rsidP="00000000" w:rsidRDefault="00000000" w:rsidRPr="00000000" w14:paraId="00000070">
      <w:pPr>
        <w:rPr>
          <w:sz w:val="28"/>
          <w:szCs w:val="28"/>
        </w:rPr>
      </w:pPr>
      <w:r w:rsidDel="00000000" w:rsidR="00000000" w:rsidRPr="00000000">
        <w:rPr>
          <w:sz w:val="28"/>
          <w:szCs w:val="28"/>
          <w:rtl w:val="0"/>
        </w:rPr>
        <w:t xml:space="preserve">Optimal thickness: 2.0-3.5mm uniform mantle. Von Mises stress:</w:t>
      </w:r>
    </w:p>
    <w:p w:rsidR="00000000" w:rsidDel="00000000" w:rsidP="00000000" w:rsidRDefault="00000000" w:rsidRPr="00000000" w14:paraId="00000071">
      <w:pPr>
        <w:rPr>
          <w:sz w:val="28"/>
          <w:szCs w:val="28"/>
        </w:rPr>
      </w:pPr>
      <w:r w:rsidDel="00000000" w:rsidR="00000000" w:rsidRPr="00000000">
        <w:rPr>
          <w:sz w:val="28"/>
          <w:szCs w:val="28"/>
          <w:rtl w:val="0"/>
        </w:rPr>
        <w:t xml:space="preserve">&lt;2mm: 18.4 MPa (failure risk)</w:t>
      </w:r>
    </w:p>
    <w:p w:rsidR="00000000" w:rsidDel="00000000" w:rsidP="00000000" w:rsidRDefault="00000000" w:rsidRPr="00000000" w14:paraId="00000072">
      <w:pPr>
        <w:rPr>
          <w:sz w:val="28"/>
          <w:szCs w:val="28"/>
        </w:rPr>
      </w:pPr>
      <w:r w:rsidDel="00000000" w:rsidR="00000000" w:rsidRPr="00000000">
        <w:rPr>
          <w:sz w:val="28"/>
          <w:szCs w:val="28"/>
          <w:rtl w:val="0"/>
        </w:rPr>
        <w:t xml:space="preserve">2-3mm: 9.2 MPa (ideal)</w:t>
      </w:r>
    </w:p>
    <w:p w:rsidR="00000000" w:rsidDel="00000000" w:rsidP="00000000" w:rsidRDefault="00000000" w:rsidRPr="00000000" w14:paraId="00000073">
      <w:pPr>
        <w:rPr>
          <w:sz w:val="28"/>
          <w:szCs w:val="28"/>
        </w:rPr>
      </w:pPr>
      <w:r w:rsidDel="00000000" w:rsidR="00000000" w:rsidRPr="00000000">
        <w:rPr>
          <w:sz w:val="28"/>
          <w:szCs w:val="28"/>
          <w:rtl w:val="0"/>
        </w:rPr>
        <w:t xml:space="preserve">&gt;5mm: 14.7 MPa (thermal necrosis)</w:t>
      </w:r>
    </w:p>
    <w:p w:rsidR="00000000" w:rsidDel="00000000" w:rsidP="00000000" w:rsidRDefault="00000000" w:rsidRPr="00000000" w14:paraId="00000074">
      <w:pPr>
        <w:rPr>
          <w:sz w:val="28"/>
          <w:szCs w:val="28"/>
        </w:rPr>
      </w:pPr>
      <w:r w:rsidDel="00000000" w:rsidR="00000000" w:rsidRPr="00000000">
        <w:rPr>
          <w:rtl w:val="0"/>
        </w:rPr>
      </w:r>
    </w:p>
    <w:p w:rsidR="00000000" w:rsidDel="00000000" w:rsidP="00000000" w:rsidRDefault="00000000" w:rsidRPr="00000000" w14:paraId="00000075">
      <w:pPr>
        <w:rPr>
          <w:sz w:val="28"/>
          <w:szCs w:val="28"/>
        </w:rPr>
      </w:pPr>
      <w:r w:rsidDel="00000000" w:rsidR="00000000" w:rsidRPr="00000000">
        <w:rPr>
          <w:sz w:val="28"/>
          <w:szCs w:val="28"/>
          <w:rtl w:val="0"/>
        </w:rPr>
        <w:t xml:space="preserve">Technique: Pulsed lavage (+47% shear strength), vacuum mixing (-52% porosity) [20].</w:t>
      </w:r>
    </w:p>
    <w:p w:rsidR="00000000" w:rsidDel="00000000" w:rsidP="00000000" w:rsidRDefault="00000000" w:rsidRPr="00000000" w14:paraId="00000076">
      <w:pPr>
        <w:rPr>
          <w:sz w:val="28"/>
          <w:szCs w:val="28"/>
        </w:rPr>
      </w:pPr>
      <w:r w:rsidDel="00000000" w:rsidR="00000000" w:rsidRPr="00000000">
        <w:rPr>
          <w:sz w:val="28"/>
          <w:szCs w:val="28"/>
          <w:rtl w:val="0"/>
        </w:rPr>
        <w:t xml:space="preserve">5. LIMITATIONS</w:t>
      </w:r>
    </w:p>
    <w:p w:rsidR="00000000" w:rsidDel="00000000" w:rsidP="00000000" w:rsidRDefault="00000000" w:rsidRPr="00000000" w14:paraId="00000077">
      <w:pPr>
        <w:rPr>
          <w:sz w:val="28"/>
          <w:szCs w:val="28"/>
        </w:rPr>
      </w:pPr>
      <w:r w:rsidDel="00000000" w:rsidR="00000000" w:rsidRPr="00000000">
        <w:rPr>
          <w:sz w:val="28"/>
          <w:szCs w:val="28"/>
          <w:rtl w:val="0"/>
        </w:rPr>
        <w:t xml:space="preserve">- Intraprosthetic dislocation risk: 1.2% [11]</w:t>
      </w:r>
    </w:p>
    <w:p w:rsidR="00000000" w:rsidDel="00000000" w:rsidP="00000000" w:rsidRDefault="00000000" w:rsidRPr="00000000" w14:paraId="00000078">
      <w:pPr>
        <w:rPr>
          <w:sz w:val="28"/>
          <w:szCs w:val="28"/>
        </w:rPr>
      </w:pPr>
      <w:r w:rsidDel="00000000" w:rsidR="00000000" w:rsidRPr="00000000">
        <w:rPr>
          <w:sz w:val="28"/>
          <w:szCs w:val="28"/>
          <w:rtl w:val="0"/>
        </w:rPr>
        <w:t xml:space="preserve">- Revision complexity: 12% complication rate [19]</w:t>
      </w:r>
    </w:p>
    <w:p w:rsidR="00000000" w:rsidDel="00000000" w:rsidP="00000000" w:rsidRDefault="00000000" w:rsidRPr="00000000" w14:paraId="00000079">
      <w:pPr>
        <w:rPr>
          <w:sz w:val="28"/>
          <w:szCs w:val="28"/>
        </w:rPr>
      </w:pPr>
      <w:r w:rsidDel="00000000" w:rsidR="00000000" w:rsidRPr="00000000">
        <w:rPr>
          <w:rFonts w:ascii="Arial Unicode MS" w:cs="Arial Unicode MS" w:eastAsia="Arial Unicode MS" w:hAnsi="Arial Unicode MS"/>
          <w:sz w:val="28"/>
          <w:szCs w:val="28"/>
          <w:rtl w:val="0"/>
        </w:rPr>
        <w:t xml:space="preserve">- Obese patients (BMI&gt;40): Mantle stress ↑32%[17]</w:t>
      </w:r>
    </w:p>
    <w:p w:rsidR="00000000" w:rsidDel="00000000" w:rsidP="00000000" w:rsidRDefault="00000000" w:rsidRPr="00000000" w14:paraId="0000007A">
      <w:pPr>
        <w:rPr>
          <w:sz w:val="28"/>
          <w:szCs w:val="28"/>
        </w:rPr>
      </w:pPr>
      <w:r w:rsidDel="00000000" w:rsidR="00000000" w:rsidRPr="00000000">
        <w:rPr>
          <w:rFonts w:ascii="Arial Unicode MS" w:cs="Arial Unicode MS" w:eastAsia="Arial Unicode MS" w:hAnsi="Arial Unicode MS"/>
          <w:sz w:val="28"/>
          <w:szCs w:val="28"/>
          <w:rtl w:val="0"/>
        </w:rPr>
        <w:t xml:space="preserve">- Surgeon learning curve: First 20 cases dislocation ↑1.8x [8]</w:t>
      </w:r>
    </w:p>
    <w:p w:rsidR="00000000" w:rsidDel="00000000" w:rsidP="00000000" w:rsidRDefault="00000000" w:rsidRPr="00000000" w14:paraId="0000007B">
      <w:pPr>
        <w:rPr>
          <w:sz w:val="28"/>
          <w:szCs w:val="28"/>
        </w:rPr>
      </w:pPr>
      <w:r w:rsidDel="00000000" w:rsidR="00000000" w:rsidRPr="00000000">
        <w:rPr>
          <w:rtl w:val="0"/>
        </w:rPr>
      </w:r>
    </w:p>
    <w:p w:rsidR="00000000" w:rsidDel="00000000" w:rsidP="00000000" w:rsidRDefault="00000000" w:rsidRPr="00000000" w14:paraId="0000007C">
      <w:pPr>
        <w:rPr>
          <w:sz w:val="28"/>
          <w:szCs w:val="28"/>
        </w:rPr>
      </w:pPr>
      <w:r w:rsidDel="00000000" w:rsidR="00000000" w:rsidRPr="00000000">
        <w:rPr>
          <w:sz w:val="28"/>
          <w:szCs w:val="28"/>
          <w:rtl w:val="0"/>
        </w:rPr>
        <w:t xml:space="preserve">6. DISCUSSION</w:t>
      </w:r>
    </w:p>
    <w:p w:rsidR="00000000" w:rsidDel="00000000" w:rsidP="00000000" w:rsidRDefault="00000000" w:rsidRPr="00000000" w14:paraId="0000007D">
      <w:pPr>
        <w:spacing w:after="240" w:before="240" w:lineRule="auto"/>
        <w:rPr>
          <w:sz w:val="28"/>
          <w:szCs w:val="28"/>
        </w:rPr>
      </w:pPr>
      <w:r w:rsidDel="00000000" w:rsidR="00000000" w:rsidRPr="00000000">
        <w:rPr>
          <w:sz w:val="28"/>
          <w:szCs w:val="28"/>
          <w:rtl w:val="0"/>
        </w:rPr>
        <w:t xml:space="preserve">The clinical shift toward </w:t>
      </w:r>
      <w:r w:rsidDel="00000000" w:rsidR="00000000" w:rsidRPr="00000000">
        <w:rPr>
          <w:b w:val="1"/>
          <w:bCs w:val="1"/>
          <w:sz w:val="28"/>
          <w:szCs w:val="28"/>
          <w:rtl w:val="0"/>
        </w:rPr>
        <w:t xml:space="preserve">Modular Dual Mobility (MDM)</w:t>
      </w:r>
      <w:r w:rsidDel="00000000" w:rsidR="00000000" w:rsidRPr="00000000">
        <w:rPr>
          <w:sz w:val="28"/>
          <w:szCs w:val="28"/>
          <w:rtl w:val="0"/>
        </w:rPr>
        <w:t xml:space="preserve"> represents a major milestone in addressing the "Achilles' heel" of total hip arthroplasty: instability and dislocation. While the dual-mobility concept inherently provides a greater range of motion and a higher "jump distance," the method of acetabular fixation—cemented versus uncemented—remains a critical surgical decision.</w:t>
      </w:r>
    </w:p>
    <w:p w:rsidR="00000000" w:rsidDel="00000000" w:rsidP="00000000" w:rsidRDefault="00000000" w:rsidRPr="00000000" w14:paraId="0000007E">
      <w:pPr>
        <w:spacing w:after="240" w:before="240" w:lineRule="auto"/>
        <w:rPr>
          <w:sz w:val="28"/>
          <w:szCs w:val="28"/>
        </w:rPr>
      </w:pPr>
      <w:r w:rsidDel="00000000" w:rsidR="00000000" w:rsidRPr="00000000">
        <w:rPr>
          <w:sz w:val="28"/>
          <w:szCs w:val="28"/>
          <w:rtl w:val="0"/>
        </w:rPr>
        <w:t xml:space="preserve">In the contemporary landscape, </w:t>
      </w:r>
      <w:r w:rsidDel="00000000" w:rsidR="00000000" w:rsidRPr="00000000">
        <w:rPr>
          <w:b w:val="1"/>
          <w:bCs w:val="1"/>
          <w:sz w:val="28"/>
          <w:szCs w:val="28"/>
          <w:rtl w:val="0"/>
        </w:rPr>
        <w:t xml:space="preserve">uncemented fixation</w:t>
      </w:r>
      <w:r w:rsidDel="00000000" w:rsidR="00000000" w:rsidRPr="00000000">
        <w:rPr>
          <w:sz w:val="28"/>
          <w:szCs w:val="28"/>
          <w:rtl w:val="0"/>
        </w:rPr>
        <w:t xml:space="preserve"> is often favored for its potential for long-term biological integration. However, the </w:t>
      </w:r>
      <w:r w:rsidDel="00000000" w:rsidR="00000000" w:rsidRPr="00000000">
        <w:rPr>
          <w:b w:val="1"/>
          <w:bCs w:val="1"/>
          <w:sz w:val="28"/>
          <w:szCs w:val="28"/>
          <w:rtl w:val="0"/>
        </w:rPr>
        <w:t xml:space="preserve">cemented MDM construct</w:t>
      </w:r>
      <w:r w:rsidDel="00000000" w:rsidR="00000000" w:rsidRPr="00000000">
        <w:rPr>
          <w:sz w:val="28"/>
          <w:szCs w:val="28"/>
          <w:rtl w:val="0"/>
        </w:rPr>
        <w:t xml:space="preserve"> emerges as a superior strategy in specific high-risk cohorts. The discussion surrounding this choice centers on the trade-off between the longevity of bone ingrowth and the reliability of immediate mechanical stability. For the "frail" acetabulum—whether due to the metabolic decay of osteoporosis, the structural voids of revision surgery, or the biological silence of irradiated bone—the cement mantle acts as a vital intermediary. It mitigates the "all-or-nothing" risk of press-fit fixation, where a lack of primary stability leads to early catastrophic migration.</w:t>
      </w:r>
    </w:p>
    <w:p w:rsidR="00000000" w:rsidDel="00000000" w:rsidP="00000000" w:rsidRDefault="00000000" w:rsidRPr="00000000" w14:paraId="0000007F">
      <w:pPr>
        <w:spacing w:after="240" w:before="240" w:lineRule="auto"/>
        <w:rPr>
          <w:sz w:val="28"/>
          <w:szCs w:val="28"/>
        </w:rPr>
      </w:pPr>
      <w:r w:rsidDel="00000000" w:rsidR="00000000" w:rsidRPr="00000000">
        <w:rPr>
          <w:sz w:val="28"/>
          <w:szCs w:val="28"/>
          <w:rtl w:val="0"/>
        </w:rPr>
        <w:t xml:space="preserve">Furthermore, the cemented approach grants the surgeon </w:t>
      </w:r>
      <w:r w:rsidDel="00000000" w:rsidR="00000000" w:rsidRPr="00000000">
        <w:rPr>
          <w:b w:val="1"/>
          <w:bCs w:val="1"/>
          <w:sz w:val="28"/>
          <w:szCs w:val="28"/>
          <w:rtl w:val="0"/>
        </w:rPr>
        <w:t xml:space="preserve">geometric freedom</w:t>
      </w:r>
      <w:r w:rsidDel="00000000" w:rsidR="00000000" w:rsidRPr="00000000">
        <w:rPr>
          <w:sz w:val="28"/>
          <w:szCs w:val="28"/>
          <w:rtl w:val="0"/>
        </w:rPr>
        <w:t xml:space="preserve">. In cases of severe pelvic dissociation or dysplasia, the ability to orient the MDM shell independent of the surrounding bone contours allows for the restoration of an optimized center of rotation. This precision, combined with the use of antibiotic-loaded cement, provides a multi-modal defense against the two most common reasons for THA failure: dislocation and infection.</w:t>
      </w:r>
    </w:p>
    <w:p w:rsidR="00000000" w:rsidDel="00000000" w:rsidP="00000000" w:rsidRDefault="00000000" w:rsidRPr="00000000" w14:paraId="00000080">
      <w:pPr>
        <w:spacing w:after="240" w:before="240" w:lineRule="auto"/>
        <w:rPr>
          <w:sz w:val="28"/>
          <w:szCs w:val="28"/>
        </w:rPr>
      </w:pPr>
      <w:r w:rsidDel="00000000" w:rsidR="00000000" w:rsidRPr="00000000">
        <w:rPr>
          <w:rtl w:val="0"/>
        </w:rPr>
      </w:r>
    </w:p>
    <w:p w:rsidR="00000000" w:rsidDel="00000000" w:rsidP="00000000" w:rsidRDefault="00000000" w:rsidRPr="00000000" w14:paraId="00000081">
      <w:pPr>
        <w:spacing w:after="240" w:before="240" w:lineRule="auto"/>
        <w:rPr>
          <w:sz w:val="28"/>
          <w:szCs w:val="28"/>
        </w:rPr>
      </w:pPr>
      <w:r w:rsidDel="00000000" w:rsidR="00000000" w:rsidRPr="00000000">
        <w:rPr>
          <w:sz w:val="28"/>
          <w:szCs w:val="28"/>
          <w:rtl w:val="0"/>
        </w:rPr>
        <w:t xml:space="preserve">7. CONCLUSION</w:t>
      </w:r>
    </w:p>
    <w:p w:rsidR="00000000" w:rsidDel="00000000" w:rsidP="00000000" w:rsidRDefault="00000000" w:rsidRPr="00000000" w14:paraId="00000082">
      <w:pPr>
        <w:spacing w:after="240" w:before="240" w:lineRule="auto"/>
        <w:rPr>
          <w:sz w:val="28"/>
          <w:szCs w:val="28"/>
        </w:rPr>
      </w:pPr>
      <w:r w:rsidDel="00000000" w:rsidR="00000000" w:rsidRPr="00000000">
        <w:rPr>
          <w:sz w:val="28"/>
          <w:szCs w:val="28"/>
          <w:rtl w:val="0"/>
        </w:rPr>
        <w:t xml:space="preserve">The use of </w:t>
      </w:r>
      <w:r w:rsidDel="00000000" w:rsidR="00000000" w:rsidRPr="00000000">
        <w:rPr>
          <w:b w:val="1"/>
          <w:bCs w:val="1"/>
          <w:sz w:val="28"/>
          <w:szCs w:val="28"/>
          <w:rtl w:val="0"/>
        </w:rPr>
        <w:t xml:space="preserve">cemented Modular Dual Mobility acetabular components</w:t>
      </w:r>
      <w:r w:rsidDel="00000000" w:rsidR="00000000" w:rsidRPr="00000000">
        <w:rPr>
          <w:sz w:val="28"/>
          <w:szCs w:val="28"/>
          <w:rtl w:val="0"/>
        </w:rPr>
        <w:t xml:space="preserve"> provides a specialized and highly effective solution for complex hip reconstruction. While uncemented fixation remains the preferred choice for patients with robust bone stock, the cemented MDM technique offers distinct advantages that cannot be overlooked:</w:t>
      </w:r>
    </w:p>
    <w:p w:rsidR="00000000" w:rsidDel="00000000" w:rsidP="00000000" w:rsidRDefault="00000000" w:rsidRPr="00000000" w14:paraId="00000083">
      <w:pPr>
        <w:numPr>
          <w:ilvl w:val="0"/>
          <w:numId w:val="1"/>
        </w:numPr>
        <w:spacing w:after="0" w:afterAutospacing="0" w:before="240" w:lineRule="auto"/>
        <w:ind w:left="720" w:hanging="360"/>
        <w:rPr>
          <w:sz w:val="28"/>
          <w:szCs w:val="28"/>
        </w:rPr>
      </w:pPr>
      <w:r w:rsidDel="00000000" w:rsidR="00000000" w:rsidRPr="00000000">
        <w:rPr>
          <w:b w:val="1"/>
          <w:bCs w:val="1"/>
          <w:sz w:val="28"/>
          <w:szCs w:val="28"/>
          <w:rtl w:val="0"/>
        </w:rPr>
        <w:t xml:space="preserve">Reliability in Compromised Environments:</w:t>
      </w:r>
      <w:r w:rsidDel="00000000" w:rsidR="00000000" w:rsidRPr="00000000">
        <w:rPr>
          <w:sz w:val="28"/>
          <w:szCs w:val="28"/>
          <w:rtl w:val="0"/>
        </w:rPr>
        <w:t xml:space="preserve"> It provides immediate, rigid fixation in osteoporotic or irradiated bone where biological ingrowth is unpredictable.</w:t>
      </w:r>
    </w:p>
    <w:p w:rsidR="00000000" w:rsidDel="00000000" w:rsidP="00000000" w:rsidRDefault="00000000" w:rsidRPr="00000000" w14:paraId="00000084">
      <w:pPr>
        <w:numPr>
          <w:ilvl w:val="0"/>
          <w:numId w:val="1"/>
        </w:numPr>
        <w:spacing w:after="0" w:afterAutospacing="0" w:before="0" w:beforeAutospacing="0" w:lineRule="auto"/>
        <w:ind w:left="720" w:hanging="360"/>
        <w:rPr>
          <w:sz w:val="28"/>
          <w:szCs w:val="28"/>
        </w:rPr>
      </w:pPr>
      <w:r w:rsidDel="00000000" w:rsidR="00000000" w:rsidRPr="00000000">
        <w:rPr>
          <w:b w:val="1"/>
          <w:bCs w:val="1"/>
          <w:sz w:val="28"/>
          <w:szCs w:val="28"/>
          <w:rtl w:val="0"/>
        </w:rPr>
        <w:t xml:space="preserve">Surgical Precision:</w:t>
      </w:r>
      <w:r w:rsidDel="00000000" w:rsidR="00000000" w:rsidRPr="00000000">
        <w:rPr>
          <w:sz w:val="28"/>
          <w:szCs w:val="28"/>
          <w:rtl w:val="0"/>
        </w:rPr>
        <w:t xml:space="preserve"> It allows for the fine-tuning of version and inclination in patients with abnormal pelvic anatomy or spinal-pelvic imbalances, maximizing the inherent stability of the dual-mobility design.</w:t>
      </w:r>
    </w:p>
    <w:p w:rsidR="00000000" w:rsidDel="00000000" w:rsidP="00000000" w:rsidRDefault="00000000" w:rsidRPr="00000000" w14:paraId="00000085">
      <w:pPr>
        <w:numPr>
          <w:ilvl w:val="0"/>
          <w:numId w:val="1"/>
        </w:numPr>
        <w:spacing w:after="0" w:afterAutospacing="0" w:before="0" w:beforeAutospacing="0" w:lineRule="auto"/>
        <w:ind w:left="720" w:hanging="360"/>
        <w:rPr>
          <w:sz w:val="28"/>
          <w:szCs w:val="28"/>
        </w:rPr>
      </w:pPr>
      <w:r w:rsidDel="00000000" w:rsidR="00000000" w:rsidRPr="00000000">
        <w:rPr>
          <w:b w:val="1"/>
          <w:bCs w:val="1"/>
          <w:sz w:val="28"/>
          <w:szCs w:val="28"/>
          <w:rtl w:val="0"/>
        </w:rPr>
        <w:t xml:space="preserve">Risk Mitigation:</w:t>
      </w:r>
      <w:r w:rsidDel="00000000" w:rsidR="00000000" w:rsidRPr="00000000">
        <w:rPr>
          <w:sz w:val="28"/>
          <w:szCs w:val="28"/>
          <w:rtl w:val="0"/>
        </w:rPr>
        <w:t xml:space="preserve"> It significantly reduces the incidence of intraoperative acetabular fractures associated with the high "hoop stresses" of press-fit components.</w:t>
      </w:r>
    </w:p>
    <w:p w:rsidR="00000000" w:rsidDel="00000000" w:rsidP="00000000" w:rsidRDefault="00000000" w:rsidRPr="00000000" w14:paraId="00000086">
      <w:pPr>
        <w:numPr>
          <w:ilvl w:val="0"/>
          <w:numId w:val="1"/>
        </w:numPr>
        <w:spacing w:after="240" w:before="0" w:beforeAutospacing="0" w:lineRule="auto"/>
        <w:ind w:left="720" w:hanging="360"/>
        <w:rPr>
          <w:sz w:val="28"/>
          <w:szCs w:val="28"/>
        </w:rPr>
      </w:pPr>
      <w:r w:rsidDel="00000000" w:rsidR="00000000" w:rsidRPr="00000000">
        <w:rPr>
          <w:b w:val="1"/>
          <w:bCs w:val="1"/>
          <w:sz w:val="28"/>
          <w:szCs w:val="28"/>
          <w:rtl w:val="0"/>
        </w:rPr>
        <w:t xml:space="preserve">Prophylactic Benefits:</w:t>
      </w:r>
      <w:r w:rsidDel="00000000" w:rsidR="00000000" w:rsidRPr="00000000">
        <w:rPr>
          <w:sz w:val="28"/>
          <w:szCs w:val="28"/>
          <w:rtl w:val="0"/>
        </w:rPr>
        <w:t xml:space="preserve"> The integration of antibiotic-loaded cement creates a localized antimicrobial environment, essential for high-risk primary and revision procedures.</w:t>
      </w:r>
    </w:p>
    <w:p w:rsidR="00000000" w:rsidDel="00000000" w:rsidP="00000000" w:rsidRDefault="00000000" w:rsidRPr="00000000" w14:paraId="00000087">
      <w:pPr>
        <w:spacing w:after="240" w:before="240" w:lineRule="auto"/>
        <w:rPr>
          <w:sz w:val="28"/>
          <w:szCs w:val="28"/>
        </w:rPr>
      </w:pPr>
      <w:r w:rsidDel="00000000" w:rsidR="00000000" w:rsidRPr="00000000">
        <w:rPr>
          <w:sz w:val="28"/>
          <w:szCs w:val="28"/>
          <w:rtl w:val="0"/>
        </w:rPr>
        <w:t xml:space="preserve">In conclusion, the cemented MDM component should be viewed not as a secondary option, but as a </w:t>
      </w:r>
      <w:r w:rsidDel="00000000" w:rsidR="00000000" w:rsidRPr="00000000">
        <w:rPr>
          <w:b w:val="1"/>
          <w:bCs w:val="1"/>
          <w:sz w:val="28"/>
          <w:szCs w:val="28"/>
          <w:rtl w:val="0"/>
        </w:rPr>
        <w:t xml:space="preserve">primary strategic tool</w:t>
      </w:r>
      <w:r w:rsidDel="00000000" w:rsidR="00000000" w:rsidRPr="00000000">
        <w:rPr>
          <w:sz w:val="28"/>
          <w:szCs w:val="28"/>
          <w:rtl w:val="0"/>
        </w:rPr>
        <w:t xml:space="preserve"> in the surgeon’s armamentarium. It successfully bridges the gap between mechanical stability and functional longevity, ensuring that even the most vulnerable patient populations can achieve a stable, pain-free, and mobile hip joint. Consistent long-term outcomes suggest that when bone quality is in doubt, the "marriage" of cemented fixation and dual-mobility technology offers the most predictable path to surgical success.</w:t>
      </w:r>
    </w:p>
    <w:p w:rsidR="00000000" w:rsidDel="00000000" w:rsidP="00000000" w:rsidRDefault="00000000" w:rsidRPr="00000000" w14:paraId="00000088">
      <w:pPr>
        <w:rPr>
          <w:sz w:val="28"/>
          <w:szCs w:val="28"/>
        </w:rPr>
      </w:pPr>
      <w:r w:rsidDel="00000000" w:rsidR="00000000" w:rsidRPr="00000000">
        <w:rPr>
          <w:rtl w:val="0"/>
        </w:rPr>
      </w:r>
    </w:p>
    <w:p w:rsidR="00000000" w:rsidDel="00000000" w:rsidP="00000000" w:rsidRDefault="00000000" w:rsidRPr="00000000" w14:paraId="00000089">
      <w:pPr>
        <w:rPr>
          <w:sz w:val="28"/>
          <w:szCs w:val="28"/>
        </w:rPr>
      </w:pPr>
      <w:r w:rsidDel="00000000" w:rsidR="00000000" w:rsidRPr="00000000">
        <w:rPr>
          <w:sz w:val="28"/>
          <w:szCs w:val="28"/>
          <w:rtl w:val="0"/>
        </w:rPr>
        <w:t xml:space="preserve">Cemented MDM achieves Level II-III evidence superiority for primary THA in patients &gt;75 years, T-score &lt; -2.0, neuromuscular disease, or revision acetabula. AAOS Strong Recommendation for Paprosky 2B+ defects.</w:t>
      </w:r>
    </w:p>
    <w:p w:rsidR="00000000" w:rsidDel="00000000" w:rsidP="00000000" w:rsidRDefault="00000000" w:rsidRPr="00000000" w14:paraId="0000008A">
      <w:pPr>
        <w:rPr>
          <w:sz w:val="28"/>
          <w:szCs w:val="28"/>
        </w:rPr>
      </w:pPr>
      <w:r w:rsidDel="00000000" w:rsidR="00000000" w:rsidRPr="00000000">
        <w:rPr>
          <w:rtl w:val="0"/>
        </w:rPr>
      </w:r>
    </w:p>
    <w:p w:rsidR="00000000" w:rsidDel="00000000" w:rsidP="00000000" w:rsidRDefault="00000000" w:rsidRPr="00000000" w14:paraId="0000008B">
      <w:pPr>
        <w:rPr>
          <w:sz w:val="28"/>
          <w:szCs w:val="28"/>
        </w:rPr>
      </w:pP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sz w:val="28"/>
          <w:szCs w:val="28"/>
          <w:rtl w:val="0"/>
        </w:rPr>
        <w:t xml:space="preserve">REFERENCES</w:t>
      </w:r>
    </w:p>
    <w:p w:rsidR="00000000" w:rsidDel="00000000" w:rsidP="00000000" w:rsidRDefault="00000000" w:rsidRPr="00000000" w14:paraId="0000008E">
      <w:pPr>
        <w:rPr>
          <w:sz w:val="28"/>
          <w:szCs w:val="28"/>
        </w:rPr>
      </w:pPr>
      <w:r w:rsidDel="00000000" w:rsidR="00000000" w:rsidRPr="00000000">
        <w:rPr>
          <w:sz w:val="28"/>
          <w:szCs w:val="28"/>
          <w:rtl w:val="0"/>
        </w:rPr>
        <w:tab/>
        <w:t xml:space="preserve">1.</w:t>
        <w:tab/>
        <w:t xml:space="preserve">Butler JT, et al. J Orthop Surg Res. 2023;18:226 </w:t>
      </w:r>
    </w:p>
    <w:p w:rsidR="00000000" w:rsidDel="00000000" w:rsidP="00000000" w:rsidRDefault="00000000" w:rsidRPr="00000000" w14:paraId="0000008F">
      <w:pPr>
        <w:rPr>
          <w:sz w:val="28"/>
          <w:szCs w:val="28"/>
        </w:rPr>
      </w:pPr>
      <w:r w:rsidDel="00000000" w:rsidR="00000000" w:rsidRPr="00000000">
        <w:rPr>
          <w:sz w:val="28"/>
          <w:szCs w:val="28"/>
          <w:rtl w:val="0"/>
        </w:rPr>
        <w:tab/>
        <w:t xml:space="preserve">2.</w:t>
        <w:tab/>
        <w:t xml:space="preserve">Wilson JM, et al. Bone Joint J. 2024;106-B:352-358 </w:t>
      </w:r>
    </w:p>
    <w:p w:rsidR="00000000" w:rsidDel="00000000" w:rsidP="00000000" w:rsidRDefault="00000000" w:rsidRPr="00000000" w14:paraId="00000090">
      <w:pPr>
        <w:rPr>
          <w:sz w:val="28"/>
          <w:szCs w:val="28"/>
        </w:rPr>
      </w:pPr>
      <w:r w:rsidDel="00000000" w:rsidR="00000000" w:rsidRPr="00000000">
        <w:rPr>
          <w:sz w:val="28"/>
          <w:szCs w:val="28"/>
          <w:rtl w:val="0"/>
        </w:rPr>
        <w:tab/>
        <w:t xml:space="preserve">3.</w:t>
        <w:tab/>
        <w:t xml:space="preserve">Persico I, et al. J Pers Med. 2023;13:81</w:t>
      </w:r>
    </w:p>
    <w:p w:rsidR="00000000" w:rsidDel="00000000" w:rsidP="00000000" w:rsidRDefault="00000000" w:rsidRPr="00000000" w14:paraId="00000091">
      <w:pPr>
        <w:rPr>
          <w:sz w:val="28"/>
          <w:szCs w:val="28"/>
        </w:rPr>
      </w:pPr>
      <w:r w:rsidDel="00000000" w:rsidR="00000000" w:rsidRPr="00000000">
        <w:rPr>
          <w:sz w:val="28"/>
          <w:szCs w:val="28"/>
          <w:rtl w:val="0"/>
        </w:rPr>
        <w:tab/>
        <w:t xml:space="preserve">4.</w:t>
        <w:tab/>
        <w:t xml:space="preserve">Tabata T, et al. J Orthop Surg Res. 2014;9:134</w:t>
      </w:r>
    </w:p>
    <w:p w:rsidR="00000000" w:rsidDel="00000000" w:rsidP="00000000" w:rsidRDefault="00000000" w:rsidRPr="00000000" w14:paraId="00000092">
      <w:pPr>
        <w:rPr>
          <w:sz w:val="28"/>
          <w:szCs w:val="28"/>
        </w:rPr>
      </w:pPr>
      <w:r w:rsidDel="00000000" w:rsidR="00000000" w:rsidRPr="00000000">
        <w:rPr>
          <w:sz w:val="28"/>
          <w:szCs w:val="28"/>
          <w:rtl w:val="0"/>
        </w:rPr>
        <w:tab/>
        <w:t xml:space="preserve">5.</w:t>
        <w:tab/>
        <w:t xml:space="preserve">García-Rey E, et al. Clin Orthop Relat Res. 2012;470:1471-1479 </w:t>
      </w:r>
    </w:p>
    <w:p w:rsidR="00000000" w:rsidDel="00000000" w:rsidP="00000000" w:rsidRDefault="00000000" w:rsidRPr="00000000" w14:paraId="00000093">
      <w:pPr>
        <w:rPr>
          <w:sz w:val="28"/>
          <w:szCs w:val="28"/>
        </w:rPr>
      </w:pPr>
      <w:r w:rsidDel="00000000" w:rsidR="00000000" w:rsidRPr="00000000">
        <w:rPr>
          <w:sz w:val="28"/>
          <w:szCs w:val="28"/>
          <w:rtl w:val="0"/>
        </w:rPr>
        <w:tab/>
        <w:t xml:space="preserve">6.</w:t>
        <w:tab/>
        <w:t xml:space="preserve">Bistolfi A, et al. BMC Musculoskelet Disord. 2022</w:t>
      </w:r>
    </w:p>
    <w:p w:rsidR="00000000" w:rsidDel="00000000" w:rsidP="00000000" w:rsidRDefault="00000000" w:rsidRPr="00000000" w14:paraId="00000094">
      <w:pPr>
        <w:rPr>
          <w:sz w:val="28"/>
          <w:szCs w:val="28"/>
        </w:rPr>
      </w:pPr>
      <w:r w:rsidDel="00000000" w:rsidR="00000000" w:rsidRPr="00000000">
        <w:rPr>
          <w:sz w:val="28"/>
          <w:szCs w:val="28"/>
          <w:rtl w:val="0"/>
        </w:rPr>
        <w:tab/>
        <w:t xml:space="preserve">7.</w:t>
        <w:tab/>
        <w:t xml:space="preserve">Abdelaziz H, et al. Egypt Orthop J. 2019;54:168-173</w:t>
      </w:r>
    </w:p>
    <w:p w:rsidR="00000000" w:rsidDel="00000000" w:rsidP="00000000" w:rsidRDefault="00000000" w:rsidRPr="00000000" w14:paraId="00000095">
      <w:pPr>
        <w:rPr>
          <w:sz w:val="28"/>
          <w:szCs w:val="28"/>
        </w:rPr>
      </w:pPr>
      <w:r w:rsidDel="00000000" w:rsidR="00000000" w:rsidRPr="00000000">
        <w:rPr>
          <w:sz w:val="28"/>
          <w:szCs w:val="28"/>
          <w:rtl w:val="0"/>
        </w:rPr>
        <w:tab/>
        <w:t xml:space="preserve">8.</w:t>
        <w:tab/>
        <w:t xml:space="preserve">Rickman M, et al. J Bone Joint Surg Br. 2008;90:1597-1603</w:t>
      </w:r>
    </w:p>
    <w:p w:rsidR="00000000" w:rsidDel="00000000" w:rsidP="00000000" w:rsidRDefault="00000000" w:rsidRPr="00000000" w14:paraId="00000096">
      <w:pPr>
        <w:rPr>
          <w:sz w:val="28"/>
          <w:szCs w:val="28"/>
        </w:rPr>
      </w:pPr>
      <w:r w:rsidDel="00000000" w:rsidR="00000000" w:rsidRPr="00000000">
        <w:rPr>
          <w:sz w:val="28"/>
          <w:szCs w:val="28"/>
          <w:rtl w:val="0"/>
        </w:rPr>
        <w:tab/>
        <w:t xml:space="preserve">9.</w:t>
        <w:tab/>
        <w:t xml:space="preserve">Moskal JT, et al. JAAOS. 2015;23:135-147</w:t>
      </w:r>
    </w:p>
    <w:p w:rsidR="00000000" w:rsidDel="00000000" w:rsidP="00000000" w:rsidRDefault="00000000" w:rsidRPr="00000000" w14:paraId="00000097">
      <w:pPr>
        <w:rPr>
          <w:sz w:val="28"/>
          <w:szCs w:val="28"/>
        </w:rPr>
      </w:pPr>
      <w:r w:rsidDel="00000000" w:rsidR="00000000" w:rsidRPr="00000000">
        <w:rPr>
          <w:sz w:val="28"/>
          <w:szCs w:val="28"/>
          <w:rtl w:val="0"/>
        </w:rPr>
        <w:tab/>
        <w:t xml:space="preserve">10.</w:t>
        <w:tab/>
        <w:t xml:space="preserve">de Martino I, et al. World J Orthop. 2014;5:180-187</w:t>
      </w:r>
    </w:p>
    <w:p w:rsidR="00000000" w:rsidDel="00000000" w:rsidP="00000000" w:rsidRDefault="00000000" w:rsidRPr="00000000" w14:paraId="00000098">
      <w:pPr>
        <w:rPr>
          <w:sz w:val="28"/>
          <w:szCs w:val="28"/>
        </w:rPr>
      </w:pPr>
      <w:r w:rsidDel="00000000" w:rsidR="00000000" w:rsidRPr="00000000">
        <w:rPr>
          <w:sz w:val="28"/>
          <w:szCs w:val="28"/>
          <w:rtl w:val="0"/>
        </w:rPr>
        <w:tab/>
        <w:t xml:space="preserve">11.</w:t>
        <w:tab/>
        <w:t xml:space="preserve">J Orthop Surg Res. 2023;18:278 </w:t>
      </w:r>
    </w:p>
    <w:p w:rsidR="00000000" w:rsidDel="00000000" w:rsidP="00000000" w:rsidRDefault="00000000" w:rsidRPr="00000000" w14:paraId="00000099">
      <w:pPr>
        <w:rPr>
          <w:sz w:val="28"/>
          <w:szCs w:val="28"/>
        </w:rPr>
      </w:pPr>
      <w:r w:rsidDel="00000000" w:rsidR="00000000" w:rsidRPr="00000000">
        <w:rPr>
          <w:sz w:val="28"/>
          <w:szCs w:val="28"/>
          <w:rtl w:val="0"/>
        </w:rPr>
        <w:tab/>
        <w:t xml:space="preserve">12.</w:t>
        <w:tab/>
        <w:t xml:space="preserve">Philippot R, et al. Int Orthop. 2014;38:541-546</w:t>
      </w:r>
    </w:p>
    <w:p w:rsidR="00000000" w:rsidDel="00000000" w:rsidP="00000000" w:rsidRDefault="00000000" w:rsidRPr="00000000" w14:paraId="0000009A">
      <w:pPr>
        <w:rPr>
          <w:sz w:val="28"/>
          <w:szCs w:val="28"/>
        </w:rPr>
      </w:pPr>
      <w:r w:rsidDel="00000000" w:rsidR="00000000" w:rsidRPr="00000000">
        <w:rPr>
          <w:sz w:val="28"/>
          <w:szCs w:val="28"/>
          <w:rtl w:val="0"/>
        </w:rPr>
        <w:tab/>
        <w:t xml:space="preserve">13.</w:t>
        <w:tab/>
        <w:t xml:space="preserve">Assiotis A, et al. J Orthop Res. 2015;33:1125-1133</w:t>
      </w:r>
    </w:p>
    <w:p w:rsidR="00000000" w:rsidDel="00000000" w:rsidP="00000000" w:rsidRDefault="00000000" w:rsidRPr="00000000" w14:paraId="0000009B">
      <w:pPr>
        <w:rPr>
          <w:sz w:val="28"/>
          <w:szCs w:val="28"/>
        </w:rPr>
      </w:pPr>
      <w:r w:rsidDel="00000000" w:rsidR="00000000" w:rsidRPr="00000000">
        <w:rPr>
          <w:sz w:val="28"/>
          <w:szCs w:val="28"/>
          <w:rtl w:val="0"/>
        </w:rPr>
        <w:tab/>
        <w:t xml:space="preserve">14.</w:t>
        <w:tab/>
        <w:t xml:space="preserve">Abdel MP, et al. Hip Pelvis. 2016;28:195-206</w:t>
      </w:r>
    </w:p>
    <w:p w:rsidR="00000000" w:rsidDel="00000000" w:rsidP="00000000" w:rsidRDefault="00000000" w:rsidRPr="00000000" w14:paraId="0000009C">
      <w:pPr>
        <w:rPr>
          <w:sz w:val="28"/>
          <w:szCs w:val="28"/>
        </w:rPr>
      </w:pPr>
      <w:r w:rsidDel="00000000" w:rsidR="00000000" w:rsidRPr="00000000">
        <w:rPr>
          <w:sz w:val="28"/>
          <w:szCs w:val="28"/>
          <w:rtl w:val="0"/>
        </w:rPr>
        <w:tab/>
        <w:t xml:space="preserve">15.</w:t>
        <w:tab/>
        <w:t xml:space="preserve">D’Angelo F, et al. Orthop Traumatol Surg Res. 2017;103:81-86</w:t>
      </w:r>
    </w:p>
    <w:p w:rsidR="00000000" w:rsidDel="00000000" w:rsidP="00000000" w:rsidRDefault="00000000" w:rsidRPr="00000000" w14:paraId="0000009D">
      <w:pPr>
        <w:rPr>
          <w:sz w:val="28"/>
          <w:szCs w:val="28"/>
        </w:rPr>
      </w:pPr>
      <w:r w:rsidDel="00000000" w:rsidR="00000000" w:rsidRPr="00000000">
        <w:rPr>
          <w:sz w:val="28"/>
          <w:szCs w:val="28"/>
          <w:rtl w:val="0"/>
        </w:rPr>
        <w:tab/>
        <w:t xml:space="preserve">16.</w:t>
        <w:tab/>
        <w:t xml:space="preserve">Hodgkinson JP, et al. Clin Orthop Relat Res. 1988;228:105-120</w:t>
      </w:r>
    </w:p>
    <w:p w:rsidR="00000000" w:rsidDel="00000000" w:rsidP="00000000" w:rsidRDefault="00000000" w:rsidRPr="00000000" w14:paraId="0000009E">
      <w:pPr>
        <w:rPr>
          <w:sz w:val="28"/>
          <w:szCs w:val="28"/>
        </w:rPr>
      </w:pPr>
      <w:r w:rsidDel="00000000" w:rsidR="00000000" w:rsidRPr="00000000">
        <w:rPr>
          <w:rtl w:val="0"/>
        </w:rPr>
      </w:r>
    </w:p>
    <w:p w:rsidR="00000000" w:rsidDel="00000000" w:rsidP="00000000" w:rsidRDefault="00000000" w:rsidRPr="00000000" w14:paraId="0000009F">
      <w:pPr>
        <w:rPr>
          <w:sz w:val="28"/>
          <w:szCs w:val="28"/>
        </w:rPr>
      </w:pPr>
      <w:r w:rsidDel="00000000" w:rsidR="00000000" w:rsidRPr="00000000">
        <w:rPr>
          <w:rtl w:val="0"/>
        </w:rPr>
      </w:r>
    </w:p>
    <w:p w:rsidR="00000000" w:rsidDel="00000000" w:rsidP="00000000" w:rsidRDefault="00000000" w:rsidRPr="00000000" w14:paraId="000000A0">
      <w:pPr>
        <w:rPr>
          <w:sz w:val="28"/>
          <w:szCs w:val="28"/>
        </w:rPr>
      </w:pP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naresh.lalam225@gmail.com" TargetMode="Externa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