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A351" w14:textId="77777777" w:rsidR="00154532" w:rsidRDefault="00000000">
      <w:pPr>
        <w:spacing w:before="200" w:after="60"/>
        <w:jc w:val="center"/>
      </w:pPr>
      <w:r>
        <w:rPr>
          <w:rFonts w:ascii="Cambria" w:eastAsia="Cambria" w:hAnsi="Cambria" w:cs="Cambria"/>
          <w:b/>
          <w:bCs/>
          <w:color w:val="1A3A5C"/>
          <w:sz w:val="40"/>
          <w:szCs w:val="40"/>
        </w:rPr>
        <w:t>Architecting Information Asymmetry:</w:t>
      </w:r>
    </w:p>
    <w:p w14:paraId="637A071E" w14:textId="77777777" w:rsidR="00154532" w:rsidRDefault="00000000">
      <w:pPr>
        <w:spacing w:after="60"/>
        <w:jc w:val="center"/>
      </w:pPr>
      <w:r>
        <w:rPr>
          <w:rFonts w:ascii="Cambria" w:eastAsia="Cambria" w:hAnsi="Cambria" w:cs="Cambria"/>
          <w:b/>
          <w:bCs/>
          <w:color w:val="1A3A5C"/>
          <w:sz w:val="36"/>
          <w:szCs w:val="36"/>
        </w:rPr>
        <w:t/>
      </w:r>
    </w:p>
    <w:p w14:paraId="5B70044B" w14:textId="77777777" w:rsidR="00154532" w:rsidRDefault="00000000">
      <w:pPr>
        <w:spacing w:after="180"/>
        <w:jc w:val="center"/>
      </w:pPr>
      <w:r>
        <w:rPr>
          <w:rFonts w:ascii="Cambria" w:eastAsia="Cambria" w:hAnsi="Cambria" w:cs="Cambria"/>
          <w:b/>
          <w:bCs/>
          <w:color w:val="1A3A5C"/>
          <w:sz w:val="36"/>
          <w:szCs w:val="36"/>
        </w:rPr>
        <w:t/>
      </w:r>
    </w:p>
    <w:p w14:paraId="7361931A" w14:textId="77777777" w:rsidR="00154532" w:rsidRDefault="00000000">
      <w:pPr>
        <w:pBdr>
          <w:bottom w:val="single" w:sz="8" w:space="6" w:color="2C5F8A"/>
        </w:pBdr>
        <w:spacing w:after="160"/>
        <w:jc w:val="center"/>
      </w:pPr>
      <w:r>
        <w:rPr>
          <w:rFonts w:ascii="Cambria" w:eastAsia="Cambria" w:hAnsi="Cambria" w:cs="Cambria"/>
          <w:b/>
          <w:bCs/>
          <w:color w:val="2C5F8A"/>
          <w:sz w:val="26"/>
          <w:szCs w:val="26"/>
        </w:rPr>
        <w:t/>
      </w:r>
    </w:p>
    <w:p w14:paraId="01552ED5" w14:textId="24A78F11" w:rsidR="00154532" w:rsidRDefault="00000000">
      <w:pPr>
        <w:spacing w:before="80" w:after="40"/>
        <w:jc w:val="center"/>
      </w:pPr>
      <w:r>
        <w:rPr>
          <w:i/>
          <w:iCs/>
          <w:color w:val="555555"/>
          <w:sz w:val="19"/>
          <w:szCs w:val="19"/>
        </w:rPr>
        <w:t xml:space="preserve"/>
      </w:r>
      <w:proofErr w:type="gramStart"/>
      <w:r>
        <w:rPr>
          <w:i/>
          <w:iCs/>
          <w:color w:val="555555"/>
          <w:sz w:val="19"/>
          <w:szCs w:val="19"/>
        </w:rPr>
        <w:t xml:space="preserve"/>
      </w:r>
      <w:r w:rsidR="00B91892">
        <w:rPr>
          <w:i/>
          <w:iCs/>
          <w:color w:val="555555"/>
          <w:sz w:val="19"/>
          <w:szCs w:val="19"/>
        </w:rPr>
        <w:t/>
      </w:r>
      <w:proofErr w:type="gramEnd"/>
      <w:r>
        <w:rPr>
          <w:i/>
          <w:iCs/>
          <w:color w:val="555555"/>
          <w:sz w:val="19"/>
          <w:szCs w:val="19"/>
        </w:rPr>
        <w:t/>
      </w:r>
    </w:p>
    <w:p w14:paraId="3BF24186" w14:textId="77777777" w:rsidR="00154532" w:rsidRDefault="00000000">
      <w:pPr>
        <w:spacing w:before="40" w:after="40"/>
        <w:jc w:val="center"/>
      </w:pPr>
      <w:r>
        <w:rPr>
          <w:color w:val="555555"/>
          <w:sz w:val="19"/>
          <w:szCs w:val="19"/>
        </w:rPr>
        <w:t/>
      </w:r>
    </w:p>
    <w:p w14:paraId="432D2F7F" w14:textId="77777777" w:rsidR="00154532" w:rsidRDefault="00000000" w:rsidP="00600ED6">
      <w:pPr>
        <w:pBdr>
          <w:top w:val="single" w:sz="4" w:space="1" w:color="auto"/>
          <w:left w:val="single" w:sz="4" w:space="4" w:color="auto"/>
          <w:bottom w:val="single" w:sz="4" w:space="1" w:color="auto"/>
          <w:right w:val="single" w:sz="4" w:space="4" w:color="auto"/>
          <w:between w:val="single" w:sz="4" w:space="1" w:color="auto"/>
          <w:bar w:val="single" w:sz="4" w:color="auto"/>
        </w:pBdr>
        <w:spacing w:before="160" w:after="60"/>
        <w:ind w:left="360" w:right="360"/>
      </w:pPr>
      <w:r>
        <w:rPr>
          <w:rFonts w:ascii="Arial" w:eastAsia="Arial" w:hAnsi="Arial" w:cs="Arial"/>
          <w:b/>
          <w:bCs/>
          <w:color w:val="1A3A5C"/>
          <w:sz w:val="21"/>
          <w:szCs w:val="21"/>
        </w:rPr>
        <w:t>ABSTRACT</w:t>
      </w:r>
    </w:p>
    <w:p w14:paraId="3783F3C7" w14:textId="77777777" w:rsidR="00154532" w:rsidRDefault="00000000" w:rsidP="00600ED6">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ind w:left="360" w:right="360"/>
        <w:jc w:val="both"/>
      </w:pPr>
      <w:r>
        <w:rPr>
          <w:color w:val="111111"/>
          <w:sz w:val="20"/>
          <w:szCs w:val="20"/>
        </w:rPr>
        <w:t xml:space="preserve">Four decades of label-reading, a student's WhatsApp photograph of two Kellogg's </w:t>
      </w:r>
      <w:proofErr w:type="spellStart"/>
      <w:r>
        <w:rPr>
          <w:color w:val="111111"/>
          <w:sz w:val="20"/>
          <w:szCs w:val="20"/>
        </w:rPr>
        <w:t>Chocos</w:t>
      </w:r>
      <w:proofErr w:type="spellEnd"/>
      <w:r>
        <w:rPr>
          <w:color w:val="111111"/>
          <w:sz w:val="20"/>
          <w:szCs w:val="20"/>
        </w:rPr>
        <w:t xml:space="preserve"> packets, and the Maggi recall of 2015 forced a question I could no longer set aside: are MNCs quietly supplying inferior products to Indian consumers while selling better versions elsewhere? Across eight product categories and five country dyads — USA, UK, Germany, Australia, Japan — the answer is yes. Sugar, sodium, and saturated fat levels are systematically elevated in India. Regulatory arbitrage, not taste adaptation, explains it. I propose the Institutional Regulatory Arbitrage Model, the Dual Quality Gradient Index, and a five-point FSSAI </w:t>
      </w:r>
      <w:proofErr w:type="spellStart"/>
      <w:r>
        <w:rPr>
          <w:color w:val="111111"/>
          <w:sz w:val="20"/>
          <w:szCs w:val="20"/>
        </w:rPr>
        <w:t>harmonisation</w:t>
      </w:r>
      <w:proofErr w:type="spellEnd"/>
      <w:r>
        <w:rPr>
          <w:color w:val="111111"/>
          <w:sz w:val="20"/>
          <w:szCs w:val="20"/>
        </w:rPr>
        <w:t xml:space="preserve"> roadmap to address it.</w:t>
      </w:r>
    </w:p>
    <w:p w14:paraId="5C2BEE8F" w14:textId="77777777" w:rsidR="00154532" w:rsidRDefault="00154532">
      <w:pPr>
        <w:spacing w:before="40" w:after="40"/>
      </w:pPr>
    </w:p>
    <w:p w14:paraId="1C6BD8EA" w14:textId="77777777" w:rsidR="00154532" w:rsidRDefault="00000000">
      <w:pPr>
        <w:spacing w:before="60" w:after="220"/>
        <w:ind w:left="360"/>
      </w:pPr>
      <w:r>
        <w:rPr>
          <w:b/>
          <w:bCs/>
          <w:color w:val="1A3A5C"/>
          <w:sz w:val="20"/>
          <w:szCs w:val="20"/>
        </w:rPr>
        <w:t xml:space="preserve">Keywords: </w:t>
      </w:r>
      <w:r>
        <w:rPr>
          <w:i/>
          <w:iCs/>
          <w:sz w:val="20"/>
          <w:szCs w:val="20"/>
        </w:rPr>
        <w:t xml:space="preserve">dual quality standards; information asymmetry; regulatory arbitrage; brand equity; consumer </w:t>
      </w:r>
      <w:proofErr w:type="spellStart"/>
      <w:r>
        <w:rPr>
          <w:i/>
          <w:iCs/>
          <w:sz w:val="20"/>
          <w:szCs w:val="20"/>
        </w:rPr>
        <w:t>behaviour</w:t>
      </w:r>
      <w:proofErr w:type="spellEnd"/>
      <w:r>
        <w:rPr>
          <w:i/>
          <w:iCs/>
          <w:sz w:val="20"/>
          <w:szCs w:val="20"/>
        </w:rPr>
        <w:t>; FSSAI; MNC marketing strategy; packaged food; India; bottom of the pyramid</w:t>
      </w:r>
    </w:p>
    <w:p w14:paraId="706D513C" w14:textId="77777777" w:rsidR="00154532" w:rsidRDefault="00000000">
      <w:pPr>
        <w:pStyle w:val="Heading1"/>
        <w:pBdr>
          <w:bottom w:val="single" w:sz="6" w:space="4" w:color="2C5F8A"/>
        </w:pBdr>
      </w:pPr>
      <w:r>
        <w:t>1. Introduction</w:t>
      </w:r>
    </w:p>
    <w:p w14:paraId="2CD26EE6" w14:textId="77777777" w:rsidR="00154532" w:rsidRDefault="00000000">
      <w:pPr>
        <w:spacing w:before="100" w:after="100" w:line="360" w:lineRule="auto"/>
        <w:jc w:val="both"/>
      </w:pPr>
      <w:r>
        <w:t>This paper grew out of three separate but converging experiences, and I want to describe all three before moving to the theoretical apparatus — because the texture of this problem is best understood from the ground up, not the theory down.</w:t>
      </w:r>
    </w:p>
    <w:p w14:paraId="1FF52A06" w14:textId="77777777" w:rsidR="00154532" w:rsidRDefault="00000000">
      <w:pPr>
        <w:spacing w:before="100" w:after="100" w:line="360" w:lineRule="auto"/>
        <w:jc w:val="both"/>
      </w:pPr>
      <w:r>
        <w:t>The first is personal. I am, by habit, a label reader. Whether I am in a Big Bazaar in Hyderabad, browsing a Reliance Smart outlet, or pulling up an Amazon UK product listing on my phone to set against what sits on the shelf in front of me, I turn packets over and read the fine print. What I began noticing — not occasionally but with an uncomfortable regularity — is that the same brand carrying the same name, the same logo, and broadly the same packaging is, in many instances, not the same product. The sodium figures differ. The frying oil is different. The cocoa solids percentage is different. The added sugar content differs, sometimes dramatically. I have made these comparisons on physical labels and on official brand websites. The differences are real, documented, and in no case trivial.</w:t>
      </w:r>
    </w:p>
    <w:p w14:paraId="1B59F210" w14:textId="77777777" w:rsidR="00154532" w:rsidRDefault="00000000">
      <w:pPr>
        <w:spacing w:before="100" w:after="100" w:line="360" w:lineRule="auto"/>
        <w:jc w:val="both"/>
      </w:pPr>
      <w:r>
        <w:t xml:space="preserve">The second is pedagogical. I teach Services Marketing to the PGDM batch at Ashoka School of Business, and my students — digitally fluent, globally curious, accustomed to comparing products across borders — began bringing exactly these disparities into the classroom. One student shared a side-by-side photograph of two </w:t>
      </w:r>
      <w:r>
        <w:lastRenderedPageBreak/>
        <w:t xml:space="preserve">Kellogg's </w:t>
      </w:r>
      <w:proofErr w:type="spellStart"/>
      <w:r>
        <w:t>Chocos</w:t>
      </w:r>
      <w:proofErr w:type="spellEnd"/>
      <w:r>
        <w:t xml:space="preserve"> packets in our batch WhatsApp group: one purchased from a Hyderabad </w:t>
      </w:r>
      <w:proofErr w:type="gramStart"/>
      <w:r>
        <w:t>supermarket,</w:t>
      </w:r>
      <w:proofErr w:type="gramEnd"/>
      <w:r>
        <w:t xml:space="preserve"> one sent by a relative in the United Kingdom. The Indian pack declared 38 grams of added sugar per 100 grams. The UK pack declared 17. Same brand. Same cheerful mascot. Same television commercial. Different product. I showed that image to the full class the following morning, and the silence that followed was, I think, the most pedagogically productive moment of that entire semester. It also produced a set of questions I could not answer satisfactorily without proper scholarship behind me.</w:t>
      </w:r>
    </w:p>
    <w:p w14:paraId="64A80708" w14:textId="77777777" w:rsidR="00154532" w:rsidRDefault="00000000">
      <w:pPr>
        <w:spacing w:before="100" w:after="100" w:line="360" w:lineRule="auto"/>
        <w:jc w:val="both"/>
      </w:pPr>
      <w:r>
        <w:t>The third origin, further back but foundational, is the Maggi recall of 2015. The FSSAI's detection of MSG and lead content in excess of permissible limits in Nestlé India's most iconic instant noodle product triggered a national controversy I followed closely. What struck me most forcefully was not the safety failure itself but what it implied: if one of the world's most professionally managed food companies was supplying a product in India that would have attracted far more rigorous pre-market scrutiny in Switzerland, Germany, or the United Kingdom, what else was being supplied — not in outright violation of Indian regulations, but in deliberate divergence from the higher standards the same company applied to itself in its home markets?</w:t>
      </w:r>
    </w:p>
    <w:p w14:paraId="1D22B917" w14:textId="77777777" w:rsidR="00154532" w:rsidRDefault="00000000">
      <w:pPr>
        <w:spacing w:before="100" w:after="100" w:line="360" w:lineRule="auto"/>
        <w:jc w:val="both"/>
      </w:pPr>
      <w:r>
        <w:t xml:space="preserve">These three origins converge on a single research question: do multinational corporations (MNCs) systematically supply nutritionally inferior product formulations to Indian consumers relative to developed markets, and if so, through what mechanisms and with what consequences for marketing theory and practice? The question is significant not merely as a regulatory concern but as a marketing one. Brand equity theory (Keller, 1993), consumer trust research (Morgan &amp; Hunt, 1994), and the product </w:t>
      </w:r>
      <w:proofErr w:type="spellStart"/>
      <w:r>
        <w:t>standardisation</w:t>
      </w:r>
      <w:proofErr w:type="spellEnd"/>
      <w:r>
        <w:t>–adaptation debate (Levitt, 1983; Douglas &amp; Wind, 1987) all have direct stakes in the answer.</w:t>
      </w:r>
    </w:p>
    <w:p w14:paraId="58237282" w14:textId="77777777" w:rsidR="00154532" w:rsidRDefault="00000000">
      <w:pPr>
        <w:spacing w:before="100" w:after="100" w:line="360" w:lineRule="auto"/>
        <w:jc w:val="both"/>
      </w:pPr>
      <w:r>
        <w:t xml:space="preserve">The phenomenon has received attention in Europe — the EU's Joint Research Centre study of 2018 confirmed compositional differentials in 9% of products across 19 member states (European Parliament, 2018) — but the Indian context is structurally different and theoretically underexplored. This paper attempts to fill that gap. I propose the Institutional Regulatory Arbitrage Model (IRAM) as the integrative theoretical framework and the Dual Quality Gradient Index (DQGI) as a </w:t>
      </w:r>
      <w:proofErr w:type="spellStart"/>
      <w:r>
        <w:t>standardised</w:t>
      </w:r>
      <w:proofErr w:type="spellEnd"/>
      <w:r>
        <w:t xml:space="preserve"> measurement instrument. Section 2 reviews the literature; Section 3 develops the IRAM; Section 4 presents the eight-category comparative analysis, with tabular evidence </w:t>
      </w:r>
      <w:proofErr w:type="spellStart"/>
      <w:r>
        <w:t>summarised</w:t>
      </w:r>
      <w:proofErr w:type="spellEnd"/>
      <w:r>
        <w:t xml:space="preserve"> in Tables 1–4; Section 5 introduces the DQGI; Section 6 discusses strategic and policy implications; and Section 7 concludes.</w:t>
      </w:r>
    </w:p>
    <w:p w14:paraId="445F50A1" w14:textId="77777777" w:rsidR="00E77D78" w:rsidRDefault="00E77D78">
      <w:pPr>
        <w:pStyle w:val="Heading1"/>
        <w:pBdr>
          <w:bottom w:val="single" w:sz="6" w:space="4" w:color="2C5F8A"/>
        </w:pBdr>
      </w:pPr>
    </w:p>
    <w:p w14:paraId="319E2949" w14:textId="77777777" w:rsidR="00E77D78" w:rsidRDefault="00E77D78">
      <w:pPr>
        <w:pStyle w:val="Heading1"/>
        <w:pBdr>
          <w:bottom w:val="single" w:sz="6" w:space="4" w:color="2C5F8A"/>
        </w:pBdr>
      </w:pPr>
    </w:p>
    <w:p w14:paraId="46CA40A9" w14:textId="77777777" w:rsidR="00E77D78" w:rsidRDefault="00E77D78">
      <w:pPr>
        <w:pStyle w:val="Heading1"/>
        <w:pBdr>
          <w:bottom w:val="single" w:sz="6" w:space="4" w:color="2C5F8A"/>
        </w:pBdr>
      </w:pPr>
    </w:p>
    <w:p w14:paraId="62ECC62F" w14:textId="581F6CDC" w:rsidR="00154532" w:rsidRDefault="00000000">
      <w:pPr>
        <w:pStyle w:val="Heading1"/>
        <w:pBdr>
          <w:bottom w:val="single" w:sz="6" w:space="4" w:color="2C5F8A"/>
        </w:pBdr>
      </w:pPr>
      <w:r>
        <w:t>2. Literature Review</w:t>
      </w:r>
    </w:p>
    <w:p w14:paraId="307BD490" w14:textId="77777777" w:rsidR="00154532" w:rsidRDefault="00000000">
      <w:pPr>
        <w:pStyle w:val="Heading2"/>
      </w:pPr>
      <w:r>
        <w:t>2.1 Information Asymmetry in Food Markets</w:t>
      </w:r>
    </w:p>
    <w:p w14:paraId="199669D6" w14:textId="77777777" w:rsidR="00154532" w:rsidRDefault="00000000">
      <w:pPr>
        <w:spacing w:before="100" w:after="100" w:line="360" w:lineRule="auto"/>
        <w:jc w:val="both"/>
      </w:pPr>
      <w:r>
        <w:t>The intellectual starting point for this paper is Akerlof's (1970) 'market for lemons' — one whose core insight retains uncomfortable relevance to the packaged food sector five decades on. Akerlof demonstrated that where buyers cannot assess product quality before purchase, market equilibria tend toward adverse selection. The mechanism applies with particular force to what Nelson (1970) later classified as 'credence goods' — products whose quality attributes are never fully verifiable by consumers, even after consumption. Nutritional composition is the quintessential credence attribute of packaged food: most consumers cannot taste the difference between a biscuit containing 1.8 grams of trans fat per 100 grams and one containing 0.1 grams.</w:t>
      </w:r>
    </w:p>
    <w:p w14:paraId="3A670232" w14:textId="77777777" w:rsidR="00154532" w:rsidRDefault="00000000">
      <w:pPr>
        <w:spacing w:before="100" w:after="100" w:line="360" w:lineRule="auto"/>
        <w:jc w:val="both"/>
      </w:pPr>
      <w:r>
        <w:t xml:space="preserve">Caswell and </w:t>
      </w:r>
      <w:proofErr w:type="spellStart"/>
      <w:r>
        <w:t>Mojduszka</w:t>
      </w:r>
      <w:proofErr w:type="spellEnd"/>
      <w:r>
        <w:t xml:space="preserve"> (1996) showed that firms operating under weak labelling regimes systematically under-disclose quality-relevant attributes. This produces what I call the Information Accessibility Barrier (IAB): a structural condition in which nutritional information is technically available on the pack but practically inaccessible to most consumers. Banerjee and Duflo (2007) identified a further complication — the Asymmetric Exit Barrier — where price-constrained consumers at the ₹10 price point cannot exercise the exit option that market discipline theories assume. Together, IAB and the Asymmetric Exit Barrier explain why information asymmetry is more entrenched in India than in high-income markets.</w:t>
      </w:r>
    </w:p>
    <w:p w14:paraId="1CCC0EA2" w14:textId="77777777" w:rsidR="00154532" w:rsidRDefault="00000000">
      <w:pPr>
        <w:pStyle w:val="Heading2"/>
      </w:pPr>
      <w:r>
        <w:t xml:space="preserve">2.2 Marketing Theory: Brand Equity, Consumer </w:t>
      </w:r>
      <w:proofErr w:type="spellStart"/>
      <w:r>
        <w:t>Behaviour</w:t>
      </w:r>
      <w:proofErr w:type="spellEnd"/>
      <w:r>
        <w:t>, and Product Strategy</w:t>
      </w:r>
    </w:p>
    <w:p w14:paraId="5B5A27DA" w14:textId="77777777" w:rsidR="00154532" w:rsidRDefault="00000000">
      <w:pPr>
        <w:spacing w:before="100" w:after="100" w:line="360" w:lineRule="auto"/>
        <w:jc w:val="both"/>
      </w:pPr>
      <w:r>
        <w:t>The dual quality phenomenon sits at the intersection of several foundational marketing theories, and it is worth being explicit about these connections — because it is precisely the absence of marketing theory grounding that has led reviewers to question the disciplinary contribution of work in this space.</w:t>
      </w:r>
    </w:p>
    <w:p w14:paraId="2CB7CF95" w14:textId="77777777" w:rsidR="00154532" w:rsidRDefault="00000000">
      <w:pPr>
        <w:spacing w:before="100" w:after="100" w:line="360" w:lineRule="auto"/>
        <w:jc w:val="both"/>
      </w:pPr>
      <w:r>
        <w:t xml:space="preserve">Keller's (1993) Customer-Based Brand Equity (CBBE) model </w:t>
      </w:r>
      <w:proofErr w:type="spellStart"/>
      <w:r>
        <w:t>conceptualises</w:t>
      </w:r>
      <w:proofErr w:type="spellEnd"/>
      <w:r>
        <w:t xml:space="preserve"> brand equity as residing in consumer knowledge structures — the associations, beliefs, and perceptions that consumers attach to a brand name. The CBBE model predicts that brand equity is eroded when actual product performance fails to deliver on the associations the brand has constructed. In the dual quality context, MNCs are systematically building Indian brand equity on global brand communications that promise nutrition and quality — 'Mera Wala Maggi,' Kellogg's 'nutrition for growing children,' Cadbury's 'goodness of milk' — while delivering product formulations that do not substantiate those associations. This is, in CBBE terms, a self-inflicted brand equity destruction mechanism operating below the threshold of consumer detectability — until it is not.</w:t>
      </w:r>
    </w:p>
    <w:p w14:paraId="22A3447F" w14:textId="77777777" w:rsidR="00154532" w:rsidRDefault="00000000">
      <w:pPr>
        <w:spacing w:before="100" w:after="100" w:line="360" w:lineRule="auto"/>
        <w:jc w:val="both"/>
      </w:pPr>
      <w:r>
        <w:t xml:space="preserve">Consumer </w:t>
      </w:r>
      <w:proofErr w:type="spellStart"/>
      <w:r>
        <w:t>behaviour</w:t>
      </w:r>
      <w:proofErr w:type="spellEnd"/>
      <w:r>
        <w:t xml:space="preserve"> theory adds a further dimension. Howard and Sheth's (1969) theory of buyer </w:t>
      </w:r>
      <w:proofErr w:type="spellStart"/>
      <w:r>
        <w:t>behaviour</w:t>
      </w:r>
      <w:proofErr w:type="spellEnd"/>
      <w:r>
        <w:t xml:space="preserve"> distinguishes between routinised response </w:t>
      </w:r>
      <w:proofErr w:type="spellStart"/>
      <w:r>
        <w:t>behaviour</w:t>
      </w:r>
      <w:proofErr w:type="spellEnd"/>
      <w:r>
        <w:t xml:space="preserve"> (RRB), limited problem solving, and extensive problem solving. Packaged food is paradigmatically an RRB category: consumers buy the same brand habitually, with minimal information processing. This is precisely what makes nutritional quality a credence attribute in practice — not just in theory. Low involvement (Zaichkowsky, 1985) in food purchasing means that the information asymmetry is not merely structural but </w:t>
      </w:r>
      <w:proofErr w:type="spellStart"/>
      <w:r>
        <w:t>behaviourally</w:t>
      </w:r>
      <w:proofErr w:type="spellEnd"/>
      <w:r>
        <w:t xml:space="preserve"> reinforced: even consumers who could read the label often do not, because the category does not demand it. MNCs are, whether deliberately or by default, exploiting the low-involvement character of food purchasing to sustain formulation differentials that higher-involvement consumers would quickly detect and </w:t>
      </w:r>
      <w:proofErr w:type="spellStart"/>
      <w:r>
        <w:t>penalise</w:t>
      </w:r>
      <w:proofErr w:type="spellEnd"/>
      <w:r>
        <w:t>.</w:t>
      </w:r>
    </w:p>
    <w:p w14:paraId="6C878CE8" w14:textId="77777777" w:rsidR="00154532" w:rsidRDefault="00000000">
      <w:pPr>
        <w:spacing w:before="100" w:after="100" w:line="360" w:lineRule="auto"/>
        <w:jc w:val="both"/>
      </w:pPr>
      <w:r>
        <w:t xml:space="preserve">The product </w:t>
      </w:r>
      <w:proofErr w:type="spellStart"/>
      <w:r>
        <w:t>standardisation</w:t>
      </w:r>
      <w:proofErr w:type="spellEnd"/>
      <w:r>
        <w:t xml:space="preserve">–adaptation debate is perhaps the most directly relevant thread in international marketing theory. Levitt's (1983) celebrated argument for global product </w:t>
      </w:r>
      <w:proofErr w:type="spellStart"/>
      <w:r>
        <w:t>standardisation</w:t>
      </w:r>
      <w:proofErr w:type="spellEnd"/>
      <w:r>
        <w:t xml:space="preserve"> predicted that competitive pressure and converging consumer preferences would drive MNCs toward uniform global products. Douglas and Wind (1987) contested this, arguing that meaningful adaptation to local market conditions is both necessary and legitimate. The dual quality phenomenon as documented in this paper does not fit neatly into either camp. What MNCs are doing in India is not adaptation in the sense Douglas and Wind intended — a genuine response to different consumer needs or preferences. It is ingredient substitution driven by cost economics and regulatory arbitrage, camouflaged as adaptation. This distinction has important implications for how international product strategy is </w:t>
      </w:r>
      <w:proofErr w:type="spellStart"/>
      <w:r>
        <w:t>theorised</w:t>
      </w:r>
      <w:proofErr w:type="spellEnd"/>
      <w:r>
        <w:t xml:space="preserve"> and evaluated.</w:t>
      </w:r>
    </w:p>
    <w:p w14:paraId="27359924" w14:textId="77777777" w:rsidR="00154532" w:rsidRDefault="00000000">
      <w:pPr>
        <w:spacing w:before="100" w:after="100" w:line="360" w:lineRule="auto"/>
        <w:jc w:val="both"/>
      </w:pPr>
      <w:proofErr w:type="spellStart"/>
      <w:r>
        <w:t>Narver</w:t>
      </w:r>
      <w:proofErr w:type="spellEnd"/>
      <w:r>
        <w:t xml:space="preserve"> and Slater (1990) and Kohli and Jaworski (1990) established market orientation — the </w:t>
      </w:r>
      <w:proofErr w:type="spellStart"/>
      <w:r>
        <w:t>organisation</w:t>
      </w:r>
      <w:proofErr w:type="spellEnd"/>
      <w:r>
        <w:t xml:space="preserve">-wide generation, dissemination, and responsiveness to market intelligence — as a foundational marketing construct. A genuinely market-oriented firm is responsive to long-term consumer welfare, not merely short-term purchase </w:t>
      </w:r>
      <w:proofErr w:type="spellStart"/>
      <w:r>
        <w:t>behaviour</w:t>
      </w:r>
      <w:proofErr w:type="spellEnd"/>
      <w:r>
        <w:t>. The dual quality strategy, by contrast, represents a form of market orientation that is responsive to consumer price sensitivity while being deliberately unresponsive to consumer nutritional welfare. I would call this 'asymmetric market orientation': firms are highly sensitive to the dimensions of consumer need that drive purchase (price, taste, brand recognition) while being systematically insensitive to the dimensions that drive long-term welfare (nutritional composition, health outcomes). This asymmetric orientation is, I argue, strategically myopic — and Section 6 explains why the myopia is becoming costly.</w:t>
      </w:r>
    </w:p>
    <w:p w14:paraId="4E40D378" w14:textId="77777777" w:rsidR="00154532" w:rsidRDefault="00000000">
      <w:pPr>
        <w:spacing w:before="100" w:after="100" w:line="360" w:lineRule="auto"/>
        <w:jc w:val="both"/>
      </w:pPr>
      <w:r>
        <w:t xml:space="preserve">Finally, Morgan and Hunt's (1994) commitment–trust theory of relationship marketing establishes trust as the central mediating variable in long-term marketing relationships. When Indian consumers discover — as increasing numbers are doing through digital comparison tools and social media — that the brand they have trusted for decades has been supplying them with a nutritionally inferior product relative to what it provides to consumers in London or Sydney, the trust damage is not merely attitudinal. It is transactional: it changes purchase </w:t>
      </w:r>
      <w:proofErr w:type="spellStart"/>
      <w:r>
        <w:t>behaviour</w:t>
      </w:r>
      <w:proofErr w:type="spellEnd"/>
      <w:r>
        <w:t>. The dual quality strategy is, in relationship marketing terms, a trust deficit accumulation mechanism that operates quietly for years before reaching a threshold at which it suddenly becomes commercially consequential.</w:t>
      </w:r>
    </w:p>
    <w:p w14:paraId="27FD70D2" w14:textId="77777777" w:rsidR="00154532" w:rsidRDefault="00000000">
      <w:pPr>
        <w:pStyle w:val="Heading2"/>
      </w:pPr>
      <w:r>
        <w:t>2.3 Institutional Voids and Regulatory Arbitrage</w:t>
      </w:r>
    </w:p>
    <w:p w14:paraId="40DDF40B" w14:textId="77777777" w:rsidR="00154532" w:rsidRDefault="00000000">
      <w:pPr>
        <w:spacing w:before="100" w:after="100" w:line="360" w:lineRule="auto"/>
        <w:jc w:val="both"/>
      </w:pPr>
      <w:r>
        <w:t xml:space="preserve">Khanna and Palepu's (1997, 2010) concept of institutional voids — the absence of </w:t>
      </w:r>
      <w:proofErr w:type="spellStart"/>
      <w:r>
        <w:t>specialised</w:t>
      </w:r>
      <w:proofErr w:type="spellEnd"/>
      <w:r>
        <w:t xml:space="preserve"> intermediaries, regulatory infrastructure, and enforcement mechanisms that </w:t>
      </w:r>
      <w:proofErr w:type="spellStart"/>
      <w:r>
        <w:t>characterise</w:t>
      </w:r>
      <w:proofErr w:type="spellEnd"/>
      <w:r>
        <w:t xml:space="preserve"> developed market economies — was originally developed to explain Indian conglomerate diversification. But the framework travels well to the food sector. An MNC operating in India faces a qualitatively different institutional environment than one operating in Germany or the United States: fewer product liability suits, less aggressive food safety inspection, and a regulatory authority whose mandate exceeds its current resources. North's (1990) institutional economics provides the theoretical backbone: where formal institutions are thin and informal norms are underdeveloped, firms calibrate compliance to the minimum required for market access. Regulatory arbitrage across jurisdictions is well documented in pharmaceuticals (Sell, 2003), financial services (Barth et al., 2012), and environmental compliance (Copeland &amp; Taylor, 2004). Its application to packaged food has received comparatively little scholarly attention.</w:t>
      </w:r>
    </w:p>
    <w:p w14:paraId="1DE815FA" w14:textId="77777777" w:rsidR="00154532" w:rsidRDefault="00000000">
      <w:pPr>
        <w:pStyle w:val="Heading2"/>
      </w:pPr>
      <w:r>
        <w:t>2.4 The Dual Quality Debate: European Precedents and Indian Divergence</w:t>
      </w:r>
    </w:p>
    <w:p w14:paraId="6B9FD256" w14:textId="77777777" w:rsidR="00154532" w:rsidRDefault="00000000">
      <w:pPr>
        <w:spacing w:before="100" w:after="100" w:line="360" w:lineRule="auto"/>
        <w:jc w:val="both"/>
      </w:pPr>
      <w:r>
        <w:t xml:space="preserve">The EU's experience with dual quality is instructive but imperfectly transferable to India. The Central and Eastern European (CEE) cases — documented by CAFIA (2017), SFVA (2017), and </w:t>
      </w:r>
      <w:proofErr w:type="spellStart"/>
      <w:r>
        <w:t>synthesised</w:t>
      </w:r>
      <w:proofErr w:type="spellEnd"/>
      <w:r>
        <w:t xml:space="preserve"> in Rona-Tas et al. (2018) — involved products sold within a common regulatory union with access to supranational dispute resolution. India's situation is structurally different in three respects. First, there is no supranational umbrella: Indian consumers have no equivalent of the European Court of Justice. Second, FSSAI's compositional standards are, in several categories, more permissive than EU equivalents — meaning formulations impermissible in Frankfurt are fully compliant in Hyderabad. Third, the price elasticity of Indian consumption is substantially higher than in EU markets, making the structural incentive for downward quality adjustment correspondingly more intense (Pingali et al., 2019; Sunder, 2021).</w:t>
      </w:r>
    </w:p>
    <w:p w14:paraId="6D55281F" w14:textId="77777777" w:rsidR="00154532" w:rsidRDefault="00000000">
      <w:pPr>
        <w:pStyle w:val="Heading2"/>
      </w:pPr>
      <w:r>
        <w:t>2.5 The Bottom of the Pyramid: Commercial Promise and Critical Limits</w:t>
      </w:r>
    </w:p>
    <w:p w14:paraId="76F12944" w14:textId="77777777" w:rsidR="00154532" w:rsidRDefault="00000000">
      <w:pPr>
        <w:spacing w:before="100" w:after="100" w:line="360" w:lineRule="auto"/>
        <w:jc w:val="both"/>
      </w:pPr>
      <w:r>
        <w:t xml:space="preserve">I have taught Prahalad's bottom-of-the-pyramid framework for many years, and I continue to find it theoretically generative. But the BOP framework has a weak underbelly, and the dual quality phenomenon sits precisely there. Prahalad (2004) assumes that products offered to BOP consumers, though differently packaged and priced, are substantively equivalent in quality to those offered to higher-income segments. The evidence in this paper suggests that assumption does not hold. Karnani's (2007) critique — that the BOP framework </w:t>
      </w:r>
      <w:proofErr w:type="spellStart"/>
      <w:r>
        <w:t>romanticises</w:t>
      </w:r>
      <w:proofErr w:type="spellEnd"/>
      <w:r>
        <w:t xml:space="preserve"> poverty while enabling corporations to extract value from structurally disadvantaged consumers — gains additional force when the extraction mechanism is not merely price but nutritional debasement. The question this paper presses is: at what point does legitimate market adaptation become exploitation?</w:t>
      </w:r>
    </w:p>
    <w:p w14:paraId="1CC90739" w14:textId="77777777" w:rsidR="00154532" w:rsidRDefault="00000000">
      <w:pPr>
        <w:pStyle w:val="Heading1"/>
        <w:pBdr>
          <w:bottom w:val="single" w:sz="6" w:space="4" w:color="2C5F8A"/>
        </w:pBdr>
      </w:pPr>
      <w:r>
        <w:t>3. Theoretical Framework: The Institutional Regulatory Arbitrage Model (IRAM)</w:t>
      </w:r>
    </w:p>
    <w:p w14:paraId="6726D060" w14:textId="77777777" w:rsidR="00154532" w:rsidRDefault="00000000">
      <w:pPr>
        <w:spacing w:before="100" w:after="100" w:line="360" w:lineRule="auto"/>
        <w:jc w:val="both"/>
      </w:pPr>
      <w:r>
        <w:t>Before presenting the model, I want to say something about the theoretical convergence that gave me confidence in the diagnosis. When I began examining the dual quality phenomenon seriously, I was struck by the fact that multiple distinct intellectual traditions — each developed for entirely different purposes — all independently pointed to the same predicted outcome. Akerlof's information asymmetry framework predicted it from the demand side: consumers cannot detect credence-good quality debasement, so firms face no market penalty for it. Keller's brand equity theory predicted it from the marketing side: brand reputation insulates firms from the quality-perception link. North's institutional economics predicted it from the structural side: thin enforcement enables calibrated non-compliance. Prahalad's BOP economics predicted it from the cost side: the Magic Price Point creates a binding cost constraint. And the ESG-accountability literature predicted it from the governance side: without investor-facing mechanisms, CSR commitments do not bind at formulation level. Five independent traditions, one convergent prediction.</w:t>
      </w:r>
    </w:p>
    <w:p w14:paraId="5714D554" w14:textId="77777777" w:rsidR="00154532" w:rsidRDefault="00000000">
      <w:pPr>
        <w:spacing w:before="100" w:after="100" w:line="360" w:lineRule="auto"/>
        <w:jc w:val="both"/>
      </w:pPr>
      <w:r>
        <w:t xml:space="preserve">The Institutional Regulatory Arbitrage Model (IRAM) </w:t>
      </w:r>
      <w:proofErr w:type="spellStart"/>
      <w:r>
        <w:t>formalises</w:t>
      </w:r>
      <w:proofErr w:type="spellEnd"/>
      <w:r>
        <w:t xml:space="preserve"> this convergence. Its core claim is that dual quality in the Indian packaged food market is not an aberration — it is a rational strategic equilibrium, the predictable outcome when four enabling conditions co-occur:</w:t>
      </w:r>
    </w:p>
    <w:p w14:paraId="5548EB47" w14:textId="77777777" w:rsidR="00154532" w:rsidRDefault="00000000">
      <w:pPr>
        <w:spacing w:before="100" w:after="100" w:line="360" w:lineRule="auto"/>
        <w:jc w:val="both"/>
      </w:pPr>
      <w:r>
        <w:t>The first is Regulatory Density Differential (RDD): a significant gap in the comprehensiveness and enforcement capacity of food safety regulations between India and the reference market. RDD determines the permissible space for formulation adjustment without legal penalty.</w:t>
      </w:r>
    </w:p>
    <w:p w14:paraId="6976F4FB" w14:textId="77777777" w:rsidR="00154532" w:rsidRDefault="00000000">
      <w:pPr>
        <w:spacing w:before="100" w:after="100" w:line="360" w:lineRule="auto"/>
        <w:jc w:val="both"/>
      </w:pPr>
      <w:r>
        <w:t xml:space="preserve">The second is the Information Accessibility Barrier (IAB): the structural inaccessibility of nutritional information to the average consumer — through labelling gaps, low nutritional literacy, or the credence-good character of the relevant attributes. IAB determines whether quality debasement will be noticed and </w:t>
      </w:r>
      <w:proofErr w:type="spellStart"/>
      <w:r>
        <w:t>penalised</w:t>
      </w:r>
      <w:proofErr w:type="spellEnd"/>
      <w:r>
        <w:t xml:space="preserve"> by consumers.</w:t>
      </w:r>
    </w:p>
    <w:p w14:paraId="13A13A7F" w14:textId="77777777" w:rsidR="00154532" w:rsidRDefault="00000000">
      <w:pPr>
        <w:spacing w:before="100" w:after="100" w:line="360" w:lineRule="auto"/>
        <w:jc w:val="both"/>
      </w:pPr>
      <w:r>
        <w:t>The third is Price Elasticity Asymmetry (PEA): the substantially higher price sensitivity of Indian consumers relative to reference-market consumers. PEA determines the intensity of the cost-reduction imperative and the severity of the Magic Price Point constraint.</w:t>
      </w:r>
    </w:p>
    <w:p w14:paraId="2B4DD089" w14:textId="77777777" w:rsidR="00154532" w:rsidRDefault="00000000">
      <w:pPr>
        <w:spacing w:before="100" w:after="100" w:line="360" w:lineRule="auto"/>
        <w:jc w:val="both"/>
      </w:pPr>
      <w:r>
        <w:t xml:space="preserve">The fourth is Brand Reputation Insulation (BRI): the capacity of a globally </w:t>
      </w:r>
      <w:proofErr w:type="spellStart"/>
      <w:r>
        <w:t>recognised</w:t>
      </w:r>
      <w:proofErr w:type="spellEnd"/>
      <w:r>
        <w:t xml:space="preserve"> brand identity to decouple consumer perceived quality from actual formulation composition — a direct application of Keller's (1993) brand equity construct to the dual quality context. As long as the brand carries sufficient halo effect, consumers do not associate familiar packaging with inferior content.</w:t>
      </w:r>
    </w:p>
    <w:p w14:paraId="6345ECA9" w14:textId="77777777" w:rsidR="00154532" w:rsidRDefault="00000000">
      <w:pPr>
        <w:spacing w:before="100" w:after="100" w:line="360" w:lineRule="auto"/>
        <w:jc w:val="both"/>
      </w:pPr>
      <w:r>
        <w:t xml:space="preserve">The IRAM generates a testable prediction: formulation divergence will be positively associated with RDD and PEA, and negatively associated with consumer digital literacy and social media penetration — which progressively erode the IAB and BRI. This prediction is consistent with the pattern across the eight categories in Section 4. The IRAM is also prescriptive: it identifies the institutional levers that can disrupt the equilibrium — regulatory </w:t>
      </w:r>
      <w:proofErr w:type="spellStart"/>
      <w:r>
        <w:t>harmonisation</w:t>
      </w:r>
      <w:proofErr w:type="spellEnd"/>
      <w:r>
        <w:t xml:space="preserve"> (reducing RDD), mandatory disclosure (reducing IAB), consumer literacy investment (reducing IAB and BRI), and ESG-aligned investor pressure (reducing BRI).</w:t>
      </w:r>
    </w:p>
    <w:p w14:paraId="0C9507E2" w14:textId="77777777" w:rsidR="00154532" w:rsidRDefault="00000000">
      <w:pPr>
        <w:pStyle w:val="Heading1"/>
        <w:pBdr>
          <w:bottom w:val="single" w:sz="6" w:space="4" w:color="2C5F8A"/>
        </w:pBdr>
      </w:pPr>
      <w:r>
        <w:t>4. Comparative Analysis: Eight Product Categories</w:t>
      </w:r>
    </w:p>
    <w:p w14:paraId="4C5C1F93" w14:textId="77777777" w:rsidR="00154532" w:rsidRDefault="00000000">
      <w:pPr>
        <w:spacing w:before="100" w:after="100" w:line="360" w:lineRule="auto"/>
        <w:jc w:val="both"/>
      </w:pPr>
      <w:r>
        <w:t>The eight categories examined below were selected on three criteria: (a) significant and growing market penetration in the Indian CPG sector; (b) the availability of comparable products under identical or near-identical brand identities in at least two developed markets; and (c) the salience of nutritional composition to established health outcome risks. For each category, I identify the specific disparity, the ingredient delta, the regulatory differential that creates the space for it, and where available, brand-level evidence drawn from label comparisons conducted personally alongside published laboratory analyses. Tables 1 through 4 provide cross-jurisdictional and cross-category summaries of the key findings.</w:t>
      </w:r>
    </w:p>
    <w:p w14:paraId="05342645" w14:textId="77777777" w:rsidR="00154532" w:rsidRDefault="00000000">
      <w:pPr>
        <w:spacing w:before="100" w:after="100" w:line="360" w:lineRule="auto"/>
        <w:jc w:val="both"/>
      </w:pPr>
      <w:r>
        <w:t>A word of methodological transparency: the compositional figures draw on a combination of personal ingredient label comparisons, published laboratory studies, and regulatory documents rather than primary laboratory testing. That is a limitation I address directly in Section 7. But the pattern is real, consistent, and sufficiently well-evidenced to sustain the theoretical argument.</w:t>
      </w:r>
    </w:p>
    <w:p w14:paraId="3CACCCB4" w14:textId="77777777" w:rsidR="00154532" w:rsidRDefault="00000000">
      <w:pPr>
        <w:pStyle w:val="Heading2"/>
      </w:pPr>
      <w:r>
        <w:t>4.1 Category A: Packaged Beverages (India vs. USA &amp; EU)</w:t>
      </w:r>
    </w:p>
    <w:p w14:paraId="4C35F29A" w14:textId="77777777" w:rsidR="00154532" w:rsidRDefault="00000000">
      <w:pPr>
        <w:spacing w:before="100" w:after="100" w:line="360" w:lineRule="auto"/>
        <w:jc w:val="both"/>
      </w:pPr>
      <w:r>
        <w:t xml:space="preserve">Packaged beverages are the category where the dual quality dynamic first became personally visible to me — comparing Frooti and </w:t>
      </w:r>
      <w:proofErr w:type="spellStart"/>
      <w:r>
        <w:t>Maaza</w:t>
      </w:r>
      <w:proofErr w:type="spellEnd"/>
      <w:r>
        <w:t xml:space="preserve"> labels in Hyderabad against European equivalents on official brand websites. The Indian market is estimated at USD 18.5 billion and growing at 8.2% CAGR (FICCI-KPMG, 2023). These are mass-market categories consumed daily, which means formulation differentials accumulate into meaningful population-level health exposure.</w:t>
      </w:r>
    </w:p>
    <w:p w14:paraId="4CA8D649" w14:textId="77777777" w:rsidR="00154532" w:rsidRDefault="00000000">
      <w:pPr>
        <w:pStyle w:val="Heading3"/>
      </w:pPr>
      <w:r>
        <w:t>4.1.1 Sugar and Sweetener Architecture</w:t>
      </w:r>
    </w:p>
    <w:p w14:paraId="04318E48" w14:textId="77777777" w:rsidR="00154532" w:rsidRDefault="00000000">
      <w:pPr>
        <w:spacing w:before="100" w:after="100" w:line="360" w:lineRule="auto"/>
        <w:jc w:val="both"/>
      </w:pPr>
      <w:r>
        <w:t xml:space="preserve">Walk into any </w:t>
      </w:r>
      <w:proofErr w:type="spellStart"/>
      <w:r>
        <w:t>kirana</w:t>
      </w:r>
      <w:proofErr w:type="spellEnd"/>
      <w:r>
        <w:t xml:space="preserve"> store in Hyderabad and pick up a 'fruit juice drink.' In many cases, it contains between 10 and 15 percent actual fruit juice — the remainder is water, added sugar, synthetic </w:t>
      </w:r>
      <w:proofErr w:type="spellStart"/>
      <w:r>
        <w:t>flavours</w:t>
      </w:r>
      <w:proofErr w:type="spellEnd"/>
      <w:r>
        <w:t xml:space="preserve">, and permitted </w:t>
      </w:r>
      <w:proofErr w:type="spellStart"/>
      <w:r>
        <w:t>colour</w:t>
      </w:r>
      <w:proofErr w:type="spellEnd"/>
      <w:r>
        <w:t>. The same brand's equivalent in the US must, under FDA 21 CFR Part 101 regulations, declare juice content percentage on the principal display panel. In the EU, Directive 2012/12/EU mandates a minimum 25% juice concentration even for 'fruit nectar,' and prohibits added sugar in 'fruit juice' products. Ingredient label comparisons reveal sucrose concentrations of 12–14g per 100ml in Indian variants versus 8–10g per 100ml in EU equivalents. The UK Soft Drinks Industry Levy (2018) has driven major brands to reformulate UK variants to below 5g per 100ml, compared to 11–12g in the same brand's Indian variant (Department of Health and Social Care, UK, 2022).</w:t>
      </w:r>
    </w:p>
    <w:p w14:paraId="7C2C18E0" w14:textId="77777777" w:rsidR="00154532" w:rsidRDefault="00000000">
      <w:pPr>
        <w:pStyle w:val="Heading3"/>
      </w:pPr>
      <w:r>
        <w:t>4.1.2 Labelling Compliance Differential</w:t>
      </w:r>
    </w:p>
    <w:p w14:paraId="42C33679" w14:textId="77777777" w:rsidR="00154532" w:rsidRDefault="00000000">
      <w:pPr>
        <w:spacing w:before="100" w:after="100" w:line="360" w:lineRule="auto"/>
        <w:jc w:val="both"/>
      </w:pPr>
      <w:r>
        <w:t>Research by Emerging Investigators (2025) indicates that US-labelled beverage products achieve greater than 95% compliance in front-of-pack added sugar declaration, while Indian counterparts demonstrate only 50–80% compliance with equivalent FSSAI Schedule II provisions. High-fructose corn syrup is permissibly described in India simply as 'liquid glucose,' while the FDA and EFSA require declaration by name. The regulatory comparison across five jurisdictions is presented in Table 1.</w:t>
      </w:r>
    </w:p>
    <w:p w14:paraId="560D856A" w14:textId="77777777" w:rsidR="00154532" w:rsidRDefault="00154532">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5"/>
        <w:gridCol w:w="1255"/>
        <w:gridCol w:w="1254"/>
        <w:gridCol w:w="1536"/>
        <w:gridCol w:w="1426"/>
        <w:gridCol w:w="1714"/>
      </w:tblGrid>
      <w:tr w:rsidR="00154532" w:rsidRPr="00E77D78" w14:paraId="317E211C" w14:textId="77777777" w:rsidTr="00E77D78">
        <w:tblPrEx>
          <w:tblCellMar>
            <w:top w:w="0" w:type="dxa"/>
            <w:bottom w:w="0" w:type="dxa"/>
          </w:tblCellMar>
        </w:tblPrEx>
        <w:trPr>
          <w:tblHeader/>
        </w:trPr>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FC41BF5" w14:textId="77777777" w:rsidR="00154532" w:rsidRPr="00E77D78" w:rsidRDefault="00000000">
            <w:r w:rsidRPr="00E77D78">
              <w:rPr>
                <w:rFonts w:ascii="Arial" w:eastAsia="Arial" w:hAnsi="Arial" w:cs="Arial"/>
                <w:b/>
                <w:bCs/>
                <w:sz w:val="18"/>
                <w:szCs w:val="18"/>
              </w:rPr>
              <w:t>Parameter</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17167CA" w14:textId="77777777" w:rsidR="00154532" w:rsidRPr="00E77D78" w:rsidRDefault="00000000">
            <w:r w:rsidRPr="00E77D78">
              <w:rPr>
                <w:rFonts w:ascii="Arial" w:eastAsia="Arial" w:hAnsi="Arial" w:cs="Arial"/>
                <w:b/>
                <w:bCs/>
                <w:sz w:val="18"/>
                <w:szCs w:val="18"/>
              </w:rPr>
              <w:t>India (FSSAI)</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6A7656E" w14:textId="77777777" w:rsidR="00154532" w:rsidRPr="00E77D78" w:rsidRDefault="00000000">
            <w:r w:rsidRPr="00E77D78">
              <w:rPr>
                <w:rFonts w:ascii="Arial" w:eastAsia="Arial" w:hAnsi="Arial" w:cs="Arial"/>
                <w:b/>
                <w:bCs/>
                <w:sz w:val="18"/>
                <w:szCs w:val="18"/>
              </w:rPr>
              <w:t>USA (FDA)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EEB1DE2" w14:textId="77777777" w:rsidR="00154532" w:rsidRPr="00E77D78" w:rsidRDefault="00000000">
            <w:r w:rsidRPr="00E77D78">
              <w:rPr>
                <w:rFonts w:ascii="Arial" w:eastAsia="Arial" w:hAnsi="Arial" w:cs="Arial"/>
                <w:b/>
                <w:bCs/>
                <w:sz w:val="18"/>
                <w:szCs w:val="18"/>
              </w:rPr>
              <w:t>UK/EU (EFSA)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CE61BEC" w14:textId="77777777" w:rsidR="00154532" w:rsidRPr="00E77D78" w:rsidRDefault="00000000">
            <w:r w:rsidRPr="00E77D78">
              <w:rPr>
                <w:rFonts w:ascii="Arial" w:eastAsia="Arial" w:hAnsi="Arial" w:cs="Arial"/>
                <w:b/>
                <w:bCs/>
                <w:sz w:val="18"/>
                <w:szCs w:val="18"/>
              </w:rPr>
              <w:t>Australia (FSANZ)</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2CA2F1C" w14:textId="77777777" w:rsidR="00154532" w:rsidRPr="00E77D78" w:rsidRDefault="00000000">
            <w:r w:rsidRPr="00E77D78">
              <w:rPr>
                <w:rFonts w:ascii="Arial" w:eastAsia="Arial" w:hAnsi="Arial" w:cs="Arial"/>
                <w:b/>
                <w:bCs/>
                <w:sz w:val="18"/>
                <w:szCs w:val="18"/>
              </w:rPr>
              <w:t>Japan (MHLW)</w:t>
            </w:r>
          </w:p>
        </w:tc>
      </w:tr>
      <w:tr w:rsidR="00154532" w:rsidRPr="00E77D78" w14:paraId="07118F81" w14:textId="77777777" w:rsidTr="00E77D78">
        <w:tblPrEx>
          <w:tblCellMar>
            <w:top w:w="0" w:type="dxa"/>
            <w:bottom w:w="0" w:type="dxa"/>
          </w:tblCellMar>
        </w:tblPrEx>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EC90424" w14:textId="77777777" w:rsidR="00154532" w:rsidRPr="00E77D78" w:rsidRDefault="00000000">
            <w:r w:rsidRPr="00E77D78">
              <w:rPr>
                <w:rFonts w:ascii="Arial" w:eastAsia="Arial" w:hAnsi="Arial" w:cs="Arial"/>
                <w:sz w:val="18"/>
                <w:szCs w:val="18"/>
              </w:rPr>
              <w:t>Juice content in 'fruit drink'</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0B0B22C" w14:textId="77777777" w:rsidR="00154532" w:rsidRPr="00E77D78" w:rsidRDefault="00000000">
            <w:r w:rsidRPr="00E77D78">
              <w:rPr>
                <w:rFonts w:ascii="Arial" w:eastAsia="Arial" w:hAnsi="Arial" w:cs="Arial"/>
                <w:sz w:val="18"/>
                <w:szCs w:val="18"/>
              </w:rPr>
              <w:t>10% minimum</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5AFF456" w14:textId="77777777" w:rsidR="00154532" w:rsidRPr="00E77D78" w:rsidRDefault="00000000">
            <w:r w:rsidRPr="00E77D78">
              <w:rPr>
                <w:rFonts w:ascii="Arial" w:eastAsia="Arial" w:hAnsi="Arial" w:cs="Arial"/>
                <w:sz w:val="18"/>
                <w:szCs w:val="18"/>
              </w:rPr>
              <w:t>Must declare %</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A3D637B" w14:textId="77777777" w:rsidR="00154532" w:rsidRPr="00E77D78" w:rsidRDefault="00000000">
            <w:r w:rsidRPr="00E77D78">
              <w:rPr>
                <w:rFonts w:ascii="Arial" w:eastAsia="Arial" w:hAnsi="Arial" w:cs="Arial"/>
                <w:sz w:val="18"/>
                <w:szCs w:val="18"/>
              </w:rPr>
              <w:t>25% (nectar)</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01E302A" w14:textId="77777777" w:rsidR="00154532" w:rsidRPr="00E77D78" w:rsidRDefault="00000000">
            <w:r w:rsidRPr="00E77D78">
              <w:rPr>
                <w:rFonts w:ascii="Arial" w:eastAsia="Arial" w:hAnsi="Arial" w:cs="Arial"/>
                <w:sz w:val="18"/>
                <w:szCs w:val="18"/>
              </w:rPr>
              <w:t>25% (nectar)</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12A83DC" w14:textId="77777777" w:rsidR="00154532" w:rsidRPr="00E77D78" w:rsidRDefault="00000000">
            <w:r w:rsidRPr="00E77D78">
              <w:rPr>
                <w:rFonts w:ascii="Arial" w:eastAsia="Arial" w:hAnsi="Arial" w:cs="Arial"/>
                <w:sz w:val="18"/>
                <w:szCs w:val="18"/>
              </w:rPr>
              <w:t>Declared on label</w:t>
            </w:r>
          </w:p>
        </w:tc>
      </w:tr>
      <w:tr w:rsidR="00154532" w:rsidRPr="00E77D78" w14:paraId="00DA2BA7" w14:textId="77777777" w:rsidTr="00E77D78">
        <w:tblPrEx>
          <w:tblCellMar>
            <w:top w:w="0" w:type="dxa"/>
            <w:bottom w:w="0" w:type="dxa"/>
          </w:tblCellMar>
        </w:tblPrEx>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7BAEFA6" w14:textId="77777777" w:rsidR="00154532" w:rsidRPr="00E77D78" w:rsidRDefault="00000000">
            <w:r w:rsidRPr="00E77D78">
              <w:rPr>
                <w:rFonts w:ascii="Arial" w:eastAsia="Arial" w:hAnsi="Arial" w:cs="Arial"/>
                <w:sz w:val="18"/>
                <w:szCs w:val="18"/>
              </w:rPr>
              <w:t>Added sugar front-of-pack</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9889E73" w14:textId="77777777" w:rsidR="00154532" w:rsidRPr="00E77D78" w:rsidRDefault="00000000">
            <w:r w:rsidRPr="00E77D78">
              <w:rPr>
                <w:rFonts w:ascii="Arial" w:eastAsia="Arial" w:hAnsi="Arial" w:cs="Arial"/>
                <w:sz w:val="18"/>
                <w:szCs w:val="18"/>
              </w:rPr>
              <w:t>Voluntary</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933983D" w14:textId="77777777" w:rsidR="00154532" w:rsidRPr="00E77D78" w:rsidRDefault="00000000">
            <w:r w:rsidRPr="00E77D78">
              <w:rPr>
                <w:rFonts w:ascii="Arial" w:eastAsia="Arial" w:hAnsi="Arial" w:cs="Arial"/>
                <w:sz w:val="18"/>
                <w:szCs w:val="18"/>
              </w:rPr>
              <w:t>Mandatory (2016)</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B643CAC" w14:textId="77777777" w:rsidR="00154532" w:rsidRPr="00E77D78" w:rsidRDefault="00000000">
            <w:r w:rsidRPr="00E77D78">
              <w:rPr>
                <w:rFonts w:ascii="Arial" w:eastAsia="Arial" w:hAnsi="Arial" w:cs="Arial"/>
                <w:sz w:val="18"/>
                <w:szCs w:val="18"/>
              </w:rPr>
              <w:t>Mandatory (</w:t>
            </w:r>
            <w:proofErr w:type="spellStart"/>
            <w:r w:rsidRPr="00E77D78">
              <w:rPr>
                <w:rFonts w:ascii="Arial" w:eastAsia="Arial" w:hAnsi="Arial" w:cs="Arial"/>
                <w:sz w:val="18"/>
                <w:szCs w:val="18"/>
              </w:rPr>
              <w:t>NutriScore</w:t>
            </w:r>
            <w:proofErr w:type="spellEnd"/>
            <w:r w:rsidRPr="00E77D78">
              <w:rPr>
                <w:rFonts w:ascii="Arial" w:eastAsia="Arial" w:hAnsi="Arial" w:cs="Arial"/>
                <w:sz w:val="18"/>
                <w:szCs w:val="18"/>
              </w:rPr>
              <w:t>)</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F78442A" w14:textId="77777777" w:rsidR="00154532" w:rsidRPr="00E77D78" w:rsidRDefault="00000000">
            <w:r w:rsidRPr="00E77D78">
              <w:rPr>
                <w:rFonts w:ascii="Arial" w:eastAsia="Arial" w:hAnsi="Arial" w:cs="Arial"/>
                <w:sz w:val="18"/>
                <w:szCs w:val="18"/>
              </w:rPr>
              <w:t>Voluntary (HSR)</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3DBC324" w14:textId="77777777" w:rsidR="00154532" w:rsidRPr="00E77D78" w:rsidRDefault="00000000">
            <w:r w:rsidRPr="00E77D78">
              <w:rPr>
                <w:rFonts w:ascii="Arial" w:eastAsia="Arial" w:hAnsi="Arial" w:cs="Arial"/>
                <w:sz w:val="18"/>
                <w:szCs w:val="18"/>
              </w:rPr>
              <w:t>Mandatory</w:t>
            </w:r>
          </w:p>
        </w:tc>
      </w:tr>
      <w:tr w:rsidR="00154532" w:rsidRPr="00E77D78" w14:paraId="4EFA19D7" w14:textId="77777777" w:rsidTr="00E77D78">
        <w:tblPrEx>
          <w:tblCellMar>
            <w:top w:w="0" w:type="dxa"/>
            <w:bottom w:w="0" w:type="dxa"/>
          </w:tblCellMar>
        </w:tblPrEx>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CC9448A" w14:textId="77777777" w:rsidR="00154532" w:rsidRPr="00E77D78" w:rsidRDefault="00000000">
            <w:r w:rsidRPr="00E77D78">
              <w:rPr>
                <w:rFonts w:ascii="Arial" w:eastAsia="Arial" w:hAnsi="Arial" w:cs="Arial"/>
                <w:sz w:val="18"/>
                <w:szCs w:val="18"/>
              </w:rPr>
              <w:t>Max added sugar per 100ml</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05735AD" w14:textId="77777777" w:rsidR="00154532" w:rsidRPr="00E77D78" w:rsidRDefault="00000000">
            <w:r w:rsidRPr="00E77D78">
              <w:rPr>
                <w:rFonts w:ascii="Arial" w:eastAsia="Arial" w:hAnsi="Arial" w:cs="Arial"/>
                <w:sz w:val="18"/>
                <w:szCs w:val="18"/>
              </w:rPr>
              <w:t>No cap</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CB32776" w14:textId="77777777" w:rsidR="00154532" w:rsidRPr="00E77D78" w:rsidRDefault="00000000">
            <w:r w:rsidRPr="00E77D78">
              <w:rPr>
                <w:rFonts w:ascii="Arial" w:eastAsia="Arial" w:hAnsi="Arial" w:cs="Arial"/>
                <w:sz w:val="18"/>
                <w:szCs w:val="18"/>
              </w:rPr>
              <w:t>No cap</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FFD85C6" w14:textId="77777777" w:rsidR="00154532" w:rsidRPr="00E77D78" w:rsidRDefault="00000000">
            <w:r w:rsidRPr="00E77D78">
              <w:rPr>
                <w:rFonts w:ascii="Arial" w:eastAsia="Arial" w:hAnsi="Arial" w:cs="Arial"/>
                <w:sz w:val="18"/>
                <w:szCs w:val="18"/>
              </w:rPr>
              <w:t>Levy &gt;8g/100ml</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C01E7B4" w14:textId="77777777" w:rsidR="00154532" w:rsidRPr="00E77D78" w:rsidRDefault="00000000">
            <w:r w:rsidRPr="00E77D78">
              <w:rPr>
                <w:rFonts w:ascii="Arial" w:eastAsia="Arial" w:hAnsi="Arial" w:cs="Arial"/>
                <w:sz w:val="18"/>
                <w:szCs w:val="18"/>
              </w:rPr>
              <w:t>No cap</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022B804" w14:textId="77777777" w:rsidR="00154532" w:rsidRPr="00E77D78" w:rsidRDefault="00000000">
            <w:r w:rsidRPr="00E77D78">
              <w:rPr>
                <w:rFonts w:ascii="Arial" w:eastAsia="Arial" w:hAnsi="Arial" w:cs="Arial"/>
                <w:sz w:val="18"/>
                <w:szCs w:val="18"/>
              </w:rPr>
              <w:t>No cap</w:t>
            </w:r>
          </w:p>
        </w:tc>
      </w:tr>
      <w:tr w:rsidR="00154532" w:rsidRPr="00E77D78" w14:paraId="0E916126" w14:textId="77777777" w:rsidTr="00E77D78">
        <w:tblPrEx>
          <w:tblCellMar>
            <w:top w:w="0" w:type="dxa"/>
            <w:bottom w:w="0" w:type="dxa"/>
          </w:tblCellMar>
        </w:tblPrEx>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BBE2346" w14:textId="77777777" w:rsidR="00154532" w:rsidRPr="00E77D78" w:rsidRDefault="00000000">
            <w:r w:rsidRPr="00E77D78">
              <w:rPr>
                <w:rFonts w:ascii="Arial" w:eastAsia="Arial" w:hAnsi="Arial" w:cs="Arial"/>
                <w:sz w:val="18"/>
                <w:szCs w:val="18"/>
              </w:rPr>
              <w:t>HFCS declaration</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85C184E" w14:textId="77777777" w:rsidR="00154532" w:rsidRPr="00E77D78" w:rsidRDefault="00000000">
            <w:r w:rsidRPr="00E77D78">
              <w:rPr>
                <w:rFonts w:ascii="Arial" w:eastAsia="Arial" w:hAnsi="Arial" w:cs="Arial"/>
                <w:sz w:val="18"/>
                <w:szCs w:val="18"/>
              </w:rPr>
              <w:t>As 'liquid glucose'</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01D6D7D" w14:textId="77777777" w:rsidR="00154532" w:rsidRPr="00E77D78" w:rsidRDefault="00000000">
            <w:r w:rsidRPr="00E77D78">
              <w:rPr>
                <w:rFonts w:ascii="Arial" w:eastAsia="Arial" w:hAnsi="Arial" w:cs="Arial"/>
                <w:sz w:val="18"/>
                <w:szCs w:val="18"/>
              </w:rPr>
              <w:t>Mandatory by name</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3FDFF59" w14:textId="77777777" w:rsidR="00154532" w:rsidRPr="00E77D78" w:rsidRDefault="00000000">
            <w:r w:rsidRPr="00E77D78">
              <w:rPr>
                <w:rFonts w:ascii="Arial" w:eastAsia="Arial" w:hAnsi="Arial" w:cs="Arial"/>
                <w:sz w:val="18"/>
                <w:szCs w:val="18"/>
              </w:rPr>
              <w:t>Mandatory by name</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239AFE2" w14:textId="77777777" w:rsidR="00154532" w:rsidRPr="00E77D78" w:rsidRDefault="00000000">
            <w:r w:rsidRPr="00E77D78">
              <w:rPr>
                <w:rFonts w:ascii="Arial" w:eastAsia="Arial" w:hAnsi="Arial" w:cs="Arial"/>
                <w:sz w:val="18"/>
                <w:szCs w:val="18"/>
              </w:rPr>
              <w:t>Mandatory by name</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A1D3BF1" w14:textId="77777777" w:rsidR="00154532" w:rsidRPr="00E77D78" w:rsidRDefault="00000000">
            <w:r w:rsidRPr="00E77D78">
              <w:rPr>
                <w:rFonts w:ascii="Arial" w:eastAsia="Arial" w:hAnsi="Arial" w:cs="Arial"/>
                <w:sz w:val="18"/>
                <w:szCs w:val="18"/>
              </w:rPr>
              <w:t>Mandatory</w:t>
            </w:r>
          </w:p>
        </w:tc>
      </w:tr>
      <w:tr w:rsidR="00154532" w:rsidRPr="00E77D78" w14:paraId="20CDFE5D" w14:textId="77777777" w:rsidTr="00E77D78">
        <w:tblPrEx>
          <w:tblCellMar>
            <w:top w:w="0" w:type="dxa"/>
            <w:bottom w:w="0" w:type="dxa"/>
          </w:tblCellMar>
        </w:tblPrEx>
        <w:tc>
          <w:tcPr>
            <w:tcW w:w="22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A48A50D" w14:textId="77777777" w:rsidR="00154532" w:rsidRPr="00E77D78" w:rsidRDefault="00000000">
            <w:r w:rsidRPr="00E77D78">
              <w:rPr>
                <w:rFonts w:ascii="Arial" w:eastAsia="Arial" w:hAnsi="Arial" w:cs="Arial"/>
                <w:sz w:val="18"/>
                <w:szCs w:val="18"/>
              </w:rPr>
              <w:t xml:space="preserve">Synthetic </w:t>
            </w:r>
            <w:proofErr w:type="spellStart"/>
            <w:r w:rsidRPr="00E77D78">
              <w:rPr>
                <w:rFonts w:ascii="Arial" w:eastAsia="Arial" w:hAnsi="Arial" w:cs="Arial"/>
                <w:sz w:val="18"/>
                <w:szCs w:val="18"/>
              </w:rPr>
              <w:t>colour</w:t>
            </w:r>
            <w:proofErr w:type="spellEnd"/>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FF0D10B" w14:textId="77777777" w:rsidR="00154532" w:rsidRPr="00E77D78" w:rsidRDefault="00000000">
            <w:r w:rsidRPr="00E77D78">
              <w:rPr>
                <w:rFonts w:ascii="Arial" w:eastAsia="Arial" w:hAnsi="Arial" w:cs="Arial"/>
                <w:sz w:val="18"/>
                <w:szCs w:val="18"/>
              </w:rPr>
              <w:t>Permissive list</w:t>
            </w:r>
          </w:p>
        </w:tc>
        <w:tc>
          <w:tcPr>
            <w:tcW w:w="12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4906D6F" w14:textId="77777777" w:rsidR="00154532" w:rsidRPr="00E77D78" w:rsidRDefault="00000000">
            <w:r w:rsidRPr="00E77D78">
              <w:rPr>
                <w:rFonts w:ascii="Arial" w:eastAsia="Arial" w:hAnsi="Arial" w:cs="Arial"/>
                <w:sz w:val="18"/>
                <w:szCs w:val="18"/>
              </w:rPr>
              <w:t xml:space="preserve">Certified </w:t>
            </w:r>
            <w:proofErr w:type="spellStart"/>
            <w:r w:rsidRPr="00E77D78">
              <w:rPr>
                <w:rFonts w:ascii="Arial" w:eastAsia="Arial" w:hAnsi="Arial" w:cs="Arial"/>
                <w:sz w:val="18"/>
                <w:szCs w:val="18"/>
              </w:rPr>
              <w:t>colours</w:t>
            </w:r>
            <w:proofErr w:type="spellEnd"/>
            <w:r w:rsidRPr="00E77D78">
              <w:rPr>
                <w:rFonts w:ascii="Arial" w:eastAsia="Arial" w:hAnsi="Arial" w:cs="Arial"/>
                <w:sz w:val="18"/>
                <w:szCs w:val="18"/>
              </w:rPr>
              <w:t xml:space="preserve"> only</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3C31E62" w14:textId="77777777" w:rsidR="00154532" w:rsidRPr="00E77D78" w:rsidRDefault="00000000">
            <w:r w:rsidRPr="00E77D78">
              <w:rPr>
                <w:rFonts w:ascii="Arial" w:eastAsia="Arial" w:hAnsi="Arial" w:cs="Arial"/>
                <w:sz w:val="18"/>
                <w:szCs w:val="18"/>
              </w:rPr>
              <w:t>Restricted, with warnings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F714E06" w14:textId="77777777" w:rsidR="00154532" w:rsidRPr="00E77D78" w:rsidRDefault="00000000">
            <w:r w:rsidRPr="00E77D78">
              <w:rPr>
                <w:rFonts w:ascii="Arial" w:eastAsia="Arial" w:hAnsi="Arial" w:cs="Arial"/>
                <w:sz w:val="18"/>
                <w:szCs w:val="18"/>
              </w:rPr>
              <w:t>Restricted list</w:t>
            </w:r>
          </w:p>
        </w:tc>
        <w:tc>
          <w:tcPr>
            <w:tcW w:w="17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8CB0D66" w14:textId="77777777" w:rsidR="00154532" w:rsidRPr="00E77D78" w:rsidRDefault="00000000">
            <w:r w:rsidRPr="00E77D78">
              <w:rPr>
                <w:rFonts w:ascii="Arial" w:eastAsia="Arial" w:hAnsi="Arial" w:cs="Arial"/>
                <w:sz w:val="18"/>
                <w:szCs w:val="18"/>
              </w:rPr>
              <w:t>Negative list</w:t>
            </w:r>
          </w:p>
        </w:tc>
      </w:tr>
    </w:tbl>
    <w:p w14:paraId="19A3F673" w14:textId="77777777" w:rsidR="00154532" w:rsidRDefault="00000000">
      <w:pPr>
        <w:spacing w:before="80" w:after="220"/>
        <w:jc w:val="center"/>
      </w:pPr>
      <w:r>
        <w:rPr>
          <w:i/>
          <w:iCs/>
          <w:color w:val="555555"/>
          <w:sz w:val="18"/>
          <w:szCs w:val="18"/>
        </w:rPr>
        <w:t>Table 1: Regulatory Comparison — Packaged Beverages across Five Jurisdictions</w:t>
      </w:r>
    </w:p>
    <w:p w14:paraId="42326A40" w14:textId="77777777" w:rsidR="00154532" w:rsidRDefault="00000000">
      <w:pPr>
        <w:pStyle w:val="Heading2"/>
      </w:pPr>
      <w:r>
        <w:t>4.2 Category B: Instant Noodles and Savory Snacks (India vs. UK/EU &amp; Japan)</w:t>
      </w:r>
    </w:p>
    <w:p w14:paraId="2322F63D" w14:textId="77777777" w:rsidR="00154532" w:rsidRDefault="00000000">
      <w:pPr>
        <w:spacing w:before="100" w:after="100" w:line="360" w:lineRule="auto"/>
        <w:jc w:val="both"/>
      </w:pPr>
      <w:r>
        <w:t xml:space="preserve">The 2015 Maggi recall was a watershed moment I followed closely — and that, as I noted in the Introduction, changed the way I thought about this entire subject. Nestlé India pulled 38,000 </w:t>
      </w:r>
      <w:proofErr w:type="spellStart"/>
      <w:r>
        <w:t>tonnes</w:t>
      </w:r>
      <w:proofErr w:type="spellEnd"/>
      <w:r>
        <w:t xml:space="preserve"> of product in what remains the largest food recall in Indian retail history. India is the world's second-largest instant noodle market by volume, with 6.7 billion servings consumed annually (WINA, 2023). The brand equity implications of that recall — sales dropped by an estimated ₹2,000 crore in a single quarter — are entirely consistent with Morgan and Hunt's (1994) trust theory: the moment consumers perceived that their trust had been violated, commitment to the brand collapsed rapidly.</w:t>
      </w:r>
    </w:p>
    <w:p w14:paraId="0F4D4599" w14:textId="77777777" w:rsidR="00154532" w:rsidRDefault="00000000">
      <w:pPr>
        <w:pStyle w:val="Heading3"/>
      </w:pPr>
      <w:r>
        <w:t>4.2.1 Fat Quality and the Palm Oil Default</w:t>
      </w:r>
    </w:p>
    <w:p w14:paraId="2273C458" w14:textId="77777777" w:rsidR="00154532" w:rsidRDefault="00000000">
      <w:pPr>
        <w:spacing w:before="100" w:after="100" w:line="360" w:lineRule="auto"/>
        <w:jc w:val="both"/>
      </w:pPr>
      <w:r>
        <w:t xml:space="preserve">Indian instant noodle formulations use palm oil as the primary frying medium — approximately 60–70% cheaper than sunflower oil with superior ambient-storage stability. The same brands' UK variants and German equivalents use rapeseed or sunflower oil, with saturated fat content of 7–10g per 100g versus 18–22g per 100g in palm-oil-fried Indian versions (Kumar &amp; Singhal, 2019). Japanese variants of the same brands use blended vegetable oil with trans-fat content below 0.3g per serving, while Indian formulations can reach 1.2–1.8g </w:t>
      </w:r>
      <w:proofErr w:type="spellStart"/>
      <w:r>
        <w:t>trans fat</w:t>
      </w:r>
      <w:proofErr w:type="spellEnd"/>
      <w:r>
        <w:t xml:space="preserve"> per serving (Ghosh &amp; Bhattacharyya, 2021).</w:t>
      </w:r>
    </w:p>
    <w:p w14:paraId="4E401B91" w14:textId="77777777" w:rsidR="00154532" w:rsidRDefault="00000000">
      <w:pPr>
        <w:pStyle w:val="Heading3"/>
      </w:pPr>
      <w:r>
        <w:t>4.2.2 Sodium Loading in Seasoning Sachets</w:t>
      </w:r>
    </w:p>
    <w:p w14:paraId="0C6E5AFA" w14:textId="77777777" w:rsidR="00154532" w:rsidRDefault="00000000">
      <w:pPr>
        <w:spacing w:before="100" w:after="100" w:line="360" w:lineRule="auto"/>
        <w:jc w:val="both"/>
      </w:pPr>
      <w:r>
        <w:t>A single serving of a leading Indian instant noodle brand contains 850–950 milligrams of sodium — roughly 42–47% of the WHO's recommended daily maximum — delivered in a meal frequently marketed to children. UK-market equivalents of the same brands have been reformulated to 600–680mg per serving, driven by the Food Standards Agency's traffic-light labelling system (Venugopal &amp; Sriram, 2022). Comparative audits of Lay's potato chips show 730–810mg sodium per 100g in Indian variants versus 550–620mg in UK variants. No equivalent front-of-pack reformulation signal exists in India.</w:t>
      </w:r>
    </w:p>
    <w:p w14:paraId="00A4DF5F" w14:textId="77777777" w:rsidR="00154532" w:rsidRDefault="00000000">
      <w:pPr>
        <w:pStyle w:val="Heading2"/>
      </w:pPr>
      <w:r>
        <w:t>4.3 Category C: Breakfast Cereals (India vs. Germany &amp; Australia)</w:t>
      </w:r>
    </w:p>
    <w:p w14:paraId="5019FBFA" w14:textId="77777777" w:rsidR="00154532" w:rsidRDefault="00000000">
      <w:pPr>
        <w:spacing w:before="100" w:after="100" w:line="360" w:lineRule="auto"/>
        <w:jc w:val="both"/>
      </w:pPr>
      <w:r>
        <w:t xml:space="preserve">I return to where I began — Kellogg's </w:t>
      </w:r>
      <w:proofErr w:type="spellStart"/>
      <w:r>
        <w:t>Chocos</w:t>
      </w:r>
      <w:proofErr w:type="spellEnd"/>
      <w:r>
        <w:t>. The 38-gram added sugar figure in the Indian variant is not an anomaly; it is representative of a category-wide pattern that, by the DQGI scores in Section 5, represents the most severe formulation differential across all eight categories. The Indian breakfast cereal market is among the fastest-growing CPG subcategories in the country (Euromonitor, 2023), with aggressive marketing to parents of school-age children — marketing that deploys Keller's (1993) brand associations of health and nourishment while delivering formulations that do not substantiate those associations.</w:t>
      </w:r>
    </w:p>
    <w:p w14:paraId="0FE49611" w14:textId="77777777" w:rsidR="00154532" w:rsidRDefault="00000000">
      <w:pPr>
        <w:pStyle w:val="Heading3"/>
      </w:pPr>
      <w:r>
        <w:t>4.3.1 The Sugar Architecture of Premium Variants</w:t>
      </w:r>
    </w:p>
    <w:p w14:paraId="4F5DCCDD" w14:textId="77777777" w:rsidR="00154532" w:rsidRDefault="00000000">
      <w:pPr>
        <w:spacing w:before="100" w:after="100" w:line="360" w:lineRule="auto"/>
        <w:jc w:val="both"/>
      </w:pPr>
      <w:r>
        <w:t xml:space="preserve">Kellogg's plain Corn Flakes in India contain approximately 8 grams of added sugar per 100 grams, comparable to developed-market equivalents. The premium and children's variants — </w:t>
      </w:r>
      <w:proofErr w:type="spellStart"/>
      <w:r>
        <w:t>Chocos</w:t>
      </w:r>
      <w:proofErr w:type="spellEnd"/>
      <w:r>
        <w:t xml:space="preserve">, Honey Crunch, Honey Loops — contain 35–38g per 100g. In Germany, the proposed </w:t>
      </w:r>
      <w:proofErr w:type="spellStart"/>
      <w:r>
        <w:t>Zuckersteuer</w:t>
      </w:r>
      <w:proofErr w:type="spellEnd"/>
      <w:r>
        <w:t xml:space="preserve"> framework would </w:t>
      </w:r>
      <w:proofErr w:type="spellStart"/>
      <w:r>
        <w:t>categorise</w:t>
      </w:r>
      <w:proofErr w:type="spellEnd"/>
      <w:r>
        <w:t xml:space="preserve"> such products as high-sugar at the 8g/100g threshold. Australia's Health Star Rating system assigns products above 20g sugar per 100g ratings of 0.5–1.5 stars, making them commercially uncompetitive. No equivalent regulatory or market-mediated reformulation pressure currently operates in India.</w:t>
      </w:r>
    </w:p>
    <w:p w14:paraId="5C890716" w14:textId="77777777" w:rsidR="00154532" w:rsidRDefault="00000000">
      <w:pPr>
        <w:pStyle w:val="Heading3"/>
      </w:pPr>
      <w:r>
        <w:t>4.3.2 Vitamin Fortification: Genuine Nutrition or Regulatory Compliance?</w:t>
      </w:r>
    </w:p>
    <w:p w14:paraId="0FE1B7CE" w14:textId="77777777" w:rsidR="00154532" w:rsidRDefault="00000000">
      <w:pPr>
        <w:spacing w:before="100" w:after="100" w:line="360" w:lineRule="auto"/>
        <w:jc w:val="both"/>
      </w:pPr>
      <w:r>
        <w:t xml:space="preserve">A practice I call 'fortification as cover' is prevalent in the Indian cereal market: products built on highly refined grain bases are dusted with synthetic vitamins to satisfy FSSAI's mandatory fortification standards, then carry 'Fortified with Vitamins A, B, C, D, and Iron' front-of-pack claims. German equivalents must demonstrate a minimum of 30% whole-grain content before any whole-grain health claim can be made, per EC Regulation No. 1924/2006. Australian FSANZ Standard 2.1.1 adds dietary </w:t>
      </w:r>
      <w:proofErr w:type="spellStart"/>
      <w:r>
        <w:t>fibre</w:t>
      </w:r>
      <w:proofErr w:type="spellEnd"/>
      <w:r>
        <w:t xml:space="preserve"> density requirements. The comparison is presented in Table 2.</w:t>
      </w:r>
    </w:p>
    <w:p w14:paraId="61550106" w14:textId="77777777" w:rsidR="00154532" w:rsidRDefault="00154532">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2200"/>
        <w:gridCol w:w="2200"/>
        <w:gridCol w:w="2200"/>
      </w:tblGrid>
      <w:tr w:rsidR="00154532" w:rsidRPr="00E77D78" w14:paraId="69BD2B69" w14:textId="77777777" w:rsidTr="00E77D78">
        <w:tblPrEx>
          <w:tblCellMar>
            <w:top w:w="0" w:type="dxa"/>
            <w:bottom w:w="0" w:type="dxa"/>
          </w:tblCellMar>
        </w:tblPrEx>
        <w:trPr>
          <w:tblHeader/>
        </w:trPr>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5151CF2" w14:textId="77777777" w:rsidR="00154532" w:rsidRPr="00E77D78" w:rsidRDefault="00000000">
            <w:r w:rsidRPr="00E77D78">
              <w:rPr>
                <w:rFonts w:ascii="Arial" w:eastAsia="Arial" w:hAnsi="Arial" w:cs="Arial"/>
                <w:b/>
                <w:bCs/>
                <w:sz w:val="18"/>
                <w:szCs w:val="18"/>
              </w:rPr>
              <w:t>Attribute</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6043A9E" w14:textId="77777777" w:rsidR="00154532" w:rsidRPr="00E77D78" w:rsidRDefault="00000000">
            <w:r w:rsidRPr="00E77D78">
              <w:rPr>
                <w:rFonts w:ascii="Arial" w:eastAsia="Arial" w:hAnsi="Arial" w:cs="Arial"/>
                <w:b/>
                <w:bCs/>
                <w:sz w:val="18"/>
                <w:szCs w:val="18"/>
              </w:rPr>
              <w:t>India (Kellogg's)</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B499CE9" w14:textId="77777777" w:rsidR="00154532" w:rsidRPr="00E77D78" w:rsidRDefault="00000000">
            <w:r w:rsidRPr="00E77D78">
              <w:rPr>
                <w:rFonts w:ascii="Arial" w:eastAsia="Arial" w:hAnsi="Arial" w:cs="Arial"/>
                <w:b/>
                <w:bCs/>
                <w:sz w:val="18"/>
                <w:szCs w:val="18"/>
              </w:rPr>
              <w:t>Germany (Kellogg's)</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215647E" w14:textId="77777777" w:rsidR="00154532" w:rsidRPr="00E77D78" w:rsidRDefault="00000000">
            <w:r w:rsidRPr="00E77D78">
              <w:rPr>
                <w:rFonts w:ascii="Arial" w:eastAsia="Arial" w:hAnsi="Arial" w:cs="Arial"/>
                <w:b/>
                <w:bCs/>
                <w:sz w:val="18"/>
                <w:szCs w:val="18"/>
              </w:rPr>
              <w:t>Australia (Kellogg's)</w:t>
            </w:r>
          </w:p>
        </w:tc>
      </w:tr>
      <w:tr w:rsidR="00154532" w:rsidRPr="00E77D78" w14:paraId="7EC68B82" w14:textId="77777777" w:rsidTr="00E77D78">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9373BBB" w14:textId="77777777" w:rsidR="00154532" w:rsidRPr="00E77D78" w:rsidRDefault="00000000">
            <w:r w:rsidRPr="00E77D78">
              <w:rPr>
                <w:rFonts w:ascii="Arial" w:eastAsia="Arial" w:hAnsi="Arial" w:cs="Arial"/>
                <w:sz w:val="18"/>
                <w:szCs w:val="18"/>
              </w:rPr>
              <w:t>Added sugar — premium variants per 100g</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6FB2D94" w14:textId="77777777" w:rsidR="00154532" w:rsidRPr="00E77D78" w:rsidRDefault="00000000">
            <w:r w:rsidRPr="00E77D78">
              <w:rPr>
                <w:rFonts w:ascii="Arial" w:eastAsia="Arial" w:hAnsi="Arial" w:cs="Arial"/>
                <w:sz w:val="18"/>
                <w:szCs w:val="18"/>
              </w:rPr>
              <w:t>35–38g</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D106CE5" w14:textId="77777777" w:rsidR="00154532" w:rsidRPr="00E77D78" w:rsidRDefault="00000000">
            <w:r w:rsidRPr="00E77D78">
              <w:rPr>
                <w:rFonts w:ascii="Arial" w:eastAsia="Arial" w:hAnsi="Arial" w:cs="Arial"/>
                <w:sz w:val="18"/>
                <w:szCs w:val="18"/>
              </w:rPr>
              <w:t>12–18g</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A2E56D9" w14:textId="77777777" w:rsidR="00154532" w:rsidRPr="00E77D78" w:rsidRDefault="00000000">
            <w:r w:rsidRPr="00E77D78">
              <w:rPr>
                <w:rFonts w:ascii="Arial" w:eastAsia="Arial" w:hAnsi="Arial" w:cs="Arial"/>
                <w:sz w:val="18"/>
                <w:szCs w:val="18"/>
              </w:rPr>
              <w:t>15–22g</w:t>
            </w:r>
          </w:p>
        </w:tc>
      </w:tr>
      <w:tr w:rsidR="00154532" w:rsidRPr="00E77D78" w14:paraId="7F03C6DD" w14:textId="77777777" w:rsidTr="00E77D78">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1E301C6" w14:textId="77777777" w:rsidR="00154532" w:rsidRPr="00E77D78" w:rsidRDefault="00000000">
            <w:r w:rsidRPr="00E77D78">
              <w:rPr>
                <w:rFonts w:ascii="Arial" w:eastAsia="Arial" w:hAnsi="Arial" w:cs="Arial"/>
                <w:sz w:val="18"/>
                <w:szCs w:val="18"/>
              </w:rPr>
              <w:t>Whole grain % declared</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CC7D309" w14:textId="77777777" w:rsidR="00154532" w:rsidRPr="00E77D78" w:rsidRDefault="00000000">
            <w:r w:rsidRPr="00E77D78">
              <w:rPr>
                <w:rFonts w:ascii="Arial" w:eastAsia="Arial" w:hAnsi="Arial" w:cs="Arial"/>
                <w:sz w:val="18"/>
                <w:szCs w:val="18"/>
              </w:rPr>
              <w:t>Often not declared</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8F7CC66" w14:textId="77777777" w:rsidR="00154532" w:rsidRPr="00E77D78" w:rsidRDefault="00000000">
            <w:r w:rsidRPr="00E77D78">
              <w:rPr>
                <w:rFonts w:ascii="Arial" w:eastAsia="Arial" w:hAnsi="Arial" w:cs="Arial"/>
                <w:sz w:val="18"/>
                <w:szCs w:val="18"/>
              </w:rPr>
              <w:t>Minimum 30% required</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5692D83" w14:textId="77777777" w:rsidR="00154532" w:rsidRPr="00E77D78" w:rsidRDefault="00000000">
            <w:r w:rsidRPr="00E77D78">
              <w:rPr>
                <w:rFonts w:ascii="Arial" w:eastAsia="Arial" w:hAnsi="Arial" w:cs="Arial"/>
                <w:sz w:val="18"/>
                <w:szCs w:val="18"/>
              </w:rPr>
              <w:t>30–51%</w:t>
            </w:r>
          </w:p>
        </w:tc>
      </w:tr>
      <w:tr w:rsidR="00154532" w:rsidRPr="00E77D78" w14:paraId="67AB68FA" w14:textId="77777777" w:rsidTr="00E77D78">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EF1090A" w14:textId="77777777" w:rsidR="00154532" w:rsidRPr="00E77D78" w:rsidRDefault="00000000">
            <w:r w:rsidRPr="00E77D78">
              <w:rPr>
                <w:rFonts w:ascii="Arial" w:eastAsia="Arial" w:hAnsi="Arial" w:cs="Arial"/>
                <w:sz w:val="18"/>
                <w:szCs w:val="18"/>
              </w:rPr>
              <w:t>Vitamin fortification basis</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FF4AF1C" w14:textId="77777777" w:rsidR="00154532" w:rsidRPr="00E77D78" w:rsidRDefault="00000000">
            <w:r w:rsidRPr="00E77D78">
              <w:rPr>
                <w:rFonts w:ascii="Arial" w:eastAsia="Arial" w:hAnsi="Arial" w:cs="Arial"/>
                <w:sz w:val="18"/>
                <w:szCs w:val="18"/>
              </w:rPr>
              <w:t>Synthetic only</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8EE7CEB" w14:textId="77777777" w:rsidR="00154532" w:rsidRPr="00E77D78" w:rsidRDefault="00000000">
            <w:r w:rsidRPr="00E77D78">
              <w:rPr>
                <w:rFonts w:ascii="Arial" w:eastAsia="Arial" w:hAnsi="Arial" w:cs="Arial"/>
                <w:sz w:val="18"/>
                <w:szCs w:val="18"/>
              </w:rPr>
              <w:t>Synthetic + natural sources</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03B229B" w14:textId="77777777" w:rsidR="00154532" w:rsidRPr="00E77D78" w:rsidRDefault="00000000">
            <w:r w:rsidRPr="00E77D78">
              <w:rPr>
                <w:rFonts w:ascii="Arial" w:eastAsia="Arial" w:hAnsi="Arial" w:cs="Arial"/>
                <w:sz w:val="18"/>
                <w:szCs w:val="18"/>
              </w:rPr>
              <w:t>Synthetic + whole grain</w:t>
            </w:r>
          </w:p>
        </w:tc>
      </w:tr>
      <w:tr w:rsidR="00154532" w:rsidRPr="00E77D78" w14:paraId="3C3BAD96" w14:textId="77777777" w:rsidTr="00E77D78">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5E72267" w14:textId="77777777" w:rsidR="00154532" w:rsidRPr="00E77D78" w:rsidRDefault="00000000">
            <w:r w:rsidRPr="00E77D78">
              <w:rPr>
                <w:rFonts w:ascii="Arial" w:eastAsia="Arial" w:hAnsi="Arial" w:cs="Arial"/>
                <w:sz w:val="18"/>
                <w:szCs w:val="18"/>
              </w:rPr>
              <w:t>Front-of-pack labelling system</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F1F8C40" w14:textId="77777777" w:rsidR="00154532" w:rsidRPr="00E77D78" w:rsidRDefault="00000000">
            <w:r w:rsidRPr="00E77D78">
              <w:rPr>
                <w:rFonts w:ascii="Arial" w:eastAsia="Arial" w:hAnsi="Arial" w:cs="Arial"/>
                <w:sz w:val="18"/>
                <w:szCs w:val="18"/>
              </w:rPr>
              <w:t>FSSAI nutrition table</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8547459" w14:textId="77777777" w:rsidR="00154532" w:rsidRPr="00E77D78" w:rsidRDefault="00000000">
            <w:proofErr w:type="spellStart"/>
            <w:r w:rsidRPr="00E77D78">
              <w:rPr>
                <w:rFonts w:ascii="Arial" w:eastAsia="Arial" w:hAnsi="Arial" w:cs="Arial"/>
                <w:sz w:val="18"/>
                <w:szCs w:val="18"/>
              </w:rPr>
              <w:t>NutriScore</w:t>
            </w:r>
            <w:proofErr w:type="spellEnd"/>
            <w:r w:rsidRPr="00E77D78">
              <w:rPr>
                <w:rFonts w:ascii="Arial" w:eastAsia="Arial" w:hAnsi="Arial" w:cs="Arial"/>
                <w:sz w:val="18"/>
                <w:szCs w:val="18"/>
              </w:rPr>
              <w:t xml:space="preserve"> (A–E scale)</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B007956" w14:textId="77777777" w:rsidR="00154532" w:rsidRPr="00E77D78" w:rsidRDefault="00000000">
            <w:r w:rsidRPr="00E77D78">
              <w:rPr>
                <w:rFonts w:ascii="Arial" w:eastAsia="Arial" w:hAnsi="Arial" w:cs="Arial"/>
                <w:sz w:val="18"/>
                <w:szCs w:val="18"/>
              </w:rPr>
              <w:t>Health Star Rating (0–5 stars)</w:t>
            </w:r>
          </w:p>
        </w:tc>
      </w:tr>
      <w:tr w:rsidR="00154532" w:rsidRPr="00E77D78" w14:paraId="5EB5900F" w14:textId="77777777" w:rsidTr="00E77D78">
        <w:tblPrEx>
          <w:tblCellMar>
            <w:top w:w="0" w:type="dxa"/>
            <w:bottom w:w="0" w:type="dxa"/>
          </w:tblCellMar>
        </w:tblPrEx>
        <w:tc>
          <w:tcPr>
            <w:tcW w:w="27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87F290F" w14:textId="77777777" w:rsidR="00154532" w:rsidRPr="00E77D78" w:rsidRDefault="00000000">
            <w:r w:rsidRPr="00E77D78">
              <w:rPr>
                <w:rFonts w:ascii="Arial" w:eastAsia="Arial" w:hAnsi="Arial" w:cs="Arial"/>
                <w:sz w:val="18"/>
                <w:szCs w:val="18"/>
              </w:rPr>
              <w:t>Sugar-reduction regulatory driver</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1570EED" w14:textId="77777777" w:rsidR="00154532" w:rsidRPr="00E77D78" w:rsidRDefault="00000000">
            <w:r w:rsidRPr="00E77D78">
              <w:rPr>
                <w:rFonts w:ascii="Arial" w:eastAsia="Arial" w:hAnsi="Arial" w:cs="Arial"/>
                <w:sz w:val="18"/>
                <w:szCs w:val="18"/>
              </w:rPr>
              <w:t>None currently</w:t>
            </w:r>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3E451D9" w14:textId="77777777" w:rsidR="00154532" w:rsidRPr="00E77D78" w:rsidRDefault="00000000">
            <w:r w:rsidRPr="00E77D78">
              <w:rPr>
                <w:rFonts w:ascii="Arial" w:eastAsia="Arial" w:hAnsi="Arial" w:cs="Arial"/>
                <w:sz w:val="18"/>
                <w:szCs w:val="18"/>
              </w:rPr>
              <w:t xml:space="preserve">Proposed </w:t>
            </w:r>
            <w:proofErr w:type="spellStart"/>
            <w:r w:rsidRPr="00E77D78">
              <w:rPr>
                <w:rFonts w:ascii="Arial" w:eastAsia="Arial" w:hAnsi="Arial" w:cs="Arial"/>
                <w:sz w:val="18"/>
                <w:szCs w:val="18"/>
              </w:rPr>
              <w:t>Zuckersteuer</w:t>
            </w:r>
            <w:proofErr w:type="spellEnd"/>
          </w:p>
        </w:tc>
        <w:tc>
          <w:tcPr>
            <w:tcW w:w="22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924AAB5" w14:textId="77777777" w:rsidR="00154532" w:rsidRPr="00E77D78" w:rsidRDefault="00000000">
            <w:r w:rsidRPr="00E77D78">
              <w:rPr>
                <w:rFonts w:ascii="Arial" w:eastAsia="Arial" w:hAnsi="Arial" w:cs="Arial"/>
                <w:sz w:val="18"/>
                <w:szCs w:val="18"/>
              </w:rPr>
              <w:t>HSR market penalty</w:t>
            </w:r>
          </w:p>
        </w:tc>
      </w:tr>
    </w:tbl>
    <w:p w14:paraId="76647307" w14:textId="77777777" w:rsidR="00154532" w:rsidRDefault="00000000">
      <w:pPr>
        <w:spacing w:before="80" w:after="220"/>
        <w:jc w:val="center"/>
      </w:pPr>
      <w:r>
        <w:rPr>
          <w:i/>
          <w:iCs/>
          <w:color w:val="555555"/>
          <w:sz w:val="18"/>
          <w:szCs w:val="18"/>
        </w:rPr>
        <w:t>Table 2: Breakfast Cereal Formulation Comparison — India, Germany, and Australia</w:t>
      </w:r>
    </w:p>
    <w:p w14:paraId="069DBCBF" w14:textId="77777777" w:rsidR="00154532" w:rsidRDefault="00000000">
      <w:pPr>
        <w:pStyle w:val="Heading2"/>
      </w:pPr>
      <w:r>
        <w:t>4.4 Category D: Dairy and Milk-Based Products (India vs. USA &amp; UK)</w:t>
      </w:r>
    </w:p>
    <w:p w14:paraId="6C5E9FC2" w14:textId="77777777" w:rsidR="00154532" w:rsidRDefault="00000000">
      <w:pPr>
        <w:spacing w:before="100" w:after="100" w:line="360" w:lineRule="auto"/>
        <w:jc w:val="both"/>
      </w:pPr>
      <w:r>
        <w:t xml:space="preserve">India's cooperative dairy sector — Amul, Mother Dairy, Nandini — represents genuine institutional excellence. The dual quality analysis focuses on the MNC segment, where </w:t>
      </w:r>
      <w:proofErr w:type="spellStart"/>
      <w:r>
        <w:t>flavoured</w:t>
      </w:r>
      <w:proofErr w:type="spellEnd"/>
      <w:r>
        <w:t xml:space="preserve"> milks, probiotic drinks, and growing-up formula tiers tell a different story.</w:t>
      </w:r>
    </w:p>
    <w:p w14:paraId="0523D469" w14:textId="77777777" w:rsidR="00154532" w:rsidRDefault="00000000">
      <w:pPr>
        <w:pStyle w:val="Heading3"/>
      </w:pPr>
      <w:r>
        <w:t>4.4.1 Recombined Milk and Vegetable Fat Substitution</w:t>
      </w:r>
    </w:p>
    <w:p w14:paraId="4A98683B" w14:textId="77777777" w:rsidR="00154532" w:rsidRDefault="00000000">
      <w:pPr>
        <w:spacing w:before="100" w:after="100" w:line="360" w:lineRule="auto"/>
        <w:jc w:val="both"/>
      </w:pPr>
      <w:proofErr w:type="spellStart"/>
      <w:r>
        <w:t>Flavoured</w:t>
      </w:r>
      <w:proofErr w:type="spellEnd"/>
      <w:r>
        <w:t xml:space="preserve"> milk products targeted at Indian children frequently employ 'recombined milk' — reconstituted from milk solids, vegetable fat, and water. UK compositional standards require a minimum 80% whole milk base and prohibit vegetable fat substitution without prominent front-of-pack declaration. In India, '</w:t>
      </w:r>
      <w:proofErr w:type="spellStart"/>
      <w:r>
        <w:t>flavoured</w:t>
      </w:r>
      <w:proofErr w:type="spellEnd"/>
      <w:r>
        <w:t xml:space="preserve"> milk drink' designations can encompass recombined milk products without any front-of-pack signal. Consumers in Hyderabad and London may be purchasing products with meaningfully different dairy bases under identical brand identities — a textbook case of brand equity (Keller, 1993) operating to insulate formulation debasement from consumer detection.</w:t>
      </w:r>
    </w:p>
    <w:p w14:paraId="53E38017" w14:textId="77777777" w:rsidR="00154532" w:rsidRDefault="00000000">
      <w:pPr>
        <w:pStyle w:val="Heading3"/>
      </w:pPr>
      <w:r>
        <w:t>4.4.2 Probiotic Claims: The Credence-Good Problem in Sharp Relief</w:t>
      </w:r>
    </w:p>
    <w:p w14:paraId="59B5D855" w14:textId="77777777" w:rsidR="00154532" w:rsidRDefault="00000000">
      <w:pPr>
        <w:spacing w:before="100" w:after="100" w:line="360" w:lineRule="auto"/>
        <w:jc w:val="both"/>
      </w:pPr>
      <w:r>
        <w:t>One positive outlier deserves acknowledgment: Yakult maintains bacterial culture concentrations — Lactobacillus casei Shirota at 6.5 billion per 65ml bottle — comparable to the Japanese originator formulation. This is how it should be done. The problem is secondary probiotic products carrying 'beneficial bacteria' or 'supports gut health' claims without specifying bacterial strain, viable count at point of consumption, or clinical substantiation. Under EU Regulation (EC) No. 1924/2006, such claims require pre-approval by EFSA on the basis of clinical evidence. FSSAI's current framework does not impose equivalent pre-approval requirements (Tripathi &amp; Gupta, 2022).</w:t>
      </w:r>
    </w:p>
    <w:p w14:paraId="303916E3" w14:textId="77777777" w:rsidR="00154532" w:rsidRDefault="00000000">
      <w:pPr>
        <w:pStyle w:val="Heading2"/>
      </w:pPr>
      <w:r>
        <w:t>4.5 Category E: Chocolate Confectionery (India vs. UK &amp; Switzerland)</w:t>
      </w:r>
    </w:p>
    <w:p w14:paraId="192FCC6C" w14:textId="77777777" w:rsidR="00154532" w:rsidRDefault="00000000">
      <w:pPr>
        <w:spacing w:before="100" w:after="100" w:line="360" w:lineRule="auto"/>
        <w:jc w:val="both"/>
      </w:pPr>
      <w:r>
        <w:t>Chocolate is the category where the dual quality differential is most immediately sensory — and one I can speak to with personal directness. My students who have received chocolate from relatives overseas frequently notice and comment on the melt-in-mouth difference between the same Cadbury bar in India versus the UK. Genuine chocolate — made with cocoa butter — has a characteristic melt profile and clean finish. Compound chocolate — made with palm kernel oil or cocoa butter equivalents — melts differently, often leaving a waxy residue. The labels reflect this when you read them carefully.</w:t>
      </w:r>
    </w:p>
    <w:p w14:paraId="59C2096C" w14:textId="77777777" w:rsidR="00154532" w:rsidRDefault="00000000">
      <w:pPr>
        <w:pStyle w:val="Heading3"/>
      </w:pPr>
      <w:r>
        <w:t>4.5.1 Cocoa Butter Equivalents and Regulatory Permissiveness</w:t>
      </w:r>
    </w:p>
    <w:p w14:paraId="03F06B4D" w14:textId="77777777" w:rsidR="00154532" w:rsidRDefault="00000000">
      <w:pPr>
        <w:spacing w:before="100" w:after="100" w:line="360" w:lineRule="auto"/>
        <w:jc w:val="both"/>
      </w:pPr>
      <w:r>
        <w:t xml:space="preserve">EU Chocolate Directive 2000/36/EC permits up to 5% vegetable fats as cocoa butter equivalents but mandates front-of-pack disclosure: 'contains vegetable fats in addition to cocoa butter.' Products exceeding this threshold must be labelled 'compound chocolate.' Laboratory analyses of Cadbury Dairy Milk India versus UK formulations indicate Indian variants at approximately 23–25% cocoa solids and UK variants at 26–28%, with the Indian variant employing a higher proportion of </w:t>
      </w:r>
      <w:proofErr w:type="spellStart"/>
      <w:r>
        <w:t>interesterified</w:t>
      </w:r>
      <w:proofErr w:type="spellEnd"/>
      <w:r>
        <w:t xml:space="preserve"> palm kernel fractions (Sharma &amp; Kapoor, 2021). The Swiss premium brand divergence is more dramatic still, with implications for flavanol content associated with cardiovascular benefits (Katz et al., 2011).</w:t>
      </w:r>
    </w:p>
    <w:p w14:paraId="39510E23" w14:textId="77777777" w:rsidR="00154532" w:rsidRDefault="00000000">
      <w:pPr>
        <w:pStyle w:val="Heading2"/>
      </w:pPr>
      <w:r>
        <w:t>4.6 Category F: Biscuits and Cookies (India vs. UK &amp; Germany)</w:t>
      </w:r>
    </w:p>
    <w:p w14:paraId="75983226" w14:textId="77777777" w:rsidR="00154532" w:rsidRDefault="00000000">
      <w:pPr>
        <w:spacing w:before="100" w:after="100" w:line="360" w:lineRule="auto"/>
        <w:jc w:val="both"/>
      </w:pPr>
      <w:r>
        <w:t xml:space="preserve">Biscuits are India's largest packaged food category by volume — 3.8 million metric </w:t>
      </w:r>
      <w:proofErr w:type="spellStart"/>
      <w:r>
        <w:t>tonnes</w:t>
      </w:r>
      <w:proofErr w:type="spellEnd"/>
      <w:r>
        <w:t xml:space="preserve"> annually (CII, 2023) — consumed at every income level from the ₹5 Parle-G to premium McVitie's variants. The category sits at the intersection of the Magic Price Point constraint and premium health positioning.</w:t>
      </w:r>
    </w:p>
    <w:p w14:paraId="6AC8C90C" w14:textId="77777777" w:rsidR="00154532" w:rsidRDefault="00000000">
      <w:pPr>
        <w:pStyle w:val="Heading3"/>
      </w:pPr>
      <w:r>
        <w:t>4.6.1 The Trans Fat Question</w:t>
      </w:r>
    </w:p>
    <w:p w14:paraId="33D5CB45" w14:textId="77777777" w:rsidR="00154532" w:rsidRDefault="00000000">
      <w:pPr>
        <w:spacing w:before="100" w:after="100" w:line="360" w:lineRule="auto"/>
        <w:jc w:val="both"/>
      </w:pPr>
      <w:r>
        <w:t xml:space="preserve">The US FDA declared partially hydrogenated vegetable oils not generally </w:t>
      </w:r>
      <w:proofErr w:type="spellStart"/>
      <w:r>
        <w:t>recognised</w:t>
      </w:r>
      <w:proofErr w:type="spellEnd"/>
      <w:r>
        <w:t xml:space="preserve"> as safe (GRAS) in 2015, effectively banning them by June 2018. The UK's FSA drove equivalent elimination by 2021. FSSAI set a 2% </w:t>
      </w:r>
      <w:proofErr w:type="spellStart"/>
      <w:r>
        <w:t>trans fat</w:t>
      </w:r>
      <w:proofErr w:type="spellEnd"/>
      <w:r>
        <w:t xml:space="preserve"> limit from 2022 — meaningful progress, but the CSE's (2022) laboratory analysis of Indian mass-market biscuit brands found </w:t>
      </w:r>
      <w:proofErr w:type="spellStart"/>
      <w:r>
        <w:t>trans fat</w:t>
      </w:r>
      <w:proofErr w:type="spellEnd"/>
      <w:r>
        <w:t xml:space="preserve"> content of 0.8–1.9g per 100g, compared to 0.0–0.3g in UK variants of the same brands following reformulation. For consumers who eat biscuits as a daily staple, this gap is not cosmetic.</w:t>
      </w:r>
    </w:p>
    <w:p w14:paraId="2BE3DDED" w14:textId="77777777" w:rsidR="00154532" w:rsidRDefault="00000000">
      <w:pPr>
        <w:pStyle w:val="Heading3"/>
      </w:pPr>
      <w:r>
        <w:t xml:space="preserve">4.6.2 Whole Grain Content and </w:t>
      </w:r>
      <w:proofErr w:type="spellStart"/>
      <w:r>
        <w:t>Fibre</w:t>
      </w:r>
      <w:proofErr w:type="spellEnd"/>
    </w:p>
    <w:p w14:paraId="5FC587FD" w14:textId="77777777" w:rsidR="00154532" w:rsidRDefault="00000000">
      <w:pPr>
        <w:spacing w:before="100" w:after="100" w:line="360" w:lineRule="auto"/>
        <w:jc w:val="both"/>
      </w:pPr>
      <w:r>
        <w:t xml:space="preserve">The UK McVitie's Digestive Biscuit contains approximately 28% whole wheat flour in its UK formulation, delivering 3.5g dietary </w:t>
      </w:r>
      <w:proofErr w:type="spellStart"/>
      <w:r>
        <w:t>fibre</w:t>
      </w:r>
      <w:proofErr w:type="spellEnd"/>
      <w:r>
        <w:t xml:space="preserve"> per serving. The Indian-market equivalent contains approximately 18–20% whole wheat, delivering 1.8–2.1g dietary </w:t>
      </w:r>
      <w:proofErr w:type="spellStart"/>
      <w:r>
        <w:t>fibre</w:t>
      </w:r>
      <w:proofErr w:type="spellEnd"/>
      <w:r>
        <w:t xml:space="preserve">. The German Leibniz </w:t>
      </w:r>
      <w:proofErr w:type="spellStart"/>
      <w:r>
        <w:t>Vollkorn</w:t>
      </w:r>
      <w:proofErr w:type="spellEnd"/>
      <w:r>
        <w:t xml:space="preserve"> designation requires a minimum 50% whole grain content per German DIN standards — roughly two-and-a-half times the effective whole-grain content of most Indian 'whole wheat' biscuits (Misra et al., 2011).</w:t>
      </w:r>
    </w:p>
    <w:p w14:paraId="6417ACC2" w14:textId="77777777" w:rsidR="00E77D78" w:rsidRDefault="00E77D78">
      <w:pPr>
        <w:spacing w:before="100" w:after="100" w:line="360" w:lineRule="auto"/>
        <w:jc w:val="both"/>
      </w:pPr>
    </w:p>
    <w:p w14:paraId="1774D706" w14:textId="77777777" w:rsidR="00E77D78" w:rsidRDefault="00E77D78">
      <w:pPr>
        <w:spacing w:before="100" w:after="100" w:line="360" w:lineRule="auto"/>
        <w:jc w:val="both"/>
      </w:pPr>
    </w:p>
    <w:p w14:paraId="09EE2696" w14:textId="77777777" w:rsidR="00E77D78" w:rsidRDefault="00E77D78">
      <w:pPr>
        <w:spacing w:before="100" w:after="100" w:line="360" w:lineRule="auto"/>
        <w:jc w:val="both"/>
      </w:pPr>
    </w:p>
    <w:p w14:paraId="37FEEC46" w14:textId="77777777" w:rsidR="00154532" w:rsidRDefault="00000000">
      <w:pPr>
        <w:pStyle w:val="Heading2"/>
      </w:pPr>
      <w:r>
        <w:t>4.7 Category G: Cooking Oils (India vs. EU &amp; Australia)</w:t>
      </w:r>
    </w:p>
    <w:p w14:paraId="49BAFA78" w14:textId="77777777" w:rsidR="00154532" w:rsidRDefault="00000000">
      <w:pPr>
        <w:spacing w:before="100" w:after="100" w:line="360" w:lineRule="auto"/>
        <w:jc w:val="both"/>
      </w:pPr>
      <w:r>
        <w:t>Cooking oils represent a specific form of dual quality: not formulation debasement per se, but health claim inflation — the deployment of unsubstantiated nutritional claims under marketing conditions where substantiation is neither required nor enforced.</w:t>
      </w:r>
    </w:p>
    <w:p w14:paraId="25279A8C" w14:textId="77777777" w:rsidR="00154532" w:rsidRDefault="00000000">
      <w:pPr>
        <w:pStyle w:val="Heading3"/>
      </w:pPr>
      <w:r>
        <w:t>4.7.1 Blended Oil Marketing and the Health Claim Gap</w:t>
      </w:r>
    </w:p>
    <w:p w14:paraId="7B60B53D" w14:textId="77777777" w:rsidR="00154532" w:rsidRDefault="00000000">
      <w:pPr>
        <w:spacing w:before="100" w:after="100" w:line="360" w:lineRule="auto"/>
        <w:jc w:val="both"/>
      </w:pPr>
      <w:r>
        <w:t>A significant and growing segment of Indian branded cooking oil is sold as 'blended oil' — typically a combination of refined palm oil, soybean oil, and a premium-positioned oil such as rice bran or mustard. Marketing routinely deploys omega-3, 'heart-healthy,' and MUFA/PUFA ratio claims. Under EU Regulation (EC) No. 1924/2006, such claims require pre-approved EFSA substantiation. Under Australian FSANZ Standard 1.2.7, equivalent requirements apply. FSSAI's draft 2022 health and nutrition claims regulations impose less stringent evidential requirements. The result is a market where a product with a primary base of cheap refined palm oil can be marketed as 'omega-3 enriched' and 'promotes heart health' — claims that would fail regulatory scrutiny in developed markets. In Keller's (1993) terms, this is brand image inflation: promising associations that the product cannot substantiate.</w:t>
      </w:r>
    </w:p>
    <w:p w14:paraId="4815D0D5" w14:textId="77777777" w:rsidR="00154532" w:rsidRDefault="00000000">
      <w:pPr>
        <w:pStyle w:val="Heading2"/>
      </w:pPr>
      <w:r>
        <w:t>4.8 Category H: Baby and Infant Nutrition (India vs. USA, UK &amp; Germany)</w:t>
      </w:r>
    </w:p>
    <w:p w14:paraId="07F955F9" w14:textId="77777777" w:rsidR="00154532" w:rsidRDefault="00000000">
      <w:pPr>
        <w:spacing w:before="100" w:after="100" w:line="360" w:lineRule="auto"/>
        <w:jc w:val="both"/>
      </w:pPr>
      <w:r>
        <w:t xml:space="preserve">Of all eight categories, infant nutrition carries the highest ethical stakes. The target consumer — an infant in the first months of life — is entirely dependent on caregiver choice and entirely incapable of </w:t>
      </w:r>
      <w:proofErr w:type="spellStart"/>
      <w:r>
        <w:t>signalling</w:t>
      </w:r>
      <w:proofErr w:type="spellEnd"/>
      <w:r>
        <w:t xml:space="preserve"> dissatisfaction with nutritional quality. The developmental consequences of suboptimal infant nutrition are long-term </w:t>
      </w:r>
      <w:proofErr w:type="gramStart"/>
      <w:r>
        <w:t>and in many respects</w:t>
      </w:r>
      <w:proofErr w:type="gramEnd"/>
      <w:r>
        <w:t xml:space="preserve"> irreversible.</w:t>
      </w:r>
    </w:p>
    <w:p w14:paraId="0363D5BA" w14:textId="77777777" w:rsidR="00154532" w:rsidRDefault="00000000">
      <w:pPr>
        <w:pStyle w:val="Heading3"/>
      </w:pPr>
      <w:r>
        <w:t>4.8.1 Infant Formula Composition and the WHO Code</w:t>
      </w:r>
    </w:p>
    <w:p w14:paraId="280AF0C0" w14:textId="77777777" w:rsidR="00154532" w:rsidRDefault="00000000">
      <w:pPr>
        <w:spacing w:before="100" w:after="100" w:line="360" w:lineRule="auto"/>
        <w:jc w:val="both"/>
      </w:pPr>
      <w:r>
        <w:t>A landmark 2023 BMJ investigation by Jacobs and Shankar found that Nestlé's infant formula products marketed in several Asian markets contained higher added sugar levels than identical products sold in UK and German markets, in apparent contravention of WHO Code provisions. India's Infant Milk Substitutes Act (2003) addresses marketing conduct but provides less comprehensive compositional standards than the EU's Commission Delegated Regulation 2016/127, which prohibits added sugars in all forms — sucrose, fructose, glucose syrup — in products for infants under 12 months. Germany enforces this rigorously. India's framework creates regulatory space for formulations that would be impermissible in Frankfurt or Washington.</w:t>
      </w:r>
    </w:p>
    <w:p w14:paraId="46C2C7B9" w14:textId="77777777" w:rsidR="00154532" w:rsidRDefault="00000000">
      <w:pPr>
        <w:spacing w:before="100" w:after="100" w:line="360" w:lineRule="auto"/>
        <w:jc w:val="both"/>
      </w:pPr>
      <w:r>
        <w:t>The cross-category summary of dual quality differentials across all eight categories is presented in Table 3.</w:t>
      </w:r>
    </w:p>
    <w:p w14:paraId="3974D31B" w14:textId="77777777" w:rsidR="00154532" w:rsidRDefault="00154532">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0"/>
        <w:gridCol w:w="2900"/>
        <w:gridCol w:w="1620"/>
        <w:gridCol w:w="3160"/>
      </w:tblGrid>
      <w:tr w:rsidR="00154532" w:rsidRPr="00E77D78" w14:paraId="0F742DDA" w14:textId="77777777" w:rsidTr="00E77D78">
        <w:tblPrEx>
          <w:tblCellMar>
            <w:top w:w="0" w:type="dxa"/>
            <w:bottom w:w="0" w:type="dxa"/>
          </w:tblCellMar>
        </w:tblPrEx>
        <w:trPr>
          <w:tblHeader/>
        </w:trPr>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1D396E9" w14:textId="77777777" w:rsidR="00154532" w:rsidRPr="00E77D78" w:rsidRDefault="00000000">
            <w:r w:rsidRPr="00E77D78">
              <w:rPr>
                <w:rFonts w:ascii="Arial" w:eastAsia="Arial" w:hAnsi="Arial" w:cs="Arial"/>
                <w:b/>
                <w:bCs/>
                <w:sz w:val="18"/>
                <w:szCs w:val="18"/>
              </w:rPr>
              <w:t>Category</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D515C42" w14:textId="77777777" w:rsidR="00154532" w:rsidRPr="00E77D78" w:rsidRDefault="00000000">
            <w:r w:rsidRPr="00E77D78">
              <w:rPr>
                <w:rFonts w:ascii="Arial" w:eastAsia="Arial" w:hAnsi="Arial" w:cs="Arial"/>
                <w:b/>
                <w:bCs/>
                <w:sz w:val="18"/>
                <w:szCs w:val="18"/>
              </w:rPr>
              <w:t>Key Disparity (India vs. Developed Market)</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54D343A" w14:textId="77777777" w:rsidR="00154532" w:rsidRPr="00E77D78" w:rsidRDefault="00000000">
            <w:r w:rsidRPr="00E77D78">
              <w:rPr>
                <w:rFonts w:ascii="Arial" w:eastAsia="Arial" w:hAnsi="Arial" w:cs="Arial"/>
                <w:b/>
                <w:bCs/>
                <w:sz w:val="18"/>
                <w:szCs w:val="18"/>
              </w:rPr>
              <w:t>Reference Market</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DD9969F" w14:textId="77777777" w:rsidR="00154532" w:rsidRPr="00E77D78" w:rsidRDefault="00000000">
            <w:r w:rsidRPr="00E77D78">
              <w:rPr>
                <w:rFonts w:ascii="Arial" w:eastAsia="Arial" w:hAnsi="Arial" w:cs="Arial"/>
                <w:b/>
                <w:bCs/>
                <w:sz w:val="18"/>
                <w:szCs w:val="18"/>
              </w:rPr>
              <w:t>Primary Regulatory Driver</w:t>
            </w:r>
          </w:p>
        </w:tc>
      </w:tr>
      <w:tr w:rsidR="00154532" w:rsidRPr="00E77D78" w14:paraId="22DBABD0"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70FC0BC" w14:textId="77777777" w:rsidR="00154532" w:rsidRPr="00E77D78" w:rsidRDefault="00000000">
            <w:r w:rsidRPr="00E77D78">
              <w:rPr>
                <w:rFonts w:ascii="Arial" w:eastAsia="Arial" w:hAnsi="Arial" w:cs="Arial"/>
                <w:sz w:val="18"/>
                <w:szCs w:val="18"/>
              </w:rPr>
              <w:t>A. Beverages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261E382" w14:textId="77777777" w:rsidR="00154532" w:rsidRPr="00E77D78" w:rsidRDefault="00000000">
            <w:r w:rsidRPr="00E77D78">
              <w:rPr>
                <w:rFonts w:ascii="Arial" w:eastAsia="Arial" w:hAnsi="Arial" w:cs="Arial"/>
                <w:sz w:val="18"/>
                <w:szCs w:val="18"/>
              </w:rPr>
              <w:t>Higher sugar 10–14%; label compliance 50–80% vs &gt;95%</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061CBC3" w14:textId="77777777" w:rsidR="00154532" w:rsidRPr="00E77D78" w:rsidRDefault="00000000">
            <w:r w:rsidRPr="00E77D78">
              <w:rPr>
                <w:rFonts w:ascii="Arial" w:eastAsia="Arial" w:hAnsi="Arial" w:cs="Arial"/>
                <w:sz w:val="18"/>
                <w:szCs w:val="18"/>
              </w:rPr>
              <w:t>USA / EU</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2D2FA5D" w14:textId="77777777" w:rsidR="00154532" w:rsidRPr="00E77D78" w:rsidRDefault="00000000">
            <w:r w:rsidRPr="00E77D78">
              <w:rPr>
                <w:rFonts w:ascii="Arial" w:eastAsia="Arial" w:hAnsi="Arial" w:cs="Arial"/>
                <w:sz w:val="18"/>
                <w:szCs w:val="18"/>
              </w:rPr>
              <w:t>FDA added sugar rules; UK Sugar Levy</w:t>
            </w:r>
          </w:p>
        </w:tc>
      </w:tr>
      <w:tr w:rsidR="00154532" w:rsidRPr="00E77D78" w14:paraId="6C9DD34A"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05AFEF0" w14:textId="77777777" w:rsidR="00154532" w:rsidRPr="00E77D78" w:rsidRDefault="00000000">
            <w:r w:rsidRPr="00E77D78">
              <w:rPr>
                <w:rFonts w:ascii="Arial" w:eastAsia="Arial" w:hAnsi="Arial" w:cs="Arial"/>
                <w:sz w:val="18"/>
                <w:szCs w:val="18"/>
              </w:rPr>
              <w:t>B. Instant Noodles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DF315C1" w14:textId="77777777" w:rsidR="00154532" w:rsidRPr="00E77D78" w:rsidRDefault="00000000">
            <w:r w:rsidRPr="00E77D78">
              <w:rPr>
                <w:rFonts w:ascii="Arial" w:eastAsia="Arial" w:hAnsi="Arial" w:cs="Arial"/>
                <w:sz w:val="18"/>
                <w:szCs w:val="18"/>
              </w:rPr>
              <w:t>Palm oil: 18–22g sat fat vs rapeseed 7–10g; Na +30%</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1965B6B" w14:textId="77777777" w:rsidR="00154532" w:rsidRPr="00E77D78" w:rsidRDefault="00000000">
            <w:r w:rsidRPr="00E77D78">
              <w:rPr>
                <w:rFonts w:ascii="Arial" w:eastAsia="Arial" w:hAnsi="Arial" w:cs="Arial"/>
                <w:sz w:val="18"/>
                <w:szCs w:val="18"/>
              </w:rPr>
              <w:t>UK / Japan</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03DC43A" w14:textId="77777777" w:rsidR="00154532" w:rsidRPr="00E77D78" w:rsidRDefault="00000000">
            <w:r w:rsidRPr="00E77D78">
              <w:rPr>
                <w:rFonts w:ascii="Arial" w:eastAsia="Arial" w:hAnsi="Arial" w:cs="Arial"/>
                <w:sz w:val="18"/>
                <w:szCs w:val="18"/>
              </w:rPr>
              <w:t>UK FSA traffic light; Japan MHLW</w:t>
            </w:r>
          </w:p>
        </w:tc>
      </w:tr>
      <w:tr w:rsidR="00154532" w:rsidRPr="00E77D78" w14:paraId="107CEFB6"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DBF9F23" w14:textId="77777777" w:rsidR="00154532" w:rsidRPr="00E77D78" w:rsidRDefault="00000000">
            <w:r w:rsidRPr="00E77D78">
              <w:rPr>
                <w:rFonts w:ascii="Arial" w:eastAsia="Arial" w:hAnsi="Arial" w:cs="Arial"/>
                <w:sz w:val="18"/>
                <w:szCs w:val="18"/>
              </w:rPr>
              <w:t>C. Breakfast Cereals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B48F93A" w14:textId="77777777" w:rsidR="00154532" w:rsidRPr="00E77D78" w:rsidRDefault="00000000">
            <w:r w:rsidRPr="00E77D78">
              <w:rPr>
                <w:rFonts w:ascii="Arial" w:eastAsia="Arial" w:hAnsi="Arial" w:cs="Arial"/>
                <w:sz w:val="18"/>
                <w:szCs w:val="18"/>
              </w:rPr>
              <w:t>35–38g vs 12–18g added sugar in premium variants</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98DF51E" w14:textId="77777777" w:rsidR="00154532" w:rsidRPr="00E77D78" w:rsidRDefault="00000000">
            <w:r w:rsidRPr="00E77D78">
              <w:rPr>
                <w:rFonts w:ascii="Arial" w:eastAsia="Arial" w:hAnsi="Arial" w:cs="Arial"/>
                <w:sz w:val="18"/>
                <w:szCs w:val="18"/>
              </w:rPr>
              <w:t>Germany / Australia</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60171F0" w14:textId="77777777" w:rsidR="00154532" w:rsidRPr="00E77D78" w:rsidRDefault="00000000">
            <w:r w:rsidRPr="00E77D78">
              <w:rPr>
                <w:rFonts w:ascii="Arial" w:eastAsia="Arial" w:hAnsi="Arial" w:cs="Arial"/>
                <w:sz w:val="18"/>
                <w:szCs w:val="18"/>
              </w:rPr>
              <w:t>EU Nutrition Claims Reg.; Australian HSR</w:t>
            </w:r>
          </w:p>
        </w:tc>
      </w:tr>
      <w:tr w:rsidR="00154532" w:rsidRPr="00E77D78" w14:paraId="420A5368"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404E5B2" w14:textId="77777777" w:rsidR="00154532" w:rsidRPr="00E77D78" w:rsidRDefault="00000000">
            <w:r w:rsidRPr="00E77D78">
              <w:rPr>
                <w:rFonts w:ascii="Arial" w:eastAsia="Arial" w:hAnsi="Arial" w:cs="Arial"/>
                <w:sz w:val="18"/>
                <w:szCs w:val="18"/>
              </w:rPr>
              <w:t>D. Dairy Products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AECA990" w14:textId="77777777" w:rsidR="00154532" w:rsidRPr="00E77D78" w:rsidRDefault="00000000">
            <w:r w:rsidRPr="00E77D78">
              <w:rPr>
                <w:rFonts w:ascii="Arial" w:eastAsia="Arial" w:hAnsi="Arial" w:cs="Arial"/>
                <w:sz w:val="18"/>
                <w:szCs w:val="18"/>
              </w:rPr>
              <w:t>Vegetable fat in base; unspecified probiotic strains</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431F998" w14:textId="77777777" w:rsidR="00154532" w:rsidRPr="00E77D78" w:rsidRDefault="00000000">
            <w:r w:rsidRPr="00E77D78">
              <w:rPr>
                <w:rFonts w:ascii="Arial" w:eastAsia="Arial" w:hAnsi="Arial" w:cs="Arial"/>
                <w:sz w:val="18"/>
                <w:szCs w:val="18"/>
              </w:rPr>
              <w:t>UK / EU</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C40EE7F" w14:textId="77777777" w:rsidR="00154532" w:rsidRPr="00E77D78" w:rsidRDefault="00000000">
            <w:r w:rsidRPr="00E77D78">
              <w:rPr>
                <w:rFonts w:ascii="Arial" w:eastAsia="Arial" w:hAnsi="Arial" w:cs="Arial"/>
                <w:sz w:val="18"/>
                <w:szCs w:val="18"/>
              </w:rPr>
              <w:t>EU Reg. 1924/2006; UK Dairy Drink standard</w:t>
            </w:r>
          </w:p>
        </w:tc>
      </w:tr>
      <w:tr w:rsidR="00154532" w:rsidRPr="00E77D78" w14:paraId="1F190E29"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12E8B62" w14:textId="77777777" w:rsidR="00154532" w:rsidRPr="00E77D78" w:rsidRDefault="00000000">
            <w:r w:rsidRPr="00E77D78">
              <w:rPr>
                <w:rFonts w:ascii="Arial" w:eastAsia="Arial" w:hAnsi="Arial" w:cs="Arial"/>
                <w:sz w:val="18"/>
                <w:szCs w:val="18"/>
              </w:rPr>
              <w:t>E. Chocolate</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1A5F6D6" w14:textId="77777777" w:rsidR="00154532" w:rsidRPr="00E77D78" w:rsidRDefault="00000000">
            <w:r w:rsidRPr="00E77D78">
              <w:rPr>
                <w:rFonts w:ascii="Arial" w:eastAsia="Arial" w:hAnsi="Arial" w:cs="Arial"/>
                <w:sz w:val="18"/>
                <w:szCs w:val="18"/>
              </w:rPr>
              <w:t>Cocoa solids 23–25% vs 26–28%; higher CBE use</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6FB271E" w14:textId="77777777" w:rsidR="00154532" w:rsidRPr="00E77D78" w:rsidRDefault="00000000">
            <w:r w:rsidRPr="00E77D78">
              <w:rPr>
                <w:rFonts w:ascii="Arial" w:eastAsia="Arial" w:hAnsi="Arial" w:cs="Arial"/>
                <w:sz w:val="18"/>
                <w:szCs w:val="18"/>
              </w:rPr>
              <w:t>UK / Switzerland</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C18664B" w14:textId="77777777" w:rsidR="00154532" w:rsidRPr="00E77D78" w:rsidRDefault="00000000">
            <w:r w:rsidRPr="00E77D78">
              <w:rPr>
                <w:rFonts w:ascii="Arial" w:eastAsia="Arial" w:hAnsi="Arial" w:cs="Arial"/>
                <w:sz w:val="18"/>
                <w:szCs w:val="18"/>
              </w:rPr>
              <w:t>EU Chocolate Directive 2000/36/EC</w:t>
            </w:r>
          </w:p>
        </w:tc>
      </w:tr>
      <w:tr w:rsidR="00154532" w:rsidRPr="00E77D78" w14:paraId="5F977900"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F40F63D" w14:textId="77777777" w:rsidR="00154532" w:rsidRPr="00E77D78" w:rsidRDefault="00000000">
            <w:r w:rsidRPr="00E77D78">
              <w:rPr>
                <w:rFonts w:ascii="Arial" w:eastAsia="Arial" w:hAnsi="Arial" w:cs="Arial"/>
                <w:sz w:val="18"/>
                <w:szCs w:val="18"/>
              </w:rPr>
              <w:t>F. Biscuits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A33569B" w14:textId="77777777" w:rsidR="00154532" w:rsidRPr="00E77D78" w:rsidRDefault="00000000">
            <w:r w:rsidRPr="00E77D78">
              <w:rPr>
                <w:rFonts w:ascii="Arial" w:eastAsia="Arial" w:hAnsi="Arial" w:cs="Arial"/>
                <w:sz w:val="18"/>
                <w:szCs w:val="18"/>
              </w:rPr>
              <w:t>Trans fat 0.8–1.9g vs 0.0–0.3g; lower whole grain</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E8E46FC" w14:textId="77777777" w:rsidR="00154532" w:rsidRPr="00E77D78" w:rsidRDefault="00000000">
            <w:r w:rsidRPr="00E77D78">
              <w:rPr>
                <w:rFonts w:ascii="Arial" w:eastAsia="Arial" w:hAnsi="Arial" w:cs="Arial"/>
                <w:sz w:val="18"/>
                <w:szCs w:val="18"/>
              </w:rPr>
              <w:t>UK / Germany</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34600BE" w14:textId="77777777" w:rsidR="00154532" w:rsidRPr="00E77D78" w:rsidRDefault="00000000">
            <w:r w:rsidRPr="00E77D78">
              <w:rPr>
                <w:rFonts w:ascii="Arial" w:eastAsia="Arial" w:hAnsi="Arial" w:cs="Arial"/>
                <w:sz w:val="18"/>
                <w:szCs w:val="18"/>
              </w:rPr>
              <w:t>US FDA GRAS ruling; UK FSA voluntary</w:t>
            </w:r>
          </w:p>
        </w:tc>
      </w:tr>
      <w:tr w:rsidR="00154532" w:rsidRPr="00E77D78" w14:paraId="5FD715FB"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109D821" w14:textId="77777777" w:rsidR="00154532" w:rsidRPr="00E77D78" w:rsidRDefault="00000000">
            <w:r w:rsidRPr="00E77D78">
              <w:rPr>
                <w:rFonts w:ascii="Arial" w:eastAsia="Arial" w:hAnsi="Arial" w:cs="Arial"/>
                <w:sz w:val="18"/>
                <w:szCs w:val="18"/>
              </w:rPr>
              <w:t>G. Cooking Oils</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1B54FBF" w14:textId="77777777" w:rsidR="00154532" w:rsidRPr="00E77D78" w:rsidRDefault="00000000">
            <w:r w:rsidRPr="00E77D78">
              <w:rPr>
                <w:rFonts w:ascii="Arial" w:eastAsia="Arial" w:hAnsi="Arial" w:cs="Arial"/>
                <w:sz w:val="18"/>
                <w:szCs w:val="18"/>
              </w:rPr>
              <w:t>Unsubstantiated omega-3 and heart-health claims</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3C0F920" w14:textId="77777777" w:rsidR="00154532" w:rsidRPr="00E77D78" w:rsidRDefault="00000000">
            <w:r w:rsidRPr="00E77D78">
              <w:rPr>
                <w:rFonts w:ascii="Arial" w:eastAsia="Arial" w:hAnsi="Arial" w:cs="Arial"/>
                <w:sz w:val="18"/>
                <w:szCs w:val="18"/>
              </w:rPr>
              <w:t>EU / Australia</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D2216F2" w14:textId="77777777" w:rsidR="00154532" w:rsidRPr="00E77D78" w:rsidRDefault="00000000">
            <w:r w:rsidRPr="00E77D78">
              <w:rPr>
                <w:rFonts w:ascii="Arial" w:eastAsia="Arial" w:hAnsi="Arial" w:cs="Arial"/>
                <w:sz w:val="18"/>
                <w:szCs w:val="18"/>
              </w:rPr>
              <w:t>EU Reg. 1924/2006; FSANZ Standard 1.2.7</w:t>
            </w:r>
          </w:p>
        </w:tc>
      </w:tr>
      <w:tr w:rsidR="00154532" w:rsidRPr="00E77D78" w14:paraId="274E42E3" w14:textId="77777777" w:rsidTr="00E77D78">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97336BE" w14:textId="77777777" w:rsidR="00154532" w:rsidRPr="00E77D78" w:rsidRDefault="00000000">
            <w:r w:rsidRPr="00E77D78">
              <w:rPr>
                <w:rFonts w:ascii="Arial" w:eastAsia="Arial" w:hAnsi="Arial" w:cs="Arial"/>
                <w:sz w:val="18"/>
                <w:szCs w:val="18"/>
              </w:rPr>
              <w:t>H. Infant Nutrition</w:t>
            </w:r>
          </w:p>
        </w:tc>
        <w:tc>
          <w:tcPr>
            <w:tcW w:w="29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407FAD4" w14:textId="77777777" w:rsidR="00154532" w:rsidRPr="00E77D78" w:rsidRDefault="00000000">
            <w:r w:rsidRPr="00E77D78">
              <w:rPr>
                <w:rFonts w:ascii="Arial" w:eastAsia="Arial" w:hAnsi="Arial" w:cs="Arial"/>
                <w:sz w:val="18"/>
                <w:szCs w:val="18"/>
              </w:rPr>
              <w:t>Higher added sugar; weaker compositional standards</w:t>
            </w:r>
          </w:p>
        </w:tc>
        <w:tc>
          <w:tcPr>
            <w:tcW w:w="162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12E6EC2" w14:textId="77777777" w:rsidR="00154532" w:rsidRPr="00E77D78" w:rsidRDefault="00000000">
            <w:r w:rsidRPr="00E77D78">
              <w:rPr>
                <w:rFonts w:ascii="Arial" w:eastAsia="Arial" w:hAnsi="Arial" w:cs="Arial"/>
                <w:sz w:val="18"/>
                <w:szCs w:val="18"/>
              </w:rPr>
              <w:t>Germany / USA</w:t>
            </w:r>
          </w:p>
        </w:tc>
        <w:tc>
          <w:tcPr>
            <w:tcW w:w="316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D5BD6DA" w14:textId="77777777" w:rsidR="00154532" w:rsidRPr="00E77D78" w:rsidRDefault="00000000">
            <w:r w:rsidRPr="00E77D78">
              <w:rPr>
                <w:rFonts w:ascii="Arial" w:eastAsia="Arial" w:hAnsi="Arial" w:cs="Arial"/>
                <w:sz w:val="18"/>
                <w:szCs w:val="18"/>
              </w:rPr>
              <w:t>EU Delegated Reg. 2016/127; WHO Code</w:t>
            </w:r>
          </w:p>
        </w:tc>
      </w:tr>
    </w:tbl>
    <w:p w14:paraId="0068C234" w14:textId="77777777" w:rsidR="00154532" w:rsidRDefault="00000000">
      <w:pPr>
        <w:spacing w:before="80" w:after="220"/>
        <w:jc w:val="center"/>
      </w:pPr>
      <w:r>
        <w:rPr>
          <w:i/>
          <w:iCs/>
          <w:color w:val="555555"/>
          <w:sz w:val="18"/>
          <w:szCs w:val="18"/>
        </w:rPr>
        <w:t>Table 3: Cross-Category Summary of Dual Quality Differentials — India vs. Developed Markets</w:t>
      </w:r>
    </w:p>
    <w:p w14:paraId="4DEF0029" w14:textId="77777777" w:rsidR="00154532" w:rsidRDefault="00000000">
      <w:pPr>
        <w:pStyle w:val="Heading1"/>
        <w:pBdr>
          <w:bottom w:val="single" w:sz="6" w:space="4" w:color="2C5F8A"/>
        </w:pBdr>
      </w:pPr>
      <w:r>
        <w:t>5. The Dual Quality Gradient Index (DQGI): A Proposed Diagnostic Instrument</w:t>
      </w:r>
    </w:p>
    <w:p w14:paraId="64E5F25F" w14:textId="77777777" w:rsidR="00154532" w:rsidRDefault="00000000">
      <w:pPr>
        <w:spacing w:before="100" w:after="100" w:line="360" w:lineRule="auto"/>
        <w:jc w:val="both"/>
      </w:pPr>
      <w:r>
        <w:t xml:space="preserve">One of the persistent frustrations in policy discussions around dual quality is the absence of a common measurement language. Regulators, civil society </w:t>
      </w:r>
      <w:proofErr w:type="spellStart"/>
      <w:r>
        <w:t>organisations</w:t>
      </w:r>
      <w:proofErr w:type="spellEnd"/>
      <w:r>
        <w:t xml:space="preserve">, and ESG investors describe formulation differentials in category-specific terms — grams of sugar, milligrams of sodium, percentage of trans fat — that are difficult to aggregate, compare, or track over time. What the field needs is a </w:t>
      </w:r>
      <w:proofErr w:type="spellStart"/>
      <w:r>
        <w:t>standardised</w:t>
      </w:r>
      <w:proofErr w:type="spellEnd"/>
      <w:r>
        <w:t xml:space="preserve"> index that allows multi-category, cross-jurisdictional dual quality to be expressed as a single composite score, comparable across categories, updatable as formulations change, and weighted by the health significance of the attributes it measures.</w:t>
      </w:r>
    </w:p>
    <w:p w14:paraId="649007B1" w14:textId="77777777" w:rsidR="00154532" w:rsidRDefault="00000000">
      <w:pPr>
        <w:spacing w:before="100" w:after="100" w:line="360" w:lineRule="auto"/>
        <w:jc w:val="both"/>
      </w:pPr>
      <w:r>
        <w:t>The Dual Quality Gradient Index (DQGI) is defined as:</w:t>
      </w:r>
    </w:p>
    <w:p w14:paraId="048401B2" w14:textId="77777777" w:rsidR="00154532" w:rsidRDefault="00154532">
      <w:pPr>
        <w:spacing w:before="40" w:after="40"/>
      </w:pPr>
    </w:p>
    <w:p w14:paraId="5741CED2" w14:textId="77777777" w:rsidR="00154532" w:rsidRDefault="00000000">
      <w:pPr>
        <w:spacing w:before="100" w:after="100"/>
        <w:jc w:val="center"/>
      </w:pPr>
      <w:r>
        <w:rPr>
          <w:i/>
          <w:iCs/>
          <w:sz w:val="24"/>
          <w:szCs w:val="24"/>
        </w:rPr>
        <w:t>DQGI = Σ [wᵢ × (</w:t>
      </w:r>
      <w:proofErr w:type="gramStart"/>
      <w:r>
        <w:rPr>
          <w:i/>
          <w:iCs/>
          <w:sz w:val="24"/>
          <w:szCs w:val="24"/>
        </w:rPr>
        <w:t>Qᴿᵉᶠ,ᵢ</w:t>
      </w:r>
      <w:proofErr w:type="gramEnd"/>
      <w:r>
        <w:rPr>
          <w:i/>
          <w:iCs/>
          <w:sz w:val="24"/>
          <w:szCs w:val="24"/>
        </w:rPr>
        <w:t xml:space="preserve"> – </w:t>
      </w:r>
      <w:proofErr w:type="gramStart"/>
      <w:r>
        <w:rPr>
          <w:i/>
          <w:iCs/>
          <w:sz w:val="24"/>
          <w:szCs w:val="24"/>
        </w:rPr>
        <w:t>Qᴵᴺᴰ,ᵢ</w:t>
      </w:r>
      <w:proofErr w:type="gramEnd"/>
      <w:r>
        <w:rPr>
          <w:i/>
          <w:iCs/>
          <w:sz w:val="24"/>
          <w:szCs w:val="24"/>
        </w:rPr>
        <w:t xml:space="preserve">) / </w:t>
      </w:r>
      <w:proofErr w:type="gramStart"/>
      <w:r>
        <w:rPr>
          <w:i/>
          <w:iCs/>
          <w:sz w:val="24"/>
          <w:szCs w:val="24"/>
        </w:rPr>
        <w:t>Qᴿᵉᶠ,ᵢ</w:t>
      </w:r>
      <w:proofErr w:type="gramEnd"/>
      <w:r>
        <w:rPr>
          <w:i/>
          <w:iCs/>
          <w:sz w:val="24"/>
          <w:szCs w:val="24"/>
        </w:rPr>
        <w:t>] × 100</w:t>
      </w:r>
    </w:p>
    <w:p w14:paraId="12A8413B" w14:textId="77777777" w:rsidR="00154532" w:rsidRDefault="00154532">
      <w:pPr>
        <w:spacing w:before="40" w:after="40"/>
      </w:pPr>
    </w:p>
    <w:p w14:paraId="5BDB4056" w14:textId="77777777" w:rsidR="00154532" w:rsidRDefault="00000000">
      <w:pPr>
        <w:spacing w:before="100" w:after="100" w:line="360" w:lineRule="auto"/>
        <w:jc w:val="both"/>
      </w:pPr>
      <w:r>
        <w:t xml:space="preserve">Where </w:t>
      </w:r>
      <w:proofErr w:type="spellStart"/>
      <w:r>
        <w:t>i</w:t>
      </w:r>
      <w:proofErr w:type="spellEnd"/>
      <w:r>
        <w:t xml:space="preserve"> denotes the nutritional or safety attribute being measured; </w:t>
      </w:r>
      <w:proofErr w:type="spellStart"/>
      <w:r>
        <w:t>Q_</w:t>
      </w:r>
      <w:proofErr w:type="gramStart"/>
      <w:r>
        <w:t>REF,i</w:t>
      </w:r>
      <w:proofErr w:type="spellEnd"/>
      <w:proofErr w:type="gramEnd"/>
      <w:r>
        <w:t xml:space="preserve"> is the attribute value in the reference (developed) market formulation; </w:t>
      </w:r>
      <w:proofErr w:type="spellStart"/>
      <w:r>
        <w:t>Q_</w:t>
      </w:r>
      <w:proofErr w:type="gramStart"/>
      <w:r>
        <w:t>IND,i</w:t>
      </w:r>
      <w:proofErr w:type="spellEnd"/>
      <w:proofErr w:type="gramEnd"/>
      <w:r>
        <w:t xml:space="preserve"> is the attribute value in the Indian market formulation; and </w:t>
      </w:r>
      <w:proofErr w:type="spellStart"/>
      <w:r>
        <w:t>w_i</w:t>
      </w:r>
      <w:proofErr w:type="spellEnd"/>
      <w:r>
        <w:t xml:space="preserve"> is a health-impact weight derived from WHO Global Burden of Disease disability-adjusted life year (DALY) coefficients. A positive DQGI indicates the Indian formulation is nutritionally inferior; a score of zero indicates parity.</w:t>
      </w:r>
    </w:p>
    <w:p w14:paraId="053FFD29" w14:textId="77777777" w:rsidR="00154532" w:rsidRDefault="00000000">
      <w:pPr>
        <w:spacing w:before="100" w:after="100" w:line="360" w:lineRule="auto"/>
        <w:jc w:val="both"/>
      </w:pPr>
      <w:r>
        <w:t>The pilot DQGI scores in Table 4 are indicative estimates computed from secondary data, intended to demonstrate the instrument's logic and provide a rough empirical ranking of categories by severity. Validated scores will require primary laboratory compositional analysis, clinical-grade DALY weight calibration, and expert consensus on attribute weighting — all of which I identify as priority tasks for future research.</w:t>
      </w:r>
    </w:p>
    <w:p w14:paraId="02DFC02D" w14:textId="77777777" w:rsidR="00154532" w:rsidRDefault="00154532">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440"/>
        <w:gridCol w:w="1440"/>
        <w:gridCol w:w="1440"/>
        <w:gridCol w:w="1440"/>
        <w:gridCol w:w="1800"/>
      </w:tblGrid>
      <w:tr w:rsidR="00154532" w:rsidRPr="00E77D78" w14:paraId="4B5ED2B6" w14:textId="77777777" w:rsidTr="00E77D78">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CDC2D40" w14:textId="77777777" w:rsidR="00154532" w:rsidRPr="00E77D78" w:rsidRDefault="00000000">
            <w:r w:rsidRPr="00E77D78">
              <w:rPr>
                <w:rFonts w:ascii="Arial" w:eastAsia="Arial" w:hAnsi="Arial" w:cs="Arial"/>
                <w:b/>
                <w:bCs/>
                <w:sz w:val="18"/>
                <w:szCs w:val="18"/>
              </w:rPr>
              <w:t>Category</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5C0E538" w14:textId="77777777" w:rsidR="00154532" w:rsidRPr="00E77D78" w:rsidRDefault="00000000">
            <w:r w:rsidRPr="00E77D78">
              <w:rPr>
                <w:rFonts w:ascii="Arial" w:eastAsia="Arial" w:hAnsi="Arial" w:cs="Arial"/>
                <w:b/>
                <w:bCs/>
                <w:sz w:val="18"/>
                <w:szCs w:val="18"/>
              </w:rPr>
              <w:t>Reference Market</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4264E37" w14:textId="77777777" w:rsidR="00154532" w:rsidRPr="00E77D78" w:rsidRDefault="00000000">
            <w:r w:rsidRPr="00E77D78">
              <w:rPr>
                <w:rFonts w:ascii="Arial" w:eastAsia="Arial" w:hAnsi="Arial" w:cs="Arial"/>
                <w:b/>
                <w:bCs/>
                <w:sz w:val="18"/>
                <w:szCs w:val="18"/>
              </w:rPr>
              <w:t>Sugar Delta (g/100g)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C9368A6" w14:textId="77777777" w:rsidR="00154532" w:rsidRPr="00E77D78" w:rsidRDefault="00000000">
            <w:r w:rsidRPr="00E77D78">
              <w:rPr>
                <w:rFonts w:ascii="Arial" w:eastAsia="Arial" w:hAnsi="Arial" w:cs="Arial"/>
                <w:b/>
                <w:bCs/>
                <w:sz w:val="18"/>
                <w:szCs w:val="18"/>
              </w:rPr>
              <w:t>Sat. Fat Delta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E228BE3" w14:textId="77777777" w:rsidR="00154532" w:rsidRPr="00E77D78" w:rsidRDefault="00000000">
            <w:r w:rsidRPr="00E77D78">
              <w:rPr>
                <w:rFonts w:ascii="Arial" w:eastAsia="Arial" w:hAnsi="Arial" w:cs="Arial"/>
                <w:b/>
                <w:bCs/>
                <w:sz w:val="18"/>
                <w:szCs w:val="18"/>
              </w:rPr>
              <w:t>Sodium Delta</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E5D464D" w14:textId="77777777" w:rsidR="00154532" w:rsidRPr="00E77D78" w:rsidRDefault="00000000">
            <w:r w:rsidRPr="00E77D78">
              <w:rPr>
                <w:rFonts w:ascii="Arial" w:eastAsia="Arial" w:hAnsi="Arial" w:cs="Arial"/>
                <w:b/>
                <w:bCs/>
                <w:sz w:val="18"/>
                <w:szCs w:val="18"/>
              </w:rPr>
              <w:t>Pilot DQGI Score</w:t>
            </w:r>
          </w:p>
        </w:tc>
      </w:tr>
      <w:tr w:rsidR="00154532" w:rsidRPr="00E77D78" w14:paraId="0832AE8D"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FC668B0" w14:textId="77777777" w:rsidR="00154532" w:rsidRPr="00E77D78" w:rsidRDefault="00000000">
            <w:r w:rsidRPr="00E77D78">
              <w:rPr>
                <w:rFonts w:ascii="Arial" w:eastAsia="Arial" w:hAnsi="Arial" w:cs="Arial"/>
                <w:sz w:val="18"/>
                <w:szCs w:val="18"/>
              </w:rPr>
              <w:t>Beverages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9AACFE0" w14:textId="77777777" w:rsidR="00154532" w:rsidRPr="00E77D78" w:rsidRDefault="00000000">
            <w:r w:rsidRPr="00E77D78">
              <w:rPr>
                <w:rFonts w:ascii="Arial" w:eastAsia="Arial" w:hAnsi="Arial" w:cs="Arial"/>
                <w:sz w:val="18"/>
                <w:szCs w:val="18"/>
              </w:rPr>
              <w:t>USA / EU</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8F59719" w14:textId="77777777" w:rsidR="00154532" w:rsidRPr="00E77D78" w:rsidRDefault="00000000">
            <w:r w:rsidRPr="00E77D78">
              <w:rPr>
                <w:rFonts w:ascii="Arial" w:eastAsia="Arial" w:hAnsi="Arial" w:cs="Arial"/>
                <w:sz w:val="18"/>
                <w:szCs w:val="18"/>
              </w:rPr>
              <w:t>+2.5 to +4.0</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0B261F0" w14:textId="77777777" w:rsidR="00154532" w:rsidRPr="00E77D78" w:rsidRDefault="00000000">
            <w:r w:rsidRPr="00E77D78">
              <w:rPr>
                <w:rFonts w:ascii="Arial" w:eastAsia="Arial" w:hAnsi="Arial" w:cs="Arial"/>
                <w:sz w:val="18"/>
                <w:szCs w:val="18"/>
              </w:rPr>
              <w:t>+0.5g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6641573" w14:textId="77777777" w:rsidR="00154532" w:rsidRPr="00E77D78" w:rsidRDefault="00000000">
            <w:r w:rsidRPr="00E77D78">
              <w:rPr>
                <w:rFonts w:ascii="Arial" w:eastAsia="Arial" w:hAnsi="Arial" w:cs="Arial"/>
                <w:sz w:val="18"/>
                <w:szCs w:val="18"/>
              </w:rPr>
              <w:t>+18 to +25mg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897876A" w14:textId="77777777" w:rsidR="00154532" w:rsidRPr="00E77D78" w:rsidRDefault="00000000">
            <w:r w:rsidRPr="00E77D78">
              <w:rPr>
                <w:rFonts w:ascii="Arial" w:eastAsia="Arial" w:hAnsi="Arial" w:cs="Arial"/>
                <w:sz w:val="18"/>
                <w:szCs w:val="18"/>
              </w:rPr>
              <w:t>24.3</w:t>
            </w:r>
          </w:p>
        </w:tc>
      </w:tr>
      <w:tr w:rsidR="00154532" w:rsidRPr="00E77D78" w14:paraId="11DA692A"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B5EFDD0" w14:textId="77777777" w:rsidR="00154532" w:rsidRPr="00E77D78" w:rsidRDefault="00000000">
            <w:r w:rsidRPr="00E77D78">
              <w:rPr>
                <w:rFonts w:ascii="Arial" w:eastAsia="Arial" w:hAnsi="Arial" w:cs="Arial"/>
                <w:sz w:val="18"/>
                <w:szCs w:val="18"/>
              </w:rPr>
              <w:t>Instant Noodles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63BDCF2" w14:textId="77777777" w:rsidR="00154532" w:rsidRPr="00E77D78" w:rsidRDefault="00000000">
            <w:r w:rsidRPr="00E77D78">
              <w:rPr>
                <w:rFonts w:ascii="Arial" w:eastAsia="Arial" w:hAnsi="Arial" w:cs="Arial"/>
                <w:sz w:val="18"/>
                <w:szCs w:val="18"/>
              </w:rPr>
              <w:t>UK / Japan</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197F539" w14:textId="77777777" w:rsidR="00154532" w:rsidRPr="00E77D78" w:rsidRDefault="00000000">
            <w:r w:rsidRPr="00E77D78">
              <w:rPr>
                <w:rFonts w:ascii="Arial" w:eastAsia="Arial" w:hAnsi="Arial" w:cs="Arial"/>
                <w:sz w:val="18"/>
                <w:szCs w:val="18"/>
              </w:rPr>
              <w:t>+0.8</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DA76639" w14:textId="77777777" w:rsidR="00154532" w:rsidRPr="00E77D78" w:rsidRDefault="00000000">
            <w:r w:rsidRPr="00E77D78">
              <w:rPr>
                <w:rFonts w:ascii="Arial" w:eastAsia="Arial" w:hAnsi="Arial" w:cs="Arial"/>
                <w:sz w:val="18"/>
                <w:szCs w:val="18"/>
              </w:rPr>
              <w:t>+8.0 to +12g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A095C5E" w14:textId="77777777" w:rsidR="00154532" w:rsidRPr="00E77D78" w:rsidRDefault="00000000">
            <w:r w:rsidRPr="00E77D78">
              <w:rPr>
                <w:rFonts w:ascii="Arial" w:eastAsia="Arial" w:hAnsi="Arial" w:cs="Arial"/>
                <w:sz w:val="18"/>
                <w:szCs w:val="18"/>
              </w:rPr>
              <w:t>+250mg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4295CD1" w14:textId="77777777" w:rsidR="00154532" w:rsidRPr="00E77D78" w:rsidRDefault="00000000">
            <w:r w:rsidRPr="00E77D78">
              <w:rPr>
                <w:rFonts w:ascii="Arial" w:eastAsia="Arial" w:hAnsi="Arial" w:cs="Arial"/>
                <w:sz w:val="18"/>
                <w:szCs w:val="18"/>
              </w:rPr>
              <w:t>38.7</w:t>
            </w:r>
          </w:p>
        </w:tc>
      </w:tr>
      <w:tr w:rsidR="00154532" w:rsidRPr="00E77D78" w14:paraId="202224B7"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3011C52" w14:textId="77777777" w:rsidR="00154532" w:rsidRPr="00E77D78" w:rsidRDefault="00000000">
            <w:r w:rsidRPr="00E77D78">
              <w:rPr>
                <w:rFonts w:ascii="Arial" w:eastAsia="Arial" w:hAnsi="Arial" w:cs="Arial"/>
                <w:sz w:val="18"/>
                <w:szCs w:val="18"/>
              </w:rPr>
              <w:t>Breakfast Cereals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CA821C5" w14:textId="77777777" w:rsidR="00154532" w:rsidRPr="00E77D78" w:rsidRDefault="00000000">
            <w:r w:rsidRPr="00E77D78">
              <w:rPr>
                <w:rFonts w:ascii="Arial" w:eastAsia="Arial" w:hAnsi="Arial" w:cs="Arial"/>
                <w:sz w:val="18"/>
                <w:szCs w:val="18"/>
              </w:rPr>
              <w:t>Germany / Aus.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9247450" w14:textId="77777777" w:rsidR="00154532" w:rsidRPr="00E77D78" w:rsidRDefault="00000000">
            <w:r w:rsidRPr="00E77D78">
              <w:rPr>
                <w:rFonts w:ascii="Arial" w:eastAsia="Arial" w:hAnsi="Arial" w:cs="Arial"/>
                <w:sz w:val="18"/>
                <w:szCs w:val="18"/>
              </w:rPr>
              <w:t>+15 to +22g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68EE133" w14:textId="77777777" w:rsidR="00154532" w:rsidRPr="00E77D78" w:rsidRDefault="00000000">
            <w:r w:rsidRPr="00E77D78">
              <w:rPr>
                <w:rFonts w:ascii="Arial" w:eastAsia="Arial" w:hAnsi="Arial" w:cs="Arial"/>
                <w:sz w:val="18"/>
                <w:szCs w:val="18"/>
              </w:rPr>
              <w:t>+0.5g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2624DF2" w14:textId="77777777" w:rsidR="00154532" w:rsidRPr="00E77D78" w:rsidRDefault="00000000">
            <w:r w:rsidRPr="00E77D78">
              <w:rPr>
                <w:rFonts w:ascii="Arial" w:eastAsia="Arial" w:hAnsi="Arial" w:cs="Arial"/>
                <w:sz w:val="18"/>
                <w:szCs w:val="18"/>
              </w:rPr>
              <w:t>+45mg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05536BF" w14:textId="77777777" w:rsidR="00154532" w:rsidRPr="00E77D78" w:rsidRDefault="00000000">
            <w:r w:rsidRPr="00E77D78">
              <w:rPr>
                <w:rFonts w:ascii="Arial" w:eastAsia="Arial" w:hAnsi="Arial" w:cs="Arial"/>
                <w:sz w:val="18"/>
                <w:szCs w:val="18"/>
              </w:rPr>
              <w:t>42.1</w:t>
            </w:r>
          </w:p>
        </w:tc>
      </w:tr>
      <w:tr w:rsidR="00154532" w:rsidRPr="00E77D78" w14:paraId="2FEC9153"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8E74676" w14:textId="77777777" w:rsidR="00154532" w:rsidRPr="00E77D78" w:rsidRDefault="00000000">
            <w:r w:rsidRPr="00E77D78">
              <w:rPr>
                <w:rFonts w:ascii="Arial" w:eastAsia="Arial" w:hAnsi="Arial" w:cs="Arial"/>
                <w:sz w:val="18"/>
                <w:szCs w:val="18"/>
              </w:rPr>
              <w:t>Dairy Products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B870FBC" w14:textId="77777777" w:rsidR="00154532" w:rsidRPr="00E77D78" w:rsidRDefault="00000000">
            <w:r w:rsidRPr="00E77D78">
              <w:rPr>
                <w:rFonts w:ascii="Arial" w:eastAsia="Arial" w:hAnsi="Arial" w:cs="Arial"/>
                <w:sz w:val="18"/>
                <w:szCs w:val="18"/>
              </w:rPr>
              <w:t>UK / EU</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773643B" w14:textId="77777777" w:rsidR="00154532" w:rsidRPr="00E77D78" w:rsidRDefault="00000000">
            <w:r w:rsidRPr="00E77D78">
              <w:rPr>
                <w:rFonts w:ascii="Arial" w:eastAsia="Arial" w:hAnsi="Arial" w:cs="Arial"/>
                <w:sz w:val="18"/>
                <w:szCs w:val="18"/>
              </w:rPr>
              <w:t>+1.0</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0D90978" w14:textId="77777777" w:rsidR="00154532" w:rsidRPr="00E77D78" w:rsidRDefault="00000000">
            <w:r w:rsidRPr="00E77D78">
              <w:rPr>
                <w:rFonts w:ascii="Arial" w:eastAsia="Arial" w:hAnsi="Arial" w:cs="Arial"/>
                <w:sz w:val="18"/>
                <w:szCs w:val="18"/>
              </w:rPr>
              <w:t>+1.5g (veg fat)</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14D18DD" w14:textId="77777777" w:rsidR="00154532" w:rsidRPr="00E77D78" w:rsidRDefault="00000000">
            <w:r w:rsidRPr="00E77D78">
              <w:rPr>
                <w:rFonts w:ascii="Arial" w:eastAsia="Arial" w:hAnsi="Arial" w:cs="Arial"/>
                <w:sz w:val="18"/>
                <w:szCs w:val="18"/>
              </w:rPr>
              <w:t>+30mg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5BF88B6" w14:textId="77777777" w:rsidR="00154532" w:rsidRPr="00E77D78" w:rsidRDefault="00000000">
            <w:r w:rsidRPr="00E77D78">
              <w:rPr>
                <w:rFonts w:ascii="Arial" w:eastAsia="Arial" w:hAnsi="Arial" w:cs="Arial"/>
                <w:sz w:val="18"/>
                <w:szCs w:val="18"/>
              </w:rPr>
              <w:t>18.6</w:t>
            </w:r>
          </w:p>
        </w:tc>
      </w:tr>
      <w:tr w:rsidR="00154532" w:rsidRPr="00E77D78" w14:paraId="24735EE5"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18FE383" w14:textId="77777777" w:rsidR="00154532" w:rsidRPr="00E77D78" w:rsidRDefault="00000000">
            <w:r w:rsidRPr="00E77D78">
              <w:rPr>
                <w:rFonts w:ascii="Arial" w:eastAsia="Arial" w:hAnsi="Arial" w:cs="Arial"/>
                <w:sz w:val="18"/>
                <w:szCs w:val="18"/>
              </w:rPr>
              <w:t>Chocolate</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817E192" w14:textId="77777777" w:rsidR="00154532" w:rsidRPr="00E77D78" w:rsidRDefault="00000000">
            <w:r w:rsidRPr="00E77D78">
              <w:rPr>
                <w:rFonts w:ascii="Arial" w:eastAsia="Arial" w:hAnsi="Arial" w:cs="Arial"/>
                <w:sz w:val="18"/>
                <w:szCs w:val="18"/>
              </w:rPr>
              <w:t>UK / Switzerland</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73574BB" w14:textId="77777777" w:rsidR="00154532" w:rsidRPr="00E77D78" w:rsidRDefault="00000000">
            <w:r w:rsidRPr="00E77D78">
              <w:rPr>
                <w:rFonts w:ascii="Arial" w:eastAsia="Arial" w:hAnsi="Arial" w:cs="Arial"/>
                <w:sz w:val="18"/>
                <w:szCs w:val="18"/>
              </w:rPr>
              <w:t>+3.0</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8CC09D8" w14:textId="77777777" w:rsidR="00154532" w:rsidRPr="00E77D78" w:rsidRDefault="00000000">
            <w:r w:rsidRPr="00E77D78">
              <w:rPr>
                <w:rFonts w:ascii="Arial" w:eastAsia="Arial" w:hAnsi="Arial" w:cs="Arial"/>
                <w:sz w:val="18"/>
                <w:szCs w:val="18"/>
              </w:rPr>
              <w:t>+2.0g (CBE)</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6A26A20" w14:textId="77777777" w:rsidR="00154532" w:rsidRPr="00E77D78" w:rsidRDefault="00000000">
            <w:r w:rsidRPr="00E77D78">
              <w:rPr>
                <w:rFonts w:ascii="Arial" w:eastAsia="Arial" w:hAnsi="Arial" w:cs="Arial"/>
                <w:sz w:val="18"/>
                <w:szCs w:val="18"/>
              </w:rPr>
              <w:t>+10mg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FCE327A" w14:textId="77777777" w:rsidR="00154532" w:rsidRPr="00E77D78" w:rsidRDefault="00000000">
            <w:r w:rsidRPr="00E77D78">
              <w:rPr>
                <w:rFonts w:ascii="Arial" w:eastAsia="Arial" w:hAnsi="Arial" w:cs="Arial"/>
                <w:sz w:val="18"/>
                <w:szCs w:val="18"/>
              </w:rPr>
              <w:t>21.4</w:t>
            </w:r>
          </w:p>
        </w:tc>
      </w:tr>
      <w:tr w:rsidR="00154532" w:rsidRPr="00E77D78" w14:paraId="3656867B"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90C324F" w14:textId="77777777" w:rsidR="00154532" w:rsidRPr="00E77D78" w:rsidRDefault="00000000">
            <w:r w:rsidRPr="00E77D78">
              <w:rPr>
                <w:rFonts w:ascii="Arial" w:eastAsia="Arial" w:hAnsi="Arial" w:cs="Arial"/>
                <w:sz w:val="18"/>
                <w:szCs w:val="18"/>
              </w:rPr>
              <w:t>Biscuits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3F2E69A" w14:textId="77777777" w:rsidR="00154532" w:rsidRPr="00E77D78" w:rsidRDefault="00000000">
            <w:r w:rsidRPr="00E77D78">
              <w:rPr>
                <w:rFonts w:ascii="Arial" w:eastAsia="Arial" w:hAnsi="Arial" w:cs="Arial"/>
                <w:sz w:val="18"/>
                <w:szCs w:val="18"/>
              </w:rPr>
              <w:t>UK / Germany</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8857CFB" w14:textId="77777777" w:rsidR="00154532" w:rsidRPr="00E77D78" w:rsidRDefault="00000000">
            <w:r w:rsidRPr="00E77D78">
              <w:rPr>
                <w:rFonts w:ascii="Arial" w:eastAsia="Arial" w:hAnsi="Arial" w:cs="Arial"/>
                <w:sz w:val="18"/>
                <w:szCs w:val="18"/>
              </w:rPr>
              <w:t>+2.0</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4189DA0" w14:textId="77777777" w:rsidR="00154532" w:rsidRPr="00E77D78" w:rsidRDefault="00000000">
            <w:r w:rsidRPr="00E77D78">
              <w:rPr>
                <w:rFonts w:ascii="Arial" w:eastAsia="Arial" w:hAnsi="Arial" w:cs="Arial"/>
                <w:sz w:val="18"/>
                <w:szCs w:val="18"/>
              </w:rPr>
              <w:t>+1.9g (TFA)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F63C118" w14:textId="77777777" w:rsidR="00154532" w:rsidRPr="00E77D78" w:rsidRDefault="00000000">
            <w:r w:rsidRPr="00E77D78">
              <w:rPr>
                <w:rFonts w:ascii="Arial" w:eastAsia="Arial" w:hAnsi="Arial" w:cs="Arial"/>
                <w:sz w:val="18"/>
                <w:szCs w:val="18"/>
              </w:rPr>
              <w:t>+60mg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0F37184" w14:textId="77777777" w:rsidR="00154532" w:rsidRPr="00E77D78" w:rsidRDefault="00000000">
            <w:r w:rsidRPr="00E77D78">
              <w:rPr>
                <w:rFonts w:ascii="Arial" w:eastAsia="Arial" w:hAnsi="Arial" w:cs="Arial"/>
                <w:sz w:val="18"/>
                <w:szCs w:val="18"/>
              </w:rPr>
              <w:t>31.9</w:t>
            </w:r>
          </w:p>
        </w:tc>
      </w:tr>
      <w:tr w:rsidR="00154532" w:rsidRPr="00E77D78" w14:paraId="388BC06E"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071F8FF" w14:textId="77777777" w:rsidR="00154532" w:rsidRPr="00E77D78" w:rsidRDefault="00000000">
            <w:r w:rsidRPr="00E77D78">
              <w:rPr>
                <w:rFonts w:ascii="Arial" w:eastAsia="Arial" w:hAnsi="Arial" w:cs="Arial"/>
                <w:sz w:val="18"/>
                <w:szCs w:val="18"/>
              </w:rPr>
              <w:t>Cooking Oils</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F6A2016" w14:textId="77777777" w:rsidR="00154532" w:rsidRPr="00E77D78" w:rsidRDefault="00000000">
            <w:r w:rsidRPr="00E77D78">
              <w:rPr>
                <w:rFonts w:ascii="Arial" w:eastAsia="Arial" w:hAnsi="Arial" w:cs="Arial"/>
                <w:sz w:val="18"/>
                <w:szCs w:val="18"/>
              </w:rPr>
              <w:t>EU / Australia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455DB07A" w14:textId="77777777" w:rsidR="00154532" w:rsidRPr="00E77D78" w:rsidRDefault="00000000">
            <w:r w:rsidRPr="00E77D78">
              <w:rPr>
                <w:rFonts w:ascii="Arial" w:eastAsia="Arial" w:hAnsi="Arial" w:cs="Arial"/>
                <w:sz w:val="18"/>
                <w:szCs w:val="18"/>
              </w:rPr>
              <w:t>N/A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364812E9" w14:textId="77777777" w:rsidR="00154532" w:rsidRPr="00E77D78" w:rsidRDefault="00000000">
            <w:r w:rsidRPr="00E77D78">
              <w:rPr>
                <w:rFonts w:ascii="Arial" w:eastAsia="Arial" w:hAnsi="Arial" w:cs="Arial"/>
                <w:sz w:val="18"/>
                <w:szCs w:val="18"/>
              </w:rPr>
              <w:t>+2.0g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060A3F47" w14:textId="77777777" w:rsidR="00154532" w:rsidRPr="00E77D78" w:rsidRDefault="00000000">
            <w:r w:rsidRPr="00E77D78">
              <w:rPr>
                <w:rFonts w:ascii="Arial" w:eastAsia="Arial" w:hAnsi="Arial" w:cs="Arial"/>
                <w:sz w:val="18"/>
                <w:szCs w:val="18"/>
              </w:rPr>
              <w:t>N/A</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522A36F9" w14:textId="77777777" w:rsidR="00154532" w:rsidRPr="00E77D78" w:rsidRDefault="00000000">
            <w:r w:rsidRPr="00E77D78">
              <w:rPr>
                <w:rFonts w:ascii="Arial" w:eastAsia="Arial" w:hAnsi="Arial" w:cs="Arial"/>
                <w:sz w:val="18"/>
                <w:szCs w:val="18"/>
              </w:rPr>
              <w:t>15.2</w:t>
            </w:r>
          </w:p>
        </w:tc>
      </w:tr>
      <w:tr w:rsidR="00154532" w:rsidRPr="00E77D78" w14:paraId="0555F680" w14:textId="77777777" w:rsidTr="00E77D78">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4620ADC" w14:textId="77777777" w:rsidR="00154532" w:rsidRPr="00E77D78" w:rsidRDefault="00000000">
            <w:r w:rsidRPr="00E77D78">
              <w:rPr>
                <w:rFonts w:ascii="Arial" w:eastAsia="Arial" w:hAnsi="Arial" w:cs="Arial"/>
                <w:sz w:val="18"/>
                <w:szCs w:val="18"/>
              </w:rPr>
              <w:t>Infant Nutrition</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20477E07" w14:textId="77777777" w:rsidR="00154532" w:rsidRPr="00E77D78" w:rsidRDefault="00000000">
            <w:r w:rsidRPr="00E77D78">
              <w:rPr>
                <w:rFonts w:ascii="Arial" w:eastAsia="Arial" w:hAnsi="Arial" w:cs="Arial"/>
                <w:sz w:val="18"/>
                <w:szCs w:val="18"/>
              </w:rPr>
              <w:t>Germany / USA</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71BA9FCB" w14:textId="77777777" w:rsidR="00154532" w:rsidRPr="00E77D78" w:rsidRDefault="00000000">
            <w:r w:rsidRPr="00E77D78">
              <w:rPr>
                <w:rFonts w:ascii="Arial" w:eastAsia="Arial" w:hAnsi="Arial" w:cs="Arial"/>
                <w:sz w:val="18"/>
                <w:szCs w:val="18"/>
              </w:rPr>
              <w:t>+1.5</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F911301" w14:textId="77777777" w:rsidR="00154532" w:rsidRPr="00E77D78" w:rsidRDefault="00000000">
            <w:r w:rsidRPr="00E77D78">
              <w:rPr>
                <w:rFonts w:ascii="Arial" w:eastAsia="Arial" w:hAnsi="Arial" w:cs="Arial"/>
                <w:sz w:val="18"/>
                <w:szCs w:val="18"/>
              </w:rPr>
              <w:t>+0.8g</w:t>
            </w:r>
          </w:p>
        </w:tc>
        <w:tc>
          <w:tcPr>
            <w:tcW w:w="144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1B92C257" w14:textId="77777777" w:rsidR="00154532" w:rsidRPr="00E77D78" w:rsidRDefault="00000000">
            <w:r w:rsidRPr="00E77D78">
              <w:rPr>
                <w:rFonts w:ascii="Arial" w:eastAsia="Arial" w:hAnsi="Arial" w:cs="Arial"/>
                <w:sz w:val="18"/>
                <w:szCs w:val="18"/>
              </w:rPr>
              <w:t>+20mg</w:t>
            </w:r>
          </w:p>
        </w:tc>
        <w:tc>
          <w:tcPr>
            <w:tcW w:w="1800" w:type="dxa"/>
            <w:tcBorders>
              <w:top w:val="single" w:sz="1" w:space="0" w:color="CCCCCC"/>
              <w:left w:val="single" w:sz="1" w:space="0" w:color="CCCCCC"/>
              <w:bottom w:val="single" w:sz="1" w:space="0" w:color="CCCCCC"/>
              <w:right w:val="single" w:sz="1" w:space="0" w:color="CCCCCC"/>
            </w:tcBorders>
            <w:tcMar>
              <w:top w:w="80" w:type="dxa"/>
              <w:left w:w="130" w:type="dxa"/>
              <w:bottom w:w="80" w:type="dxa"/>
              <w:right w:w="130" w:type="dxa"/>
            </w:tcMar>
            <w:vAlign w:val="center"/>
          </w:tcPr>
          <w:p w14:paraId="68364730" w14:textId="77777777" w:rsidR="00154532" w:rsidRPr="00E77D78" w:rsidRDefault="00000000">
            <w:r w:rsidRPr="00E77D78">
              <w:rPr>
                <w:rFonts w:ascii="Arial" w:eastAsia="Arial" w:hAnsi="Arial" w:cs="Arial"/>
                <w:sz w:val="18"/>
                <w:szCs w:val="18"/>
              </w:rPr>
              <w:t>29.8</w:t>
            </w:r>
          </w:p>
        </w:tc>
      </w:tr>
    </w:tbl>
    <w:p w14:paraId="4DDE3BDB" w14:textId="77777777" w:rsidR="00154532" w:rsidRDefault="00000000">
      <w:pPr>
        <w:spacing w:before="80" w:after="220"/>
        <w:jc w:val="center"/>
      </w:pPr>
      <w:r>
        <w:rPr>
          <w:i/>
          <w:iCs/>
          <w:color w:val="555555"/>
          <w:sz w:val="18"/>
          <w:szCs w:val="18"/>
        </w:rPr>
        <w:t>Table 4: Pilot DQGI Scores by Category (Higher Score = Greater Disadvantage for Indian Consumers)</w:t>
      </w:r>
    </w:p>
    <w:p w14:paraId="61AB129A" w14:textId="77777777" w:rsidR="00154532" w:rsidRDefault="00000000">
      <w:pPr>
        <w:spacing w:before="100" w:after="100" w:line="360" w:lineRule="auto"/>
        <w:jc w:val="both"/>
      </w:pPr>
      <w:r>
        <w:t xml:space="preserve">The ranking that emerges — Breakfast Cereals (42.1) at the top, Cooking Oils (15.2) at the bottom — broadly aligns with the qualitative severity assessments in Section 4, providing face validity for the instrument. Breakfast Cereals score is driven primarily by the sugar delta in premium variants; Instant Noodles (38.7) by saturated fat and sodium differentials; Biscuits (31.9) by </w:t>
      </w:r>
      <w:proofErr w:type="spellStart"/>
      <w:r>
        <w:t>trans fat</w:t>
      </w:r>
      <w:proofErr w:type="spellEnd"/>
      <w:r>
        <w:t xml:space="preserve"> content. The DQGI can be computed at product, brand, category, and sector levels, enabling regulators, civil society, and ESG-focused investors to generate </w:t>
      </w:r>
      <w:proofErr w:type="spellStart"/>
      <w:r>
        <w:t>standardised</w:t>
      </w:r>
      <w:proofErr w:type="spellEnd"/>
      <w:r>
        <w:t xml:space="preserve"> annual scorecards — a direct </w:t>
      </w:r>
      <w:proofErr w:type="spellStart"/>
      <w:r>
        <w:t>operationalisation</w:t>
      </w:r>
      <w:proofErr w:type="spellEnd"/>
      <w:r>
        <w:t xml:space="preserve"> of the transparency mechanism that Morgan and Hunt (1994) identify as foundational to trust-based market relationships.</w:t>
      </w:r>
    </w:p>
    <w:p w14:paraId="7AF59A2C" w14:textId="77777777" w:rsidR="00154532" w:rsidRDefault="00000000">
      <w:pPr>
        <w:pStyle w:val="Heading1"/>
        <w:pBdr>
          <w:bottom w:val="single" w:sz="6" w:space="4" w:color="2C5F8A"/>
        </w:pBdr>
      </w:pPr>
      <w:r>
        <w:t>6. Strategic and Policy Implications</w:t>
      </w:r>
    </w:p>
    <w:p w14:paraId="3B289055" w14:textId="77777777" w:rsidR="00154532" w:rsidRDefault="00000000">
      <w:pPr>
        <w:pStyle w:val="Heading2"/>
      </w:pPr>
      <w:r>
        <w:t>6.1 The Collapsing Information Asymmetry: Brand Equity at Risk</w:t>
      </w:r>
    </w:p>
    <w:p w14:paraId="1E35DA95" w14:textId="77777777" w:rsidR="00154532" w:rsidRDefault="00000000">
      <w:pPr>
        <w:spacing w:before="100" w:after="100" w:line="360" w:lineRule="auto"/>
        <w:jc w:val="both"/>
      </w:pPr>
      <w:r>
        <w:t xml:space="preserve">The IRAM identifies the Information Accessibility Barrier as one of the four enabling conditions for dual quality equilibrium — and also the condition collapsing fastest. I think back to the moment the </w:t>
      </w:r>
      <w:proofErr w:type="spellStart"/>
      <w:r>
        <w:t>Chocos</w:t>
      </w:r>
      <w:proofErr w:type="spellEnd"/>
      <w:r>
        <w:t xml:space="preserve"> comparison image landed in my class WhatsApp group. It had already been shared tens of thousands of times before any of my students sent it to me. Nobody commissioned that comparison. A private individual photographed two packets and posted the result. That is the new audit mechanism: distributed, crowd-sourced, emotionally resonant, and entirely beyond any corporate communications team's ability to suppress. In Keller's (1993) framework, this is involuntary brand image correction — the consumer knowledge structure being updated by peer-generated information rather than brand-controlled communication.</w:t>
      </w:r>
    </w:p>
    <w:p w14:paraId="130F4778" w14:textId="77777777" w:rsidR="00154532" w:rsidRDefault="00000000">
      <w:pPr>
        <w:spacing w:before="100" w:after="100" w:line="360" w:lineRule="auto"/>
        <w:jc w:val="both"/>
      </w:pPr>
      <w:r>
        <w:t>A 2023 Nielsen IQ survey found that 67% of urban Indian millennial consumers had modified at least one packaged food purchase decision on the basis of digitally accessed ingredient information, and 43% reported actively comparing Indian and international product formulations through online research (Nielsen IQ, 2023). The Trust Deficit this generates — when a consumer discovers that the product she buys in Hyderabad is nutritionally inferior to what her cousin buys in Houston — is precisely the trust erosion that Morgan and Hunt (1994) predict will terminate marketing relationships. It is also, in CBBE terms, a brand equity destruction event operating below the radar of most brand management dashboards.</w:t>
      </w:r>
    </w:p>
    <w:p w14:paraId="4C35890E" w14:textId="77777777" w:rsidR="00154532" w:rsidRDefault="00000000">
      <w:pPr>
        <w:pStyle w:val="Heading2"/>
      </w:pPr>
      <w:r>
        <w:t xml:space="preserve">6.2 Regulatory Reform: A Five-Point FSSAI </w:t>
      </w:r>
      <w:proofErr w:type="spellStart"/>
      <w:r>
        <w:t>Harmonisation</w:t>
      </w:r>
      <w:proofErr w:type="spellEnd"/>
      <w:r>
        <w:t xml:space="preserve"> Roadmap</w:t>
      </w:r>
    </w:p>
    <w:p w14:paraId="3CD7BC59" w14:textId="77777777" w:rsidR="00154532" w:rsidRDefault="00000000">
      <w:pPr>
        <w:spacing w:before="100" w:after="100" w:line="360" w:lineRule="auto"/>
        <w:jc w:val="both"/>
      </w:pPr>
      <w:r>
        <w:t xml:space="preserve">I frame the following as collegial suggestions to a regulatory authority that has demonstrated genuine reform intent. FSSAI's 2021 </w:t>
      </w:r>
      <w:proofErr w:type="spellStart"/>
      <w:r>
        <w:t>trans fat</w:t>
      </w:r>
      <w:proofErr w:type="spellEnd"/>
      <w:r>
        <w:t xml:space="preserve"> regulations, the ongoing FOPL consultation, and the 2022 fortification guidelines are meaningful steps. The question is whether the pace is commensurate with the scale of the problem.</w:t>
      </w:r>
    </w:p>
    <w:p w14:paraId="3B616924" w14:textId="77777777" w:rsidR="00154532" w:rsidRDefault="00000000">
      <w:pPr>
        <w:spacing w:before="100" w:after="100" w:line="360" w:lineRule="auto"/>
        <w:jc w:val="both"/>
      </w:pPr>
      <w:r>
        <w:t xml:space="preserve">First: Mandatory front-of-pack warning labels modelled on Chile's black-octagon system for products exceeding WHO-recommended thresholds for added sugar, sodium, and saturated fat. Evidence from Chile, Brazil, and Mexico is unambiguous: warning labels drive consumer </w:t>
      </w:r>
      <w:proofErr w:type="spellStart"/>
      <w:r>
        <w:t>behaviour</w:t>
      </w:r>
      <w:proofErr w:type="spellEnd"/>
      <w:r>
        <w:t xml:space="preserve"> change and manufacturer reformulation more effectively than GDA or HSR-style systems (</w:t>
      </w:r>
      <w:proofErr w:type="spellStart"/>
      <w:r>
        <w:t>Taillie</w:t>
      </w:r>
      <w:proofErr w:type="spellEnd"/>
      <w:r>
        <w:t xml:space="preserve"> et al., 2020; PAHO, 2023).</w:t>
      </w:r>
    </w:p>
    <w:p w14:paraId="230B5682" w14:textId="77777777" w:rsidR="00154532" w:rsidRDefault="00000000">
      <w:pPr>
        <w:spacing w:before="100" w:after="100" w:line="360" w:lineRule="auto"/>
        <w:jc w:val="both"/>
      </w:pPr>
      <w:r>
        <w:t>Second: Country-of-formulation disclosure. Any product sold under an international brand identity in India should disclose on the label whether the Indian formulation is identical to or different from the reference-market formulation. This single intervention, I suspect, would generate more reformulation pressure than any other measure — because it directly attacks the Brand Reputation Insulation condition of the IRAM.</w:t>
      </w:r>
    </w:p>
    <w:p w14:paraId="05027732" w14:textId="77777777" w:rsidR="00154532" w:rsidRDefault="00000000">
      <w:pPr>
        <w:spacing w:before="100" w:after="100" w:line="360" w:lineRule="auto"/>
        <w:jc w:val="both"/>
      </w:pPr>
      <w:r>
        <w:t xml:space="preserve">Third: Mandatory </w:t>
      </w:r>
      <w:proofErr w:type="spellStart"/>
      <w:r>
        <w:t>trans fat</w:t>
      </w:r>
      <w:proofErr w:type="spellEnd"/>
      <w:r>
        <w:t xml:space="preserve"> declaration at sub-0.1 gram per serving resolution — not merely '</w:t>
      </w:r>
      <w:proofErr w:type="spellStart"/>
      <w:r>
        <w:t>trans fat</w:t>
      </w:r>
      <w:proofErr w:type="spellEnd"/>
      <w:r>
        <w:t>: less than 0.5g,' which FSSAI currently permits as a rounding convention.</w:t>
      </w:r>
    </w:p>
    <w:p w14:paraId="4AA374F5" w14:textId="77777777" w:rsidR="00154532" w:rsidRDefault="00000000">
      <w:pPr>
        <w:spacing w:before="100" w:after="100" w:line="360" w:lineRule="auto"/>
        <w:jc w:val="both"/>
      </w:pPr>
      <w:r>
        <w:t>Fourth: Prohibition of vegetable fat substitution in dairy and chocolate products without prominent front-of-pack disclosure.</w:t>
      </w:r>
    </w:p>
    <w:p w14:paraId="7BCAB2E4" w14:textId="77777777" w:rsidR="00154532" w:rsidRDefault="00000000">
      <w:pPr>
        <w:spacing w:before="100" w:after="100" w:line="360" w:lineRule="auto"/>
        <w:jc w:val="both"/>
      </w:pPr>
      <w:r>
        <w:t xml:space="preserve">Fifth: Adoption of the DQGI as an annual FSSAI reporting requirement for all MNC food sector brands, published in a searchable public database — creating a market-facing accountability mechanism that complements enforcement and </w:t>
      </w:r>
      <w:proofErr w:type="spellStart"/>
      <w:r>
        <w:t>operationalises</w:t>
      </w:r>
      <w:proofErr w:type="spellEnd"/>
      <w:r>
        <w:t xml:space="preserve"> the transparency principle of relationship marketing (Morgan &amp; Hunt, 1994).</w:t>
      </w:r>
    </w:p>
    <w:p w14:paraId="2A3DD781" w14:textId="77777777" w:rsidR="00154532" w:rsidRDefault="00000000">
      <w:pPr>
        <w:pStyle w:val="Heading2"/>
      </w:pPr>
      <w:r>
        <w:t>6.3 The Nutritional Imperialism Thesis and Corporate ESG Responsibility</w:t>
      </w:r>
    </w:p>
    <w:p w14:paraId="21814150" w14:textId="77777777" w:rsidR="00154532" w:rsidRDefault="00000000">
      <w:pPr>
        <w:spacing w:before="100" w:after="100" w:line="360" w:lineRule="auto"/>
        <w:jc w:val="both"/>
      </w:pPr>
      <w:r>
        <w:t>The term 'nutritional imperialism' — the systemic provision of inferior nutritional quality to consumers in low-income countries relative to high-income country equivalents — has entered the global health literature (Monteiro et al., 2019; Stuckler &amp; Nestle, 2012). I use it with deliberate care. But the evidence in this paper is sufficient to sustain the basic charge: Indian consumers are, across multiple categories and brands, receiving nutritionally inferior products under identical brand identities as a result of deliberate formulation choices. Under the UN Guiding Principles on Business and Human Rights (2011) and the OECD Guidelines for Multinational Enterprises (2023), MNCs bear a duty of care to consumers even in the absence of domestic regulatory obligations. The ESG investment community — representing over USD 40 trillion in assets under management — has begun incorporating consumer health and food system ethics into its engagement frameworks (Climate Action 100+, 2023; MSCI ESG Ratings, 2023).</w:t>
      </w:r>
    </w:p>
    <w:p w14:paraId="76B35E8B" w14:textId="77777777" w:rsidR="00154532" w:rsidRDefault="00000000">
      <w:pPr>
        <w:pStyle w:val="Heading2"/>
      </w:pPr>
      <w:r>
        <w:t>6.4 The Commercial Case for Reformulation</w:t>
      </w:r>
    </w:p>
    <w:p w14:paraId="5A3EFB72" w14:textId="77777777" w:rsidR="00154532" w:rsidRDefault="00000000">
      <w:pPr>
        <w:spacing w:before="100" w:after="100" w:line="360" w:lineRule="auto"/>
        <w:jc w:val="both"/>
      </w:pPr>
      <w:r>
        <w:t xml:space="preserve">I am aware that the foregoing is primarily a normative argument. I want to close Section 6 with a commercial one — because it is the commercial argument that tends to carry more weight in board discussions. The Indian premium consumer segment — estimated at 30–40 million households with monthly incomes exceeding ₹75,000 — is the fastest-growing sub-segment of the Indian consumption market and the most sensitive to dual quality revelations (McKinsey &amp; Company, 2023). This segment shops in modern retail, reads labels, and is fully capable of switching to premium domestic alternatives if convinced that an MNC brand is providing inferior quality. This is precisely the kind of consumer </w:t>
      </w:r>
      <w:proofErr w:type="spellStart"/>
      <w:r>
        <w:t>behaviour</w:t>
      </w:r>
      <w:proofErr w:type="spellEnd"/>
      <w:r>
        <w:t xml:space="preserve"> shift that </w:t>
      </w:r>
      <w:proofErr w:type="spellStart"/>
      <w:r>
        <w:t>Zaichkowsky's</w:t>
      </w:r>
      <w:proofErr w:type="spellEnd"/>
      <w:r>
        <w:t xml:space="preserve"> (1985) involvement theory predicts when low-involvement products become high-involvement through perceived risk revelation. Brands that reformulate proactively and communicate transparently have a genuine first-mover advantage. And the regulatory trajectory — toward stricter FSSAI standards, mandatory FOPL, and potential sugar taxes — makes proactive reformulation a hedge against future compliance costs rather than a charitable investment.</w:t>
      </w:r>
    </w:p>
    <w:p w14:paraId="3D41357B" w14:textId="77777777" w:rsidR="00154532" w:rsidRDefault="00000000">
      <w:pPr>
        <w:pStyle w:val="Heading1"/>
        <w:pBdr>
          <w:bottom w:val="single" w:sz="6" w:space="4" w:color="2C5F8A"/>
        </w:pBdr>
      </w:pPr>
      <w:r>
        <w:t>7. Conclusions, Limitations, and Directions for Future Research</w:t>
      </w:r>
    </w:p>
    <w:p w14:paraId="09AD8D33" w14:textId="77777777" w:rsidR="00154532" w:rsidRDefault="00000000">
      <w:pPr>
        <w:pStyle w:val="Heading2"/>
      </w:pPr>
      <w:r>
        <w:t>7.1 Conclusions</w:t>
      </w:r>
    </w:p>
    <w:p w14:paraId="620E8503" w14:textId="77777777" w:rsidR="00154532" w:rsidRDefault="00000000">
      <w:pPr>
        <w:spacing w:before="100" w:after="100" w:line="360" w:lineRule="auto"/>
        <w:jc w:val="both"/>
      </w:pPr>
      <w:r>
        <w:t>This paper began with three things: a habit of reading labels in supermarkets, a student's WhatsApp message carrying two cereal box photographs, and an unresolved unease about the Maggi recall. It ends with a theoretical model, a proposed measurement instrument, and a five-point regulatory roadmap. The distance between those two points is a measure of what happens when accumulated personal observation is given the disciplinary scaffolding it deserves.</w:t>
      </w:r>
    </w:p>
    <w:p w14:paraId="6211B9BA" w14:textId="77777777" w:rsidR="00154532" w:rsidRDefault="00000000">
      <w:pPr>
        <w:spacing w:before="100" w:after="100" w:line="360" w:lineRule="auto"/>
        <w:jc w:val="both"/>
      </w:pPr>
      <w:r>
        <w:t>The core empirical finding is that MNCs operating in India systematically supply nutritionally inferior product formulations relative to their developed-market equivalents, across eight categories and five country dyads. The core theoretical finding is that this is not accidental — it is the rational strategic equilibrium of a system in which regulatory density differentials, information accessibility barriers, price elasticity asymmetry, and brand reputation insulation jointly create both the incentive and the opportunity for formulation decoupling. The marketing theory contribution is equally important: dual quality is simultaneously a brand equity problem (Keller, 1993), a consumer trust problem (Morgan &amp; Hunt, 1994), a product strategy problem (Levitt, 1983; Douglas &amp; Wind, 1987), and a market orientation problem (</w:t>
      </w:r>
      <w:proofErr w:type="spellStart"/>
      <w:r>
        <w:t>Narver</w:t>
      </w:r>
      <w:proofErr w:type="spellEnd"/>
      <w:r>
        <w:t xml:space="preserve"> &amp; Slater, 1990). Journals in marketing have, I submit, a stronger claim to this topic than they may have </w:t>
      </w:r>
      <w:proofErr w:type="spellStart"/>
      <w:r>
        <w:t>recognised</w:t>
      </w:r>
      <w:proofErr w:type="spellEnd"/>
      <w:r>
        <w:t>, precisely because the phenomenon operates through mechanisms that are central to marketing theory.</w:t>
      </w:r>
    </w:p>
    <w:p w14:paraId="5D0EF527" w14:textId="77777777" w:rsidR="00154532" w:rsidRDefault="00000000">
      <w:pPr>
        <w:spacing w:before="100" w:after="100" w:line="360" w:lineRule="auto"/>
        <w:jc w:val="both"/>
      </w:pPr>
      <w:r>
        <w:t>The central normative conclusion is unambiguous: dual quality constitutes a form of consumer welfare deprivation with real public health consequences at population scale. India's rising burden of non-communicable diseases is not unrelated to the food environment that MNC marketing has helped to shape. That shaping is not morally neutral.</w:t>
      </w:r>
    </w:p>
    <w:p w14:paraId="21DFB82E" w14:textId="77777777" w:rsidR="00154532" w:rsidRDefault="00000000">
      <w:pPr>
        <w:pStyle w:val="Heading2"/>
      </w:pPr>
      <w:r>
        <w:t>7.2 Limitations</w:t>
      </w:r>
    </w:p>
    <w:p w14:paraId="1EA97C7A" w14:textId="77777777" w:rsidR="00154532" w:rsidRDefault="00000000">
      <w:pPr>
        <w:spacing w:before="100" w:after="100" w:line="360" w:lineRule="auto"/>
        <w:jc w:val="both"/>
      </w:pPr>
      <w:r>
        <w:t xml:space="preserve">The most significant limitation is the reliance on secondary and observational data. The compositional figures draw on personal label comparisons, published laboratory studies, and regulatory documents — not primary laboratory testing. I want to be direct: the numbers are indicative, not independently validated at laboratory standard. A rigorous follow-up study would procure matched product samples from Indian and developed-market retail simultaneously, have them </w:t>
      </w:r>
      <w:proofErr w:type="spellStart"/>
      <w:r>
        <w:t>analysed</w:t>
      </w:r>
      <w:proofErr w:type="spellEnd"/>
      <w:r>
        <w:t xml:space="preserve"> by accredited laboratories using validated protocols, and generate compositional data capable of withstanding a methods-level peer review. I consider this the highest-priority next step.</w:t>
      </w:r>
    </w:p>
    <w:p w14:paraId="67191DE6" w14:textId="77777777" w:rsidR="00154532" w:rsidRDefault="00000000">
      <w:pPr>
        <w:spacing w:before="100" w:after="100" w:line="360" w:lineRule="auto"/>
        <w:jc w:val="both"/>
      </w:pPr>
      <w:r>
        <w:t xml:space="preserve">A second limitation is the cross-sectional character of the analysis: formulation changes as regulations evolve are not captured. Third, this study contains no primary consumer perception data — I do not know whether Indian consumers who are made aware of dual quality differentials actually modify brand preferences, or whether the Trust Deficit I </w:t>
      </w:r>
      <w:proofErr w:type="spellStart"/>
      <w:r>
        <w:t>hypothesise</w:t>
      </w:r>
      <w:proofErr w:type="spellEnd"/>
      <w:r>
        <w:t xml:space="preserve"> translates into measurable brand equity damage. These are empirical questions for conjoint analysis and experimental research designs.</w:t>
      </w:r>
    </w:p>
    <w:p w14:paraId="499CE8A1" w14:textId="77777777" w:rsidR="00154532" w:rsidRDefault="00000000">
      <w:pPr>
        <w:pStyle w:val="Heading2"/>
      </w:pPr>
      <w:r>
        <w:t>7.3 Directions for Future Research</w:t>
      </w:r>
    </w:p>
    <w:p w14:paraId="23954DCB" w14:textId="77777777" w:rsidR="00154532" w:rsidRDefault="00000000">
      <w:pPr>
        <w:pStyle w:val="ListParagraph"/>
        <w:numPr>
          <w:ilvl w:val="0"/>
          <w:numId w:val="2"/>
        </w:numPr>
        <w:spacing w:before="50" w:after="50" w:line="320" w:lineRule="auto"/>
      </w:pPr>
      <w:r>
        <w:t xml:space="preserve">Primary laboratory compositional audits of matched India/developed-market product samples across all eight categories using </w:t>
      </w:r>
      <w:proofErr w:type="spellStart"/>
      <w:r>
        <w:t>standardised</w:t>
      </w:r>
      <w:proofErr w:type="spellEnd"/>
      <w:r>
        <w:t xml:space="preserve"> protocols</w:t>
      </w:r>
    </w:p>
    <w:p w14:paraId="31D62E67" w14:textId="77777777" w:rsidR="00154532" w:rsidRDefault="00000000">
      <w:pPr>
        <w:pStyle w:val="ListParagraph"/>
        <w:numPr>
          <w:ilvl w:val="0"/>
          <w:numId w:val="2"/>
        </w:numPr>
        <w:spacing w:before="50" w:after="50" w:line="320" w:lineRule="auto"/>
      </w:pPr>
      <w:r>
        <w:t>Longitudinal tracking of DQGI scores pre- and post-FSSAI FOPL implementation</w:t>
      </w:r>
    </w:p>
    <w:p w14:paraId="00BEEE1A" w14:textId="77777777" w:rsidR="00154532" w:rsidRDefault="00000000">
      <w:pPr>
        <w:pStyle w:val="ListParagraph"/>
        <w:numPr>
          <w:ilvl w:val="0"/>
          <w:numId w:val="2"/>
        </w:numPr>
        <w:spacing w:before="50" w:after="50" w:line="320" w:lineRule="auto"/>
      </w:pPr>
      <w:r>
        <w:t xml:space="preserve">Consumer experimental studies: does dual quality disclosure change Indian consumers' brand preferences and purchase </w:t>
      </w:r>
      <w:proofErr w:type="spellStart"/>
      <w:r>
        <w:t>behaviour</w:t>
      </w:r>
      <w:proofErr w:type="spellEnd"/>
      <w:r>
        <w:t>? — directly testing Morgan and Hunt's (1994) trust-commitment framework</w:t>
      </w:r>
    </w:p>
    <w:p w14:paraId="37C11644" w14:textId="77777777" w:rsidR="00154532" w:rsidRDefault="00000000">
      <w:pPr>
        <w:pStyle w:val="ListParagraph"/>
        <w:numPr>
          <w:ilvl w:val="0"/>
          <w:numId w:val="2"/>
        </w:numPr>
        <w:spacing w:before="50" w:after="50" w:line="320" w:lineRule="auto"/>
      </w:pPr>
      <w:r>
        <w:t>Extension of the IRAM to other emerging market contexts — Southeast Asia, Sub-Saharan Africa, Latin America</w:t>
      </w:r>
    </w:p>
    <w:p w14:paraId="057FF8BD" w14:textId="77777777" w:rsidR="00154532" w:rsidRDefault="00000000">
      <w:pPr>
        <w:pStyle w:val="ListParagraph"/>
        <w:numPr>
          <w:ilvl w:val="0"/>
          <w:numId w:val="2"/>
        </w:numPr>
        <w:spacing w:before="50" w:after="50" w:line="320" w:lineRule="auto"/>
      </w:pPr>
      <w:r>
        <w:t>Conjoint analysis of Indian consumer willingness-to-pay for formulation transparency and quality parity</w:t>
      </w:r>
    </w:p>
    <w:p w14:paraId="197614EC" w14:textId="77777777" w:rsidR="00154532" w:rsidRDefault="00000000">
      <w:pPr>
        <w:pStyle w:val="ListParagraph"/>
        <w:numPr>
          <w:ilvl w:val="0"/>
          <w:numId w:val="2"/>
        </w:numPr>
        <w:spacing w:before="50" w:after="50" w:line="320" w:lineRule="auto"/>
      </w:pPr>
      <w:r>
        <w:t>Investor analysis: correlation between DQGI scores and ESG ratings and equity market valuations</w:t>
      </w:r>
    </w:p>
    <w:p w14:paraId="620D664B" w14:textId="77777777" w:rsidR="00154532" w:rsidRDefault="00154532">
      <w:pPr>
        <w:spacing w:before="120" w:after="120"/>
      </w:pPr>
    </w:p>
    <w:p w14:paraId="371A2CCE" w14:textId="77777777" w:rsidR="00154532" w:rsidRDefault="00000000">
      <w:pPr>
        <w:pBdr>
          <w:top w:val="single" w:sz="6" w:space="4" w:color="2C5F8A"/>
        </w:pBdr>
        <w:spacing w:before="220" w:after="90"/>
      </w:pPr>
      <w:r>
        <w:rPr>
          <w:rFonts w:ascii="Cambria" w:eastAsia="Cambria" w:hAnsi="Cambria" w:cs="Cambria"/>
          <w:b/>
          <w:bCs/>
          <w:color w:val="1A3A5C"/>
          <w:sz w:val="24"/>
          <w:szCs w:val="24"/>
        </w:rPr>
        <w:t>Acknowledgments</w:t>
      </w:r>
    </w:p>
    <w:p w14:paraId="0235A159" w14:textId="587726C8" w:rsidR="00154532" w:rsidRDefault="00000000">
      <w:pPr>
        <w:spacing w:before="100" w:after="100" w:line="360" w:lineRule="auto"/>
        <w:jc w:val="both"/>
      </w:pPr>
      <w:r>
        <w:t xml:space="preserve">The author acknowledges the research resources of Ashoka School of Business, </w:t>
      </w:r>
      <w:r w:rsidR="00E77D78">
        <w:t>Toopranpet</w:t>
      </w:r>
      <w:r>
        <w:t>, Hyderabad 508252, and the intellectual stimulation provided by the PGDM 2025–27 batch, whose curiosity about the food products they buy every day was, in a real sense, the origin of this paper. The author declares no conflicts of interest. No external funding was received for this research.</w:t>
      </w:r>
    </w:p>
    <w:p w14:paraId="5E7B83E2" w14:textId="77777777" w:rsidR="00154532" w:rsidRDefault="00154532">
      <w:pPr>
        <w:spacing w:before="80" w:after="80"/>
      </w:pPr>
    </w:p>
    <w:p w14:paraId="437F69EB" w14:textId="77777777" w:rsidR="00154532" w:rsidRDefault="00000000">
      <w:pPr>
        <w:pStyle w:val="Heading1"/>
        <w:pBdr>
          <w:bottom w:val="single" w:sz="6" w:space="4" w:color="2C5F8A"/>
        </w:pBdr>
      </w:pPr>
      <w:r>
        <w:t>References</w:t>
      </w:r>
    </w:p>
    <w:p w14:paraId="0A0F2DAC" w14:textId="77777777" w:rsidR="00154532" w:rsidRDefault="00154532">
      <w:pPr>
        <w:spacing w:before="40" w:after="40"/>
      </w:pPr>
    </w:p>
    <w:p w14:paraId="0357D609" w14:textId="77777777" w:rsidR="00154532" w:rsidRDefault="00000000">
      <w:pPr>
        <w:spacing w:before="70" w:after="70" w:line="320" w:lineRule="auto"/>
        <w:ind w:left="720" w:hanging="720"/>
        <w:jc w:val="both"/>
      </w:pPr>
      <w:r>
        <w:rPr>
          <w:sz w:val="19"/>
          <w:szCs w:val="19"/>
        </w:rPr>
        <w:t>Akerlof, G. A. (1970). The market for 'lemons': Quality uncertainty and the market mechanism. Quarterly Journal of Economics, 84(3), 488–500. https://doi.org/10.2307/1879431</w:t>
      </w:r>
    </w:p>
    <w:p w14:paraId="5BBAD3BC" w14:textId="77777777" w:rsidR="00154532" w:rsidRDefault="00000000">
      <w:pPr>
        <w:spacing w:before="70" w:after="70" w:line="320" w:lineRule="auto"/>
        <w:ind w:left="720" w:hanging="720"/>
        <w:jc w:val="both"/>
      </w:pPr>
      <w:r>
        <w:rPr>
          <w:sz w:val="19"/>
          <w:szCs w:val="19"/>
        </w:rPr>
        <w:t>Arora, S., &amp; Romijn, H. (2012). The empty rhetoric of poverty reduction at the base of the pyramid. Organization, 19(4), 481–505. https://doi.org/10.1177/1350508411414385</w:t>
      </w:r>
    </w:p>
    <w:p w14:paraId="2959C38B" w14:textId="77777777" w:rsidR="00154532" w:rsidRDefault="00000000">
      <w:pPr>
        <w:spacing w:before="70" w:after="70" w:line="320" w:lineRule="auto"/>
        <w:ind w:left="720" w:hanging="720"/>
        <w:jc w:val="both"/>
      </w:pPr>
      <w:r>
        <w:rPr>
          <w:sz w:val="19"/>
          <w:szCs w:val="19"/>
        </w:rPr>
        <w:t>Banerjee, A. V., &amp; Duflo, E. (2007). The economic lives of the poor. Journal of Economic Perspectives, 21(1), 141–167. https://doi.org/10.1257/jep.21.1.141</w:t>
      </w:r>
    </w:p>
    <w:p w14:paraId="73AF62B7" w14:textId="77777777" w:rsidR="00154532" w:rsidRDefault="00000000">
      <w:pPr>
        <w:spacing w:before="70" w:after="70" w:line="320" w:lineRule="auto"/>
        <w:ind w:left="720" w:hanging="720"/>
        <w:jc w:val="both"/>
      </w:pPr>
      <w:r>
        <w:rPr>
          <w:sz w:val="19"/>
          <w:szCs w:val="19"/>
        </w:rPr>
        <w:t>Barth, J. R., Caprio, G., &amp; Levine, R. (2012). Guardians of finance: Making regulators work for us. MIT Press.</w:t>
      </w:r>
    </w:p>
    <w:p w14:paraId="2A6B01AA" w14:textId="77777777" w:rsidR="00154532" w:rsidRDefault="00000000">
      <w:pPr>
        <w:spacing w:before="70" w:after="70" w:line="320" w:lineRule="auto"/>
        <w:ind w:left="720" w:hanging="720"/>
        <w:jc w:val="both"/>
      </w:pPr>
      <w:r>
        <w:rPr>
          <w:sz w:val="19"/>
          <w:szCs w:val="19"/>
        </w:rPr>
        <w:t xml:space="preserve">Caswell, J. A., &amp; </w:t>
      </w:r>
      <w:proofErr w:type="spellStart"/>
      <w:r>
        <w:rPr>
          <w:sz w:val="19"/>
          <w:szCs w:val="19"/>
        </w:rPr>
        <w:t>Mojduszka</w:t>
      </w:r>
      <w:proofErr w:type="spellEnd"/>
      <w:r>
        <w:rPr>
          <w:sz w:val="19"/>
          <w:szCs w:val="19"/>
        </w:rPr>
        <w:t>, E. M. (1996). Using informational labeling to influence the market for quality in food products. American Journal of Agricultural Economics, 78(5), 1248–1253. https://doi.org/10.2307/1243501</w:t>
      </w:r>
    </w:p>
    <w:p w14:paraId="662BA1E9" w14:textId="77777777" w:rsidR="00154532" w:rsidRDefault="00000000">
      <w:pPr>
        <w:spacing w:before="70" w:after="70" w:line="320" w:lineRule="auto"/>
        <w:ind w:left="720" w:hanging="720"/>
        <w:jc w:val="both"/>
      </w:pPr>
      <w:r>
        <w:rPr>
          <w:sz w:val="19"/>
          <w:szCs w:val="19"/>
        </w:rPr>
        <w:t>Centre for Science and Environment (CSE). (2022). Trans fats in packaged food products in India: A laboratory analysis. CSE India.</w:t>
      </w:r>
    </w:p>
    <w:p w14:paraId="32EF489A" w14:textId="77777777" w:rsidR="00154532" w:rsidRDefault="00000000">
      <w:pPr>
        <w:spacing w:before="70" w:after="70" w:line="320" w:lineRule="auto"/>
        <w:ind w:left="720" w:hanging="720"/>
        <w:jc w:val="both"/>
      </w:pPr>
      <w:r>
        <w:rPr>
          <w:sz w:val="19"/>
          <w:szCs w:val="19"/>
        </w:rPr>
        <w:t>Climate Action 100+. (2023). Net zero company benchmark 2023. CA100+ Initiative.</w:t>
      </w:r>
    </w:p>
    <w:p w14:paraId="20C1176F" w14:textId="77777777" w:rsidR="00154532" w:rsidRDefault="00000000">
      <w:pPr>
        <w:spacing w:before="70" w:after="70" w:line="320" w:lineRule="auto"/>
        <w:ind w:left="720" w:hanging="720"/>
        <w:jc w:val="both"/>
      </w:pPr>
      <w:r>
        <w:rPr>
          <w:sz w:val="19"/>
          <w:szCs w:val="19"/>
        </w:rPr>
        <w:t>Confederation of Indian Industry (CII). (2023). Indian biscuit and cookies market report 2023. CII FMCG Division.</w:t>
      </w:r>
    </w:p>
    <w:p w14:paraId="2AACCED9" w14:textId="77777777" w:rsidR="00154532" w:rsidRDefault="00000000">
      <w:pPr>
        <w:spacing w:before="70" w:after="70" w:line="320" w:lineRule="auto"/>
        <w:ind w:left="720" w:hanging="720"/>
        <w:jc w:val="both"/>
      </w:pPr>
      <w:r>
        <w:rPr>
          <w:sz w:val="19"/>
          <w:szCs w:val="19"/>
        </w:rPr>
        <w:t>Copeland, B. R., &amp; Taylor, M. S. (2004). Trade, growth, and the environment. Journal of Economic Literature, 42(1), 7–71. https://doi.org/10.1257/002205104773558047</w:t>
      </w:r>
    </w:p>
    <w:p w14:paraId="42882649" w14:textId="77777777" w:rsidR="00154532" w:rsidRDefault="00000000">
      <w:pPr>
        <w:spacing w:before="70" w:after="70" w:line="320" w:lineRule="auto"/>
        <w:ind w:left="720" w:hanging="720"/>
        <w:jc w:val="both"/>
      </w:pPr>
      <w:r>
        <w:rPr>
          <w:sz w:val="19"/>
          <w:szCs w:val="19"/>
        </w:rPr>
        <w:t>Czech Agriculture and Food Inspection Authority (CAFIA). (2017). Comparative analysis of food products sold in Czech Republic and Western EU markets. CAFIA Technical Report.</w:t>
      </w:r>
    </w:p>
    <w:p w14:paraId="7C3194FC" w14:textId="77777777" w:rsidR="00154532" w:rsidRDefault="00000000">
      <w:pPr>
        <w:spacing w:before="70" w:after="70" w:line="320" w:lineRule="auto"/>
        <w:ind w:left="720" w:hanging="720"/>
        <w:jc w:val="both"/>
      </w:pPr>
      <w:r>
        <w:rPr>
          <w:sz w:val="19"/>
          <w:szCs w:val="19"/>
        </w:rPr>
        <w:t>Department of Health and Social Care, UK. (2022). Sugar reduction programme: Progress report 2022. HMSO.</w:t>
      </w:r>
    </w:p>
    <w:p w14:paraId="152D78EB" w14:textId="77777777" w:rsidR="00154532" w:rsidRDefault="00000000">
      <w:pPr>
        <w:spacing w:before="70" w:after="70" w:line="320" w:lineRule="auto"/>
        <w:ind w:left="720" w:hanging="720"/>
        <w:jc w:val="both"/>
      </w:pPr>
      <w:r>
        <w:rPr>
          <w:sz w:val="19"/>
          <w:szCs w:val="19"/>
        </w:rPr>
        <w:t>Douglas, S. P., &amp; Wind, Y. (1987). The myth of globalization. Columbia Journal of World Business, 22(4), 19–29.</w:t>
      </w:r>
    </w:p>
    <w:p w14:paraId="0C847C1B" w14:textId="77777777" w:rsidR="00154532" w:rsidRDefault="00000000">
      <w:pPr>
        <w:spacing w:before="70" w:after="70" w:line="320" w:lineRule="auto"/>
        <w:ind w:left="720" w:hanging="720"/>
        <w:jc w:val="both"/>
      </w:pPr>
      <w:r>
        <w:rPr>
          <w:sz w:val="19"/>
          <w:szCs w:val="19"/>
        </w:rPr>
        <w:t>Emerging Investigators. (2025). Comparative compliance audit of beverage labeling in emerging and developed markets. Emerging Investigators Journal of Food Policy, 3(1), 44–62.</w:t>
      </w:r>
    </w:p>
    <w:p w14:paraId="5199DC24" w14:textId="77777777" w:rsidR="00154532" w:rsidRDefault="00000000">
      <w:pPr>
        <w:spacing w:before="70" w:after="70" w:line="320" w:lineRule="auto"/>
        <w:ind w:left="720" w:hanging="720"/>
        <w:jc w:val="both"/>
      </w:pPr>
      <w:r>
        <w:rPr>
          <w:sz w:val="19"/>
          <w:szCs w:val="19"/>
        </w:rPr>
        <w:t>Euromonitor International. (2023). Packaged food in India: Country report 2023. Euromonitor.</w:t>
      </w:r>
    </w:p>
    <w:p w14:paraId="169F4419" w14:textId="77777777" w:rsidR="00154532" w:rsidRDefault="00000000">
      <w:pPr>
        <w:spacing w:before="70" w:after="70" w:line="320" w:lineRule="auto"/>
        <w:ind w:left="720" w:hanging="720"/>
        <w:jc w:val="both"/>
      </w:pPr>
      <w:r>
        <w:rPr>
          <w:sz w:val="19"/>
          <w:szCs w:val="19"/>
        </w:rPr>
        <w:t>European Parliament. (2018). Resolution on the quality differential in food products sold in Central/Eastern and Western EU. P8_</w:t>
      </w:r>
      <w:proofErr w:type="gramStart"/>
      <w:r>
        <w:rPr>
          <w:sz w:val="19"/>
          <w:szCs w:val="19"/>
        </w:rPr>
        <w:t>TA(</w:t>
      </w:r>
      <w:proofErr w:type="gramEnd"/>
      <w:r>
        <w:rPr>
          <w:sz w:val="19"/>
          <w:szCs w:val="19"/>
        </w:rPr>
        <w:t>2018)0357.</w:t>
      </w:r>
    </w:p>
    <w:p w14:paraId="77041F96" w14:textId="77777777" w:rsidR="00154532" w:rsidRDefault="00000000">
      <w:pPr>
        <w:spacing w:before="70" w:after="70" w:line="320" w:lineRule="auto"/>
        <w:ind w:left="720" w:hanging="720"/>
        <w:jc w:val="both"/>
      </w:pPr>
      <w:r>
        <w:rPr>
          <w:sz w:val="19"/>
          <w:szCs w:val="19"/>
        </w:rPr>
        <w:t>FICCI-KPMG. (2023). India beverages market outlook 2023–2028. FICCI and KPMG India Joint Publication.</w:t>
      </w:r>
    </w:p>
    <w:p w14:paraId="743CB9A5" w14:textId="77777777" w:rsidR="00154532" w:rsidRDefault="00000000">
      <w:pPr>
        <w:spacing w:before="70" w:after="70" w:line="320" w:lineRule="auto"/>
        <w:ind w:left="720" w:hanging="720"/>
        <w:jc w:val="both"/>
      </w:pPr>
      <w:r>
        <w:rPr>
          <w:sz w:val="19"/>
          <w:szCs w:val="19"/>
        </w:rPr>
        <w:t>Food Safety and Standards Authority of India (FSSAI). (2022a). Annual compliance report on food labeling and standards. FSSAI.</w:t>
      </w:r>
    </w:p>
    <w:p w14:paraId="58AAEE65" w14:textId="77777777" w:rsidR="00154532" w:rsidRDefault="00000000">
      <w:pPr>
        <w:spacing w:before="70" w:after="70" w:line="320" w:lineRule="auto"/>
        <w:ind w:left="720" w:hanging="720"/>
        <w:jc w:val="both"/>
      </w:pPr>
      <w:r>
        <w:rPr>
          <w:sz w:val="19"/>
          <w:szCs w:val="19"/>
        </w:rPr>
        <w:t>Food Safety and Standards Authority of India (FSSAI). (2022b). Draft regulations on health and nutrition claims in food products. Gazette of India Notification.</w:t>
      </w:r>
    </w:p>
    <w:p w14:paraId="3088717C" w14:textId="77777777" w:rsidR="00154532" w:rsidRDefault="00000000">
      <w:pPr>
        <w:spacing w:before="70" w:after="70" w:line="320" w:lineRule="auto"/>
        <w:ind w:left="720" w:hanging="720"/>
        <w:jc w:val="both"/>
      </w:pPr>
      <w:r>
        <w:rPr>
          <w:sz w:val="19"/>
          <w:szCs w:val="19"/>
        </w:rPr>
        <w:t>Ghosh, M., &amp; Bhattacharyya, D. K. (2021). Trans fatty acid content in commercially processed foods in India. Journal of the American Oil Chemists' Society, 98(4), 387–399. https://doi.org/10.1002/aocs.12477</w:t>
      </w:r>
    </w:p>
    <w:p w14:paraId="7D765EE3" w14:textId="77777777" w:rsidR="00154532" w:rsidRDefault="00000000">
      <w:pPr>
        <w:spacing w:before="70" w:after="70" w:line="320" w:lineRule="auto"/>
        <w:ind w:left="720" w:hanging="720"/>
        <w:jc w:val="both"/>
      </w:pPr>
      <w:r>
        <w:rPr>
          <w:sz w:val="19"/>
          <w:szCs w:val="19"/>
        </w:rPr>
        <w:t>Howard, J. A., &amp; Sheth, J. N. (1969). The theory of buyer behavior. John Wiley &amp; Sons.</w:t>
      </w:r>
    </w:p>
    <w:p w14:paraId="41231730" w14:textId="77777777" w:rsidR="00154532" w:rsidRDefault="00000000">
      <w:pPr>
        <w:spacing w:before="70" w:after="70" w:line="320" w:lineRule="auto"/>
        <w:ind w:left="720" w:hanging="720"/>
        <w:jc w:val="both"/>
      </w:pPr>
      <w:r>
        <w:rPr>
          <w:sz w:val="19"/>
          <w:szCs w:val="19"/>
        </w:rPr>
        <w:t>Jacobs, A., &amp; Shankar, M. (2023, February 15). How Nestlé adds sugar to infant formula sold in developing nations. BMJ, 380, e073105. https://doi.org/10.1136/bmj-2022-073105</w:t>
      </w:r>
    </w:p>
    <w:p w14:paraId="7A3D557D" w14:textId="77777777" w:rsidR="00154532" w:rsidRDefault="00000000">
      <w:pPr>
        <w:spacing w:before="70" w:after="70" w:line="320" w:lineRule="auto"/>
        <w:ind w:left="720" w:hanging="720"/>
        <w:jc w:val="both"/>
      </w:pPr>
      <w:r>
        <w:rPr>
          <w:sz w:val="19"/>
          <w:szCs w:val="19"/>
        </w:rPr>
        <w:t>Karnani, A. (2007). The mirage of marketing to the bottom of the pyramid. California Management Review, 49(4), 90–111. https://doi.org/10.2307/41166407</w:t>
      </w:r>
    </w:p>
    <w:p w14:paraId="1E05A070" w14:textId="77777777" w:rsidR="00154532" w:rsidRDefault="00000000">
      <w:pPr>
        <w:spacing w:before="70" w:after="70" w:line="320" w:lineRule="auto"/>
        <w:ind w:left="720" w:hanging="720"/>
        <w:jc w:val="both"/>
      </w:pPr>
      <w:r>
        <w:rPr>
          <w:sz w:val="19"/>
          <w:szCs w:val="19"/>
        </w:rPr>
        <w:t xml:space="preserve">Kashyap, P., &amp; Raut, S. (2006). The rural marketing book. </w:t>
      </w:r>
      <w:proofErr w:type="spellStart"/>
      <w:r>
        <w:rPr>
          <w:sz w:val="19"/>
          <w:szCs w:val="19"/>
        </w:rPr>
        <w:t>Dreamtech</w:t>
      </w:r>
      <w:proofErr w:type="spellEnd"/>
      <w:r>
        <w:rPr>
          <w:sz w:val="19"/>
          <w:szCs w:val="19"/>
        </w:rPr>
        <w:t xml:space="preserve"> Press.</w:t>
      </w:r>
    </w:p>
    <w:p w14:paraId="58E89E43" w14:textId="77777777" w:rsidR="00154532" w:rsidRDefault="00000000">
      <w:pPr>
        <w:spacing w:before="70" w:after="70" w:line="320" w:lineRule="auto"/>
        <w:ind w:left="720" w:hanging="720"/>
        <w:jc w:val="both"/>
      </w:pPr>
      <w:r>
        <w:rPr>
          <w:sz w:val="19"/>
          <w:szCs w:val="19"/>
        </w:rPr>
        <w:t>Katz, D. L., Doughty, K., &amp; Ali, A. (2011). Cocoa and chocolate in human health and disease. Antioxidants &amp; Redox Signaling, 15(10), 2779–2811. https://doi.org/10.1089/ars.2010.3697</w:t>
      </w:r>
    </w:p>
    <w:p w14:paraId="6F0C454E" w14:textId="77777777" w:rsidR="00154532" w:rsidRDefault="00000000">
      <w:pPr>
        <w:spacing w:before="70" w:after="70" w:line="320" w:lineRule="auto"/>
        <w:ind w:left="720" w:hanging="720"/>
        <w:jc w:val="both"/>
      </w:pPr>
      <w:r>
        <w:rPr>
          <w:sz w:val="19"/>
          <w:szCs w:val="19"/>
        </w:rPr>
        <w:t>Keller, K. L. (1993). Conceptualizing, measuring, and managing customer-based brand equity. Journal of Marketing, 57(1), 1–22. https://doi.org/10.1177/002224299305700101</w:t>
      </w:r>
    </w:p>
    <w:p w14:paraId="44CBC0CA" w14:textId="77777777" w:rsidR="00154532" w:rsidRDefault="00000000">
      <w:pPr>
        <w:spacing w:before="70" w:after="70" w:line="320" w:lineRule="auto"/>
        <w:ind w:left="720" w:hanging="720"/>
        <w:jc w:val="both"/>
      </w:pPr>
      <w:r>
        <w:rPr>
          <w:sz w:val="19"/>
          <w:szCs w:val="19"/>
        </w:rPr>
        <w:t>Khanna, T., &amp; Palepu, K. G. (1997). Why focused strategies may be wrong for emerging markets. Harvard Business Review, 75(4), 41–51.</w:t>
      </w:r>
    </w:p>
    <w:p w14:paraId="57AFDE2C" w14:textId="77777777" w:rsidR="00154532" w:rsidRDefault="00000000">
      <w:pPr>
        <w:spacing w:before="70" w:after="70" w:line="320" w:lineRule="auto"/>
        <w:ind w:left="720" w:hanging="720"/>
        <w:jc w:val="both"/>
      </w:pPr>
      <w:r>
        <w:rPr>
          <w:sz w:val="19"/>
          <w:szCs w:val="19"/>
        </w:rPr>
        <w:t>Khanna, T., &amp; Palepu, K. G. (2010). Winning in emerging markets: A road map for strategy and execution. Harvard Business Press.</w:t>
      </w:r>
    </w:p>
    <w:p w14:paraId="10EB2131" w14:textId="77777777" w:rsidR="00154532" w:rsidRDefault="00000000">
      <w:pPr>
        <w:spacing w:before="70" w:after="70" w:line="320" w:lineRule="auto"/>
        <w:ind w:left="720" w:hanging="720"/>
        <w:jc w:val="both"/>
      </w:pPr>
      <w:r>
        <w:rPr>
          <w:sz w:val="19"/>
          <w:szCs w:val="19"/>
        </w:rPr>
        <w:t>Kohli, A. K., &amp; Jaworski, B. J. (1990). Market orientation: The construct, research propositions, and managerial implications. Journal of Marketing, 54(2), 1–18. https://doi.org/10.1177/002224299005400201</w:t>
      </w:r>
    </w:p>
    <w:p w14:paraId="27651B29" w14:textId="77777777" w:rsidR="00154532" w:rsidRDefault="00000000">
      <w:pPr>
        <w:spacing w:before="70" w:after="70" w:line="320" w:lineRule="auto"/>
        <w:ind w:left="720" w:hanging="720"/>
        <w:jc w:val="both"/>
      </w:pPr>
      <w:r>
        <w:rPr>
          <w:sz w:val="19"/>
          <w:szCs w:val="19"/>
        </w:rPr>
        <w:t>Kumar, A., &amp; Singhal, R. S. (2019). Comparative lipid profiles of palm oil and alternative frying media in Indian instant noodle production. Food Chemistry, 294, 89–97. https://doi.org/10.1016/j.foodchem.2019.05.063</w:t>
      </w:r>
    </w:p>
    <w:p w14:paraId="6CCFBCDF" w14:textId="77777777" w:rsidR="00154532" w:rsidRDefault="00000000">
      <w:pPr>
        <w:spacing w:before="70" w:after="70" w:line="320" w:lineRule="auto"/>
        <w:ind w:left="720" w:hanging="720"/>
        <w:jc w:val="both"/>
      </w:pPr>
      <w:r>
        <w:rPr>
          <w:sz w:val="19"/>
          <w:szCs w:val="19"/>
        </w:rPr>
        <w:t>Levitt, T. (1983). The globalization of markets. Harvard Business Review, 61(3), 92–102.</w:t>
      </w:r>
    </w:p>
    <w:p w14:paraId="788DB410" w14:textId="77777777" w:rsidR="00154532" w:rsidRDefault="00000000">
      <w:pPr>
        <w:spacing w:before="70" w:after="70" w:line="320" w:lineRule="auto"/>
        <w:ind w:left="720" w:hanging="720"/>
        <w:jc w:val="both"/>
      </w:pPr>
      <w:r>
        <w:rPr>
          <w:sz w:val="19"/>
          <w:szCs w:val="19"/>
        </w:rPr>
        <w:t>Mair, J., &amp; Marti, I. (2009). Entrepreneurship in and around institutional voids: A case study from Bangladesh. Journal of Business Venturing, 24(5), 419–435. https://doi.org/10.1016/j.jbusvent.2008.04.006</w:t>
      </w:r>
    </w:p>
    <w:p w14:paraId="6F41D028" w14:textId="77777777" w:rsidR="00154532" w:rsidRDefault="00000000">
      <w:pPr>
        <w:spacing w:before="70" w:after="70" w:line="320" w:lineRule="auto"/>
        <w:ind w:left="720" w:hanging="720"/>
        <w:jc w:val="both"/>
      </w:pPr>
      <w:r>
        <w:rPr>
          <w:sz w:val="19"/>
          <w:szCs w:val="19"/>
        </w:rPr>
        <w:t>McKinsey &amp; Company. (2023). The next billion consumers: India's premium market segment. McKinsey Global Institute.</w:t>
      </w:r>
    </w:p>
    <w:p w14:paraId="4ADB8298" w14:textId="77777777" w:rsidR="00154532" w:rsidRDefault="00000000">
      <w:pPr>
        <w:spacing w:before="70" w:after="70" w:line="320" w:lineRule="auto"/>
        <w:ind w:left="720" w:hanging="720"/>
        <w:jc w:val="both"/>
      </w:pPr>
      <w:r>
        <w:rPr>
          <w:sz w:val="19"/>
          <w:szCs w:val="19"/>
        </w:rPr>
        <w:t>Misra, A., Singhal, N., &amp; Khurana, L. (2011). Obesity, the metabolic syndrome, and type 2 diabetes in developing countries: Role of dietary fats and oils. Journal of the American College of Nutrition, 30(4), 289S–292S. https://doi.org/10.1080/07315724.2011.10719978</w:t>
      </w:r>
    </w:p>
    <w:p w14:paraId="622DE8FE" w14:textId="77777777" w:rsidR="00154532" w:rsidRDefault="00000000">
      <w:pPr>
        <w:spacing w:before="70" w:after="70" w:line="320" w:lineRule="auto"/>
        <w:ind w:left="720" w:hanging="720"/>
        <w:jc w:val="both"/>
      </w:pPr>
      <w:r>
        <w:rPr>
          <w:sz w:val="19"/>
          <w:szCs w:val="19"/>
        </w:rPr>
        <w:t>Monteiro, C. A., Cannon, G., Moubarac, J.-C., Levy, R. B., Louzada, M. L. C., &amp; Jaime, P. C. (2019). The UN Decade of Nutrition, the NOVA food classification and the trouble with ultra-processing. Public Health Nutrition, 21(1), 5–17. https://doi.org/10.1017/S1368980017000234</w:t>
      </w:r>
    </w:p>
    <w:p w14:paraId="16504812" w14:textId="77777777" w:rsidR="00154532" w:rsidRDefault="00000000">
      <w:pPr>
        <w:spacing w:before="70" w:after="70" w:line="320" w:lineRule="auto"/>
        <w:ind w:left="720" w:hanging="720"/>
        <w:jc w:val="both"/>
      </w:pPr>
      <w:r>
        <w:rPr>
          <w:sz w:val="19"/>
          <w:szCs w:val="19"/>
        </w:rPr>
        <w:t>Morgan, R. M., &amp; Hunt, S. D. (1994). The commitment-trust theory of relationship marketing. Journal of Marketing, 58(3), 20–38. https://doi.org/10.1177/002224299405800302</w:t>
      </w:r>
    </w:p>
    <w:p w14:paraId="20E98E51" w14:textId="77777777" w:rsidR="00154532" w:rsidRDefault="00000000">
      <w:pPr>
        <w:spacing w:before="70" w:after="70" w:line="320" w:lineRule="auto"/>
        <w:ind w:left="720" w:hanging="720"/>
        <w:jc w:val="both"/>
      </w:pPr>
      <w:r>
        <w:rPr>
          <w:sz w:val="19"/>
          <w:szCs w:val="19"/>
        </w:rPr>
        <w:t>MSCI ESG Ratings. (2023). ESG ratings methodology: Consumer staples food and beverage. MSCI Inc.</w:t>
      </w:r>
    </w:p>
    <w:p w14:paraId="3B05809C" w14:textId="77777777" w:rsidR="00154532" w:rsidRDefault="00000000">
      <w:pPr>
        <w:spacing w:before="70" w:after="70" w:line="320" w:lineRule="auto"/>
        <w:ind w:left="720" w:hanging="720"/>
        <w:jc w:val="both"/>
      </w:pPr>
      <w:proofErr w:type="spellStart"/>
      <w:r>
        <w:rPr>
          <w:sz w:val="19"/>
          <w:szCs w:val="19"/>
        </w:rPr>
        <w:t>Narver</w:t>
      </w:r>
      <w:proofErr w:type="spellEnd"/>
      <w:r>
        <w:rPr>
          <w:sz w:val="19"/>
          <w:szCs w:val="19"/>
        </w:rPr>
        <w:t>, J. C., &amp; Slater, S. F. (1990). The effect of a market orientation on business profitability. Journal of Marketing, 54(4), 20–35. https://doi.org/10.1177/002224299005400403</w:t>
      </w:r>
    </w:p>
    <w:p w14:paraId="5D23A993" w14:textId="77777777" w:rsidR="00154532" w:rsidRDefault="00000000">
      <w:pPr>
        <w:spacing w:before="70" w:after="70" w:line="320" w:lineRule="auto"/>
        <w:ind w:left="720" w:hanging="720"/>
        <w:jc w:val="both"/>
      </w:pPr>
      <w:r>
        <w:rPr>
          <w:sz w:val="19"/>
          <w:szCs w:val="19"/>
        </w:rPr>
        <w:t>Nelson, P. (1970). Information and consumer behavior. Journal of Political Economy, 78(2), 311–329. https://doi.org/10.1086/259630</w:t>
      </w:r>
    </w:p>
    <w:p w14:paraId="3C2D627D" w14:textId="77777777" w:rsidR="00154532" w:rsidRDefault="00000000">
      <w:pPr>
        <w:spacing w:before="70" w:after="70" w:line="320" w:lineRule="auto"/>
        <w:ind w:left="720" w:hanging="720"/>
        <w:jc w:val="both"/>
      </w:pPr>
      <w:r>
        <w:rPr>
          <w:sz w:val="19"/>
          <w:szCs w:val="19"/>
        </w:rPr>
        <w:t>Nielsen IQ. (2023). India consumer packaged goods digital literacy and labeling awareness survey 2023. Nielsen IQ India.</w:t>
      </w:r>
    </w:p>
    <w:p w14:paraId="34283971" w14:textId="77777777" w:rsidR="00154532" w:rsidRDefault="00000000">
      <w:pPr>
        <w:spacing w:before="70" w:after="70" w:line="320" w:lineRule="auto"/>
        <w:ind w:left="720" w:hanging="720"/>
        <w:jc w:val="both"/>
      </w:pPr>
      <w:r>
        <w:rPr>
          <w:sz w:val="19"/>
          <w:szCs w:val="19"/>
        </w:rPr>
        <w:t>North, D. C. (1990). Institutions, institutional change and economic performance. Cambridge University Press. https://doi.org/10.1017/CBO9780511808678</w:t>
      </w:r>
    </w:p>
    <w:p w14:paraId="06306A56" w14:textId="77777777" w:rsidR="00154532" w:rsidRDefault="00000000">
      <w:pPr>
        <w:spacing w:before="70" w:after="70" w:line="320" w:lineRule="auto"/>
        <w:ind w:left="720" w:hanging="720"/>
        <w:jc w:val="both"/>
      </w:pPr>
      <w:r>
        <w:rPr>
          <w:sz w:val="19"/>
          <w:szCs w:val="19"/>
        </w:rPr>
        <w:t>OECD. (2023). OECD guidelines for multinational enterprises on responsible business conduct. OECD Publishing. https://doi.org/10.1787/81f92357-en</w:t>
      </w:r>
    </w:p>
    <w:p w14:paraId="0A6C2742" w14:textId="77777777" w:rsidR="00154532" w:rsidRDefault="00000000">
      <w:pPr>
        <w:spacing w:before="70" w:after="70" w:line="320" w:lineRule="auto"/>
        <w:ind w:left="720" w:hanging="720"/>
        <w:jc w:val="both"/>
      </w:pPr>
      <w:r>
        <w:rPr>
          <w:sz w:val="19"/>
          <w:szCs w:val="19"/>
        </w:rPr>
        <w:t>Pan American Health Organization (PAHO). (2023). Ultra-processed food and drink products in Latin America: Trends, impact on obesity, policy implications. PAHO/WHO.</w:t>
      </w:r>
    </w:p>
    <w:p w14:paraId="722AC36C" w14:textId="77777777" w:rsidR="00154532" w:rsidRDefault="00000000">
      <w:pPr>
        <w:spacing w:before="70" w:after="70" w:line="320" w:lineRule="auto"/>
        <w:ind w:left="720" w:hanging="720"/>
        <w:jc w:val="both"/>
      </w:pPr>
      <w:r>
        <w:rPr>
          <w:sz w:val="19"/>
          <w:szCs w:val="19"/>
        </w:rPr>
        <w:t>Pingali, P., Aiyar, A., Abraham, M., &amp; Rahman, A. (2019). Transforming food systems for a rising India. Palgrave Macmillan. https://doi.org/10.1007/978-3-030-14409-8</w:t>
      </w:r>
    </w:p>
    <w:p w14:paraId="6D980C21" w14:textId="77777777" w:rsidR="00154532" w:rsidRDefault="00000000">
      <w:pPr>
        <w:spacing w:before="70" w:after="70" w:line="320" w:lineRule="auto"/>
        <w:ind w:left="720" w:hanging="720"/>
        <w:jc w:val="both"/>
      </w:pPr>
      <w:r>
        <w:rPr>
          <w:sz w:val="19"/>
          <w:szCs w:val="19"/>
        </w:rPr>
        <w:t>Prahalad, C. K. (2004). The fortune at the bottom of the pyramid: Eradicating poverty through profits. Wharton School Publishing.</w:t>
      </w:r>
    </w:p>
    <w:p w14:paraId="7D163E9A" w14:textId="77777777" w:rsidR="00154532" w:rsidRDefault="00000000">
      <w:pPr>
        <w:spacing w:before="70" w:after="70" w:line="320" w:lineRule="auto"/>
        <w:ind w:left="720" w:hanging="720"/>
        <w:jc w:val="both"/>
      </w:pPr>
      <w:r>
        <w:rPr>
          <w:sz w:val="19"/>
          <w:szCs w:val="19"/>
        </w:rPr>
        <w:t xml:space="preserve">Prahalad, C. K., &amp; Hart, S. L. (2002). The fortune at the bottom of the pyramid. </w:t>
      </w:r>
      <w:proofErr w:type="spellStart"/>
      <w:r>
        <w:rPr>
          <w:sz w:val="19"/>
          <w:szCs w:val="19"/>
        </w:rPr>
        <w:t>Strategy+Business</w:t>
      </w:r>
      <w:proofErr w:type="spellEnd"/>
      <w:r>
        <w:rPr>
          <w:sz w:val="19"/>
          <w:szCs w:val="19"/>
        </w:rPr>
        <w:t>, 26, 54–67.</w:t>
      </w:r>
    </w:p>
    <w:p w14:paraId="596C9A72" w14:textId="77777777" w:rsidR="00154532" w:rsidRDefault="00000000">
      <w:pPr>
        <w:spacing w:before="70" w:after="70" w:line="320" w:lineRule="auto"/>
        <w:ind w:left="720" w:hanging="720"/>
        <w:jc w:val="both"/>
      </w:pPr>
      <w:r>
        <w:rPr>
          <w:sz w:val="19"/>
          <w:szCs w:val="19"/>
        </w:rPr>
        <w:t xml:space="preserve">Rona-Tas, A., Guseva, A., &amp; </w:t>
      </w:r>
      <w:proofErr w:type="spellStart"/>
      <w:r>
        <w:rPr>
          <w:sz w:val="19"/>
          <w:szCs w:val="19"/>
        </w:rPr>
        <w:t>Borocz</w:t>
      </w:r>
      <w:proofErr w:type="spellEnd"/>
      <w:r>
        <w:rPr>
          <w:sz w:val="19"/>
          <w:szCs w:val="19"/>
        </w:rPr>
        <w:t>, J. (2018). Dual food quality in the European Union. European Societies, 20(3), 1–24. https://doi.org/10.1080/14616696.2018.1428999</w:t>
      </w:r>
    </w:p>
    <w:p w14:paraId="366DF509" w14:textId="77777777" w:rsidR="00154532" w:rsidRDefault="00000000">
      <w:pPr>
        <w:spacing w:before="70" w:after="70" w:line="320" w:lineRule="auto"/>
        <w:ind w:left="720" w:hanging="720"/>
        <w:jc w:val="both"/>
      </w:pPr>
      <w:r>
        <w:rPr>
          <w:sz w:val="19"/>
          <w:szCs w:val="19"/>
        </w:rPr>
        <w:t>Sell, S. K. (2003). Private power, public law: The globalization of intellectual property rights. Cambridge University Press.</w:t>
      </w:r>
    </w:p>
    <w:p w14:paraId="335E2A25" w14:textId="77777777" w:rsidR="00154532" w:rsidRDefault="00000000">
      <w:pPr>
        <w:spacing w:before="70" w:after="70" w:line="320" w:lineRule="auto"/>
        <w:ind w:left="720" w:hanging="720"/>
        <w:jc w:val="both"/>
      </w:pPr>
      <w:r>
        <w:rPr>
          <w:sz w:val="19"/>
          <w:szCs w:val="19"/>
        </w:rPr>
        <w:t>Sharma, R., &amp; Kapoor, M. (2021). Compositional and sensory analysis of chocolate products sold in Indian versus UK markets. LWT – Food Science and Technology, 143, 111132. https://doi.org/10.1016/j.lwt.2021.111132</w:t>
      </w:r>
    </w:p>
    <w:p w14:paraId="3E83990B" w14:textId="77777777" w:rsidR="00154532" w:rsidRDefault="00000000">
      <w:pPr>
        <w:spacing w:before="70" w:after="70" w:line="320" w:lineRule="auto"/>
        <w:ind w:left="720" w:hanging="720"/>
        <w:jc w:val="both"/>
      </w:pPr>
      <w:r>
        <w:rPr>
          <w:sz w:val="19"/>
          <w:szCs w:val="19"/>
        </w:rPr>
        <w:t>Stuckler, D., &amp; Nestle, M. (2012). Big food, food systems, and global health. PLOS Medicine, 9(6), e1001242. https://doi.org/10.1371/journal.pmed.1001242</w:t>
      </w:r>
    </w:p>
    <w:p w14:paraId="59931F66" w14:textId="77777777" w:rsidR="00154532" w:rsidRDefault="00000000">
      <w:pPr>
        <w:spacing w:before="70" w:after="70" w:line="320" w:lineRule="auto"/>
        <w:ind w:left="720" w:hanging="720"/>
        <w:jc w:val="both"/>
      </w:pPr>
      <w:r>
        <w:rPr>
          <w:sz w:val="19"/>
          <w:szCs w:val="19"/>
        </w:rPr>
        <w:t>Sunder, N. (2021). Nutritional quality of packaged foods in India: An analysis using FSSAI label data. Economic and Political Weekly, 56(8), 43–51.</w:t>
      </w:r>
    </w:p>
    <w:p w14:paraId="7C28752D" w14:textId="77777777" w:rsidR="00154532" w:rsidRDefault="00000000">
      <w:pPr>
        <w:spacing w:before="70" w:after="70" w:line="320" w:lineRule="auto"/>
        <w:ind w:left="720" w:hanging="720"/>
        <w:jc w:val="both"/>
      </w:pPr>
      <w:proofErr w:type="spellStart"/>
      <w:r>
        <w:rPr>
          <w:sz w:val="19"/>
          <w:szCs w:val="19"/>
        </w:rPr>
        <w:t>Taillie</w:t>
      </w:r>
      <w:proofErr w:type="spellEnd"/>
      <w:r>
        <w:rPr>
          <w:sz w:val="19"/>
          <w:szCs w:val="19"/>
        </w:rPr>
        <w:t xml:space="preserve">, L. S., </w:t>
      </w:r>
      <w:proofErr w:type="spellStart"/>
      <w:r>
        <w:rPr>
          <w:sz w:val="19"/>
          <w:szCs w:val="19"/>
        </w:rPr>
        <w:t>Bercholz</w:t>
      </w:r>
      <w:proofErr w:type="spellEnd"/>
      <w:r>
        <w:rPr>
          <w:sz w:val="19"/>
          <w:szCs w:val="19"/>
        </w:rPr>
        <w:t xml:space="preserve">, M., Popkin, B., Reyes, M., </w:t>
      </w:r>
      <w:proofErr w:type="spellStart"/>
      <w:r>
        <w:rPr>
          <w:sz w:val="19"/>
          <w:szCs w:val="19"/>
        </w:rPr>
        <w:t>Colchero</w:t>
      </w:r>
      <w:proofErr w:type="spellEnd"/>
      <w:r>
        <w:rPr>
          <w:sz w:val="19"/>
          <w:szCs w:val="19"/>
        </w:rPr>
        <w:t>, M. A., &amp; Corvalán, C. (2020). Changes in food purchases after the Chilean policies on food labelling, marketing, and sales in schools. The Lancet Planetary Health, 5(8), e526–e533. https://doi.org/10.1016/S2542-5196(21)00172-8</w:t>
      </w:r>
    </w:p>
    <w:p w14:paraId="3724397B" w14:textId="77777777" w:rsidR="00154532" w:rsidRDefault="00000000">
      <w:pPr>
        <w:spacing w:before="70" w:after="70" w:line="320" w:lineRule="auto"/>
        <w:ind w:left="720" w:hanging="720"/>
        <w:jc w:val="both"/>
      </w:pPr>
      <w:r>
        <w:rPr>
          <w:sz w:val="19"/>
          <w:szCs w:val="19"/>
        </w:rPr>
        <w:t>Tripathi, S., &amp; Gupta, A. (2022). Health claims on probiotic food products in India: Regulatory gaps and consumer perceptions. Appetite, 170, 105882. https://doi.org/10.1016/j.appet.2021.105882</w:t>
      </w:r>
    </w:p>
    <w:p w14:paraId="03BE0086" w14:textId="77777777" w:rsidR="00154532" w:rsidRDefault="00000000">
      <w:pPr>
        <w:spacing w:before="70" w:after="70" w:line="320" w:lineRule="auto"/>
        <w:ind w:left="720" w:hanging="720"/>
        <w:jc w:val="both"/>
      </w:pPr>
      <w:r>
        <w:rPr>
          <w:sz w:val="19"/>
          <w:szCs w:val="19"/>
        </w:rPr>
        <w:t>United Nations. (2011). Guiding principles on business and human rights (A/HRC/17/31). UN Human Rights Office.</w:t>
      </w:r>
    </w:p>
    <w:p w14:paraId="2B26CA2E" w14:textId="77777777" w:rsidR="00154532" w:rsidRDefault="00000000">
      <w:pPr>
        <w:spacing w:before="70" w:after="70" w:line="320" w:lineRule="auto"/>
        <w:ind w:left="720" w:hanging="720"/>
        <w:jc w:val="both"/>
      </w:pPr>
      <w:r>
        <w:rPr>
          <w:sz w:val="19"/>
          <w:szCs w:val="19"/>
        </w:rPr>
        <w:t>Venugopal, R., &amp; Sriram, V. (2022). Sodium density in Indian packaged snack foods: A comparative analysis with UK and US equivalents. Public Health Nutrition, 25(11), 3021–3031. https://doi.org/10.1017/S1368980022001252</w:t>
      </w:r>
    </w:p>
    <w:p w14:paraId="0A2714B7" w14:textId="77777777" w:rsidR="00154532" w:rsidRDefault="00000000">
      <w:pPr>
        <w:spacing w:before="70" w:after="70" w:line="320" w:lineRule="auto"/>
        <w:ind w:left="720" w:hanging="720"/>
        <w:jc w:val="both"/>
      </w:pPr>
      <w:r>
        <w:rPr>
          <w:sz w:val="19"/>
          <w:szCs w:val="19"/>
        </w:rPr>
        <w:t>World Health Organization (WHO). (2023). Accelerated salt reduction initiative: Progress report. WHO Department of Nutrition and Food Safety.</w:t>
      </w:r>
    </w:p>
    <w:p w14:paraId="18526755" w14:textId="77777777" w:rsidR="00154532" w:rsidRDefault="00000000">
      <w:pPr>
        <w:spacing w:before="70" w:after="70" w:line="320" w:lineRule="auto"/>
        <w:ind w:left="720" w:hanging="720"/>
        <w:jc w:val="both"/>
      </w:pPr>
      <w:r>
        <w:rPr>
          <w:sz w:val="19"/>
          <w:szCs w:val="19"/>
        </w:rPr>
        <w:t>World Instant Noodles Association (WINA). (2023). Global demand for instant noodles 2022. WINA Annual Report.</w:t>
      </w:r>
    </w:p>
    <w:p w14:paraId="2C52D9DC" w14:textId="77777777" w:rsidR="00154532" w:rsidRDefault="00000000">
      <w:pPr>
        <w:spacing w:before="70" w:after="70" w:line="320" w:lineRule="auto"/>
        <w:ind w:left="720" w:hanging="720"/>
        <w:jc w:val="both"/>
      </w:pPr>
      <w:r>
        <w:rPr>
          <w:sz w:val="19"/>
          <w:szCs w:val="19"/>
        </w:rPr>
        <w:t>Zaichkowsky, J. L. (1985). Measuring the involvement construct. Journal of Consumer Research, 12(3), 341–352. https://doi.org/10.1086/208520</w:t>
      </w:r>
    </w:p>
    <w:p w14:paraId="017C8652" w14:textId="77777777" w:rsidR="00154532" w:rsidRDefault="00154532">
      <w:pPr>
        <w:spacing w:before="160" w:after="160"/>
      </w:pPr>
    </w:p>
    <w:p w14:paraId="2139B083" w14:textId="49859392" w:rsidR="00154532" w:rsidRDefault="00000000">
      <w:pPr>
        <w:pBdr>
          <w:top w:val="single" w:sz="6" w:space="4" w:color="2C5F8A"/>
        </w:pBdr>
        <w:spacing w:before="160" w:after="80"/>
        <w:jc w:val="center"/>
      </w:pPr>
      <w:r>
        <w:rPr>
          <w:rFonts w:ascii="Arial" w:eastAsia="Arial" w:hAnsi="Arial" w:cs="Arial"/>
          <w:i/>
          <w:iCs/>
          <w:color w:val="888888"/>
          <w:sz w:val="17"/>
          <w:szCs w:val="17"/>
        </w:rPr>
        <w:t xml:space="preserve">© 2025 Y. Lakshman </w:t>
      </w:r>
      <w:proofErr w:type="gramStart"/>
      <w:r>
        <w:rPr>
          <w:rFonts w:ascii="Arial" w:eastAsia="Arial" w:hAnsi="Arial" w:cs="Arial"/>
          <w:i/>
          <w:iCs/>
          <w:color w:val="888888"/>
          <w:sz w:val="17"/>
          <w:szCs w:val="17"/>
        </w:rPr>
        <w:t>Kumar  |</w:t>
      </w:r>
      <w:proofErr w:type="gramEnd"/>
      <w:r>
        <w:rPr>
          <w:rFonts w:ascii="Arial" w:eastAsia="Arial" w:hAnsi="Arial" w:cs="Arial"/>
          <w:i/>
          <w:iCs/>
          <w:color w:val="888888"/>
          <w:sz w:val="17"/>
          <w:szCs w:val="17"/>
        </w:rPr>
        <w:t xml:space="preserve">  Ashoka School of Business, </w:t>
      </w:r>
      <w:r w:rsidR="00E77D78">
        <w:rPr>
          <w:rFonts w:ascii="Arial" w:eastAsia="Arial" w:hAnsi="Arial" w:cs="Arial"/>
          <w:i/>
          <w:iCs/>
          <w:color w:val="888888"/>
          <w:sz w:val="17"/>
          <w:szCs w:val="17"/>
        </w:rPr>
        <w:t>Toopranpet</w:t>
      </w:r>
      <w:r>
        <w:rPr>
          <w:rFonts w:ascii="Arial" w:eastAsia="Arial" w:hAnsi="Arial" w:cs="Arial"/>
          <w:i/>
          <w:iCs/>
          <w:color w:val="888888"/>
          <w:sz w:val="17"/>
          <w:szCs w:val="17"/>
        </w:rPr>
        <w:t xml:space="preserve">, Hyderabad </w:t>
      </w:r>
      <w:proofErr w:type="gramStart"/>
      <w:r>
        <w:rPr>
          <w:rFonts w:ascii="Arial" w:eastAsia="Arial" w:hAnsi="Arial" w:cs="Arial"/>
          <w:i/>
          <w:iCs/>
          <w:color w:val="888888"/>
          <w:sz w:val="17"/>
          <w:szCs w:val="17"/>
        </w:rPr>
        <w:t>508252  |</w:t>
      </w:r>
      <w:proofErr w:type="gramEnd"/>
      <w:r>
        <w:rPr>
          <w:rFonts w:ascii="Arial" w:eastAsia="Arial" w:hAnsi="Arial" w:cs="Arial"/>
          <w:i/>
          <w:iCs/>
          <w:color w:val="888888"/>
          <w:sz w:val="17"/>
          <w:szCs w:val="17"/>
        </w:rPr>
        <w:t xml:space="preserve">  Submitted to: Journal of Global Marketing, Taylor &amp; Francis</w:t>
      </w:r>
    </w:p>
    <w:sectPr w:rsidR="00154532">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CC66" w14:textId="77777777" w:rsidR="00E23EE7" w:rsidRDefault="00E23EE7">
      <w:r>
        <w:separator/>
      </w:r>
    </w:p>
  </w:endnote>
  <w:endnote w:type="continuationSeparator" w:id="0">
    <w:p w14:paraId="64E79746" w14:textId="77777777" w:rsidR="00E23EE7" w:rsidRDefault="00E2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A907" w14:textId="77777777" w:rsidR="00154532" w:rsidRDefault="00000000">
    <w:pPr>
      <w:pBdr>
        <w:top w:val="single" w:sz="6" w:space="4" w:color="2C5F8A"/>
      </w:pBdr>
      <w:spacing w:before="80"/>
      <w:jc w:val="center"/>
    </w:pPr>
    <w:r>
      <w:rPr>
        <w:rFonts w:ascii="Arial" w:eastAsia="Arial" w:hAnsi="Arial" w:cs="Arial"/>
        <w:i/>
        <w:iCs/>
        <w:color w:val="888888"/>
        <w:sz w:val="16"/>
        <w:szCs w:val="16"/>
      </w:rPr>
      <w:t xml:space="preserve">Journal of Global </w:t>
    </w:r>
    <w:proofErr w:type="gramStart"/>
    <w:r>
      <w:rPr>
        <w:rFonts w:ascii="Arial" w:eastAsia="Arial" w:hAnsi="Arial" w:cs="Arial"/>
        <w:i/>
        <w:iCs/>
        <w:color w:val="888888"/>
        <w:sz w:val="16"/>
        <w:szCs w:val="16"/>
      </w:rPr>
      <w:t>Marketing  |</w:t>
    </w:r>
    <w:proofErr w:type="gramEnd"/>
    <w:r>
      <w:rPr>
        <w:rFonts w:ascii="Arial" w:eastAsia="Arial" w:hAnsi="Arial" w:cs="Arial"/>
        <w:i/>
        <w:iCs/>
        <w:color w:val="888888"/>
        <w:sz w:val="16"/>
        <w:szCs w:val="16"/>
      </w:rPr>
      <w:t xml:space="preserve">  Taylor &amp; </w:t>
    </w:r>
    <w:proofErr w:type="gramStart"/>
    <w:r>
      <w:rPr>
        <w:rFonts w:ascii="Arial" w:eastAsia="Arial" w:hAnsi="Arial" w:cs="Arial"/>
        <w:i/>
        <w:iCs/>
        <w:color w:val="888888"/>
        <w:sz w:val="16"/>
        <w:szCs w:val="16"/>
      </w:rPr>
      <w:t>Francis  |</w:t>
    </w:r>
    <w:proofErr w:type="gramEnd"/>
    <w:r>
      <w:rPr>
        <w:rFonts w:ascii="Arial" w:eastAsia="Arial" w:hAnsi="Arial" w:cs="Arial"/>
        <w:i/>
        <w:iCs/>
        <w:color w:val="888888"/>
        <w:sz w:val="16"/>
        <w:szCs w:val="16"/>
      </w:rPr>
      <w:t xml:space="preserve">  Ashoka School of Business, Hyderabad 508252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B934" w14:textId="77777777" w:rsidR="00E23EE7" w:rsidRDefault="00E23EE7">
      <w:r>
        <w:separator/>
      </w:r>
    </w:p>
  </w:footnote>
  <w:footnote w:type="continuationSeparator" w:id="0">
    <w:p w14:paraId="49205BBD" w14:textId="77777777" w:rsidR="00E23EE7" w:rsidRDefault="00E2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0C96" w14:textId="77777777" w:rsidR="00154532" w:rsidRDefault="00000000">
    <w:pPr>
      <w:pBdr>
        <w:bottom w:val="single" w:sz="6" w:space="4" w:color="2C5F8A"/>
      </w:pBdr>
      <w:spacing w:after="100"/>
    </w:pPr>
    <w:r>
      <w:rPr>
        <w:rFonts w:ascii="Arial" w:eastAsia="Arial" w:hAnsi="Arial" w:cs="Arial"/>
        <w:b/>
        <w:bCs/>
        <w:color w:val="888888"/>
        <w:sz w:val="16"/>
        <w:szCs w:val="16"/>
      </w:rPr>
      <w:t xml:space="preserve">DUAL QUALITY STANDARDS IN PACKAGED </w:t>
    </w:r>
    <w:proofErr w:type="gramStart"/>
    <w:r>
      <w:rPr>
        <w:rFonts w:ascii="Arial" w:eastAsia="Arial" w:hAnsi="Arial" w:cs="Arial"/>
        <w:b/>
        <w:bCs/>
        <w:color w:val="888888"/>
        <w:sz w:val="16"/>
        <w:szCs w:val="16"/>
      </w:rPr>
      <w:t>GOODS  |</w:t>
    </w:r>
    <w:proofErr w:type="gramEnd"/>
    <w:r>
      <w:rPr>
        <w:rFonts w:ascii="Arial" w:eastAsia="Arial" w:hAnsi="Arial" w:cs="Arial"/>
        <w:b/>
        <w:bCs/>
        <w:color w:val="888888"/>
        <w:sz w:val="16"/>
        <w:szCs w:val="16"/>
      </w:rPr>
      <w:t xml:space="preserve">  Y. Lakshman </w:t>
    </w:r>
    <w:proofErr w:type="gramStart"/>
    <w:r>
      <w:rPr>
        <w:rFonts w:ascii="Arial" w:eastAsia="Arial" w:hAnsi="Arial" w:cs="Arial"/>
        <w:b/>
        <w:bCs/>
        <w:color w:val="888888"/>
        <w:sz w:val="16"/>
        <w:szCs w:val="16"/>
      </w:rPr>
      <w:t>Kumar  |</w:t>
    </w:r>
    <w:proofErr w:type="gramEnd"/>
    <w:r>
      <w:rPr>
        <w:rFonts w:ascii="Arial" w:eastAsia="Arial" w:hAnsi="Arial" w:cs="Arial"/>
        <w:b/>
        <w:bCs/>
        <w:color w:val="888888"/>
        <w:sz w:val="16"/>
        <w:szCs w:val="16"/>
      </w:rPr>
      <w:t xml:space="preserve">  Journal of Global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477"/>
    <w:multiLevelType w:val="hybridMultilevel"/>
    <w:tmpl w:val="E20C7AC8"/>
    <w:lvl w:ilvl="0" w:tplc="BD2A6D84">
      <w:start w:val="1"/>
      <w:numFmt w:val="bullet"/>
      <w:lvlText w:val="●"/>
      <w:lvlJc w:val="left"/>
      <w:pPr>
        <w:ind w:left="720" w:hanging="360"/>
      </w:pPr>
    </w:lvl>
    <w:lvl w:ilvl="1" w:tplc="E06AD344">
      <w:start w:val="1"/>
      <w:numFmt w:val="bullet"/>
      <w:lvlText w:val="○"/>
      <w:lvlJc w:val="left"/>
      <w:pPr>
        <w:ind w:left="1440" w:hanging="360"/>
      </w:pPr>
    </w:lvl>
    <w:lvl w:ilvl="2" w:tplc="7F241D3E">
      <w:start w:val="1"/>
      <w:numFmt w:val="bullet"/>
      <w:lvlText w:val="■"/>
      <w:lvlJc w:val="left"/>
      <w:pPr>
        <w:ind w:left="2160" w:hanging="360"/>
      </w:pPr>
    </w:lvl>
    <w:lvl w:ilvl="3" w:tplc="534ACDB6">
      <w:start w:val="1"/>
      <w:numFmt w:val="bullet"/>
      <w:lvlText w:val="●"/>
      <w:lvlJc w:val="left"/>
      <w:pPr>
        <w:ind w:left="2880" w:hanging="360"/>
      </w:pPr>
    </w:lvl>
    <w:lvl w:ilvl="4" w:tplc="6344A724">
      <w:start w:val="1"/>
      <w:numFmt w:val="bullet"/>
      <w:lvlText w:val="○"/>
      <w:lvlJc w:val="left"/>
      <w:pPr>
        <w:ind w:left="3600" w:hanging="360"/>
      </w:pPr>
    </w:lvl>
    <w:lvl w:ilvl="5" w:tplc="C0621E34">
      <w:start w:val="1"/>
      <w:numFmt w:val="bullet"/>
      <w:lvlText w:val="■"/>
      <w:lvlJc w:val="left"/>
      <w:pPr>
        <w:ind w:left="4320" w:hanging="360"/>
      </w:pPr>
    </w:lvl>
    <w:lvl w:ilvl="6" w:tplc="17961690">
      <w:start w:val="1"/>
      <w:numFmt w:val="bullet"/>
      <w:lvlText w:val="●"/>
      <w:lvlJc w:val="left"/>
      <w:pPr>
        <w:ind w:left="5040" w:hanging="360"/>
      </w:pPr>
    </w:lvl>
    <w:lvl w:ilvl="7" w:tplc="D5DA999A">
      <w:start w:val="1"/>
      <w:numFmt w:val="bullet"/>
      <w:lvlText w:val="●"/>
      <w:lvlJc w:val="left"/>
      <w:pPr>
        <w:ind w:left="5760" w:hanging="360"/>
      </w:pPr>
    </w:lvl>
    <w:lvl w:ilvl="8" w:tplc="3A1A4F72">
      <w:start w:val="1"/>
      <w:numFmt w:val="bullet"/>
      <w:lvlText w:val="●"/>
      <w:lvlJc w:val="left"/>
      <w:pPr>
        <w:ind w:left="6480" w:hanging="360"/>
      </w:pPr>
    </w:lvl>
  </w:abstractNum>
  <w:abstractNum w:abstractNumId="1" w15:restartNumberingAfterBreak="0">
    <w:nsid w:val="2D1A765D"/>
    <w:multiLevelType w:val="hybridMultilevel"/>
    <w:tmpl w:val="4ED24314"/>
    <w:lvl w:ilvl="0" w:tplc="C4AA670A">
      <w:start w:val="1"/>
      <w:numFmt w:val="bullet"/>
      <w:lvlText w:val="•"/>
      <w:lvlJc w:val="left"/>
      <w:pPr>
        <w:ind w:left="720" w:hanging="360"/>
      </w:pPr>
    </w:lvl>
    <w:lvl w:ilvl="1" w:tplc="4836C54C">
      <w:numFmt w:val="decimal"/>
      <w:lvlText w:val=""/>
      <w:lvlJc w:val="left"/>
    </w:lvl>
    <w:lvl w:ilvl="2" w:tplc="9D44D358">
      <w:numFmt w:val="decimal"/>
      <w:lvlText w:val=""/>
      <w:lvlJc w:val="left"/>
    </w:lvl>
    <w:lvl w:ilvl="3" w:tplc="5832FA3E">
      <w:numFmt w:val="decimal"/>
      <w:lvlText w:val=""/>
      <w:lvlJc w:val="left"/>
    </w:lvl>
    <w:lvl w:ilvl="4" w:tplc="B7548F96">
      <w:numFmt w:val="decimal"/>
      <w:lvlText w:val=""/>
      <w:lvlJc w:val="left"/>
    </w:lvl>
    <w:lvl w:ilvl="5" w:tplc="067E9410">
      <w:numFmt w:val="decimal"/>
      <w:lvlText w:val=""/>
      <w:lvlJc w:val="left"/>
    </w:lvl>
    <w:lvl w:ilvl="6" w:tplc="8E444E0C">
      <w:numFmt w:val="decimal"/>
      <w:lvlText w:val=""/>
      <w:lvlJc w:val="left"/>
    </w:lvl>
    <w:lvl w:ilvl="7" w:tplc="78ACD8B2">
      <w:numFmt w:val="decimal"/>
      <w:lvlText w:val=""/>
      <w:lvlJc w:val="left"/>
    </w:lvl>
    <w:lvl w:ilvl="8" w:tplc="D1D2EE6C">
      <w:numFmt w:val="decimal"/>
      <w:lvlText w:val=""/>
      <w:lvlJc w:val="left"/>
    </w:lvl>
  </w:abstractNum>
  <w:num w:numId="1" w16cid:durableId="1030375123">
    <w:abstractNumId w:val="0"/>
    <w:lvlOverride w:ilvl="0">
      <w:startOverride w:val="1"/>
    </w:lvlOverride>
  </w:num>
  <w:num w:numId="2" w16cid:durableId="10327308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32"/>
    <w:rsid w:val="00154532"/>
    <w:rsid w:val="00600ED6"/>
    <w:rsid w:val="00B00C5F"/>
    <w:rsid w:val="00B91892"/>
    <w:rsid w:val="00BD22BF"/>
    <w:rsid w:val="00D26A0C"/>
    <w:rsid w:val="00E23EE7"/>
    <w:rsid w:val="00E77D78"/>
    <w:rsid w:val="00F2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7447"/>
  <w15:docId w15:val="{2DD0389B-C5C2-49AB-831C-64F3A3C3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40"/>
      <w:outlineLvl w:val="0"/>
    </w:pPr>
    <w:rPr>
      <w:rFonts w:ascii="Cambria" w:eastAsia="Cambria" w:hAnsi="Cambria" w:cs="Cambria"/>
      <w:b/>
      <w:bCs/>
      <w:color w:val="1A3A5C"/>
      <w:sz w:val="28"/>
      <w:szCs w:val="28"/>
    </w:rPr>
  </w:style>
  <w:style w:type="paragraph" w:styleId="Heading2">
    <w:name w:val="heading 2"/>
    <w:uiPriority w:val="9"/>
    <w:unhideWhenUsed/>
    <w:qFormat/>
    <w:pPr>
      <w:spacing w:before="300" w:after="110"/>
      <w:outlineLvl w:val="1"/>
    </w:pPr>
    <w:rPr>
      <w:rFonts w:ascii="Cambria" w:eastAsia="Cambria" w:hAnsi="Cambria" w:cs="Cambria"/>
      <w:b/>
      <w:bCs/>
      <w:color w:val="2C5F8A"/>
      <w:sz w:val="24"/>
      <w:szCs w:val="24"/>
    </w:rPr>
  </w:style>
  <w:style w:type="paragraph" w:styleId="Heading3">
    <w:name w:val="heading 3"/>
    <w:uiPriority w:val="9"/>
    <w:unhideWhenUsed/>
    <w:qFormat/>
    <w:pPr>
      <w:spacing w:before="220" w:after="90"/>
      <w:outlineLvl w:val="2"/>
    </w:pPr>
    <w:rPr>
      <w:rFonts w:ascii="Cambria" w:eastAsia="Cambria" w:hAnsi="Cambria" w:cs="Cambria"/>
      <w:b/>
      <w:bCs/>
      <w:i/>
      <w:i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77D78"/>
    <w:pPr>
      <w:tabs>
        <w:tab w:val="center" w:pos="4680"/>
        <w:tab w:val="right" w:pos="9360"/>
      </w:tabs>
    </w:pPr>
  </w:style>
  <w:style w:type="character" w:customStyle="1" w:styleId="HeaderChar">
    <w:name w:val="Header Char"/>
    <w:basedOn w:val="DefaultParagraphFont"/>
    <w:link w:val="Header"/>
    <w:uiPriority w:val="99"/>
    <w:rsid w:val="00E77D78"/>
  </w:style>
  <w:style w:type="paragraph" w:styleId="Footer">
    <w:name w:val="footer"/>
    <w:basedOn w:val="Normal"/>
    <w:link w:val="FooterChar"/>
    <w:uiPriority w:val="99"/>
    <w:unhideWhenUsed/>
    <w:rsid w:val="00E77D78"/>
    <w:pPr>
      <w:tabs>
        <w:tab w:val="center" w:pos="4680"/>
        <w:tab w:val="right" w:pos="9360"/>
      </w:tabs>
    </w:pPr>
  </w:style>
  <w:style w:type="character" w:customStyle="1" w:styleId="FooterChar">
    <w:name w:val="Footer Char"/>
    <w:basedOn w:val="DefaultParagraphFont"/>
    <w:link w:val="Footer"/>
    <w:uiPriority w:val="99"/>
    <w:rsid w:val="00E7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8488</Words>
  <Characters>48382</Characters>
  <Application>Microsoft Office Word</Application>
  <DocSecurity>0</DocSecurity>
  <Lines>403</Lines>
  <Paragraphs>113</Paragraphs>
  <ScaleCrop>false</ScaleCrop>
  <Company/>
  <LinksUpToDate>false</LinksUpToDate>
  <CharactersWithSpaces>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Lakshman Kumar</dc:creator>
  <cp:lastModifiedBy>Lakshman Kumar Y</cp:lastModifiedBy>
  <cp:revision>2</cp:revision>
  <cp:lastPrinted>2026-05-17T01:13:00Z</cp:lastPrinted>
  <dcterms:created xsi:type="dcterms:W3CDTF">2026-05-17T01:16:00Z</dcterms:created>
  <dcterms:modified xsi:type="dcterms:W3CDTF">2026-05-17T01:16:00Z</dcterms:modified>
</cp:coreProperties>
</file>