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511F2" w14:textId="6FD094E6" w:rsidR="00803969" w:rsidRPr="00FF1CEA" w:rsidRDefault="00803969" w:rsidP="00803969">
      <w:pPr>
        <w:rPr>
          <w:rFonts w:ascii="Verdana" w:hAnsi="Verdana"/>
        </w:rPr>
      </w:pPr>
    </w:p>
    <w:p w14:paraId="4CF56A98" w14:textId="77777777" w:rsidR="00C418E8" w:rsidRPr="00FF1CEA" w:rsidRDefault="00C418E8" w:rsidP="00C418E8">
      <w:pPr>
        <w:spacing w:after="0"/>
        <w:jc w:val="center"/>
        <w:rPr>
          <w:rFonts w:ascii="Verdana" w:hAnsi="Verdana"/>
          <w:b/>
          <w:bCs/>
        </w:rPr>
      </w:pPr>
      <w:r w:rsidRPr="00FF1CEA">
        <w:rPr>
          <w:rFonts w:ascii="Verdana" w:hAnsi="Verdana"/>
          <w:b/>
          <w:bCs/>
        </w:rPr>
        <w:t>The Architecture of Stability:</w:t>
      </w:r>
    </w:p>
    <w:p w14:paraId="7E072082" w14:textId="77777777" w:rsidR="00C418E8" w:rsidRPr="00FF1CEA" w:rsidRDefault="00C418E8" w:rsidP="00C418E8">
      <w:pPr>
        <w:spacing w:after="0"/>
        <w:jc w:val="center"/>
        <w:rPr>
          <w:rFonts w:ascii="Verdana" w:hAnsi="Verdana"/>
          <w:b/>
          <w:bCs/>
        </w:rPr>
      </w:pPr>
      <w:r w:rsidRPr="00FF1CEA">
        <w:rPr>
          <w:rFonts w:ascii="Verdana" w:hAnsi="Verdana"/>
          <w:b/>
          <w:bCs/>
        </w:rPr>
        <w:t>External Interventions, Elite Bargains, and the Persistent Fragility of Post</w:t>
      </w:r>
      <w:r w:rsidRPr="00FF1CEA">
        <w:rPr>
          <w:rFonts w:ascii="Verdana" w:hAnsi="Verdana"/>
          <w:b/>
          <w:bCs/>
        </w:rPr>
        <w:noBreakHyphen/>
        <w:t>War Liberia</w:t>
      </w:r>
    </w:p>
    <w:p w14:paraId="72770C84" w14:textId="77777777" w:rsidR="00C418E8" w:rsidRDefault="00C418E8" w:rsidP="00C418E8">
      <w:pPr>
        <w:spacing w:after="0"/>
        <w:jc w:val="center"/>
        <w:rPr>
          <w:rFonts w:ascii="Verdana" w:hAnsi="Verdana"/>
          <w:b/>
          <w:bCs/>
        </w:rPr>
      </w:pPr>
    </w:p>
    <w:p w14:paraId="5C28165E" w14:textId="77777777" w:rsidR="00C418E8" w:rsidRDefault="00C418E8" w:rsidP="00C418E8">
      <w:pPr>
        <w:spacing w:after="0"/>
        <w:jc w:val="center"/>
        <w:rPr>
          <w:rFonts w:ascii="Verdana" w:hAnsi="Verdana"/>
          <w:b/>
          <w:bCs/>
        </w:rPr>
      </w:pPr>
      <w:r>
        <w:rPr>
          <w:rFonts w:ascii="Verdana" w:hAnsi="Verdana"/>
          <w:b/>
          <w:bCs/>
        </w:rPr>
        <w:t>T. Debey Sayndee</w:t>
      </w:r>
    </w:p>
    <w:p w14:paraId="08EEFC14" w14:textId="77777777" w:rsidR="00C418E8" w:rsidRDefault="00C418E8" w:rsidP="00C418E8">
      <w:pPr>
        <w:spacing w:after="0"/>
        <w:jc w:val="center"/>
        <w:rPr>
          <w:rFonts w:ascii="Verdana" w:hAnsi="Verdana"/>
          <w:b/>
          <w:bCs/>
        </w:rPr>
      </w:pPr>
      <w:r>
        <w:rPr>
          <w:rFonts w:ascii="Verdana" w:hAnsi="Verdana"/>
          <w:b/>
          <w:bCs/>
        </w:rPr>
        <w:t>Kofi Annan Institute for Conflict Transformation, University of Liberia</w:t>
      </w:r>
    </w:p>
    <w:p w14:paraId="53493C45" w14:textId="0D2165B8" w:rsidR="00C418E8" w:rsidRPr="00FF1CEA" w:rsidRDefault="00661842" w:rsidP="00C418E8">
      <w:pPr>
        <w:spacing w:after="0"/>
        <w:jc w:val="center"/>
        <w:rPr>
          <w:rFonts w:ascii="Verdana" w:hAnsi="Verdana"/>
          <w:b/>
          <w:bCs/>
        </w:rPr>
      </w:pPr>
      <w:r>
        <w:rPr>
          <w:rFonts w:ascii="Verdana" w:hAnsi="Verdana"/>
          <w:b/>
          <w:bCs/>
        </w:rPr>
        <w:t>peacebuilderlr@gmail.com</w:t>
      </w:r>
    </w:p>
    <w:p w14:paraId="2273BBB9" w14:textId="77777777" w:rsidR="00C418E8" w:rsidRPr="00FF1CEA" w:rsidRDefault="00C418E8" w:rsidP="00803969">
      <w:pPr>
        <w:spacing w:after="0"/>
        <w:jc w:val="center"/>
        <w:rPr>
          <w:rFonts w:ascii="Verdana" w:hAnsi="Verdana"/>
          <w:b/>
          <w:bCs/>
        </w:rPr>
      </w:pPr>
    </w:p>
    <w:p w14:paraId="3B56B06F" w14:textId="77777777" w:rsidR="00803969" w:rsidRPr="00FF1CEA" w:rsidRDefault="00803969" w:rsidP="00803969">
      <w:pPr>
        <w:spacing w:after="0"/>
        <w:jc w:val="center"/>
        <w:rPr>
          <w:rFonts w:ascii="Verdana" w:hAnsi="Verdana"/>
          <w:b/>
          <w:bCs/>
        </w:rPr>
      </w:pPr>
    </w:p>
    <w:p w14:paraId="3AA78AA6" w14:textId="77777777" w:rsidR="00803969" w:rsidRPr="00FF1CEA" w:rsidRDefault="00803969" w:rsidP="00803969">
      <w:pPr>
        <w:spacing w:after="0"/>
        <w:jc w:val="center"/>
        <w:rPr>
          <w:rFonts w:ascii="Verdana" w:hAnsi="Verdana"/>
          <w:b/>
          <w:bCs/>
        </w:rPr>
      </w:pPr>
    </w:p>
    <w:p w14:paraId="12489D9C" w14:textId="77777777" w:rsidR="00803969" w:rsidRPr="00FF1CEA" w:rsidRDefault="00803969" w:rsidP="00803969">
      <w:pPr>
        <w:rPr>
          <w:rFonts w:ascii="Verdana" w:hAnsi="Verdana"/>
          <w:b/>
          <w:bCs/>
        </w:rPr>
      </w:pPr>
      <w:r w:rsidRPr="00FF1CEA">
        <w:rPr>
          <w:rFonts w:ascii="Verdana" w:hAnsi="Verdana"/>
          <w:b/>
          <w:bCs/>
        </w:rPr>
        <w:t>Abstract</w:t>
      </w:r>
    </w:p>
    <w:p w14:paraId="06D31AAE" w14:textId="7414C83A" w:rsidR="00803969" w:rsidRDefault="00803969" w:rsidP="00803969">
      <w:pPr>
        <w:rPr>
          <w:rFonts w:ascii="Verdana" w:hAnsi="Verdana"/>
        </w:rPr>
      </w:pPr>
      <w:r w:rsidRPr="00FF1CEA">
        <w:rPr>
          <w:rFonts w:ascii="Verdana" w:hAnsi="Verdana"/>
        </w:rPr>
        <w:t xml:space="preserve">The conclusion of the Liberian Civil War (1989–2003) has frequently been heralded as an exemplary case of effective international intervention. However, a closer examination reveals that the peace achieved was largely the result of a </w:t>
      </w:r>
      <w:r w:rsidR="006F746C" w:rsidRPr="006F746C">
        <w:rPr>
          <w:rFonts w:ascii="Verdana" w:hAnsi="Verdana"/>
        </w:rPr>
        <w:t>top-down and outside-in process driven by exogenous pressures and intra-elite</w:t>
      </w:r>
      <w:r w:rsidRPr="00FF1CEA">
        <w:rPr>
          <w:rFonts w:ascii="Verdana" w:hAnsi="Verdana"/>
        </w:rPr>
        <w:t xml:space="preserve"> bargains. Although this dual</w:t>
      </w:r>
      <w:r w:rsidRPr="00FF1CEA">
        <w:rPr>
          <w:rFonts w:ascii="Verdana" w:hAnsi="Verdana"/>
        </w:rPr>
        <w:noBreakHyphen/>
        <w:t>track approach effectively halted violence, it simultaneously marginalized grassroots civil society and traditional institutions. Post</w:t>
      </w:r>
      <w:r w:rsidRPr="00FF1CEA">
        <w:rPr>
          <w:rFonts w:ascii="Verdana" w:hAnsi="Verdana"/>
        </w:rPr>
        <w:noBreakHyphen/>
        <w:t>war reconstruction efforts subsequently emphasized institutional form over structural transformation, leaving core grievances—including land tenure disputes, ethnic exclusion, and economic dependency—largely unaddressed. This article argues that Liberia’s enduring vulnerability stems from a peace architecture oriented toward short</w:t>
      </w:r>
      <w:r w:rsidRPr="00FF1CEA">
        <w:rPr>
          <w:rFonts w:ascii="Verdana" w:hAnsi="Verdana"/>
        </w:rPr>
        <w:noBreakHyphen/>
        <w:t>term stability rather than long</w:t>
      </w:r>
      <w:r w:rsidRPr="00FF1CEA">
        <w:rPr>
          <w:rFonts w:ascii="Verdana" w:hAnsi="Verdana"/>
        </w:rPr>
        <w:noBreakHyphen/>
        <w:t>term social cohesion.</w:t>
      </w:r>
    </w:p>
    <w:p w14:paraId="42742202" w14:textId="5387E9A5" w:rsidR="008E3C97" w:rsidRPr="008E3C97" w:rsidRDefault="008E3C97" w:rsidP="008E3C97">
      <w:pPr>
        <w:rPr>
          <w:rFonts w:ascii="Verdana" w:hAnsi="Verdana"/>
        </w:rPr>
      </w:pPr>
      <w:r w:rsidRPr="008E3C97">
        <w:rPr>
          <w:rFonts w:ascii="Verdana" w:hAnsi="Verdana"/>
        </w:rPr>
        <w:t>Keywords: Intervention, Exogenous pressures, Bargains, Civil society, Land</w:t>
      </w:r>
    </w:p>
    <w:p w14:paraId="09540B59" w14:textId="7C498522" w:rsidR="008E3C97" w:rsidRDefault="008E3C97" w:rsidP="008E3C97">
      <w:pPr>
        <w:rPr>
          <w:rFonts w:ascii="Verdana" w:hAnsi="Verdana"/>
        </w:rPr>
      </w:pPr>
      <w:r w:rsidRPr="008E3C97">
        <w:rPr>
          <w:rFonts w:ascii="Verdana" w:hAnsi="Verdana"/>
        </w:rPr>
        <w:t>tenure, Exclusion, vulnerability, Social cohesion</w:t>
      </w:r>
    </w:p>
    <w:p w14:paraId="51B1278F" w14:textId="77777777" w:rsidR="008E3C97" w:rsidRPr="00FF1CEA" w:rsidRDefault="008E3C97" w:rsidP="008E3C97">
      <w:pPr>
        <w:rPr>
          <w:rFonts w:ascii="Verdana" w:hAnsi="Verdana"/>
        </w:rPr>
      </w:pPr>
    </w:p>
    <w:p w14:paraId="5461D751" w14:textId="5A0D4B28" w:rsidR="00803969" w:rsidRPr="00FF1CEA" w:rsidRDefault="00803969" w:rsidP="00803969">
      <w:pPr>
        <w:rPr>
          <w:rFonts w:ascii="Verdana" w:hAnsi="Verdana"/>
          <w:b/>
          <w:bCs/>
        </w:rPr>
      </w:pPr>
      <w:r w:rsidRPr="00FF1CEA">
        <w:rPr>
          <w:rFonts w:ascii="Verdana" w:hAnsi="Verdana"/>
          <w:b/>
          <w:bCs/>
        </w:rPr>
        <w:t>1. The Dual</w:t>
      </w:r>
      <w:r w:rsidR="006F746C">
        <w:rPr>
          <w:rFonts w:ascii="Verdana" w:hAnsi="Verdana"/>
          <w:b/>
          <w:bCs/>
        </w:rPr>
        <w:t>-</w:t>
      </w:r>
      <w:r w:rsidRPr="00FF1CEA">
        <w:rPr>
          <w:rFonts w:ascii="Verdana" w:hAnsi="Verdana"/>
          <w:b/>
          <w:bCs/>
        </w:rPr>
        <w:t>Track Peace: Exogenous Pressure and Elite Bargains</w:t>
      </w:r>
    </w:p>
    <w:p w14:paraId="488E26A7" w14:textId="487ED0D4" w:rsidR="00803969" w:rsidRPr="00FF1CEA" w:rsidRDefault="00803969" w:rsidP="00803969">
      <w:pPr>
        <w:rPr>
          <w:rFonts w:ascii="Verdana" w:hAnsi="Verdana"/>
          <w:b/>
          <w:bCs/>
        </w:rPr>
      </w:pPr>
      <w:r w:rsidRPr="00FF1CEA">
        <w:rPr>
          <w:rFonts w:ascii="Verdana" w:hAnsi="Verdana"/>
          <w:b/>
          <w:bCs/>
        </w:rPr>
        <w:t>1.1 Exogenous Interventions and the “Hurting Stalemate.”</w:t>
      </w:r>
    </w:p>
    <w:p w14:paraId="106DA18C" w14:textId="4B093591" w:rsidR="00803969" w:rsidRPr="00FF1CEA" w:rsidRDefault="00803969" w:rsidP="00803969">
      <w:pPr>
        <w:rPr>
          <w:rFonts w:ascii="Verdana" w:hAnsi="Verdana"/>
        </w:rPr>
      </w:pPr>
      <w:r w:rsidRPr="00FF1CEA">
        <w:rPr>
          <w:rFonts w:ascii="Verdana" w:hAnsi="Verdana"/>
        </w:rPr>
        <w:t xml:space="preserve">The cessation of hostilities in 2003 did not emerge from a grassroots revolutionary moment but rather from the convergence of international political will and elite survival strategies. By the early 2000s, the conflict had reached what Zartman (2001) characterizes as a </w:t>
      </w:r>
      <w:r w:rsidRPr="00FF1CEA">
        <w:rPr>
          <w:rFonts w:ascii="Verdana" w:hAnsi="Verdana"/>
          <w:i/>
          <w:iCs/>
        </w:rPr>
        <w:t>mutually hurting stalemate</w:t>
      </w:r>
      <w:r w:rsidRPr="00FF1CEA">
        <w:rPr>
          <w:rFonts w:ascii="Verdana" w:hAnsi="Verdana"/>
        </w:rPr>
        <w:t xml:space="preserve">, wherein no armed faction possessed the military capacity to secure </w:t>
      </w:r>
      <w:r w:rsidR="006F746C">
        <w:rPr>
          <w:rFonts w:ascii="Verdana" w:hAnsi="Verdana"/>
        </w:rPr>
        <w:t xml:space="preserve">a </w:t>
      </w:r>
      <w:r w:rsidRPr="00FF1CEA">
        <w:rPr>
          <w:rFonts w:ascii="Verdana" w:hAnsi="Verdana"/>
        </w:rPr>
        <w:t>decisive victory.</w:t>
      </w:r>
    </w:p>
    <w:p w14:paraId="58DB3945" w14:textId="77777777" w:rsidR="00803969" w:rsidRPr="00FF1CEA" w:rsidRDefault="00803969" w:rsidP="00803969">
      <w:pPr>
        <w:rPr>
          <w:rFonts w:ascii="Verdana" w:hAnsi="Verdana"/>
        </w:rPr>
      </w:pPr>
      <w:r w:rsidRPr="00FF1CEA">
        <w:rPr>
          <w:rFonts w:ascii="Verdana" w:hAnsi="Verdana"/>
        </w:rPr>
        <w:t>A multi</w:t>
      </w:r>
      <w:r w:rsidRPr="00FF1CEA">
        <w:rPr>
          <w:rFonts w:ascii="Verdana" w:hAnsi="Verdana"/>
        </w:rPr>
        <w:noBreakHyphen/>
        <w:t>layered international intervention was central to shifting the conflict dynamics:</w:t>
      </w:r>
    </w:p>
    <w:p w14:paraId="6D30FBDB" w14:textId="77777777" w:rsidR="00803969" w:rsidRPr="00FF1CEA" w:rsidRDefault="00803969" w:rsidP="00803969">
      <w:pPr>
        <w:rPr>
          <w:rFonts w:ascii="Verdana" w:hAnsi="Verdana"/>
        </w:rPr>
      </w:pPr>
      <w:r w:rsidRPr="00FF1CEA">
        <w:rPr>
          <w:rFonts w:ascii="Verdana" w:hAnsi="Verdana"/>
          <w:b/>
          <w:bCs/>
        </w:rPr>
        <w:t>Regional Hegemony (ECOWAS/ECOMOG).</w:t>
      </w:r>
      <w:r w:rsidRPr="00FF1CEA">
        <w:rPr>
          <w:rFonts w:ascii="Verdana" w:hAnsi="Verdana"/>
        </w:rPr>
        <w:br/>
        <w:t>ECOWAS served as the principal regional arbiter. Despite criticism of Nigerian dominance within ECOMOG, its deployment provided an essential buffer against the complete erosion of state authority (Adebajo, 2002).</w:t>
      </w:r>
    </w:p>
    <w:p w14:paraId="0B3B0110" w14:textId="77777777" w:rsidR="00803969" w:rsidRPr="00FF1CEA" w:rsidRDefault="00803969" w:rsidP="00803969">
      <w:pPr>
        <w:rPr>
          <w:rFonts w:ascii="Verdana" w:hAnsi="Verdana"/>
        </w:rPr>
      </w:pPr>
      <w:r w:rsidRPr="00FF1CEA">
        <w:rPr>
          <w:rFonts w:ascii="Verdana" w:hAnsi="Verdana"/>
          <w:b/>
          <w:bCs/>
        </w:rPr>
        <w:t>Multilateral Peacekeeping (UNMIL).</w:t>
      </w:r>
      <w:r w:rsidRPr="00FF1CEA">
        <w:rPr>
          <w:rFonts w:ascii="Verdana" w:hAnsi="Verdana"/>
        </w:rPr>
        <w:br/>
        <w:t xml:space="preserve">The United Nations Mission in Liberia (UNMIL), established in 2003 under </w:t>
      </w:r>
      <w:r w:rsidRPr="00FF1CEA">
        <w:rPr>
          <w:rFonts w:ascii="Verdana" w:hAnsi="Verdana"/>
        </w:rPr>
        <w:lastRenderedPageBreak/>
        <w:t>Security Council Resolution 1509, became one of the largest UN operations in history, deploying up to 15,000 troops and over 1,000 police officers (UNSC, 2003). This force constituted the security umbrella necessary for the implementation of disarmament, demobilization, and reintegration (DDR) programs.</w:t>
      </w:r>
    </w:p>
    <w:p w14:paraId="71A48A11" w14:textId="77777777" w:rsidR="00803969" w:rsidRPr="00FF1CEA" w:rsidRDefault="00803969" w:rsidP="00803969">
      <w:pPr>
        <w:rPr>
          <w:rFonts w:ascii="Verdana" w:hAnsi="Verdana"/>
        </w:rPr>
      </w:pPr>
      <w:r w:rsidRPr="00FF1CEA">
        <w:rPr>
          <w:rFonts w:ascii="Verdana" w:hAnsi="Verdana"/>
          <w:b/>
          <w:bCs/>
        </w:rPr>
        <w:t>Targeted Sanctions.</w:t>
      </w:r>
      <w:r w:rsidRPr="00FF1CEA">
        <w:rPr>
          <w:rFonts w:ascii="Verdana" w:hAnsi="Verdana"/>
        </w:rPr>
        <w:br/>
        <w:t>The UN Security Council's imposition of sanctions on timber and diamonds—key sources of wartime revenue—constrained the financial capacity of armed actors to maintain patronage networks (Global Witness, 2003).</w:t>
      </w:r>
    </w:p>
    <w:p w14:paraId="5051A469" w14:textId="77777777" w:rsidR="00803969" w:rsidRPr="00FF1CEA" w:rsidRDefault="00803969" w:rsidP="00803969">
      <w:pPr>
        <w:rPr>
          <w:rFonts w:ascii="Verdana" w:hAnsi="Verdana"/>
          <w:b/>
          <w:bCs/>
        </w:rPr>
      </w:pPr>
      <w:r w:rsidRPr="00FF1CEA">
        <w:rPr>
          <w:rFonts w:ascii="Verdana" w:hAnsi="Verdana"/>
          <w:b/>
          <w:bCs/>
        </w:rPr>
        <w:t>1.2 The Logic of Elite Bargains</w:t>
      </w:r>
    </w:p>
    <w:p w14:paraId="671D4242" w14:textId="3408A988" w:rsidR="00803969" w:rsidRPr="00FF1CEA" w:rsidRDefault="00803969" w:rsidP="00803969">
      <w:pPr>
        <w:rPr>
          <w:rFonts w:ascii="Verdana" w:hAnsi="Verdana"/>
        </w:rPr>
      </w:pPr>
      <w:r w:rsidRPr="00FF1CEA">
        <w:rPr>
          <w:rFonts w:ascii="Verdana" w:hAnsi="Verdana"/>
        </w:rPr>
        <w:t xml:space="preserve">The Accra Comprehensive Peace Agreement (ACPA) formalized what scholars often call a </w:t>
      </w:r>
      <w:r w:rsidR="006F746C">
        <w:rPr>
          <w:rFonts w:ascii="Verdana" w:hAnsi="Verdana"/>
        </w:rPr>
        <w:t>“</w:t>
      </w:r>
      <w:r w:rsidRPr="006F746C">
        <w:rPr>
          <w:rFonts w:ascii="Verdana" w:hAnsi="Verdana"/>
        </w:rPr>
        <w:t>warlord’s peace</w:t>
      </w:r>
      <w:r w:rsidR="006F746C">
        <w:rPr>
          <w:rFonts w:ascii="Verdana" w:hAnsi="Verdana"/>
        </w:rPr>
        <w:t>”</w:t>
      </w:r>
      <w:r w:rsidRPr="00FF1CEA">
        <w:rPr>
          <w:rFonts w:ascii="Verdana" w:hAnsi="Verdana"/>
        </w:rPr>
        <w:t>. Key features included:</w:t>
      </w:r>
    </w:p>
    <w:p w14:paraId="137D1172" w14:textId="77777777" w:rsidR="00561178" w:rsidRPr="00FF1CEA" w:rsidRDefault="00561178" w:rsidP="00561178">
      <w:pPr>
        <w:spacing w:before="100" w:beforeAutospacing="1" w:after="100" w:afterAutospacing="1" w:line="300" w:lineRule="atLeast"/>
        <w:outlineLvl w:val="2"/>
        <w:rPr>
          <w:rFonts w:ascii="Verdana" w:eastAsia="Times New Roman" w:hAnsi="Verdana" w:cs="Segoe UI"/>
          <w:b/>
          <w:bCs/>
          <w:kern w:val="0"/>
          <w14:ligatures w14:val="none"/>
        </w:rPr>
      </w:pPr>
      <w:r w:rsidRPr="00FF1CEA">
        <w:rPr>
          <w:rFonts w:ascii="Verdana" w:eastAsia="Times New Roman" w:hAnsi="Verdana" w:cs="Segoe UI"/>
          <w:b/>
          <w:bCs/>
          <w:kern w:val="0"/>
          <w14:ligatures w14:val="none"/>
        </w:rPr>
        <w:t>1. Power Sharing</w:t>
      </w:r>
    </w:p>
    <w:p w14:paraId="40130A0C" w14:textId="33D025B6" w:rsidR="00561178" w:rsidRPr="00FF1CEA" w:rsidRDefault="00561178" w:rsidP="00561178">
      <w:pPr>
        <w:spacing w:before="100" w:beforeAutospacing="1" w:after="100" w:afterAutospacing="1" w:line="300" w:lineRule="atLeast"/>
        <w:rPr>
          <w:rFonts w:ascii="Verdana" w:eastAsia="Times New Roman" w:hAnsi="Verdana" w:cs="Segoe UI"/>
          <w:kern w:val="0"/>
          <w14:ligatures w14:val="none"/>
        </w:rPr>
      </w:pPr>
      <w:r w:rsidRPr="00FF1CEA">
        <w:rPr>
          <w:rFonts w:ascii="Verdana" w:eastAsia="Times New Roman" w:hAnsi="Verdana" w:cs="Segoe UI"/>
          <w:kern w:val="0"/>
          <w14:ligatures w14:val="none"/>
        </w:rPr>
        <w:t xml:space="preserve">In the aftermath of the civil war, the Accra Comprehensive Peace Agreement </w:t>
      </w:r>
      <w:r w:rsidR="006F746C">
        <w:rPr>
          <w:rFonts w:ascii="Verdana" w:eastAsia="Times New Roman" w:hAnsi="Verdana" w:cs="Segoe UI"/>
          <w:kern w:val="0"/>
          <w14:ligatures w14:val="none"/>
        </w:rPr>
        <w:t>established a power-sharing arrangement that integrated the major rebel factions, most</w:t>
      </w:r>
      <w:r w:rsidRPr="00FF1CEA">
        <w:rPr>
          <w:rFonts w:ascii="Verdana" w:eastAsia="Times New Roman" w:hAnsi="Verdana" w:cs="Segoe UI"/>
          <w:kern w:val="0"/>
          <w14:ligatures w14:val="none"/>
        </w:rPr>
        <w:t xml:space="preserve"> notably LURD and MODEL</w:t>
      </w:r>
      <w:r w:rsidR="006F746C">
        <w:rPr>
          <w:rFonts w:ascii="Verdana" w:eastAsia="Times New Roman" w:hAnsi="Verdana" w:cs="Segoe UI"/>
          <w:kern w:val="0"/>
          <w14:ligatures w14:val="none"/>
        </w:rPr>
        <w:t xml:space="preserve">, </w:t>
      </w:r>
      <w:r w:rsidRPr="00FF1CEA">
        <w:rPr>
          <w:rFonts w:ascii="Verdana" w:eastAsia="Times New Roman" w:hAnsi="Verdana" w:cs="Segoe UI"/>
          <w:kern w:val="0"/>
          <w14:ligatures w14:val="none"/>
        </w:rPr>
        <w:t>into the National Transitional Government of Liberia (NTGL). This arrangement allocated several key ministerial and governmental positions to their leaders, effectively transforming former battlefield commanders into formal political actors. As Reno (1998) and others have noted, this transition did not simply bring rebels into government; it reinforced a mode of political authority rooted in wartime networks of patronage, coercion, and loyalty. Consequently, the new political order reproduced many of the same elite strategies that had fueled conflict, even as it sought to stabilize the state.</w:t>
      </w:r>
    </w:p>
    <w:p w14:paraId="35753AB6" w14:textId="77777777" w:rsidR="00561178" w:rsidRPr="00FF1CEA" w:rsidRDefault="00561178" w:rsidP="00561178">
      <w:pPr>
        <w:spacing w:before="100" w:beforeAutospacing="1" w:after="100" w:afterAutospacing="1" w:line="300" w:lineRule="atLeast"/>
        <w:outlineLvl w:val="2"/>
        <w:rPr>
          <w:rFonts w:ascii="Verdana" w:eastAsia="Times New Roman" w:hAnsi="Verdana" w:cs="Segoe UI"/>
          <w:b/>
          <w:bCs/>
          <w:kern w:val="0"/>
          <w14:ligatures w14:val="none"/>
        </w:rPr>
      </w:pPr>
      <w:r w:rsidRPr="00FF1CEA">
        <w:rPr>
          <w:rFonts w:ascii="Verdana" w:eastAsia="Times New Roman" w:hAnsi="Verdana" w:cs="Segoe UI"/>
          <w:b/>
          <w:bCs/>
          <w:kern w:val="0"/>
          <w14:ligatures w14:val="none"/>
        </w:rPr>
        <w:t>2. The Taylor Exit</w:t>
      </w:r>
    </w:p>
    <w:p w14:paraId="38C26F99" w14:textId="259B5E24" w:rsidR="00561178" w:rsidRPr="00FF1CEA" w:rsidRDefault="00561178" w:rsidP="00561178">
      <w:pPr>
        <w:spacing w:before="100" w:beforeAutospacing="1" w:after="0" w:line="300" w:lineRule="atLeast"/>
        <w:rPr>
          <w:rFonts w:ascii="Verdana" w:eastAsia="Times New Roman" w:hAnsi="Verdana" w:cs="Segoe UI"/>
          <w:kern w:val="0"/>
          <w14:ligatures w14:val="none"/>
        </w:rPr>
      </w:pPr>
      <w:r w:rsidRPr="00FF1CEA">
        <w:rPr>
          <w:rFonts w:ascii="Verdana" w:eastAsia="Times New Roman" w:hAnsi="Verdana" w:cs="Segoe UI"/>
          <w:kern w:val="0"/>
          <w14:ligatures w14:val="none"/>
        </w:rPr>
        <w:t>A decisive turning point was the departure of President Charles Taylor, whose presence had long obstructed meaningful negotiations. Under intense diplomatic and military pressure, particularly from regional actors, the United States, and the United Nations, Taylor resigned and accepted exile in Nigeria in August 2003. His exit removed the single most polarizing figure in the conflict and created space for negotiations to proceed. It also enabled lesser political and military elites to reposition themselves within a newly forming transitional landscape, recalibrating their alliances and ambitions without the overshadowing dominance of Taylor’s personal network.</w:t>
      </w:r>
    </w:p>
    <w:p w14:paraId="1640182D" w14:textId="77777777" w:rsidR="00561178" w:rsidRPr="00FF1CEA" w:rsidRDefault="00561178" w:rsidP="00561178">
      <w:pPr>
        <w:spacing w:before="100" w:beforeAutospacing="1" w:after="0" w:line="300" w:lineRule="atLeast"/>
        <w:rPr>
          <w:rFonts w:ascii="Verdana" w:eastAsia="Times New Roman" w:hAnsi="Verdana" w:cs="Segoe UI"/>
          <w:kern w:val="0"/>
          <w14:ligatures w14:val="none"/>
        </w:rPr>
      </w:pPr>
      <w:r w:rsidRPr="00FF1CEA">
        <w:rPr>
          <w:rFonts w:ascii="Verdana" w:eastAsia="Times New Roman" w:hAnsi="Verdana" w:cs="Segoe UI"/>
          <w:kern w:val="0"/>
          <w14:ligatures w14:val="none"/>
        </w:rPr>
        <w:t>Together, the dual processes of elite power</w:t>
      </w:r>
      <w:r w:rsidRPr="00FF1CEA">
        <w:rPr>
          <w:rFonts w:ascii="Verdana" w:eastAsia="Times New Roman" w:hAnsi="Verdana" w:cs="Segoe UI"/>
          <w:kern w:val="0"/>
          <w14:ligatures w14:val="none"/>
        </w:rPr>
        <w:noBreakHyphen/>
        <w:t>sharing and Taylor’s removal brought short</w:t>
      </w:r>
      <w:r w:rsidRPr="00FF1CEA">
        <w:rPr>
          <w:rFonts w:ascii="Verdana" w:eastAsia="Times New Roman" w:hAnsi="Verdana" w:cs="Segoe UI"/>
          <w:kern w:val="0"/>
          <w14:ligatures w14:val="none"/>
        </w:rPr>
        <w:noBreakHyphen/>
        <w:t>term stability by halting open violence and establishing a workable transitional government. However, these same arrangements entrenched elite patronage as the defining logic of governance, embedding wartime actors and their networks at the heart of the post</w:t>
      </w:r>
      <w:r w:rsidRPr="00FF1CEA">
        <w:rPr>
          <w:rFonts w:ascii="Verdana" w:eastAsia="Times New Roman" w:hAnsi="Verdana" w:cs="Segoe UI"/>
          <w:kern w:val="0"/>
          <w14:ligatures w14:val="none"/>
        </w:rPr>
        <w:noBreakHyphen/>
        <w:t xml:space="preserve">war political order. As a result, the </w:t>
      </w:r>
      <w:r w:rsidRPr="00FF1CEA">
        <w:rPr>
          <w:rFonts w:ascii="Verdana" w:eastAsia="Times New Roman" w:hAnsi="Verdana" w:cs="Segoe UI"/>
          <w:kern w:val="0"/>
          <w14:ligatures w14:val="none"/>
        </w:rPr>
        <w:lastRenderedPageBreak/>
        <w:t>foundations of peace rested less on broad</w:t>
      </w:r>
      <w:r w:rsidRPr="00FF1CEA">
        <w:rPr>
          <w:rFonts w:ascii="Verdana" w:eastAsia="Times New Roman" w:hAnsi="Verdana" w:cs="Segoe UI"/>
          <w:kern w:val="0"/>
          <w14:ligatures w14:val="none"/>
        </w:rPr>
        <w:noBreakHyphen/>
        <w:t>based inclusion and more on accommodating the interests of powerful insiders.</w:t>
      </w:r>
    </w:p>
    <w:p w14:paraId="4C188CFD" w14:textId="21529CF1" w:rsidR="00803969" w:rsidRPr="00FF1CEA" w:rsidRDefault="00803969" w:rsidP="00803969">
      <w:pPr>
        <w:rPr>
          <w:rFonts w:ascii="Verdana" w:hAnsi="Verdana"/>
        </w:rPr>
      </w:pPr>
    </w:p>
    <w:p w14:paraId="64E590FD" w14:textId="77777777" w:rsidR="00803969" w:rsidRPr="00FF1CEA" w:rsidRDefault="00803969" w:rsidP="00803969">
      <w:pPr>
        <w:rPr>
          <w:rFonts w:ascii="Verdana" w:hAnsi="Verdana"/>
          <w:b/>
          <w:bCs/>
        </w:rPr>
      </w:pPr>
      <w:r w:rsidRPr="00FF1CEA">
        <w:rPr>
          <w:rFonts w:ascii="Verdana" w:hAnsi="Verdana"/>
          <w:b/>
          <w:bCs/>
        </w:rPr>
        <w:t>2. The Subaltern Silence: Marginalization of Local Agency</w:t>
      </w:r>
    </w:p>
    <w:p w14:paraId="55F813E6" w14:textId="77777777" w:rsidR="00803969" w:rsidRPr="00FF1CEA" w:rsidRDefault="00803969" w:rsidP="00803969">
      <w:pPr>
        <w:rPr>
          <w:rFonts w:ascii="Verdana" w:hAnsi="Verdana"/>
        </w:rPr>
      </w:pPr>
      <w:r w:rsidRPr="00FF1CEA">
        <w:rPr>
          <w:rFonts w:ascii="Verdana" w:hAnsi="Verdana"/>
        </w:rPr>
        <w:t>A paradox of the Liberian conflict lies in the disjuncture between those who provided human security during wartime and those who shaped the political security arrangements of the post</w:t>
      </w:r>
      <w:r w:rsidRPr="00FF1CEA">
        <w:rPr>
          <w:rFonts w:ascii="Verdana" w:hAnsi="Verdana"/>
        </w:rPr>
        <w:noBreakHyphen/>
        <w:t>war era.</w:t>
      </w:r>
    </w:p>
    <w:p w14:paraId="323E73E5" w14:textId="77777777" w:rsidR="00561178" w:rsidRPr="00FF1CEA" w:rsidRDefault="00561178" w:rsidP="00803969">
      <w:pPr>
        <w:rPr>
          <w:rFonts w:ascii="Verdana" w:hAnsi="Verdana"/>
        </w:rPr>
      </w:pPr>
    </w:p>
    <w:p w14:paraId="5448C82F" w14:textId="77777777" w:rsidR="00561178" w:rsidRPr="00FF1CEA" w:rsidRDefault="00561178" w:rsidP="00803969">
      <w:pPr>
        <w:rPr>
          <w:rFonts w:ascii="Verdana" w:hAnsi="Verdana"/>
        </w:rPr>
      </w:pPr>
    </w:p>
    <w:p w14:paraId="29203E2A" w14:textId="77777777" w:rsidR="00803969" w:rsidRPr="00FF1CEA" w:rsidRDefault="00803969" w:rsidP="00803969">
      <w:pPr>
        <w:rPr>
          <w:rFonts w:ascii="Verdana" w:hAnsi="Verdana"/>
          <w:b/>
          <w:bCs/>
        </w:rPr>
      </w:pPr>
      <w:r w:rsidRPr="00FF1CEA">
        <w:rPr>
          <w:rFonts w:ascii="Verdana" w:hAnsi="Verdana"/>
          <w:b/>
          <w:bCs/>
        </w:rPr>
        <w:t>2.1 Traditional and Religious Institutions</w:t>
      </w:r>
    </w:p>
    <w:p w14:paraId="54FDA267" w14:textId="77777777" w:rsidR="00803969" w:rsidRPr="00FF1CEA" w:rsidRDefault="00803969" w:rsidP="00803969">
      <w:pPr>
        <w:rPr>
          <w:rFonts w:ascii="Verdana" w:hAnsi="Verdana"/>
        </w:rPr>
      </w:pPr>
      <w:r w:rsidRPr="00FF1CEA">
        <w:rPr>
          <w:rFonts w:ascii="Verdana" w:hAnsi="Verdana"/>
        </w:rPr>
        <w:t>Religious organizations, notably the Inter</w:t>
      </w:r>
      <w:r w:rsidRPr="00FF1CEA">
        <w:rPr>
          <w:rFonts w:ascii="Verdana" w:hAnsi="Verdana"/>
        </w:rPr>
        <w:noBreakHyphen/>
        <w:t>Religious Council of Liberia, and traditional leaders served as pivotal providers of welfare, dispute resolution, and moral order during state collapse (Sawyer, 2005). Yet their authority was compromised through:</w:t>
      </w:r>
    </w:p>
    <w:p w14:paraId="214C3EC2" w14:textId="77777777" w:rsidR="00803969" w:rsidRPr="00FF1CEA" w:rsidRDefault="00803969" w:rsidP="00803969">
      <w:pPr>
        <w:numPr>
          <w:ilvl w:val="0"/>
          <w:numId w:val="2"/>
        </w:numPr>
        <w:rPr>
          <w:rFonts w:ascii="Verdana" w:hAnsi="Verdana"/>
        </w:rPr>
      </w:pPr>
      <w:r w:rsidRPr="00FF1CEA">
        <w:rPr>
          <w:rFonts w:ascii="Verdana" w:hAnsi="Verdana"/>
          <w:b/>
          <w:bCs/>
        </w:rPr>
        <w:t>Institutional Fragmentation.</w:t>
      </w:r>
      <w:r w:rsidRPr="00FF1CEA">
        <w:rPr>
          <w:rFonts w:ascii="Verdana" w:hAnsi="Verdana"/>
        </w:rPr>
        <w:br/>
        <w:t>Warlords frequently co</w:t>
      </w:r>
      <w:r w:rsidRPr="00FF1CEA">
        <w:rPr>
          <w:rFonts w:ascii="Verdana" w:hAnsi="Verdana"/>
        </w:rPr>
        <w:noBreakHyphen/>
        <w:t>opted or coerced chiefs to legitimize their territorial control, undermining trust in traditional institutions.</w:t>
      </w:r>
    </w:p>
    <w:p w14:paraId="05105D31" w14:textId="70399101" w:rsidR="00803969" w:rsidRPr="00FF1CEA" w:rsidRDefault="00803969" w:rsidP="00803969">
      <w:pPr>
        <w:numPr>
          <w:ilvl w:val="0"/>
          <w:numId w:val="2"/>
        </w:numPr>
        <w:rPr>
          <w:rFonts w:ascii="Verdana" w:hAnsi="Verdana"/>
        </w:rPr>
      </w:pPr>
      <w:r w:rsidRPr="00FF1CEA">
        <w:rPr>
          <w:rFonts w:ascii="Verdana" w:hAnsi="Verdana"/>
          <w:b/>
          <w:bCs/>
        </w:rPr>
        <w:t>Structural Exclusion.</w:t>
      </w:r>
      <w:r w:rsidRPr="00FF1CEA">
        <w:rPr>
          <w:rFonts w:ascii="Verdana" w:hAnsi="Verdana"/>
        </w:rPr>
        <w:br/>
        <w:t>Although civil society movements</w:t>
      </w:r>
      <w:r w:rsidR="00A86B22" w:rsidRPr="00FF1CEA">
        <w:rPr>
          <w:rFonts w:ascii="Verdana" w:hAnsi="Verdana"/>
        </w:rPr>
        <w:t xml:space="preserve">, </w:t>
      </w:r>
      <w:r w:rsidRPr="00FF1CEA">
        <w:rPr>
          <w:rFonts w:ascii="Verdana" w:hAnsi="Verdana"/>
        </w:rPr>
        <w:t>especially the Women of Liberia Mass Action for Peace</w:t>
      </w:r>
      <w:r w:rsidR="00877B6D">
        <w:rPr>
          <w:rFonts w:ascii="Verdana" w:hAnsi="Verdana"/>
        </w:rPr>
        <w:t xml:space="preserve"> and other smaller mediation groups, played a decisive role in pressuring negotiators, they were afforded limited influence in formal decision-making processes (TRC, 2009; </w:t>
      </w:r>
      <w:proofErr w:type="spellStart"/>
      <w:r w:rsidR="00877B6D">
        <w:rPr>
          <w:rFonts w:ascii="Verdana" w:hAnsi="Verdana"/>
        </w:rPr>
        <w:t>Kormoll</w:t>
      </w:r>
      <w:proofErr w:type="spellEnd"/>
      <w:r w:rsidR="00877B6D">
        <w:rPr>
          <w:rFonts w:ascii="Verdana" w:hAnsi="Verdana"/>
        </w:rPr>
        <w:t xml:space="preserve"> and Sayndee</w:t>
      </w:r>
      <w:r w:rsidRPr="00FF1CEA">
        <w:rPr>
          <w:rFonts w:ascii="Verdana" w:hAnsi="Verdana"/>
        </w:rPr>
        <w:t>).</w:t>
      </w:r>
    </w:p>
    <w:p w14:paraId="5FD3C391" w14:textId="7B2EB35A" w:rsidR="00803969" w:rsidRPr="00FF1CEA" w:rsidRDefault="00803969" w:rsidP="00803969">
      <w:pPr>
        <w:rPr>
          <w:rFonts w:ascii="Verdana" w:hAnsi="Verdana"/>
        </w:rPr>
      </w:pPr>
      <w:r w:rsidRPr="00FF1CEA">
        <w:rPr>
          <w:rFonts w:ascii="Verdana" w:hAnsi="Verdana"/>
        </w:rPr>
        <w:t>Thus, local agencies became subordinate to the imperatives of elite stabilization and international coordination.</w:t>
      </w:r>
    </w:p>
    <w:p w14:paraId="5A02764E" w14:textId="49A385D8" w:rsidR="00803969" w:rsidRPr="00FF1CEA" w:rsidRDefault="00803969" w:rsidP="00803969">
      <w:pPr>
        <w:rPr>
          <w:rFonts w:ascii="Verdana" w:hAnsi="Verdana"/>
        </w:rPr>
      </w:pPr>
    </w:p>
    <w:p w14:paraId="2B816601" w14:textId="77777777" w:rsidR="00803969" w:rsidRPr="00FF1CEA" w:rsidRDefault="00803969" w:rsidP="00803969">
      <w:pPr>
        <w:rPr>
          <w:rFonts w:ascii="Verdana" w:hAnsi="Verdana"/>
          <w:b/>
          <w:bCs/>
        </w:rPr>
      </w:pPr>
      <w:r w:rsidRPr="00FF1CEA">
        <w:rPr>
          <w:rFonts w:ascii="Verdana" w:hAnsi="Verdana"/>
          <w:b/>
          <w:bCs/>
        </w:rPr>
        <w:t>3. The Architecture of Fragility: Why Reconstruction Faltered</w:t>
      </w:r>
    </w:p>
    <w:p w14:paraId="1E32FBC6" w14:textId="77777777" w:rsidR="00803969" w:rsidRPr="00FF1CEA" w:rsidRDefault="00803969" w:rsidP="00803969">
      <w:pPr>
        <w:rPr>
          <w:rFonts w:ascii="Verdana" w:hAnsi="Verdana"/>
          <w:b/>
          <w:bCs/>
        </w:rPr>
      </w:pPr>
      <w:r w:rsidRPr="00FF1CEA">
        <w:rPr>
          <w:rFonts w:ascii="Verdana" w:hAnsi="Verdana"/>
          <w:b/>
          <w:bCs/>
        </w:rPr>
        <w:t>3.1 Liberal Peacebuilding and Its Limits</w:t>
      </w:r>
    </w:p>
    <w:p w14:paraId="24F19261" w14:textId="7683B482" w:rsidR="00803969" w:rsidRPr="00FF1CEA" w:rsidRDefault="00A86B22" w:rsidP="00803969">
      <w:pPr>
        <w:rPr>
          <w:rFonts w:ascii="Verdana" w:hAnsi="Verdana"/>
        </w:rPr>
      </w:pPr>
      <w:r w:rsidRPr="00FF1CEA">
        <w:rPr>
          <w:rFonts w:ascii="Verdana" w:hAnsi="Verdana"/>
        </w:rPr>
        <w:t xml:space="preserve">The </w:t>
      </w:r>
      <w:r w:rsidR="00877B6D">
        <w:rPr>
          <w:rFonts w:ascii="Verdana" w:hAnsi="Verdana"/>
        </w:rPr>
        <w:t>post-2003 reconstruction, largely shaped by international donors and the administration of President Ellen Johnson Sirleaf, adopted a liberal peace framework that prioritized state-building (institutional restructuring, security sector reform) over nation-building</w:t>
      </w:r>
      <w:r w:rsidR="00803969" w:rsidRPr="00FF1CEA">
        <w:rPr>
          <w:rFonts w:ascii="Verdana" w:hAnsi="Verdana"/>
        </w:rPr>
        <w:t xml:space="preserve"> (social cohesion, identity reconstruction) (Richmond, 2011).</w:t>
      </w:r>
      <w:r w:rsidRPr="00FF1CEA">
        <w:rPr>
          <w:rFonts w:ascii="Verdana" w:hAnsi="Verdana"/>
        </w:rPr>
        <w:t xml:space="preserve"> </w:t>
      </w:r>
    </w:p>
    <w:p w14:paraId="36248FF9" w14:textId="77777777" w:rsidR="00A86B22" w:rsidRPr="00FF1CEA" w:rsidRDefault="00A86B22" w:rsidP="00803969">
      <w:pPr>
        <w:rPr>
          <w:rFonts w:ascii="Verdana" w:hAnsi="Verdana"/>
        </w:rPr>
      </w:pPr>
    </w:p>
    <w:p w14:paraId="62895699" w14:textId="77777777" w:rsidR="00803969" w:rsidRPr="00FF1CEA" w:rsidRDefault="00803969" w:rsidP="00803969">
      <w:pPr>
        <w:rPr>
          <w:rFonts w:ascii="Verdana" w:hAnsi="Verdana"/>
          <w:b/>
          <w:bCs/>
        </w:rPr>
      </w:pPr>
      <w:r w:rsidRPr="00FF1CEA">
        <w:rPr>
          <w:rFonts w:ascii="Verdana" w:hAnsi="Verdana"/>
          <w:b/>
          <w:bCs/>
        </w:rPr>
        <w:t>3.2 Persistent Structural Grievances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35"/>
        <w:gridCol w:w="3153"/>
        <w:gridCol w:w="3522"/>
      </w:tblGrid>
      <w:tr w:rsidR="00803969" w:rsidRPr="00FF1CEA" w14:paraId="256D0554"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49CC10BC" w14:textId="77777777" w:rsidR="00803969" w:rsidRPr="00FF1CEA" w:rsidRDefault="00803969" w:rsidP="00803969">
            <w:pPr>
              <w:rPr>
                <w:rFonts w:ascii="Verdana" w:hAnsi="Verdana"/>
                <w:b/>
                <w:bCs/>
              </w:rPr>
            </w:pPr>
            <w:r w:rsidRPr="00FF1CEA">
              <w:rPr>
                <w:rFonts w:ascii="Verdana" w:hAnsi="Verdana"/>
                <w:b/>
                <w:bCs/>
              </w:rPr>
              <w:t>Root Cause of Fragility</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4AADE61" w14:textId="77777777" w:rsidR="00803969" w:rsidRPr="00FF1CEA" w:rsidRDefault="00803969" w:rsidP="00803969">
            <w:pPr>
              <w:rPr>
                <w:rFonts w:ascii="Verdana" w:hAnsi="Verdana"/>
                <w:b/>
                <w:bCs/>
              </w:rPr>
            </w:pPr>
            <w:r w:rsidRPr="00FF1CEA">
              <w:rPr>
                <w:rFonts w:ascii="Verdana" w:hAnsi="Verdana"/>
                <w:b/>
                <w:bCs/>
              </w:rPr>
              <w:t>Reconstruction Approach</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A22002A" w14:textId="77777777" w:rsidR="00803969" w:rsidRPr="00FF1CEA" w:rsidRDefault="00803969" w:rsidP="00803969">
            <w:pPr>
              <w:rPr>
                <w:rFonts w:ascii="Verdana" w:hAnsi="Verdana"/>
                <w:b/>
                <w:bCs/>
              </w:rPr>
            </w:pPr>
            <w:r w:rsidRPr="00FF1CEA">
              <w:rPr>
                <w:rFonts w:ascii="Verdana" w:hAnsi="Verdana"/>
                <w:b/>
                <w:bCs/>
              </w:rPr>
              <w:t>Long</w:t>
            </w:r>
            <w:r w:rsidRPr="00FF1CEA">
              <w:rPr>
                <w:rFonts w:ascii="Verdana" w:hAnsi="Verdana"/>
                <w:b/>
                <w:bCs/>
              </w:rPr>
              <w:noBreakHyphen/>
              <w:t>Term Consequence</w:t>
            </w:r>
          </w:p>
        </w:tc>
      </w:tr>
      <w:tr w:rsidR="00803969" w:rsidRPr="00FF1CEA" w14:paraId="2597F2A8"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2723896" w14:textId="77777777" w:rsidR="00803969" w:rsidRPr="00FF1CEA" w:rsidRDefault="00803969" w:rsidP="00803969">
            <w:pPr>
              <w:rPr>
                <w:rFonts w:ascii="Verdana" w:hAnsi="Verdana"/>
              </w:rPr>
            </w:pPr>
            <w:r w:rsidRPr="00FF1CEA">
              <w:rPr>
                <w:rFonts w:ascii="Verdana" w:hAnsi="Verdana"/>
              </w:rPr>
              <w:lastRenderedPageBreak/>
              <w:t>Land tenure conflict</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2F1C0DC" w14:textId="77777777" w:rsidR="00803969" w:rsidRPr="00FF1CEA" w:rsidRDefault="00803969" w:rsidP="00803969">
            <w:pPr>
              <w:rPr>
                <w:rFonts w:ascii="Verdana" w:hAnsi="Verdana"/>
              </w:rPr>
            </w:pPr>
            <w:r w:rsidRPr="00FF1CEA">
              <w:rPr>
                <w:rFonts w:ascii="Verdana" w:hAnsi="Verdana"/>
              </w:rPr>
              <w:t>Infrastructure</w:t>
            </w:r>
            <w:r w:rsidRPr="00FF1CEA">
              <w:rPr>
                <w:rFonts w:ascii="Verdana" w:hAnsi="Verdana"/>
              </w:rPr>
              <w:noBreakHyphen/>
              <w:t>focused reconstruction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F80A71E" w14:textId="77777777" w:rsidR="00803969" w:rsidRPr="00FF1CEA" w:rsidRDefault="00803969" w:rsidP="00803969">
            <w:pPr>
              <w:rPr>
                <w:rFonts w:ascii="Verdana" w:hAnsi="Verdana"/>
              </w:rPr>
            </w:pPr>
            <w:r w:rsidRPr="00FF1CEA">
              <w:rPr>
                <w:rFonts w:ascii="Verdana" w:hAnsi="Verdana"/>
              </w:rPr>
              <w:t>Over 80% of court cases remain land</w:t>
            </w:r>
            <w:r w:rsidRPr="00FF1CEA">
              <w:rPr>
                <w:rFonts w:ascii="Verdana" w:hAnsi="Verdana"/>
              </w:rPr>
              <w:noBreakHyphen/>
              <w:t>related (TRC, 2009).</w:t>
            </w:r>
          </w:p>
        </w:tc>
      </w:tr>
      <w:tr w:rsidR="00803969" w:rsidRPr="00FF1CEA" w14:paraId="21D096DF"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144D8D1" w14:textId="77777777" w:rsidR="00803969" w:rsidRPr="00FF1CEA" w:rsidRDefault="00803969" w:rsidP="00803969">
            <w:pPr>
              <w:rPr>
                <w:rFonts w:ascii="Verdana" w:hAnsi="Verdana"/>
              </w:rPr>
            </w:pPr>
            <w:r w:rsidRPr="00FF1CEA">
              <w:rPr>
                <w:rFonts w:ascii="Verdana" w:hAnsi="Verdana"/>
              </w:rPr>
              <w:t>Ethnic marginalization</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93EB632" w14:textId="77777777" w:rsidR="00803969" w:rsidRPr="00FF1CEA" w:rsidRDefault="00803969" w:rsidP="00803969">
            <w:pPr>
              <w:rPr>
                <w:rFonts w:ascii="Verdana" w:hAnsi="Verdana"/>
              </w:rPr>
            </w:pPr>
            <w:r w:rsidRPr="00FF1CEA">
              <w:rPr>
                <w:rFonts w:ascii="Verdana" w:hAnsi="Verdana"/>
              </w:rPr>
              <w:t>Formal democratic elections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5E0880F" w14:textId="77777777" w:rsidR="00803969" w:rsidRPr="00FF1CEA" w:rsidRDefault="00803969" w:rsidP="00803969">
            <w:pPr>
              <w:rPr>
                <w:rFonts w:ascii="Verdana" w:hAnsi="Verdana"/>
              </w:rPr>
            </w:pPr>
            <w:r w:rsidRPr="00FF1CEA">
              <w:rPr>
                <w:rFonts w:ascii="Verdana" w:hAnsi="Verdana"/>
              </w:rPr>
              <w:t>Continued perceptions of Monrovia</w:t>
            </w:r>
            <w:r w:rsidRPr="00FF1CEA">
              <w:rPr>
                <w:rFonts w:ascii="Verdana" w:hAnsi="Verdana"/>
              </w:rPr>
              <w:noBreakHyphen/>
              <w:t>centric dominance.</w:t>
            </w:r>
          </w:p>
        </w:tc>
      </w:tr>
      <w:tr w:rsidR="00803969" w:rsidRPr="00FF1CEA" w14:paraId="52C4EC62"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A38A04F" w14:textId="77777777" w:rsidR="00803969" w:rsidRPr="00FF1CEA" w:rsidRDefault="00803969" w:rsidP="00803969">
            <w:pPr>
              <w:rPr>
                <w:rFonts w:ascii="Verdana" w:hAnsi="Verdana"/>
              </w:rPr>
            </w:pPr>
            <w:r w:rsidRPr="00FF1CEA">
              <w:rPr>
                <w:rFonts w:ascii="Verdana" w:hAnsi="Verdana"/>
              </w:rPr>
              <w:t>Youth bulge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96AD27C" w14:textId="77777777" w:rsidR="00803969" w:rsidRPr="00FF1CEA" w:rsidRDefault="00803969" w:rsidP="00803969">
            <w:pPr>
              <w:rPr>
                <w:rFonts w:ascii="Verdana" w:hAnsi="Verdana"/>
              </w:rPr>
            </w:pPr>
            <w:r w:rsidRPr="00FF1CEA">
              <w:rPr>
                <w:rFonts w:ascii="Verdana" w:hAnsi="Verdana"/>
              </w:rPr>
              <w:t>Micro</w:t>
            </w:r>
            <w:r w:rsidRPr="00FF1CEA">
              <w:rPr>
                <w:rFonts w:ascii="Verdana" w:hAnsi="Verdana"/>
              </w:rPr>
              <w:noBreakHyphen/>
              <w:t>credit and vocational training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2219CC72" w14:textId="77777777" w:rsidR="00803969" w:rsidRPr="00FF1CEA" w:rsidRDefault="00803969" w:rsidP="00803969">
            <w:pPr>
              <w:rPr>
                <w:rFonts w:ascii="Verdana" w:hAnsi="Verdana"/>
              </w:rPr>
            </w:pPr>
            <w:r w:rsidRPr="00FF1CEA">
              <w:rPr>
                <w:rFonts w:ascii="Verdana" w:hAnsi="Verdana"/>
              </w:rPr>
              <w:t>Former combatants remain economically and politically vulnerable.</w:t>
            </w:r>
          </w:p>
        </w:tc>
      </w:tr>
      <w:tr w:rsidR="00803969" w:rsidRPr="00FF1CEA" w14:paraId="707F09BC"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67AD4391" w14:textId="77777777" w:rsidR="00803969" w:rsidRPr="00FF1CEA" w:rsidRDefault="00803969" w:rsidP="00803969">
            <w:pPr>
              <w:rPr>
                <w:rFonts w:ascii="Verdana" w:hAnsi="Verdana"/>
              </w:rPr>
            </w:pPr>
            <w:r w:rsidRPr="00FF1CEA">
              <w:rPr>
                <w:rFonts w:ascii="Verdana" w:hAnsi="Verdana"/>
              </w:rPr>
              <w:t>Economic dependency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D05F4F4" w14:textId="77777777" w:rsidR="00803969" w:rsidRPr="00FF1CEA" w:rsidRDefault="00803969" w:rsidP="00803969">
            <w:pPr>
              <w:rPr>
                <w:rFonts w:ascii="Verdana" w:hAnsi="Verdana"/>
              </w:rPr>
            </w:pPr>
            <w:r w:rsidRPr="00FF1CEA">
              <w:rPr>
                <w:rFonts w:ascii="Verdana" w:hAnsi="Verdana"/>
              </w:rPr>
              <w:t>Revitalization of extractive industries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8932854" w14:textId="77777777" w:rsidR="00803969" w:rsidRPr="00FF1CEA" w:rsidRDefault="00803969" w:rsidP="00803969">
            <w:pPr>
              <w:rPr>
                <w:rFonts w:ascii="Verdana" w:hAnsi="Verdana"/>
              </w:rPr>
            </w:pPr>
            <w:r w:rsidRPr="00FF1CEA">
              <w:rPr>
                <w:rFonts w:ascii="Verdana" w:hAnsi="Verdana"/>
              </w:rPr>
              <w:t>Persistent vulnerability to global commodity shocks.</w:t>
            </w:r>
          </w:p>
        </w:tc>
      </w:tr>
      <w:tr w:rsidR="00FF1CEA" w:rsidRPr="00FF1CEA" w14:paraId="6C48AFF3" w14:textId="7777777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tcPr>
          <w:p w14:paraId="75B9088B" w14:textId="316109C3" w:rsidR="00FF1CEA" w:rsidRPr="00FF1CEA" w:rsidRDefault="00FF1CEA" w:rsidP="00803969">
            <w:pPr>
              <w:rPr>
                <w:rFonts w:ascii="Verdana" w:hAnsi="Verdana"/>
              </w:rPr>
            </w:pPr>
            <w:r w:rsidRPr="00FF1CEA">
              <w:rPr>
                <w:rFonts w:ascii="Verdana" w:hAnsi="Verdana"/>
              </w:rPr>
              <w:t>Liberian-style extractive process</w:t>
            </w:r>
          </w:p>
        </w:tc>
        <w:tc>
          <w:tcPr>
            <w:tcW w:w="0" w:type="auto"/>
            <w:tcBorders>
              <w:top w:val="single" w:sz="6" w:space="0" w:color="E6E6E6"/>
              <w:left w:val="single" w:sz="6" w:space="0" w:color="E6E6E6"/>
              <w:bottom w:val="single" w:sz="6" w:space="0" w:color="E6E6E6"/>
              <w:right w:val="single" w:sz="6" w:space="0" w:color="E6E6E6"/>
            </w:tcBorders>
            <w:vAlign w:val="center"/>
          </w:tcPr>
          <w:p w14:paraId="5689B8BA" w14:textId="6C742DCE" w:rsidR="00FF1CEA" w:rsidRPr="00FF1CEA" w:rsidRDefault="00FF1CEA" w:rsidP="00803969">
            <w:pPr>
              <w:rPr>
                <w:rFonts w:ascii="Verdana" w:hAnsi="Verdana"/>
              </w:rPr>
            </w:pPr>
            <w:r w:rsidRPr="00FF1CEA">
              <w:rPr>
                <w:rFonts w:ascii="Verdana" w:hAnsi="Verdana"/>
              </w:rPr>
              <w:t>Create Mineral Development Agreements</w:t>
            </w:r>
          </w:p>
        </w:tc>
        <w:tc>
          <w:tcPr>
            <w:tcW w:w="0" w:type="auto"/>
            <w:tcBorders>
              <w:top w:val="single" w:sz="6" w:space="0" w:color="E6E6E6"/>
              <w:left w:val="single" w:sz="6" w:space="0" w:color="E6E6E6"/>
              <w:bottom w:val="single" w:sz="6" w:space="0" w:color="E6E6E6"/>
              <w:right w:val="single" w:sz="6" w:space="0" w:color="E6E6E6"/>
            </w:tcBorders>
            <w:vAlign w:val="center"/>
          </w:tcPr>
          <w:p w14:paraId="7C8097B3" w14:textId="007A945A" w:rsidR="00FF1CEA" w:rsidRPr="00FF1CEA" w:rsidRDefault="00FF1CEA" w:rsidP="00E40FAE">
            <w:pPr>
              <w:rPr>
                <w:rFonts w:ascii="Verdana" w:hAnsi="Verdana"/>
              </w:rPr>
            </w:pPr>
            <w:r w:rsidRPr="00FF1CEA">
              <w:rPr>
                <w:rFonts w:ascii="Verdana" w:hAnsi="Verdana"/>
              </w:rPr>
              <w:t xml:space="preserve"> </w:t>
            </w:r>
            <w:r w:rsidR="00E40FAE" w:rsidRPr="00E40FAE">
              <w:rPr>
                <w:rFonts w:ascii="Verdana" w:hAnsi="Verdana"/>
                <w:lang w:val="en-LR"/>
              </w:rPr>
              <w:t>An</w:t>
            </w:r>
            <w:r w:rsidR="00E40FAE">
              <w:rPr>
                <w:rFonts w:ascii="Verdana" w:hAnsi="Verdana"/>
                <w:lang w:val="en-LR"/>
              </w:rPr>
              <w:t xml:space="preserve"> enclave economy</w:t>
            </w:r>
            <w:r w:rsidR="00E40FAE">
              <w:rPr>
                <w:rFonts w:ascii="Verdana" w:hAnsi="Verdana"/>
                <w:b/>
                <w:bCs/>
                <w:lang w:val="en-LR"/>
              </w:rPr>
              <w:t xml:space="preserve"> </w:t>
            </w:r>
          </w:p>
        </w:tc>
      </w:tr>
    </w:tbl>
    <w:p w14:paraId="6EC4C053" w14:textId="77777777" w:rsidR="00FF1CEA" w:rsidRPr="00FF1CEA" w:rsidRDefault="00FF1CEA" w:rsidP="00803969">
      <w:pPr>
        <w:rPr>
          <w:rFonts w:ascii="Verdana" w:hAnsi="Verdana"/>
          <w:b/>
          <w:bCs/>
        </w:rPr>
      </w:pPr>
    </w:p>
    <w:p w14:paraId="54A56EBA" w14:textId="0D131396" w:rsidR="00803969" w:rsidRPr="00FF1CEA" w:rsidRDefault="00803969" w:rsidP="00803969">
      <w:pPr>
        <w:rPr>
          <w:rFonts w:ascii="Verdana" w:hAnsi="Verdana"/>
          <w:b/>
          <w:bCs/>
        </w:rPr>
      </w:pPr>
      <w:r w:rsidRPr="00FF1CEA">
        <w:rPr>
          <w:rFonts w:ascii="Verdana" w:hAnsi="Verdana"/>
          <w:b/>
          <w:bCs/>
        </w:rPr>
        <w:t>3.3 The “State on Paper” Phenomenon</w:t>
      </w:r>
    </w:p>
    <w:p w14:paraId="6995B21B" w14:textId="5AD0587F" w:rsidR="00803969" w:rsidRPr="00FF1CEA" w:rsidRDefault="00803969" w:rsidP="00803969">
      <w:pPr>
        <w:rPr>
          <w:rFonts w:ascii="Verdana" w:hAnsi="Verdana"/>
        </w:rPr>
      </w:pPr>
      <w:r w:rsidRPr="00FF1CEA">
        <w:rPr>
          <w:rFonts w:ascii="Verdana" w:hAnsi="Verdana"/>
        </w:rPr>
        <w:t>Despite robust macroeconomic growth between 2003 and 2013</w:t>
      </w:r>
      <w:r w:rsidR="00E40FAE">
        <w:rPr>
          <w:rFonts w:ascii="Verdana" w:hAnsi="Verdana"/>
        </w:rPr>
        <w:t xml:space="preserve">, </w:t>
      </w:r>
      <w:r w:rsidRPr="00FF1CEA">
        <w:rPr>
          <w:rFonts w:ascii="Verdana" w:hAnsi="Verdana"/>
        </w:rPr>
        <w:t>averaging 6.7% annually (IMF, 2025)</w:t>
      </w:r>
      <w:r w:rsidR="00E40FAE">
        <w:rPr>
          <w:rFonts w:ascii="Verdana" w:hAnsi="Verdana"/>
        </w:rPr>
        <w:t xml:space="preserve">, </w:t>
      </w:r>
      <w:r w:rsidRPr="00FF1CEA">
        <w:rPr>
          <w:rFonts w:ascii="Verdana" w:hAnsi="Verdana"/>
        </w:rPr>
        <w:t>everyday service delivery remained weak. Donor</w:t>
      </w:r>
      <w:r w:rsidRPr="00FF1CEA">
        <w:rPr>
          <w:rFonts w:ascii="Verdana" w:hAnsi="Verdana"/>
        </w:rPr>
        <w:noBreakHyphen/>
        <w:t xml:space="preserve">driven governance reforms prioritized quantitative benchmarks, including regulatory restructuring and fiscal discipline, while neglecting qualitative indicators of social </w:t>
      </w:r>
      <w:r w:rsidR="00E40FAE">
        <w:rPr>
          <w:rFonts w:ascii="Verdana" w:hAnsi="Verdana"/>
        </w:rPr>
        <w:t>well-being</w:t>
      </w:r>
      <w:r w:rsidRPr="00FF1CEA">
        <w:rPr>
          <w:rFonts w:ascii="Verdana" w:hAnsi="Verdana"/>
        </w:rPr>
        <w:t>.</w:t>
      </w:r>
    </w:p>
    <w:p w14:paraId="2EDE9C29" w14:textId="77777777" w:rsidR="00803969" w:rsidRPr="00FF1CEA" w:rsidRDefault="00803969" w:rsidP="00803969">
      <w:pPr>
        <w:rPr>
          <w:rFonts w:ascii="Verdana" w:hAnsi="Verdana"/>
        </w:rPr>
      </w:pPr>
      <w:r w:rsidRPr="00FF1CEA">
        <w:rPr>
          <w:rFonts w:ascii="Verdana" w:hAnsi="Verdana"/>
        </w:rPr>
        <w:t>Economic expansion was concentrated in enclave sectors such as commercial agriculture and mining, creating minimal employment linkages (World Bank, 2025, 2023). As a result, high levels of poverty (26–33%) persisted alongside limited state presence outside Monrovia.</w:t>
      </w:r>
    </w:p>
    <w:p w14:paraId="2D19AF61" w14:textId="29FE5341" w:rsidR="00803969" w:rsidRPr="00FF1CEA" w:rsidRDefault="00803969" w:rsidP="00803969">
      <w:pPr>
        <w:rPr>
          <w:rFonts w:ascii="Verdana" w:hAnsi="Verdana"/>
        </w:rPr>
      </w:pPr>
      <w:r w:rsidRPr="00FF1CEA">
        <w:rPr>
          <w:rFonts w:ascii="Verdana" w:hAnsi="Verdana"/>
        </w:rPr>
        <w:t>This mismatch produced a paradox: a state that appeared institutionally coherent and economically stable on paper but lacked the legitimacy and capacity necessary to meet citizen</w:t>
      </w:r>
      <w:r w:rsidR="00E40FAE">
        <w:rPr>
          <w:rFonts w:ascii="Verdana" w:hAnsi="Verdana"/>
        </w:rPr>
        <w:t>s’</w:t>
      </w:r>
      <w:r w:rsidRPr="00FF1CEA">
        <w:rPr>
          <w:rFonts w:ascii="Verdana" w:hAnsi="Verdana"/>
        </w:rPr>
        <w:t xml:space="preserve"> expectations.</w:t>
      </w:r>
    </w:p>
    <w:p w14:paraId="4D69F7F3" w14:textId="06F698BD" w:rsidR="00803969" w:rsidRPr="00FF1CEA" w:rsidRDefault="00803969" w:rsidP="00803969">
      <w:pPr>
        <w:rPr>
          <w:rFonts w:ascii="Verdana" w:hAnsi="Verdana"/>
        </w:rPr>
      </w:pPr>
    </w:p>
    <w:p w14:paraId="755A0BB4" w14:textId="77777777" w:rsidR="00803969" w:rsidRPr="00FF1CEA" w:rsidRDefault="00803969" w:rsidP="00803969">
      <w:pPr>
        <w:rPr>
          <w:rFonts w:ascii="Verdana" w:hAnsi="Verdana"/>
          <w:b/>
          <w:bCs/>
        </w:rPr>
      </w:pPr>
      <w:r w:rsidRPr="00FF1CEA">
        <w:rPr>
          <w:rFonts w:ascii="Verdana" w:hAnsi="Verdana"/>
          <w:b/>
          <w:bCs/>
        </w:rPr>
        <w:t>4. Conclusion: The Legacy of a Superficial Peace</w:t>
      </w:r>
    </w:p>
    <w:p w14:paraId="1A7FDDD9" w14:textId="77777777" w:rsidR="00803969" w:rsidRPr="00FF1CEA" w:rsidRDefault="00803969" w:rsidP="00803969">
      <w:pPr>
        <w:rPr>
          <w:rFonts w:ascii="Verdana" w:hAnsi="Verdana"/>
        </w:rPr>
      </w:pPr>
      <w:r w:rsidRPr="00FF1CEA">
        <w:rPr>
          <w:rFonts w:ascii="Verdana" w:hAnsi="Verdana"/>
        </w:rPr>
        <w:t>The termination of the Liberian Civil War was a diplomatic and peacekeeping success but a missed opportunity for profound social transformation. By privileging elite bargains over inclusive reforms, the peace architecture integrated wartime actors into post</w:t>
      </w:r>
      <w:r w:rsidRPr="00FF1CEA">
        <w:rPr>
          <w:rFonts w:ascii="Verdana" w:hAnsi="Verdana"/>
        </w:rPr>
        <w:noBreakHyphen/>
        <w:t>war political structures, entrenching patronage and corruption.</w:t>
      </w:r>
    </w:p>
    <w:p w14:paraId="366E7F36" w14:textId="11C59DB3" w:rsidR="00803969" w:rsidRPr="00FF1CEA" w:rsidRDefault="00803969" w:rsidP="00803969">
      <w:pPr>
        <w:rPr>
          <w:rFonts w:ascii="Verdana" w:hAnsi="Verdana"/>
        </w:rPr>
      </w:pPr>
      <w:r w:rsidRPr="00FF1CEA">
        <w:rPr>
          <w:rFonts w:ascii="Verdana" w:hAnsi="Verdana"/>
        </w:rPr>
        <w:t xml:space="preserve">To advance from </w:t>
      </w:r>
      <w:r w:rsidRPr="00FF1CEA">
        <w:rPr>
          <w:rFonts w:ascii="Verdana" w:hAnsi="Verdana"/>
          <w:i/>
          <w:iCs/>
        </w:rPr>
        <w:t>negative peace</w:t>
      </w:r>
      <w:r w:rsidR="009C13C0">
        <w:rPr>
          <w:rFonts w:ascii="Verdana" w:hAnsi="Verdana"/>
        </w:rPr>
        <w:t xml:space="preserve">, </w:t>
      </w:r>
      <w:r w:rsidRPr="00FF1CEA">
        <w:rPr>
          <w:rFonts w:ascii="Verdana" w:hAnsi="Verdana"/>
        </w:rPr>
        <w:t>the absence of violence</w:t>
      </w:r>
      <w:r w:rsidR="009C13C0">
        <w:rPr>
          <w:rFonts w:ascii="Verdana" w:hAnsi="Verdana"/>
        </w:rPr>
        <w:t xml:space="preserve">, </w:t>
      </w:r>
      <w:r w:rsidRPr="00FF1CEA">
        <w:rPr>
          <w:rFonts w:ascii="Verdana" w:hAnsi="Verdana"/>
        </w:rPr>
        <w:t xml:space="preserve">to </w:t>
      </w:r>
      <w:r w:rsidRPr="00FF1CEA">
        <w:rPr>
          <w:rFonts w:ascii="Verdana" w:hAnsi="Verdana"/>
          <w:i/>
          <w:iCs/>
        </w:rPr>
        <w:t>positive peace</w:t>
      </w:r>
      <w:r w:rsidR="009C13C0">
        <w:rPr>
          <w:rFonts w:ascii="Verdana" w:hAnsi="Verdana"/>
          <w:i/>
          <w:iCs/>
        </w:rPr>
        <w:t xml:space="preserve">, </w:t>
      </w:r>
      <w:r w:rsidRPr="00FF1CEA">
        <w:rPr>
          <w:rFonts w:ascii="Verdana" w:hAnsi="Verdana"/>
        </w:rPr>
        <w:t>justice, equity, and participatory governance</w:t>
      </w:r>
      <w:r w:rsidR="009C13C0">
        <w:rPr>
          <w:rFonts w:ascii="Verdana" w:hAnsi="Verdana"/>
        </w:rPr>
        <w:t xml:space="preserve">, </w:t>
      </w:r>
      <w:r w:rsidRPr="00FF1CEA">
        <w:rPr>
          <w:rFonts w:ascii="Verdana" w:hAnsi="Verdana"/>
        </w:rPr>
        <w:t>Liberia must transcend the constraints of the Accra framework. This requires:</w:t>
      </w:r>
    </w:p>
    <w:p w14:paraId="481308FE" w14:textId="77777777" w:rsidR="00803969" w:rsidRPr="00FF1CEA" w:rsidRDefault="00803969" w:rsidP="00803969">
      <w:pPr>
        <w:numPr>
          <w:ilvl w:val="0"/>
          <w:numId w:val="3"/>
        </w:numPr>
        <w:rPr>
          <w:rFonts w:ascii="Verdana" w:hAnsi="Verdana"/>
        </w:rPr>
      </w:pPr>
      <w:r w:rsidRPr="00FF1CEA">
        <w:rPr>
          <w:rFonts w:ascii="Verdana" w:hAnsi="Verdana"/>
        </w:rPr>
        <w:t>genuine and enforceable land reform,</w:t>
      </w:r>
    </w:p>
    <w:p w14:paraId="1D4CD1F7" w14:textId="77777777" w:rsidR="00803969" w:rsidRPr="00FF1CEA" w:rsidRDefault="00803969" w:rsidP="00803969">
      <w:pPr>
        <w:numPr>
          <w:ilvl w:val="0"/>
          <w:numId w:val="3"/>
        </w:numPr>
        <w:rPr>
          <w:rFonts w:ascii="Verdana" w:hAnsi="Verdana"/>
        </w:rPr>
      </w:pPr>
      <w:r w:rsidRPr="00FF1CEA">
        <w:rPr>
          <w:rFonts w:ascii="Verdana" w:hAnsi="Verdana"/>
        </w:rPr>
        <w:t>meaningful decentralization of political authority,</w:t>
      </w:r>
    </w:p>
    <w:p w14:paraId="271FB478" w14:textId="77777777" w:rsidR="00803969" w:rsidRPr="00FF1CEA" w:rsidRDefault="00803969" w:rsidP="00803969">
      <w:pPr>
        <w:numPr>
          <w:ilvl w:val="0"/>
          <w:numId w:val="3"/>
        </w:numPr>
        <w:rPr>
          <w:rFonts w:ascii="Verdana" w:hAnsi="Verdana"/>
        </w:rPr>
      </w:pPr>
      <w:r w:rsidRPr="00FF1CEA">
        <w:rPr>
          <w:rFonts w:ascii="Verdana" w:hAnsi="Verdana"/>
        </w:rPr>
        <w:lastRenderedPageBreak/>
        <w:t>and a shift from extractive to productive economic systems.</w:t>
      </w:r>
    </w:p>
    <w:p w14:paraId="065B1ADE" w14:textId="77777777" w:rsidR="00803969" w:rsidRPr="00FF1CEA" w:rsidRDefault="00803969" w:rsidP="00803969">
      <w:pPr>
        <w:rPr>
          <w:rFonts w:ascii="Verdana" w:hAnsi="Verdana"/>
        </w:rPr>
      </w:pPr>
      <w:r w:rsidRPr="00FF1CEA">
        <w:rPr>
          <w:rFonts w:ascii="Verdana" w:hAnsi="Verdana"/>
        </w:rPr>
        <w:t>Only through such reforms can Liberia escape the structural fragility that continues to shadow its post</w:t>
      </w:r>
      <w:r w:rsidRPr="00FF1CEA">
        <w:rPr>
          <w:rFonts w:ascii="Verdana" w:hAnsi="Verdana"/>
        </w:rPr>
        <w:noBreakHyphen/>
        <w:t>war trajectory.</w:t>
      </w:r>
    </w:p>
    <w:p w14:paraId="70225DC2" w14:textId="4AED26CE" w:rsidR="00803969" w:rsidRPr="00FF1CEA" w:rsidRDefault="00803969" w:rsidP="00803969">
      <w:pPr>
        <w:rPr>
          <w:rFonts w:ascii="Verdana" w:hAnsi="Verdana"/>
        </w:rPr>
      </w:pPr>
    </w:p>
    <w:p w14:paraId="7173D4A2" w14:textId="77777777" w:rsidR="00803969" w:rsidRPr="00FF1CEA" w:rsidRDefault="00803969" w:rsidP="00803969">
      <w:pPr>
        <w:rPr>
          <w:rFonts w:ascii="Verdana" w:hAnsi="Verdana"/>
          <w:b/>
          <w:bCs/>
        </w:rPr>
      </w:pPr>
      <w:r w:rsidRPr="00FF1CEA">
        <w:rPr>
          <w:rFonts w:ascii="Verdana" w:hAnsi="Verdana"/>
          <w:b/>
          <w:bCs/>
        </w:rPr>
        <w:t>References</w:t>
      </w:r>
    </w:p>
    <w:p w14:paraId="03B1401E" w14:textId="77777777" w:rsidR="00803969" w:rsidRPr="00FF1CEA" w:rsidRDefault="00803969" w:rsidP="00803969">
      <w:pPr>
        <w:rPr>
          <w:rFonts w:ascii="Verdana" w:hAnsi="Verdana"/>
        </w:rPr>
      </w:pPr>
      <w:r w:rsidRPr="00FF1CEA">
        <w:rPr>
          <w:rFonts w:ascii="Verdana" w:hAnsi="Verdana"/>
        </w:rPr>
        <w:t xml:space="preserve">Adebajo, A. (2002). </w:t>
      </w:r>
      <w:r w:rsidRPr="00FF1CEA">
        <w:rPr>
          <w:rFonts w:ascii="Verdana" w:hAnsi="Verdana"/>
          <w:i/>
          <w:iCs/>
        </w:rPr>
        <w:t>Liberia's civil war: Nigeria, ECOMOG, and regional security in West Africa</w:t>
      </w:r>
      <w:r w:rsidRPr="00FF1CEA">
        <w:rPr>
          <w:rFonts w:ascii="Verdana" w:hAnsi="Verdana"/>
        </w:rPr>
        <w:t>. Lynne Rienner.</w:t>
      </w:r>
    </w:p>
    <w:p w14:paraId="41F57CB7" w14:textId="77777777" w:rsidR="00803969" w:rsidRPr="00FF1CEA" w:rsidRDefault="00803969" w:rsidP="00803969">
      <w:pPr>
        <w:rPr>
          <w:rFonts w:ascii="Verdana" w:hAnsi="Verdana"/>
        </w:rPr>
      </w:pPr>
      <w:r w:rsidRPr="00FF1CEA">
        <w:rPr>
          <w:rFonts w:ascii="Verdana" w:hAnsi="Verdana"/>
        </w:rPr>
        <w:t xml:space="preserve">Global Witness. (2003). </w:t>
      </w:r>
      <w:r w:rsidRPr="00FF1CEA">
        <w:rPr>
          <w:rFonts w:ascii="Verdana" w:hAnsi="Verdana"/>
          <w:i/>
          <w:iCs/>
        </w:rPr>
        <w:t>The logs of war: The timber trade and armed conflict in Liberia</w:t>
      </w:r>
      <w:r w:rsidRPr="00FF1CEA">
        <w:rPr>
          <w:rFonts w:ascii="Verdana" w:hAnsi="Verdana"/>
        </w:rPr>
        <w:t>.</w:t>
      </w:r>
    </w:p>
    <w:p w14:paraId="01BE4CB4" w14:textId="77777777" w:rsidR="00803969" w:rsidRPr="00FF1CEA" w:rsidRDefault="00803969" w:rsidP="00803969">
      <w:pPr>
        <w:rPr>
          <w:rFonts w:ascii="Verdana" w:hAnsi="Verdana"/>
        </w:rPr>
      </w:pPr>
      <w:r w:rsidRPr="00FF1CEA">
        <w:rPr>
          <w:rFonts w:ascii="Verdana" w:hAnsi="Verdana"/>
        </w:rPr>
        <w:t xml:space="preserve">IMF. (2025). </w:t>
      </w:r>
      <w:r w:rsidRPr="00FF1CEA">
        <w:rPr>
          <w:rFonts w:ascii="Verdana" w:hAnsi="Verdana"/>
          <w:i/>
          <w:iCs/>
        </w:rPr>
        <w:t>IMF Country Report No. 25/291: Liberia—Selected Issues</w:t>
      </w:r>
      <w:r w:rsidRPr="00FF1CEA">
        <w:rPr>
          <w:rFonts w:ascii="Verdana" w:hAnsi="Verdana"/>
        </w:rPr>
        <w:t>. International Monetary Fund.</w:t>
      </w:r>
    </w:p>
    <w:p w14:paraId="7C914F28" w14:textId="77777777" w:rsidR="00803969" w:rsidRDefault="00803969" w:rsidP="00803969">
      <w:pPr>
        <w:rPr>
          <w:rFonts w:ascii="Verdana" w:hAnsi="Verdana"/>
        </w:rPr>
      </w:pPr>
      <w:r w:rsidRPr="00FF1CEA">
        <w:rPr>
          <w:rFonts w:ascii="Verdana" w:hAnsi="Verdana"/>
        </w:rPr>
        <w:t xml:space="preserve">IMF </w:t>
      </w:r>
      <w:proofErr w:type="spellStart"/>
      <w:r w:rsidRPr="00FF1CEA">
        <w:rPr>
          <w:rFonts w:ascii="Verdana" w:hAnsi="Verdana"/>
        </w:rPr>
        <w:t>eLibrary</w:t>
      </w:r>
      <w:proofErr w:type="spellEnd"/>
      <w:r w:rsidRPr="00FF1CEA">
        <w:rPr>
          <w:rFonts w:ascii="Verdana" w:hAnsi="Verdana"/>
        </w:rPr>
        <w:t xml:space="preserve">. (2022). </w:t>
      </w:r>
      <w:r w:rsidRPr="00FF1CEA">
        <w:rPr>
          <w:rFonts w:ascii="Verdana" w:hAnsi="Verdana"/>
          <w:i/>
          <w:iCs/>
        </w:rPr>
        <w:t>Liberia’s growth potential and how to get there</w:t>
      </w:r>
      <w:r w:rsidRPr="00FF1CEA">
        <w:rPr>
          <w:rFonts w:ascii="Verdana" w:hAnsi="Verdana"/>
        </w:rPr>
        <w:t>. International Monetary Fund.</w:t>
      </w:r>
    </w:p>
    <w:p w14:paraId="036273D5" w14:textId="52B14CAF" w:rsidR="00865597" w:rsidRPr="002B6882" w:rsidRDefault="002B6882" w:rsidP="00803969">
      <w:pPr>
        <w:rPr>
          <w:rFonts w:ascii="Verdana" w:hAnsi="Verdana"/>
          <w:lang w:val="en-LR"/>
        </w:rPr>
      </w:pPr>
      <w:proofErr w:type="spellStart"/>
      <w:r w:rsidRPr="002B6882">
        <w:rPr>
          <w:rFonts w:ascii="Verdana" w:hAnsi="Verdana"/>
          <w:lang w:val="en-LR"/>
        </w:rPr>
        <w:t>Kormoll</w:t>
      </w:r>
      <w:proofErr w:type="spellEnd"/>
      <w:r w:rsidRPr="002B6882">
        <w:rPr>
          <w:rFonts w:ascii="Verdana" w:hAnsi="Verdana"/>
          <w:lang w:val="en-LR"/>
        </w:rPr>
        <w:t xml:space="preserve">, R. T., &amp; Sayndee, T. D. (2023). </w:t>
      </w:r>
      <w:r w:rsidRPr="002B6882">
        <w:rPr>
          <w:rFonts w:ascii="Verdana" w:hAnsi="Verdana"/>
          <w:i/>
          <w:iCs/>
          <w:lang w:val="en-LR"/>
        </w:rPr>
        <w:t>Incomplete disarmament, demobilisation, rehabilitation and reintegration (DDRR): A prescription for prolonged fragility in Liberia</w:t>
      </w:r>
      <w:r w:rsidRPr="002B6882">
        <w:rPr>
          <w:rFonts w:ascii="Verdana" w:hAnsi="Verdana"/>
          <w:lang w:val="en-LR"/>
        </w:rPr>
        <w:t xml:space="preserve">. In I. Bangura (Ed.), </w:t>
      </w:r>
      <w:r w:rsidRPr="002B6882">
        <w:rPr>
          <w:rFonts w:ascii="Verdana" w:hAnsi="Verdana"/>
          <w:i/>
          <w:iCs/>
          <w:lang w:val="en-LR"/>
        </w:rPr>
        <w:t>Disarmament, demobilisation and reintegration of ex</w:t>
      </w:r>
      <w:r w:rsidRPr="002B6882">
        <w:rPr>
          <w:rFonts w:ascii="Verdana" w:hAnsi="Verdana"/>
          <w:i/>
          <w:iCs/>
          <w:lang w:val="en-LR"/>
        </w:rPr>
        <w:noBreakHyphen/>
        <w:t>combatants in Africa</w:t>
      </w:r>
      <w:r w:rsidRPr="002B6882">
        <w:rPr>
          <w:rFonts w:ascii="Verdana" w:hAnsi="Verdana"/>
          <w:lang w:val="en-LR"/>
        </w:rPr>
        <w:t xml:space="preserve"> (Chapter 15). Routledge.</w:t>
      </w:r>
    </w:p>
    <w:p w14:paraId="6D96B375" w14:textId="77777777" w:rsidR="00803969" w:rsidRPr="00FF1CEA" w:rsidRDefault="00803969" w:rsidP="00803969">
      <w:pPr>
        <w:rPr>
          <w:rFonts w:ascii="Verdana" w:hAnsi="Verdana"/>
        </w:rPr>
      </w:pPr>
      <w:r w:rsidRPr="00FF1CEA">
        <w:rPr>
          <w:rFonts w:ascii="Verdana" w:hAnsi="Verdana"/>
        </w:rPr>
        <w:t xml:space="preserve">Reno, W. (1998). </w:t>
      </w:r>
      <w:r w:rsidRPr="00FF1CEA">
        <w:rPr>
          <w:rFonts w:ascii="Verdana" w:hAnsi="Verdana"/>
          <w:i/>
          <w:iCs/>
        </w:rPr>
        <w:t>Warlord politics and African states</w:t>
      </w:r>
      <w:r w:rsidRPr="00FF1CEA">
        <w:rPr>
          <w:rFonts w:ascii="Verdana" w:hAnsi="Verdana"/>
        </w:rPr>
        <w:t>. Lynne Rienner.</w:t>
      </w:r>
    </w:p>
    <w:p w14:paraId="496F7F12" w14:textId="77777777" w:rsidR="00803969" w:rsidRPr="00FF1CEA" w:rsidRDefault="00803969" w:rsidP="00803969">
      <w:pPr>
        <w:rPr>
          <w:rFonts w:ascii="Verdana" w:hAnsi="Verdana"/>
        </w:rPr>
      </w:pPr>
      <w:r w:rsidRPr="00FF1CEA">
        <w:rPr>
          <w:rFonts w:ascii="Verdana" w:hAnsi="Verdana"/>
        </w:rPr>
        <w:t xml:space="preserve">Richmond, O. P. (2011). </w:t>
      </w:r>
      <w:r w:rsidRPr="00FF1CEA">
        <w:rPr>
          <w:rFonts w:ascii="Verdana" w:hAnsi="Verdana"/>
          <w:i/>
          <w:iCs/>
        </w:rPr>
        <w:t>A post-liberal peace</w:t>
      </w:r>
      <w:r w:rsidRPr="00FF1CEA">
        <w:rPr>
          <w:rFonts w:ascii="Verdana" w:hAnsi="Verdana"/>
        </w:rPr>
        <w:t>. Routledge.</w:t>
      </w:r>
    </w:p>
    <w:p w14:paraId="556AC136" w14:textId="77777777" w:rsidR="00803969" w:rsidRPr="00FF1CEA" w:rsidRDefault="00803969" w:rsidP="00803969">
      <w:pPr>
        <w:rPr>
          <w:rFonts w:ascii="Verdana" w:hAnsi="Verdana"/>
        </w:rPr>
      </w:pPr>
      <w:r w:rsidRPr="00FF1CEA">
        <w:rPr>
          <w:rFonts w:ascii="Verdana" w:hAnsi="Verdana"/>
        </w:rPr>
        <w:t xml:space="preserve">Sawyer, A. (2005). </w:t>
      </w:r>
      <w:r w:rsidRPr="00FF1CEA">
        <w:rPr>
          <w:rFonts w:ascii="Verdana" w:hAnsi="Verdana"/>
          <w:i/>
          <w:iCs/>
        </w:rPr>
        <w:t>Beyond plunder: Toward democratic governance in Liberia</w:t>
      </w:r>
      <w:r w:rsidRPr="00FF1CEA">
        <w:rPr>
          <w:rFonts w:ascii="Verdana" w:hAnsi="Verdana"/>
        </w:rPr>
        <w:t>. Lynne Rienner.</w:t>
      </w:r>
    </w:p>
    <w:p w14:paraId="7B830F21" w14:textId="77777777" w:rsidR="00803969" w:rsidRPr="00FF1CEA" w:rsidRDefault="00803969" w:rsidP="00803969">
      <w:pPr>
        <w:rPr>
          <w:rFonts w:ascii="Verdana" w:hAnsi="Verdana"/>
        </w:rPr>
      </w:pPr>
      <w:r w:rsidRPr="00FF1CEA">
        <w:rPr>
          <w:rFonts w:ascii="Verdana" w:hAnsi="Verdana"/>
        </w:rPr>
        <w:t xml:space="preserve">Truth and Reconciliation Commission of Liberia. (2009). </w:t>
      </w:r>
      <w:r w:rsidRPr="00FF1CEA">
        <w:rPr>
          <w:rFonts w:ascii="Verdana" w:hAnsi="Verdana"/>
          <w:i/>
          <w:iCs/>
        </w:rPr>
        <w:t>Consolidated final report</w:t>
      </w:r>
      <w:r w:rsidRPr="00FF1CEA">
        <w:rPr>
          <w:rFonts w:ascii="Verdana" w:hAnsi="Verdana"/>
        </w:rPr>
        <w:t xml:space="preserve"> (Vol. II).</w:t>
      </w:r>
    </w:p>
    <w:p w14:paraId="6DE84F02" w14:textId="77777777" w:rsidR="00803969" w:rsidRPr="00FF1CEA" w:rsidRDefault="00803969" w:rsidP="00803969">
      <w:pPr>
        <w:rPr>
          <w:rFonts w:ascii="Verdana" w:hAnsi="Verdana"/>
        </w:rPr>
      </w:pPr>
      <w:r w:rsidRPr="00FF1CEA">
        <w:rPr>
          <w:rFonts w:ascii="Verdana" w:hAnsi="Verdana"/>
        </w:rPr>
        <w:t xml:space="preserve">United Nations Security Council. (2003). </w:t>
      </w:r>
      <w:r w:rsidRPr="00FF1CEA">
        <w:rPr>
          <w:rFonts w:ascii="Verdana" w:hAnsi="Verdana"/>
          <w:i/>
          <w:iCs/>
        </w:rPr>
        <w:t>Resolution 1509 (S/RES/1509)</w:t>
      </w:r>
      <w:r w:rsidRPr="00FF1CEA">
        <w:rPr>
          <w:rFonts w:ascii="Verdana" w:hAnsi="Verdana"/>
        </w:rPr>
        <w:t>.</w:t>
      </w:r>
    </w:p>
    <w:p w14:paraId="042C00D5" w14:textId="77777777" w:rsidR="00803969" w:rsidRPr="00FF1CEA" w:rsidRDefault="00803969" w:rsidP="00803969">
      <w:pPr>
        <w:rPr>
          <w:rFonts w:ascii="Verdana" w:hAnsi="Verdana"/>
        </w:rPr>
      </w:pPr>
      <w:r w:rsidRPr="00FF1CEA">
        <w:rPr>
          <w:rFonts w:ascii="Verdana" w:hAnsi="Verdana"/>
        </w:rPr>
        <w:t xml:space="preserve">World Bank. (2023). </w:t>
      </w:r>
      <w:r w:rsidRPr="00FF1CEA">
        <w:rPr>
          <w:rFonts w:ascii="Verdana" w:hAnsi="Verdana"/>
          <w:i/>
          <w:iCs/>
        </w:rPr>
        <w:t>Liberia: Country data and poverty indicators</w:t>
      </w:r>
      <w:r w:rsidRPr="00FF1CEA">
        <w:rPr>
          <w:rFonts w:ascii="Verdana" w:hAnsi="Verdana"/>
        </w:rPr>
        <w:t>.</w:t>
      </w:r>
    </w:p>
    <w:p w14:paraId="27289DA8" w14:textId="77777777" w:rsidR="00803969" w:rsidRPr="00FF1CEA" w:rsidRDefault="00803969" w:rsidP="00803969">
      <w:pPr>
        <w:rPr>
          <w:rFonts w:ascii="Verdana" w:hAnsi="Verdana"/>
        </w:rPr>
      </w:pPr>
      <w:r w:rsidRPr="00FF1CEA">
        <w:rPr>
          <w:rFonts w:ascii="Verdana" w:hAnsi="Verdana"/>
        </w:rPr>
        <w:t xml:space="preserve">World Bank. (2025). </w:t>
      </w:r>
      <w:r w:rsidRPr="00FF1CEA">
        <w:rPr>
          <w:rFonts w:ascii="Verdana" w:hAnsi="Verdana"/>
          <w:i/>
          <w:iCs/>
        </w:rPr>
        <w:t>Liberia Macro Poverty Outlook (MPO)</w:t>
      </w:r>
      <w:r w:rsidRPr="00FF1CEA">
        <w:rPr>
          <w:rFonts w:ascii="Verdana" w:hAnsi="Verdana"/>
        </w:rPr>
        <w:t>.</w:t>
      </w:r>
    </w:p>
    <w:p w14:paraId="5C350B4C" w14:textId="77777777" w:rsidR="00803969" w:rsidRPr="00FF1CEA" w:rsidRDefault="00803969" w:rsidP="00803969">
      <w:pPr>
        <w:rPr>
          <w:rFonts w:ascii="Verdana" w:hAnsi="Verdana"/>
        </w:rPr>
      </w:pPr>
      <w:r w:rsidRPr="00FF1CEA">
        <w:rPr>
          <w:rFonts w:ascii="Verdana" w:hAnsi="Verdana"/>
        </w:rPr>
        <w:t xml:space="preserve">Zartman, I. W. (2001). The timing of peace initiatives: Hurting stalemates and ripe moments. </w:t>
      </w:r>
      <w:r w:rsidRPr="00FF1CEA">
        <w:rPr>
          <w:rFonts w:ascii="Verdana" w:hAnsi="Verdana"/>
          <w:i/>
          <w:iCs/>
        </w:rPr>
        <w:t>Global Review of Ethnopolitics, 1</w:t>
      </w:r>
      <w:r w:rsidRPr="00FF1CEA">
        <w:rPr>
          <w:rFonts w:ascii="Verdana" w:hAnsi="Verdana"/>
        </w:rPr>
        <w:t>(1), 8–18</w:t>
      </w:r>
    </w:p>
    <w:p w14:paraId="269DD0A5" w14:textId="77777777" w:rsidR="006D39F7" w:rsidRPr="00561178" w:rsidRDefault="006D39F7">
      <w:pPr>
        <w:rPr>
          <w:rFonts w:ascii="Verdana" w:hAnsi="Verdana"/>
        </w:rPr>
      </w:pPr>
    </w:p>
    <w:sectPr w:rsidR="006D39F7" w:rsidRPr="005611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61454"/>
    <w:multiLevelType w:val="multilevel"/>
    <w:tmpl w:val="3312A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066323"/>
    <w:multiLevelType w:val="multilevel"/>
    <w:tmpl w:val="F5427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E863D9"/>
    <w:multiLevelType w:val="multilevel"/>
    <w:tmpl w:val="9334B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2339065">
    <w:abstractNumId w:val="0"/>
  </w:num>
  <w:num w:numId="2" w16cid:durableId="1376932544">
    <w:abstractNumId w:val="1"/>
  </w:num>
  <w:num w:numId="3" w16cid:durableId="922756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969"/>
    <w:rsid w:val="000D292B"/>
    <w:rsid w:val="000D34CD"/>
    <w:rsid w:val="001F794C"/>
    <w:rsid w:val="002B6882"/>
    <w:rsid w:val="00470986"/>
    <w:rsid w:val="00561178"/>
    <w:rsid w:val="00661842"/>
    <w:rsid w:val="006D39F7"/>
    <w:rsid w:val="006F746C"/>
    <w:rsid w:val="007B5806"/>
    <w:rsid w:val="00803969"/>
    <w:rsid w:val="00865597"/>
    <w:rsid w:val="00877B6D"/>
    <w:rsid w:val="008E3C97"/>
    <w:rsid w:val="0096036C"/>
    <w:rsid w:val="009C13C0"/>
    <w:rsid w:val="00A72CD6"/>
    <w:rsid w:val="00A86B22"/>
    <w:rsid w:val="00C418E8"/>
    <w:rsid w:val="00E40FAE"/>
    <w:rsid w:val="00ED61AF"/>
    <w:rsid w:val="00FD6C2C"/>
    <w:rsid w:val="00FF1CEA"/>
  </w:rsids>
  <m:mathPr>
    <m:mathFont m:val="Cambria Math"/>
    <m:brkBin m:val="before"/>
    <m:brkBinSub m:val="--"/>
    <m:smallFrac m:val="0"/>
    <m:dispDef/>
    <m:lMargin m:val="0"/>
    <m:rMargin m:val="0"/>
    <m:defJc m:val="centerGroup"/>
    <m:wrapIndent m:val="1440"/>
    <m:intLim m:val="subSup"/>
    <m:naryLim m:val="undOvr"/>
  </m:mathPr>
  <w:themeFontLang w:val="en-LR"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80041"/>
  <w15:chartTrackingRefBased/>
  <w15:docId w15:val="{3A8E7F7D-5112-4F2F-B676-03A05830A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LR" w:eastAsia="ko-K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80396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0396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0396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0396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0396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039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9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9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9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969"/>
    <w:rPr>
      <w:rFonts w:asciiTheme="majorHAnsi" w:eastAsiaTheme="majorEastAsia" w:hAnsiTheme="majorHAnsi" w:cstheme="majorBidi"/>
      <w:color w:val="2F5496" w:themeColor="accent1" w:themeShade="BF"/>
      <w:sz w:val="40"/>
      <w:szCs w:val="40"/>
      <w:lang w:val="en-US"/>
    </w:rPr>
  </w:style>
  <w:style w:type="character" w:customStyle="1" w:styleId="Heading2Char">
    <w:name w:val="Heading 2 Char"/>
    <w:basedOn w:val="DefaultParagraphFont"/>
    <w:link w:val="Heading2"/>
    <w:uiPriority w:val="9"/>
    <w:semiHidden/>
    <w:rsid w:val="00803969"/>
    <w:rPr>
      <w:rFonts w:asciiTheme="majorHAnsi" w:eastAsiaTheme="majorEastAsia" w:hAnsiTheme="majorHAnsi" w:cstheme="majorBidi"/>
      <w:color w:val="2F5496" w:themeColor="accent1" w:themeShade="BF"/>
      <w:sz w:val="32"/>
      <w:szCs w:val="32"/>
      <w:lang w:val="en-US"/>
    </w:rPr>
  </w:style>
  <w:style w:type="character" w:customStyle="1" w:styleId="Heading3Char">
    <w:name w:val="Heading 3 Char"/>
    <w:basedOn w:val="DefaultParagraphFont"/>
    <w:link w:val="Heading3"/>
    <w:uiPriority w:val="9"/>
    <w:semiHidden/>
    <w:rsid w:val="00803969"/>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803969"/>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803969"/>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803969"/>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803969"/>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803969"/>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803969"/>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8039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969"/>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8039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969"/>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803969"/>
    <w:pPr>
      <w:spacing w:before="160"/>
      <w:jc w:val="center"/>
    </w:pPr>
    <w:rPr>
      <w:i/>
      <w:iCs/>
      <w:color w:val="404040" w:themeColor="text1" w:themeTint="BF"/>
    </w:rPr>
  </w:style>
  <w:style w:type="character" w:customStyle="1" w:styleId="QuoteChar">
    <w:name w:val="Quote Char"/>
    <w:basedOn w:val="DefaultParagraphFont"/>
    <w:link w:val="Quote"/>
    <w:uiPriority w:val="29"/>
    <w:rsid w:val="00803969"/>
    <w:rPr>
      <w:i/>
      <w:iCs/>
      <w:color w:val="404040" w:themeColor="text1" w:themeTint="BF"/>
      <w:lang w:val="en-US"/>
    </w:rPr>
  </w:style>
  <w:style w:type="paragraph" w:styleId="ListParagraph">
    <w:name w:val="List Paragraph"/>
    <w:basedOn w:val="Normal"/>
    <w:uiPriority w:val="34"/>
    <w:qFormat/>
    <w:rsid w:val="00803969"/>
    <w:pPr>
      <w:ind w:left="720"/>
      <w:contextualSpacing/>
    </w:pPr>
  </w:style>
  <w:style w:type="character" w:styleId="IntenseEmphasis">
    <w:name w:val="Intense Emphasis"/>
    <w:basedOn w:val="DefaultParagraphFont"/>
    <w:uiPriority w:val="21"/>
    <w:qFormat/>
    <w:rsid w:val="00803969"/>
    <w:rPr>
      <w:i/>
      <w:iCs/>
      <w:color w:val="2F5496" w:themeColor="accent1" w:themeShade="BF"/>
    </w:rPr>
  </w:style>
  <w:style w:type="paragraph" w:styleId="IntenseQuote">
    <w:name w:val="Intense Quote"/>
    <w:basedOn w:val="Normal"/>
    <w:next w:val="Normal"/>
    <w:link w:val="IntenseQuoteChar"/>
    <w:uiPriority w:val="30"/>
    <w:qFormat/>
    <w:rsid w:val="0080396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03969"/>
    <w:rPr>
      <w:i/>
      <w:iCs/>
      <w:color w:val="2F5496" w:themeColor="accent1" w:themeShade="BF"/>
      <w:lang w:val="en-US"/>
    </w:rPr>
  </w:style>
  <w:style w:type="character" w:styleId="IntenseReference">
    <w:name w:val="Intense Reference"/>
    <w:basedOn w:val="DefaultParagraphFont"/>
    <w:uiPriority w:val="32"/>
    <w:qFormat/>
    <w:rsid w:val="0080396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1509</Words>
  <Characters>8603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T. Debey Sayndee</dc:creator>
  <cp:keywords/>
  <dc:description/>
  <cp:lastModifiedBy>Prof. T. Debey Sayndee</cp:lastModifiedBy>
  <cp:revision>8</cp:revision>
  <dcterms:created xsi:type="dcterms:W3CDTF">2026-03-22T03:23:00Z</dcterms:created>
  <dcterms:modified xsi:type="dcterms:W3CDTF">2026-05-08T15:51:00Z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d0a6f9fc-90b5-40e7-ad1b-6e09fc5f3c40</vt:lpwstr>
  </property>
</Properties>
</file>