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2B022" w14:textId="77777777" w:rsidR="00B3397B" w:rsidRPr="00C95959" w:rsidRDefault="00B3397B" w:rsidP="00B3397B">
      <w:pPr>
        <w:pStyle w:val="NoSpacing"/>
        <w:jc w:val="center"/>
        <w:rPr>
          <w:rFonts w:ascii="Times New Roman" w:hAnsi="Times New Roman" w:cs="Times New Roman"/>
          <w:b/>
          <w:sz w:val="28"/>
          <w:szCs w:val="24"/>
        </w:rPr>
      </w:pPr>
      <w:r w:rsidRPr="00C95959">
        <w:rPr>
          <w:rFonts w:ascii="Times New Roman" w:hAnsi="Times New Roman" w:cs="Times New Roman"/>
          <w:b/>
          <w:sz w:val="28"/>
          <w:szCs w:val="24"/>
        </w:rPr>
        <w:t xml:space="preserve">MAPPING CRITICAL LEARNING GAPS IN SENIOR HIGH SCHOOL </w:t>
      </w:r>
    </w:p>
    <w:p w14:paraId="4B4BBFE0" w14:textId="77777777" w:rsidR="00B3397B" w:rsidRPr="00C95959" w:rsidRDefault="00B3397B" w:rsidP="00B3397B">
      <w:pPr>
        <w:pStyle w:val="NoSpacing"/>
        <w:jc w:val="center"/>
        <w:rPr>
          <w:rFonts w:ascii="Times New Roman" w:hAnsi="Times New Roman" w:cs="Times New Roman"/>
          <w:b/>
          <w:sz w:val="28"/>
          <w:szCs w:val="24"/>
        </w:rPr>
      </w:pPr>
      <w:r w:rsidRPr="00C95959">
        <w:rPr>
          <w:rFonts w:ascii="Times New Roman" w:hAnsi="Times New Roman" w:cs="Times New Roman"/>
          <w:b/>
          <w:sz w:val="28"/>
          <w:szCs w:val="24"/>
        </w:rPr>
        <w:t xml:space="preserve"/>
      </w:r>
    </w:p>
    <w:p w14:paraId="340CBEB4" w14:textId="77777777" w:rsidR="00B3397B" w:rsidRPr="00C95959" w:rsidRDefault="00B3397B" w:rsidP="00B3397B">
      <w:pPr>
        <w:pStyle w:val="NoSpacing"/>
        <w:jc w:val="center"/>
        <w:rPr>
          <w:rFonts w:ascii="Times New Roman" w:hAnsi="Times New Roman" w:cs="Times New Roman"/>
          <w:b/>
          <w:sz w:val="28"/>
          <w:szCs w:val="24"/>
        </w:rPr>
      </w:pPr>
      <w:r w:rsidRPr="00C95959">
        <w:rPr>
          <w:rFonts w:ascii="Times New Roman" w:hAnsi="Times New Roman" w:cs="Times New Roman"/>
          <w:b/>
          <w:sz w:val="28"/>
          <w:szCs w:val="24"/>
        </w:rPr>
        <w:t/>
      </w:r>
    </w:p>
    <w:p w14:paraId="67FCE06C" w14:textId="77777777" w:rsidR="00B3397B" w:rsidRPr="00C95959" w:rsidRDefault="00B3397B" w:rsidP="00B3397B">
      <w:pPr>
        <w:pStyle w:val="NoSpacing"/>
        <w:jc w:val="center"/>
        <w:rPr>
          <w:rFonts w:ascii="Times New Roman" w:hAnsi="Times New Roman" w:cs="Times New Roman"/>
          <w:b/>
          <w:sz w:val="28"/>
          <w:szCs w:val="24"/>
        </w:rPr>
      </w:pPr>
    </w:p>
    <w:p w14:paraId="6B3A71B0" w14:textId="77777777" w:rsidR="00B3397B" w:rsidRPr="007E1EB0" w:rsidRDefault="00B3397B" w:rsidP="00B3397B">
      <w:pPr>
        <w:pStyle w:val="NoSpacing"/>
        <w:ind w:left="283" w:right="283"/>
        <w:jc w:val="center"/>
        <w:rPr>
          <w:rStyle w:val="Strong"/>
          <w:rFonts w:ascii="Times New Roman" w:hAnsi="Times New Roman" w:cs="Times New Roman"/>
          <w:i/>
          <w:sz w:val="24"/>
          <w:szCs w:val="24"/>
        </w:rPr>
      </w:pPr>
      <w:r>
        <w:rPr>
          <w:rStyle w:val="Strong"/>
          <w:rFonts w:ascii="Times New Roman" w:hAnsi="Times New Roman" w:cs="Times New Roman"/>
          <w:i/>
          <w:sz w:val="24"/>
          <w:szCs w:val="24"/>
        </w:rPr>
        <w:t xml:space="preserve"/>
      </w:r>
      <w:proofErr w:type="spellStart"/>
      <w:r>
        <w:rPr>
          <w:rStyle w:val="Strong"/>
          <w:rFonts w:ascii="Times New Roman" w:hAnsi="Times New Roman" w:cs="Times New Roman"/>
          <w:i/>
          <w:sz w:val="24"/>
          <w:szCs w:val="24"/>
        </w:rPr>
        <w:t/>
      </w:r>
      <w:proofErr w:type="spellEnd"/>
      <w:r>
        <w:rPr>
          <w:rStyle w:val="Strong"/>
          <w:rFonts w:ascii="Times New Roman" w:hAnsi="Times New Roman" w:cs="Times New Roman"/>
          <w:i/>
          <w:sz w:val="24"/>
          <w:szCs w:val="24"/>
        </w:rPr>
        <w:t xml:space="preserve"/>
      </w:r>
      <w:r w:rsidRPr="007E1EB0">
        <w:rPr>
          <w:rStyle w:val="Strong"/>
          <w:rFonts w:ascii="Times New Roman" w:hAnsi="Times New Roman" w:cs="Times New Roman"/>
          <w:i/>
          <w:sz w:val="24"/>
          <w:szCs w:val="24"/>
        </w:rPr>
        <w:t xml:space="preserve"/>
      </w:r>
      <w:proofErr w:type="spellStart"/>
      <w:r w:rsidRPr="007E1EB0">
        <w:rPr>
          <w:rStyle w:val="Strong"/>
          <w:rFonts w:ascii="Times New Roman" w:hAnsi="Times New Roman" w:cs="Times New Roman"/>
          <w:i/>
          <w:sz w:val="24"/>
          <w:szCs w:val="24"/>
        </w:rPr>
        <w:t/>
      </w:r>
      <w:proofErr w:type="spellEnd"/>
      <w:r w:rsidRPr="007E1EB0">
        <w:rPr>
          <w:rStyle w:val="Strong"/>
          <w:rFonts w:ascii="Times New Roman" w:hAnsi="Times New Roman" w:cs="Times New Roman"/>
          <w:i/>
          <w:sz w:val="24"/>
          <w:szCs w:val="24"/>
        </w:rPr>
        <w:t/>
      </w:r>
    </w:p>
    <w:p w14:paraId="3C2860B4" w14:textId="77777777" w:rsidR="00B3397B" w:rsidRPr="008F1066" w:rsidRDefault="00B3397B" w:rsidP="00B3397B">
      <w:pPr>
        <w:pStyle w:val="NoSpacing"/>
        <w:ind w:left="283" w:right="283"/>
        <w:jc w:val="center"/>
        <w:rPr>
          <w:rStyle w:val="Strong"/>
          <w:rFonts w:ascii="Times New Roman" w:hAnsi="Times New Roman" w:cs="Times New Roman"/>
          <w:b w:val="0"/>
          <w:i/>
          <w:sz w:val="24"/>
          <w:szCs w:val="24"/>
        </w:rPr>
      </w:pPr>
      <w:r w:rsidRPr="008F1066">
        <w:rPr>
          <w:rStyle w:val="Strong"/>
          <w:rFonts w:ascii="Times New Roman" w:hAnsi="Times New Roman" w:cs="Times New Roman"/>
          <w:b w:val="0"/>
          <w:i/>
          <w:sz w:val="24"/>
          <w:szCs w:val="24"/>
        </w:rPr>
        <w:t/>
      </w:r>
    </w:p>
    <w:p w14:paraId="7412A54A" w14:textId="77777777" w:rsidR="00B3397B" w:rsidRPr="008F1066" w:rsidRDefault="00B3397B" w:rsidP="00B3397B">
      <w:pPr>
        <w:pStyle w:val="NoSpacing"/>
        <w:ind w:left="283" w:right="283"/>
        <w:jc w:val="center"/>
        <w:rPr>
          <w:rStyle w:val="Strong"/>
          <w:rFonts w:ascii="Times New Roman" w:hAnsi="Times New Roman" w:cs="Times New Roman"/>
          <w:b w:val="0"/>
          <w:i/>
          <w:sz w:val="24"/>
          <w:szCs w:val="24"/>
        </w:rPr>
      </w:pPr>
      <w:r w:rsidRPr="008F1066">
        <w:rPr>
          <w:rStyle w:val="Strong"/>
          <w:rFonts w:ascii="Times New Roman" w:hAnsi="Times New Roman" w:cs="Times New Roman"/>
          <w:b w:val="0"/>
          <w:i/>
          <w:sz w:val="24"/>
          <w:szCs w:val="24"/>
        </w:rPr>
        <w:t/>
      </w:r>
    </w:p>
    <w:p w14:paraId="0A5C082A" w14:textId="77777777" w:rsidR="00B3397B" w:rsidRPr="008F1066" w:rsidRDefault="00B3397B" w:rsidP="00B3397B">
      <w:pPr>
        <w:pStyle w:val="NoSpacing"/>
        <w:ind w:left="283" w:right="283"/>
        <w:jc w:val="center"/>
        <w:rPr>
          <w:rStyle w:val="Strong"/>
          <w:rFonts w:ascii="Times New Roman" w:hAnsi="Times New Roman" w:cs="Times New Roman"/>
          <w:b w:val="0"/>
          <w:i/>
          <w:sz w:val="24"/>
          <w:szCs w:val="24"/>
        </w:rPr>
      </w:pPr>
      <w:r w:rsidRPr="008F1066">
        <w:rPr>
          <w:rStyle w:val="Strong"/>
          <w:rFonts w:ascii="Times New Roman" w:hAnsi="Times New Roman" w:cs="Times New Roman"/>
          <w:b w:val="0"/>
          <w:i/>
          <w:sz w:val="24"/>
          <w:szCs w:val="24"/>
        </w:rPr>
        <w:t xml:space="preserve"/>
      </w:r>
      <w:proofErr w:type="spellStart"/>
      <w:r w:rsidRPr="008F1066">
        <w:rPr>
          <w:rStyle w:val="Strong"/>
          <w:rFonts w:ascii="Times New Roman" w:hAnsi="Times New Roman" w:cs="Times New Roman"/>
          <w:b w:val="0"/>
          <w:i/>
          <w:sz w:val="24"/>
          <w:szCs w:val="24"/>
        </w:rPr>
        <w:t/>
      </w:r>
      <w:proofErr w:type="spellEnd"/>
      <w:r w:rsidRPr="008F1066">
        <w:rPr>
          <w:rStyle w:val="Strong"/>
          <w:rFonts w:ascii="Times New Roman" w:hAnsi="Times New Roman" w:cs="Times New Roman"/>
          <w:b w:val="0"/>
          <w:i/>
          <w:sz w:val="24"/>
          <w:szCs w:val="24"/>
        </w:rPr>
        <w:t xml:space="preserve"/>
      </w:r>
    </w:p>
    <w:p w14:paraId="07B1E58A" w14:textId="77777777" w:rsidR="00B3397B" w:rsidRPr="008F1066" w:rsidRDefault="00B3397B" w:rsidP="00B3397B">
      <w:pPr>
        <w:pStyle w:val="NoSpacing"/>
        <w:ind w:left="283" w:right="283"/>
        <w:jc w:val="center"/>
        <w:rPr>
          <w:rStyle w:val="Strong"/>
          <w:rFonts w:ascii="Times New Roman" w:hAnsi="Times New Roman" w:cs="Times New Roman"/>
          <w:b w:val="0"/>
          <w:i/>
          <w:sz w:val="24"/>
          <w:szCs w:val="24"/>
        </w:rPr>
      </w:pPr>
      <w:r w:rsidRPr="008F1066">
        <w:rPr>
          <w:rStyle w:val="Strong"/>
          <w:rFonts w:ascii="Times New Roman" w:hAnsi="Times New Roman" w:cs="Times New Roman"/>
          <w:b w:val="0"/>
          <w:i/>
          <w:sz w:val="24"/>
          <w:szCs w:val="24"/>
        </w:rPr>
        <w:t xml:space="preserve"/>
      </w:r>
      <w:proofErr w:type="spellStart"/>
      <w:r w:rsidRPr="008F1066">
        <w:rPr>
          <w:rStyle w:val="Strong"/>
          <w:rFonts w:ascii="Times New Roman" w:hAnsi="Times New Roman" w:cs="Times New Roman"/>
          <w:b w:val="0"/>
          <w:i/>
          <w:sz w:val="24"/>
          <w:szCs w:val="24"/>
        </w:rPr>
        <w:t/>
      </w:r>
      <w:proofErr w:type="spellEnd"/>
      <w:r w:rsidRPr="008F1066">
        <w:rPr>
          <w:rStyle w:val="Strong"/>
          <w:rFonts w:ascii="Times New Roman" w:hAnsi="Times New Roman" w:cs="Times New Roman"/>
          <w:b w:val="0"/>
          <w:i/>
          <w:sz w:val="24"/>
          <w:szCs w:val="24"/>
        </w:rPr>
        <w:t xml:space="preserve"/>
      </w:r>
      <w:proofErr w:type="spellStart"/>
      <w:r w:rsidRPr="008F1066">
        <w:rPr>
          <w:rStyle w:val="Strong"/>
          <w:rFonts w:ascii="Times New Roman" w:hAnsi="Times New Roman" w:cs="Times New Roman"/>
          <w:b w:val="0"/>
          <w:i/>
          <w:sz w:val="24"/>
          <w:szCs w:val="24"/>
        </w:rPr>
        <w:t/>
      </w:r>
      <w:proofErr w:type="spellEnd"/>
      <w:r w:rsidRPr="008F1066">
        <w:rPr>
          <w:rStyle w:val="Strong"/>
          <w:rFonts w:ascii="Times New Roman" w:hAnsi="Times New Roman" w:cs="Times New Roman"/>
          <w:b w:val="0"/>
          <w:i/>
          <w:sz w:val="24"/>
          <w:szCs w:val="24"/>
        </w:rPr>
        <w:t xml:space="preserve"/>
      </w:r>
      <w:proofErr w:type="spellStart"/>
      <w:r w:rsidRPr="008F1066">
        <w:rPr>
          <w:rStyle w:val="Strong"/>
          <w:rFonts w:ascii="Times New Roman" w:hAnsi="Times New Roman" w:cs="Times New Roman"/>
          <w:b w:val="0"/>
          <w:i/>
          <w:sz w:val="24"/>
          <w:szCs w:val="24"/>
        </w:rPr>
        <w:t/>
      </w:r>
      <w:proofErr w:type="spellEnd"/>
      <w:r w:rsidRPr="008F1066">
        <w:rPr>
          <w:rStyle w:val="Strong"/>
          <w:rFonts w:ascii="Times New Roman" w:hAnsi="Times New Roman" w:cs="Times New Roman"/>
          <w:b w:val="0"/>
          <w:i/>
          <w:sz w:val="24"/>
          <w:szCs w:val="24"/>
        </w:rPr>
        <w:t xml:space="preserve"/>
      </w:r>
    </w:p>
    <w:p w14:paraId="4EBF8E0A" w14:textId="77777777" w:rsidR="00B3397B" w:rsidRDefault="00B3397B" w:rsidP="00B3397B">
      <w:pPr>
        <w:pStyle w:val="NoSpacing"/>
        <w:ind w:left="283" w:right="283"/>
        <w:jc w:val="center"/>
        <w:rPr>
          <w:rFonts w:ascii="Times New Roman" w:hAnsi="Times New Roman" w:cs="Times New Roman"/>
          <w:sz w:val="24"/>
          <w:szCs w:val="24"/>
        </w:rPr>
      </w:pPr>
      <w:hyperlink r:id="rId5" w:history="1">
        <w:r w:rsidRPr="000F41EF">
          <w:rPr>
            <w:rStyle w:val="Hyperlink"/>
            <w:rFonts w:ascii="Times New Roman" w:hAnsi="Times New Roman" w:cs="Times New Roman"/>
            <w:sz w:val="24"/>
            <w:szCs w:val="24"/>
          </w:rPr>
          <w:t/>
        </w:r>
      </w:hyperlink>
      <w:r w:rsidRPr="00B9400D">
        <w:rPr>
          <w:rStyle w:val="Strong"/>
          <w:rFonts w:ascii="Times New Roman" w:hAnsi="Times New Roman" w:cs="Times New Roman"/>
          <w:sz w:val="24"/>
          <w:szCs w:val="24"/>
        </w:rPr>
        <w:t/>
      </w:r>
      <w:r>
        <w:rPr>
          <w:rStyle w:val="Strong"/>
          <w:rFonts w:ascii="Times New Roman" w:hAnsi="Times New Roman" w:cs="Times New Roman"/>
          <w:sz w:val="24"/>
          <w:szCs w:val="24"/>
        </w:rPr>
        <w:t xml:space="preserve"/>
      </w:r>
      <w:hyperlink r:id="rId6" w:history="1">
        <w:r w:rsidRPr="000F41EF">
          <w:rPr>
            <w:rStyle w:val="Hyperlink"/>
            <w:rFonts w:ascii="Times New Roman" w:hAnsi="Times New Roman" w:cs="Times New Roman"/>
            <w:sz w:val="24"/>
            <w:szCs w:val="24"/>
          </w:rPr>
          <w:t/>
        </w:r>
      </w:hyperlink>
    </w:p>
    <w:p w14:paraId="25B8E43C" w14:textId="77777777" w:rsidR="00B3397B" w:rsidRDefault="00B3397B" w:rsidP="00B3397B">
      <w:pPr>
        <w:jc w:val="center"/>
        <w:rPr>
          <w:rFonts w:ascii="Times New Roman" w:hAnsi="Times New Roman" w:cs="Times New Roman"/>
          <w:b/>
          <w:bCs/>
        </w:rPr>
      </w:pPr>
    </w:p>
    <w:p w14:paraId="41189A07" w14:textId="77777777" w:rsidR="004854AB" w:rsidRPr="007E788F" w:rsidRDefault="004854AB" w:rsidP="004854AB">
      <w:pPr>
        <w:jc w:val="both"/>
        <w:rPr>
          <w:rFonts w:ascii="Times New Roman" w:hAnsi="Times New Roman" w:cs="Times New Roman"/>
          <w:b/>
          <w:bCs/>
        </w:rPr>
      </w:pPr>
      <w:r w:rsidRPr="007E788F">
        <w:rPr>
          <w:rFonts w:ascii="Times New Roman" w:hAnsi="Times New Roman" w:cs="Times New Roman"/>
          <w:b/>
          <w:bCs/>
        </w:rPr>
        <w:t xml:space="preserve">ABSTRACT </w:t>
      </w:r>
    </w:p>
    <w:p w14:paraId="67D9DC47" w14:textId="77777777" w:rsidR="004854AB" w:rsidRPr="007E788F" w:rsidRDefault="00B3397B" w:rsidP="004854AB">
      <w:pPr>
        <w:jc w:val="both"/>
        <w:rPr>
          <w:rFonts w:ascii="Times New Roman" w:hAnsi="Times New Roman" w:cs="Times New Roman"/>
        </w:rPr>
      </w:pPr>
      <w:r>
        <w:rPr>
          <w:rFonts w:ascii="Times New Roman" w:hAnsi="Times New Roman" w:cs="Times New Roman"/>
        </w:rPr>
        <w:tab/>
      </w:r>
      <w:bookmarkStart w:id="0" w:name="_GoBack"/>
      <w:r w:rsidR="004854AB" w:rsidRPr="007E788F">
        <w:rPr>
          <w:rFonts w:ascii="Times New Roman" w:hAnsi="Times New Roman" w:cs="Times New Roman"/>
        </w:rPr>
        <w:t>This study aimed to identify and map critical learning gaps in Senior High School General Chemistry using a PISA-based assessment instrument anchored on scientific literacy competencies. A quantitative diagnostic research design with an instrument development component was employed. The instrument underwent expert validation, yielding mean ratings classified as “Exceed Expectation,” and demonstrated acceptable reliability (</w:t>
      </w:r>
      <w:proofErr w:type="spellStart"/>
      <w:r w:rsidR="004854AB" w:rsidRPr="007E788F">
        <w:rPr>
          <w:rFonts w:ascii="Times New Roman" w:hAnsi="Times New Roman" w:cs="Times New Roman"/>
        </w:rPr>
        <w:t>Cronbach’s</w:t>
      </w:r>
      <w:proofErr w:type="spellEnd"/>
      <w:r w:rsidR="004854AB" w:rsidRPr="007E788F">
        <w:rPr>
          <w:rFonts w:ascii="Times New Roman" w:hAnsi="Times New Roman" w:cs="Times New Roman"/>
        </w:rPr>
        <w:t xml:space="preserve"> α = 0.757). The assessment was administered to Senior High School learners from selected public schools. Results revealed that all ten core chemistry competencies were classified as “Least Mastered,” with performance ranging from 28% to 57%. The most critical gaps were observed in chemical bonding, solutions, atomic structure, and gas laws. Findings indicate a systemic deficiency in both conceptual understanding and application of chemistry knowledge. The study concludes that traditional instructional approaches fail to develop scientific literacy competencies. The validated PISA-based instrument proved effective in diagnosing learning gaps and offers implications for curriculum development, instructional redesign, and targeted interventions.</w:t>
      </w:r>
    </w:p>
    <w:bookmarkEnd w:id="0"/>
    <w:p w14:paraId="2BE4728D" w14:textId="77777777" w:rsidR="004854AB" w:rsidRPr="000A04C7" w:rsidRDefault="004854AB" w:rsidP="004854AB">
      <w:pPr>
        <w:jc w:val="both"/>
        <w:rPr>
          <w:rFonts w:ascii="Times New Roman" w:hAnsi="Times New Roman" w:cs="Times New Roman"/>
          <w:i/>
          <w:iCs/>
        </w:rPr>
      </w:pPr>
      <w:r w:rsidRPr="00982771">
        <w:rPr>
          <w:rFonts w:ascii="Times New Roman" w:hAnsi="Times New Roman" w:cs="Times New Roman"/>
          <w:b/>
          <w:bCs/>
          <w:i/>
          <w:iCs/>
        </w:rPr>
        <w:t xml:space="preserve">Keywords: </w:t>
      </w:r>
      <w:r w:rsidRPr="00982771">
        <w:rPr>
          <w:rFonts w:ascii="Times New Roman" w:hAnsi="Times New Roman" w:cs="Times New Roman"/>
          <w:i/>
          <w:iCs/>
        </w:rPr>
        <w:t>assessment, chemistry education, learning gaps, PISA framework, scientific literacy</w:t>
      </w:r>
    </w:p>
    <w:p w14:paraId="760B4E21" w14:textId="77777777" w:rsidR="004854AB" w:rsidRPr="007E788F" w:rsidRDefault="004854AB" w:rsidP="004854AB">
      <w:pPr>
        <w:jc w:val="both"/>
        <w:rPr>
          <w:rFonts w:ascii="Times New Roman" w:hAnsi="Times New Roman" w:cs="Times New Roman"/>
          <w:b/>
          <w:bCs/>
        </w:rPr>
      </w:pPr>
      <w:r w:rsidRPr="007E788F">
        <w:rPr>
          <w:rFonts w:ascii="Times New Roman" w:hAnsi="Times New Roman" w:cs="Times New Roman"/>
          <w:b/>
          <w:bCs/>
        </w:rPr>
        <w:t xml:space="preserve">INTRODUCTION </w:t>
      </w:r>
    </w:p>
    <w:p w14:paraId="2AC1500F" w14:textId="77777777" w:rsidR="004854AB" w:rsidRPr="007571C1" w:rsidRDefault="00B3397B" w:rsidP="004854AB">
      <w:pPr>
        <w:jc w:val="both"/>
        <w:rPr>
          <w:rFonts w:ascii="Times New Roman" w:hAnsi="Times New Roman" w:cs="Times New Roman"/>
        </w:rPr>
      </w:pPr>
      <w:r>
        <w:rPr>
          <w:rFonts w:ascii="Times New Roman" w:hAnsi="Times New Roman" w:cs="Times New Roman"/>
        </w:rPr>
        <w:tab/>
      </w:r>
      <w:r w:rsidR="004854AB" w:rsidRPr="007E788F">
        <w:rPr>
          <w:rFonts w:ascii="Times New Roman" w:hAnsi="Times New Roman" w:cs="Times New Roman"/>
        </w:rPr>
        <w:t>Scientific literacy has become a central goal in modern education, emphasizing not only knowledge acquisition but also the ability to apply scientific concepts in real-</w:t>
      </w:r>
      <w:r w:rsidR="004854AB" w:rsidRPr="007571C1">
        <w:rPr>
          <w:rFonts w:ascii="Times New Roman" w:hAnsi="Times New Roman" w:cs="Times New Roman"/>
        </w:rPr>
        <w:t xml:space="preserve">world contexts. International assessments such as the </w:t>
      </w:r>
      <w:proofErr w:type="spellStart"/>
      <w:r w:rsidR="004854AB" w:rsidRPr="007571C1">
        <w:rPr>
          <w:rFonts w:ascii="Times New Roman" w:hAnsi="Times New Roman" w:cs="Times New Roman"/>
        </w:rPr>
        <w:t>Programme</w:t>
      </w:r>
      <w:proofErr w:type="spellEnd"/>
      <w:r w:rsidR="004854AB" w:rsidRPr="007571C1">
        <w:rPr>
          <w:rFonts w:ascii="Times New Roman" w:hAnsi="Times New Roman" w:cs="Times New Roman"/>
        </w:rPr>
        <w:t xml:space="preserve"> for International Student Assessment (PISA) highlight the importance of higher-order thinking skills, including explaining scientific phenomena, interpreting data, and designing inquiry-based solutions. However, chemistry education remains a challenge, particularly among Senior High School learners, due to its abstract nature and reliance on symboli</w:t>
      </w:r>
      <w:r w:rsidR="004854AB">
        <w:rPr>
          <w:rFonts w:ascii="Times New Roman" w:hAnsi="Times New Roman" w:cs="Times New Roman"/>
        </w:rPr>
        <w:t>c and conceptual understanding.</w:t>
      </w:r>
    </w:p>
    <w:p w14:paraId="552923E4" w14:textId="77777777" w:rsidR="004854AB" w:rsidRPr="007E788F" w:rsidRDefault="00B3397B" w:rsidP="004854AB">
      <w:pPr>
        <w:jc w:val="both"/>
        <w:rPr>
          <w:rFonts w:ascii="Times New Roman" w:hAnsi="Times New Roman" w:cs="Times New Roman"/>
        </w:rPr>
      </w:pPr>
      <w:r>
        <w:rPr>
          <w:rFonts w:ascii="Times New Roman" w:hAnsi="Times New Roman" w:cs="Times New Roman"/>
        </w:rPr>
        <w:tab/>
      </w:r>
      <w:r w:rsidR="004854AB" w:rsidRPr="007E788F">
        <w:rPr>
          <w:rFonts w:ascii="Times New Roman" w:hAnsi="Times New Roman" w:cs="Times New Roman"/>
        </w:rPr>
        <w:t xml:space="preserve">In the Philippine context, persistent learning gaps have been observed in fundamental chemistry topics such as gas laws, mole concepts, and chemical reactions. These gaps hinder learners’ ability to progress in more advanced scientific domains. Despite the global shift toward </w:t>
      </w:r>
      <w:r w:rsidR="004854AB" w:rsidRPr="007E788F">
        <w:rPr>
          <w:rFonts w:ascii="Times New Roman" w:hAnsi="Times New Roman" w:cs="Times New Roman"/>
        </w:rPr>
        <w:lastRenderedPageBreak/>
        <w:t>competency-based assessment, many local evaluation tools remain focused on content recall rather than application and reasoning.</w:t>
      </w:r>
    </w:p>
    <w:p w14:paraId="2652D6DE" w14:textId="77777777" w:rsidR="004854AB" w:rsidRPr="007E788F" w:rsidRDefault="00B3397B" w:rsidP="004854AB">
      <w:pPr>
        <w:jc w:val="both"/>
        <w:rPr>
          <w:rFonts w:ascii="Times New Roman" w:hAnsi="Times New Roman" w:cs="Times New Roman"/>
        </w:rPr>
      </w:pPr>
      <w:r>
        <w:rPr>
          <w:rFonts w:ascii="Times New Roman" w:hAnsi="Times New Roman" w:cs="Times New Roman"/>
        </w:rPr>
        <w:tab/>
      </w:r>
      <w:r w:rsidR="004854AB" w:rsidRPr="007E788F">
        <w:rPr>
          <w:rFonts w:ascii="Times New Roman" w:hAnsi="Times New Roman" w:cs="Times New Roman"/>
        </w:rPr>
        <w:t>To address this gap, this study developed and utilized a PISA-based assessment instrument designed to diagnose learners’ conceptual understanding and scientific literacy competencies in General Chemistry. By mapping these learning gaps, the study aims to provide empirical evidence to support instructional improvement and curriculum alignment with international standards.</w:t>
      </w:r>
    </w:p>
    <w:p w14:paraId="5309D1D9" w14:textId="77777777" w:rsidR="004854AB" w:rsidRPr="007E788F" w:rsidRDefault="004854AB" w:rsidP="004854AB">
      <w:pPr>
        <w:jc w:val="both"/>
        <w:rPr>
          <w:rFonts w:ascii="Times New Roman" w:hAnsi="Times New Roman" w:cs="Times New Roman"/>
          <w:b/>
          <w:bCs/>
        </w:rPr>
      </w:pPr>
      <w:r w:rsidRPr="007E788F">
        <w:rPr>
          <w:rFonts w:ascii="Times New Roman" w:hAnsi="Times New Roman" w:cs="Times New Roman"/>
          <w:b/>
          <w:bCs/>
        </w:rPr>
        <w:t>METHODOLOGY</w:t>
      </w:r>
    </w:p>
    <w:p w14:paraId="3AC44B72" w14:textId="77777777" w:rsidR="004854AB" w:rsidRDefault="00B3397B" w:rsidP="004854AB">
      <w:pPr>
        <w:jc w:val="both"/>
        <w:rPr>
          <w:rFonts w:ascii="Times New Roman" w:hAnsi="Times New Roman" w:cs="Times New Roman"/>
        </w:rPr>
      </w:pPr>
      <w:r>
        <w:rPr>
          <w:rFonts w:ascii="Times New Roman" w:hAnsi="Times New Roman" w:cs="Times New Roman"/>
        </w:rPr>
        <w:tab/>
      </w:r>
      <w:r w:rsidR="004854AB" w:rsidRPr="007E788F">
        <w:rPr>
          <w:rFonts w:ascii="Times New Roman" w:hAnsi="Times New Roman" w:cs="Times New Roman"/>
        </w:rPr>
        <w:t xml:space="preserve">This study employed a quantitative diagnostic research design with an embedded instrument development component to identify critical learning gaps in Senior High School General Chemistry among learners from three public secondary schools in </w:t>
      </w:r>
      <w:proofErr w:type="spellStart"/>
      <w:r w:rsidR="004854AB" w:rsidRPr="007E788F">
        <w:rPr>
          <w:rFonts w:ascii="Times New Roman" w:hAnsi="Times New Roman" w:cs="Times New Roman"/>
        </w:rPr>
        <w:t>Iligan</w:t>
      </w:r>
      <w:proofErr w:type="spellEnd"/>
      <w:r w:rsidR="004854AB" w:rsidRPr="007E788F">
        <w:rPr>
          <w:rFonts w:ascii="Times New Roman" w:hAnsi="Times New Roman" w:cs="Times New Roman"/>
        </w:rPr>
        <w:t xml:space="preserve"> City. A researcher-developed PISA-based assessment consisting of 50 multiple-choice, scenario-based items covering major chemistry topics from Grades 7–12 was utilized. The instrument was aligned with the PISA science literacy domains and underwent expert validation and pilot testing, yielding a </w:t>
      </w:r>
      <w:proofErr w:type="spellStart"/>
      <w:r w:rsidR="004854AB" w:rsidRPr="007E788F">
        <w:rPr>
          <w:rFonts w:ascii="Times New Roman" w:hAnsi="Times New Roman" w:cs="Times New Roman"/>
        </w:rPr>
        <w:t>Cronbach’s</w:t>
      </w:r>
      <w:proofErr w:type="spellEnd"/>
      <w:r w:rsidR="004854AB" w:rsidRPr="007E788F">
        <w:rPr>
          <w:rFonts w:ascii="Times New Roman" w:hAnsi="Times New Roman" w:cs="Times New Roman"/>
        </w:rPr>
        <w:t xml:space="preserve"> Alpha of 0.757, indicating acceptable reliability. Data collection was conducted under standardized and ethical procedures, ensuring informed consent, confidentiality, and voluntary participation. Quantitative analyses, including item analysis, frequency counts, percentages, means, and standard deviations, were employed to evaluate learners’ performance and map learning gaps according to mastery levels. The findings enabled the identification and categorization of least mastered competencies in General Chemistry while adhering to ethical standards and the Data Privacy Act of 2012.</w:t>
      </w:r>
    </w:p>
    <w:p w14:paraId="178F378C" w14:textId="77777777" w:rsidR="004854AB" w:rsidRPr="007E788F" w:rsidRDefault="004854AB" w:rsidP="004854AB">
      <w:pPr>
        <w:jc w:val="both"/>
        <w:rPr>
          <w:rFonts w:ascii="Times New Roman" w:hAnsi="Times New Roman" w:cs="Times New Roman"/>
          <w:b/>
          <w:bCs/>
        </w:rPr>
      </w:pPr>
      <w:r w:rsidRPr="007E788F">
        <w:rPr>
          <w:rFonts w:ascii="Times New Roman" w:hAnsi="Times New Roman" w:cs="Times New Roman"/>
          <w:b/>
          <w:bCs/>
        </w:rPr>
        <w:t xml:space="preserve">RESULTS AND DISCUSSION </w:t>
      </w:r>
    </w:p>
    <w:p w14:paraId="6C52B53F" w14:textId="77777777" w:rsidR="004854AB" w:rsidRPr="00982771" w:rsidRDefault="004854AB" w:rsidP="004854AB">
      <w:pPr>
        <w:jc w:val="both"/>
        <w:rPr>
          <w:rFonts w:ascii="Times New Roman" w:hAnsi="Times New Roman" w:cs="Times New Roman"/>
          <w:b/>
          <w:bCs/>
          <w:i/>
          <w:iCs/>
        </w:rPr>
      </w:pPr>
      <w:r>
        <w:rPr>
          <w:rFonts w:ascii="Times New Roman" w:hAnsi="Times New Roman" w:cs="Times New Roman"/>
          <w:b/>
          <w:bCs/>
          <w:i/>
          <w:iCs/>
        </w:rPr>
        <w:t>Instrument Validity</w:t>
      </w:r>
    </w:p>
    <w:p w14:paraId="3C00255A" w14:textId="77777777" w:rsidR="004854AB" w:rsidRDefault="004854AB" w:rsidP="004854AB">
      <w:pPr>
        <w:jc w:val="both"/>
        <w:rPr>
          <w:rFonts w:ascii="Times New Roman" w:hAnsi="Times New Roman" w:cs="Times New Roman"/>
        </w:rPr>
      </w:pPr>
      <w:r>
        <w:rPr>
          <w:rFonts w:ascii="Times New Roman" w:hAnsi="Times New Roman" w:cs="Times New Roman"/>
        </w:rPr>
        <w:tab/>
      </w:r>
      <w:r w:rsidRPr="007E788F">
        <w:rPr>
          <w:rFonts w:ascii="Times New Roman" w:hAnsi="Times New Roman" w:cs="Times New Roman"/>
        </w:rPr>
        <w:t>Table 1 presents the expert validation results of the PISA-based assessment instrument. All parameters obtained mean ratings ranging from 3.75 to 3.85, interpreted as “Exceed Expectation,” indicating that the instrument is highly valid in terms of content, clarity, difficulty, distractor quality, format, and alignment with learning objectives.</w:t>
      </w:r>
    </w:p>
    <w:p w14:paraId="6CA5C416" w14:textId="77777777" w:rsidR="004854AB" w:rsidRPr="004854AB" w:rsidRDefault="004854AB" w:rsidP="00B3397B">
      <w:pPr>
        <w:pStyle w:val="NoSpacing"/>
        <w:spacing w:line="360" w:lineRule="auto"/>
        <w:rPr>
          <w:rFonts w:ascii="Times New Roman" w:hAnsi="Times New Roman" w:cs="Times New Roman"/>
          <w:b/>
          <w:sz w:val="24"/>
        </w:rPr>
      </w:pPr>
      <w:r w:rsidRPr="004854AB">
        <w:rPr>
          <w:rFonts w:ascii="Times New Roman" w:hAnsi="Times New Roman" w:cs="Times New Roman"/>
          <w:b/>
          <w:sz w:val="24"/>
        </w:rPr>
        <w:t>Table 1</w:t>
      </w:r>
    </w:p>
    <w:p w14:paraId="2E606A64" w14:textId="77777777" w:rsidR="004854AB" w:rsidRPr="004854AB" w:rsidRDefault="004854AB" w:rsidP="00B3397B">
      <w:pPr>
        <w:pStyle w:val="NoSpacing"/>
        <w:spacing w:line="360" w:lineRule="auto"/>
        <w:rPr>
          <w:rFonts w:ascii="Times New Roman" w:hAnsi="Times New Roman" w:cs="Times New Roman"/>
          <w:i/>
          <w:sz w:val="24"/>
        </w:rPr>
      </w:pPr>
      <w:r w:rsidRPr="004854AB">
        <w:rPr>
          <w:rFonts w:ascii="Times New Roman" w:hAnsi="Times New Roman" w:cs="Times New Roman"/>
          <w:i/>
          <w:sz w:val="24"/>
        </w:rPr>
        <w:t xml:space="preserve">Validators Rating on PISA-Based Assessment Instrument </w:t>
      </w:r>
    </w:p>
    <w:tbl>
      <w:tblPr>
        <w:tblStyle w:val="TableGrid"/>
        <w:tblpPr w:leftFromText="180" w:rightFromText="180" w:vertAnchor="text" w:horzAnchor="margin" w:tblpY="64"/>
        <w:tblW w:w="94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1"/>
        <w:gridCol w:w="1050"/>
        <w:gridCol w:w="1225"/>
        <w:gridCol w:w="1050"/>
        <w:gridCol w:w="1400"/>
        <w:gridCol w:w="2276"/>
      </w:tblGrid>
      <w:tr w:rsidR="004854AB" w:rsidRPr="004854AB" w14:paraId="37988EE3" w14:textId="77777777" w:rsidTr="004854AB">
        <w:trPr>
          <w:trHeight w:val="198"/>
        </w:trPr>
        <w:tc>
          <w:tcPr>
            <w:tcW w:w="2451" w:type="dxa"/>
            <w:tcBorders>
              <w:top w:val="single" w:sz="4" w:space="0" w:color="auto"/>
              <w:bottom w:val="single" w:sz="4" w:space="0" w:color="auto"/>
            </w:tcBorders>
            <w:vAlign w:val="center"/>
            <w:hideMark/>
          </w:tcPr>
          <w:p w14:paraId="43DE5578" w14:textId="77777777" w:rsidR="004854AB" w:rsidRPr="004854AB" w:rsidRDefault="004854AB" w:rsidP="004854AB">
            <w:pPr>
              <w:spacing w:line="276" w:lineRule="auto"/>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Parameter</w:t>
            </w:r>
          </w:p>
        </w:tc>
        <w:tc>
          <w:tcPr>
            <w:tcW w:w="1050" w:type="dxa"/>
            <w:tcBorders>
              <w:top w:val="single" w:sz="4" w:space="0" w:color="auto"/>
              <w:bottom w:val="single" w:sz="4" w:space="0" w:color="auto"/>
            </w:tcBorders>
            <w:vAlign w:val="center"/>
            <w:hideMark/>
          </w:tcPr>
          <w:p w14:paraId="4381BFF3" w14:textId="77777777" w:rsidR="004854AB" w:rsidRPr="004854AB" w:rsidRDefault="004854AB" w:rsidP="004854AB">
            <w:pPr>
              <w:spacing w:line="276" w:lineRule="auto"/>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V1</w:t>
            </w:r>
          </w:p>
        </w:tc>
        <w:tc>
          <w:tcPr>
            <w:tcW w:w="1225" w:type="dxa"/>
            <w:tcBorders>
              <w:top w:val="single" w:sz="4" w:space="0" w:color="auto"/>
              <w:bottom w:val="single" w:sz="4" w:space="0" w:color="auto"/>
            </w:tcBorders>
            <w:vAlign w:val="center"/>
            <w:hideMark/>
          </w:tcPr>
          <w:p w14:paraId="63ADA192" w14:textId="77777777" w:rsidR="004854AB" w:rsidRPr="004854AB" w:rsidRDefault="004854AB" w:rsidP="004854AB">
            <w:pPr>
              <w:spacing w:line="276" w:lineRule="auto"/>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V2</w:t>
            </w:r>
          </w:p>
        </w:tc>
        <w:tc>
          <w:tcPr>
            <w:tcW w:w="1050" w:type="dxa"/>
            <w:tcBorders>
              <w:top w:val="single" w:sz="4" w:space="0" w:color="auto"/>
              <w:bottom w:val="single" w:sz="4" w:space="0" w:color="auto"/>
            </w:tcBorders>
            <w:vAlign w:val="center"/>
            <w:hideMark/>
          </w:tcPr>
          <w:p w14:paraId="171C4525" w14:textId="77777777" w:rsidR="004854AB" w:rsidRPr="004854AB" w:rsidRDefault="004854AB" w:rsidP="004854AB">
            <w:pPr>
              <w:spacing w:line="276" w:lineRule="auto"/>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V3</w:t>
            </w:r>
          </w:p>
        </w:tc>
        <w:tc>
          <w:tcPr>
            <w:tcW w:w="1400" w:type="dxa"/>
            <w:tcBorders>
              <w:top w:val="single" w:sz="4" w:space="0" w:color="auto"/>
              <w:bottom w:val="single" w:sz="4" w:space="0" w:color="auto"/>
            </w:tcBorders>
            <w:vAlign w:val="center"/>
            <w:hideMark/>
          </w:tcPr>
          <w:p w14:paraId="32954D85" w14:textId="77777777" w:rsidR="004854AB" w:rsidRPr="004854AB" w:rsidRDefault="004854AB" w:rsidP="004854AB">
            <w:pPr>
              <w:spacing w:line="276" w:lineRule="auto"/>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Mean</w:t>
            </w:r>
          </w:p>
        </w:tc>
        <w:tc>
          <w:tcPr>
            <w:tcW w:w="2276" w:type="dxa"/>
            <w:tcBorders>
              <w:top w:val="single" w:sz="4" w:space="0" w:color="auto"/>
              <w:bottom w:val="single" w:sz="4" w:space="0" w:color="auto"/>
            </w:tcBorders>
            <w:vAlign w:val="center"/>
            <w:hideMark/>
          </w:tcPr>
          <w:p w14:paraId="24CBC02F" w14:textId="77777777" w:rsidR="004854AB" w:rsidRPr="004854AB" w:rsidRDefault="004854AB" w:rsidP="004854AB">
            <w:pPr>
              <w:spacing w:line="276" w:lineRule="auto"/>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Interpretation</w:t>
            </w:r>
          </w:p>
        </w:tc>
      </w:tr>
      <w:tr w:rsidR="004854AB" w:rsidRPr="004854AB" w14:paraId="45FA2A94" w14:textId="77777777" w:rsidTr="004854AB">
        <w:trPr>
          <w:trHeight w:val="213"/>
        </w:trPr>
        <w:tc>
          <w:tcPr>
            <w:tcW w:w="2451" w:type="dxa"/>
            <w:tcBorders>
              <w:top w:val="single" w:sz="4" w:space="0" w:color="auto"/>
            </w:tcBorders>
            <w:vAlign w:val="center"/>
            <w:hideMark/>
          </w:tcPr>
          <w:p w14:paraId="72AE5CB3"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Content &amp; Validity</w:t>
            </w:r>
          </w:p>
        </w:tc>
        <w:tc>
          <w:tcPr>
            <w:tcW w:w="1050" w:type="dxa"/>
            <w:tcBorders>
              <w:top w:val="single" w:sz="4" w:space="0" w:color="auto"/>
            </w:tcBorders>
            <w:vAlign w:val="center"/>
            <w:hideMark/>
          </w:tcPr>
          <w:p w14:paraId="26272EBF"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3.80</w:t>
            </w:r>
          </w:p>
        </w:tc>
        <w:tc>
          <w:tcPr>
            <w:tcW w:w="1225" w:type="dxa"/>
            <w:tcBorders>
              <w:top w:val="single" w:sz="4" w:space="0" w:color="auto"/>
            </w:tcBorders>
            <w:vAlign w:val="center"/>
            <w:hideMark/>
          </w:tcPr>
          <w:p w14:paraId="483928A2"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050" w:type="dxa"/>
            <w:tcBorders>
              <w:top w:val="single" w:sz="4" w:space="0" w:color="auto"/>
            </w:tcBorders>
            <w:vAlign w:val="center"/>
            <w:hideMark/>
          </w:tcPr>
          <w:p w14:paraId="53D8A11F"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3.50</w:t>
            </w:r>
          </w:p>
        </w:tc>
        <w:tc>
          <w:tcPr>
            <w:tcW w:w="1400" w:type="dxa"/>
            <w:tcBorders>
              <w:top w:val="single" w:sz="4" w:space="0" w:color="auto"/>
            </w:tcBorders>
            <w:vAlign w:val="center"/>
            <w:hideMark/>
          </w:tcPr>
          <w:p w14:paraId="38AA0D09"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3.76</w:t>
            </w:r>
          </w:p>
        </w:tc>
        <w:tc>
          <w:tcPr>
            <w:tcW w:w="2276" w:type="dxa"/>
            <w:tcBorders>
              <w:top w:val="single" w:sz="4" w:space="0" w:color="auto"/>
            </w:tcBorders>
            <w:vAlign w:val="center"/>
            <w:hideMark/>
          </w:tcPr>
          <w:p w14:paraId="6EC2E5E3"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r w:rsidR="004854AB" w:rsidRPr="004854AB" w14:paraId="1C8B211F" w14:textId="77777777" w:rsidTr="004854AB">
        <w:trPr>
          <w:trHeight w:val="198"/>
        </w:trPr>
        <w:tc>
          <w:tcPr>
            <w:tcW w:w="2451" w:type="dxa"/>
            <w:vAlign w:val="center"/>
            <w:hideMark/>
          </w:tcPr>
          <w:p w14:paraId="29404603"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Clarity of Wording</w:t>
            </w:r>
          </w:p>
        </w:tc>
        <w:tc>
          <w:tcPr>
            <w:tcW w:w="1050" w:type="dxa"/>
            <w:vAlign w:val="center"/>
            <w:hideMark/>
          </w:tcPr>
          <w:p w14:paraId="21CA9731"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3.80</w:t>
            </w:r>
          </w:p>
        </w:tc>
        <w:tc>
          <w:tcPr>
            <w:tcW w:w="1225" w:type="dxa"/>
            <w:vAlign w:val="center"/>
            <w:hideMark/>
          </w:tcPr>
          <w:p w14:paraId="7416EBD2"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3.96</w:t>
            </w:r>
          </w:p>
        </w:tc>
        <w:tc>
          <w:tcPr>
            <w:tcW w:w="1050" w:type="dxa"/>
            <w:vAlign w:val="center"/>
            <w:hideMark/>
          </w:tcPr>
          <w:p w14:paraId="2E61B9E5"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3.50</w:t>
            </w:r>
          </w:p>
        </w:tc>
        <w:tc>
          <w:tcPr>
            <w:tcW w:w="1400" w:type="dxa"/>
            <w:vAlign w:val="center"/>
            <w:hideMark/>
          </w:tcPr>
          <w:p w14:paraId="76256187"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3.75</w:t>
            </w:r>
          </w:p>
        </w:tc>
        <w:tc>
          <w:tcPr>
            <w:tcW w:w="2276" w:type="dxa"/>
            <w:vAlign w:val="center"/>
            <w:hideMark/>
          </w:tcPr>
          <w:p w14:paraId="131B61FF"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r w:rsidR="004854AB" w:rsidRPr="004854AB" w14:paraId="610662F0" w14:textId="77777777" w:rsidTr="004854AB">
        <w:trPr>
          <w:trHeight w:val="198"/>
        </w:trPr>
        <w:tc>
          <w:tcPr>
            <w:tcW w:w="2451" w:type="dxa"/>
            <w:vAlign w:val="center"/>
            <w:hideMark/>
          </w:tcPr>
          <w:p w14:paraId="20825F8E"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Appropriateness of Difficulty</w:t>
            </w:r>
          </w:p>
        </w:tc>
        <w:tc>
          <w:tcPr>
            <w:tcW w:w="1050" w:type="dxa"/>
            <w:vAlign w:val="center"/>
            <w:hideMark/>
          </w:tcPr>
          <w:p w14:paraId="44989464"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225" w:type="dxa"/>
            <w:vAlign w:val="center"/>
            <w:hideMark/>
          </w:tcPr>
          <w:p w14:paraId="2C8196F2"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050" w:type="dxa"/>
            <w:vAlign w:val="center"/>
            <w:hideMark/>
          </w:tcPr>
          <w:p w14:paraId="02889ADC"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3.50</w:t>
            </w:r>
          </w:p>
        </w:tc>
        <w:tc>
          <w:tcPr>
            <w:tcW w:w="1400" w:type="dxa"/>
            <w:vAlign w:val="center"/>
            <w:hideMark/>
          </w:tcPr>
          <w:p w14:paraId="4DA98E56"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3.83</w:t>
            </w:r>
          </w:p>
        </w:tc>
        <w:tc>
          <w:tcPr>
            <w:tcW w:w="2276" w:type="dxa"/>
            <w:vAlign w:val="center"/>
            <w:hideMark/>
          </w:tcPr>
          <w:p w14:paraId="7CC65DB8"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r w:rsidR="004854AB" w:rsidRPr="004854AB" w14:paraId="2C973358" w14:textId="77777777" w:rsidTr="004854AB">
        <w:trPr>
          <w:trHeight w:val="198"/>
        </w:trPr>
        <w:tc>
          <w:tcPr>
            <w:tcW w:w="2451" w:type="dxa"/>
            <w:vAlign w:val="center"/>
            <w:hideMark/>
          </w:tcPr>
          <w:p w14:paraId="4D0E7E35"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Quality of Distractors</w:t>
            </w:r>
          </w:p>
        </w:tc>
        <w:tc>
          <w:tcPr>
            <w:tcW w:w="1050" w:type="dxa"/>
            <w:vAlign w:val="center"/>
            <w:hideMark/>
          </w:tcPr>
          <w:p w14:paraId="400C9C1C"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225" w:type="dxa"/>
            <w:vAlign w:val="center"/>
            <w:hideMark/>
          </w:tcPr>
          <w:p w14:paraId="3ECDA461"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050" w:type="dxa"/>
            <w:vAlign w:val="center"/>
            <w:hideMark/>
          </w:tcPr>
          <w:p w14:paraId="7227FEA4"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3.54</w:t>
            </w:r>
          </w:p>
        </w:tc>
        <w:tc>
          <w:tcPr>
            <w:tcW w:w="1400" w:type="dxa"/>
            <w:vAlign w:val="center"/>
            <w:hideMark/>
          </w:tcPr>
          <w:p w14:paraId="0360DEE1"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3.85</w:t>
            </w:r>
          </w:p>
        </w:tc>
        <w:tc>
          <w:tcPr>
            <w:tcW w:w="2276" w:type="dxa"/>
            <w:vAlign w:val="center"/>
            <w:hideMark/>
          </w:tcPr>
          <w:p w14:paraId="3653169C"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r w:rsidR="004854AB" w:rsidRPr="004854AB" w14:paraId="315AF1A9" w14:textId="77777777" w:rsidTr="004854AB">
        <w:trPr>
          <w:trHeight w:val="213"/>
        </w:trPr>
        <w:tc>
          <w:tcPr>
            <w:tcW w:w="2451" w:type="dxa"/>
            <w:vAlign w:val="center"/>
            <w:hideMark/>
          </w:tcPr>
          <w:p w14:paraId="3F99742F"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Format and Consistency</w:t>
            </w:r>
          </w:p>
        </w:tc>
        <w:tc>
          <w:tcPr>
            <w:tcW w:w="1050" w:type="dxa"/>
            <w:vAlign w:val="center"/>
            <w:hideMark/>
          </w:tcPr>
          <w:p w14:paraId="7D0B1845"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225" w:type="dxa"/>
            <w:vAlign w:val="center"/>
            <w:hideMark/>
          </w:tcPr>
          <w:p w14:paraId="2DAF102B"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050" w:type="dxa"/>
            <w:vAlign w:val="center"/>
            <w:hideMark/>
          </w:tcPr>
          <w:p w14:paraId="300C1A43"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3.56</w:t>
            </w:r>
          </w:p>
        </w:tc>
        <w:tc>
          <w:tcPr>
            <w:tcW w:w="1400" w:type="dxa"/>
            <w:vAlign w:val="center"/>
            <w:hideMark/>
          </w:tcPr>
          <w:p w14:paraId="5B58519B"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3.85</w:t>
            </w:r>
          </w:p>
        </w:tc>
        <w:tc>
          <w:tcPr>
            <w:tcW w:w="2276" w:type="dxa"/>
            <w:vAlign w:val="center"/>
            <w:hideMark/>
          </w:tcPr>
          <w:p w14:paraId="663F9C45"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r w:rsidR="004854AB" w:rsidRPr="004854AB" w14:paraId="4488E002" w14:textId="77777777" w:rsidTr="004854AB">
        <w:trPr>
          <w:trHeight w:val="198"/>
        </w:trPr>
        <w:tc>
          <w:tcPr>
            <w:tcW w:w="2451" w:type="dxa"/>
            <w:vAlign w:val="center"/>
            <w:hideMark/>
          </w:tcPr>
          <w:p w14:paraId="08F5BE22" w14:textId="77777777" w:rsidR="004854AB" w:rsidRPr="004854AB" w:rsidRDefault="004854AB" w:rsidP="004854AB">
            <w:pPr>
              <w:spacing w:line="276" w:lineRule="auto"/>
              <w:rPr>
                <w:rFonts w:ascii="Times New Roman" w:eastAsia="Times New Roman" w:hAnsi="Times New Roman" w:cs="Times New Roman"/>
                <w:lang w:eastAsia="en-PH"/>
              </w:rPr>
            </w:pPr>
            <w:r w:rsidRPr="004854AB">
              <w:rPr>
                <w:rFonts w:ascii="Times New Roman" w:eastAsia="Times New Roman" w:hAnsi="Times New Roman" w:cs="Times New Roman"/>
                <w:lang w:eastAsia="en-PH"/>
              </w:rPr>
              <w:lastRenderedPageBreak/>
              <w:t>Alignment of Objectives</w:t>
            </w:r>
          </w:p>
        </w:tc>
        <w:tc>
          <w:tcPr>
            <w:tcW w:w="1050" w:type="dxa"/>
            <w:vAlign w:val="center"/>
            <w:hideMark/>
          </w:tcPr>
          <w:p w14:paraId="568BDABE"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3.84</w:t>
            </w:r>
          </w:p>
        </w:tc>
        <w:tc>
          <w:tcPr>
            <w:tcW w:w="1225" w:type="dxa"/>
            <w:vAlign w:val="center"/>
            <w:hideMark/>
          </w:tcPr>
          <w:p w14:paraId="4E53944C"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4.00</w:t>
            </w:r>
          </w:p>
        </w:tc>
        <w:tc>
          <w:tcPr>
            <w:tcW w:w="1050" w:type="dxa"/>
            <w:vAlign w:val="center"/>
            <w:hideMark/>
          </w:tcPr>
          <w:p w14:paraId="776D0950"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3.56</w:t>
            </w:r>
          </w:p>
        </w:tc>
        <w:tc>
          <w:tcPr>
            <w:tcW w:w="1400" w:type="dxa"/>
            <w:vAlign w:val="center"/>
            <w:hideMark/>
          </w:tcPr>
          <w:p w14:paraId="2D0B3CDF"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3.80</w:t>
            </w:r>
          </w:p>
        </w:tc>
        <w:tc>
          <w:tcPr>
            <w:tcW w:w="2276" w:type="dxa"/>
            <w:vAlign w:val="center"/>
            <w:hideMark/>
          </w:tcPr>
          <w:p w14:paraId="232B05C3" w14:textId="77777777" w:rsidR="004854AB" w:rsidRPr="004854AB" w:rsidRDefault="004854AB" w:rsidP="004854AB">
            <w:pPr>
              <w:spacing w:line="276" w:lineRule="auto"/>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Exceed Expectation</w:t>
            </w:r>
          </w:p>
        </w:tc>
      </w:tr>
    </w:tbl>
    <w:p w14:paraId="52068238" w14:textId="77777777" w:rsidR="004854AB" w:rsidRPr="007E788F" w:rsidRDefault="004854AB" w:rsidP="004854AB">
      <w:pPr>
        <w:spacing w:line="276"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br/>
      </w:r>
      <w:r>
        <w:rPr>
          <w:rFonts w:ascii="Times New Roman" w:hAnsi="Times New Roman" w:cs="Times New Roman"/>
        </w:rPr>
        <w:tab/>
      </w:r>
      <w:r w:rsidRPr="007E788F">
        <w:rPr>
          <w:rFonts w:ascii="Times New Roman" w:hAnsi="Times New Roman" w:cs="Times New Roman"/>
        </w:rPr>
        <w:t>The findings suggest that the instrument is both psychometrically sound and pedagogically appropriate for diagnosing learning gaps in General Chemistry. High ratings in content validity and alignment with objectives confirm that the assessment adequately measures intended chemistry competencies and scientific literacy domains. Likewise, clarity of wording and quality distractors ensure that items are understandable and effective in differentiating learners’ levels of understanding. The appropriateness of difficulty further indicates that the instrument can reliably assess varying levels of learner proficiency.</w:t>
      </w:r>
      <w:r>
        <w:rPr>
          <w:rFonts w:ascii="Times New Roman" w:hAnsi="Times New Roman" w:cs="Times New Roman"/>
        </w:rPr>
        <w:t xml:space="preserve"> </w:t>
      </w:r>
      <w:r w:rsidRPr="007E788F">
        <w:rPr>
          <w:rFonts w:ascii="Times New Roman" w:hAnsi="Times New Roman" w:cs="Times New Roman"/>
        </w:rPr>
        <w:t>These results imply that the developed assessment tool can provide credible and meaningful data on learners’ conceptual understanding and scientific reasoning. Its alignment with the PISA framework also highlights its focus on higher-order thinking skills rather than simple recall, making it useful for instructional planning and curriculum improvement.</w:t>
      </w:r>
    </w:p>
    <w:p w14:paraId="5EBE81D9" w14:textId="77777777" w:rsidR="004854AB" w:rsidRDefault="004854AB" w:rsidP="004854AB">
      <w:pPr>
        <w:jc w:val="both"/>
        <w:rPr>
          <w:rFonts w:ascii="Times New Roman" w:hAnsi="Times New Roman" w:cs="Times New Roman"/>
        </w:rPr>
      </w:pPr>
      <w:r>
        <w:rPr>
          <w:rFonts w:ascii="Times New Roman" w:hAnsi="Times New Roman" w:cs="Times New Roman"/>
        </w:rPr>
        <w:tab/>
      </w:r>
      <w:r w:rsidRPr="007E788F">
        <w:rPr>
          <w:rFonts w:ascii="Times New Roman" w:hAnsi="Times New Roman" w:cs="Times New Roman"/>
        </w:rPr>
        <w:t xml:space="preserve">The findings are supported by recent studies emphasizing the importance of validity in assessment design. </w:t>
      </w:r>
      <w:proofErr w:type="spellStart"/>
      <w:r w:rsidRPr="007E788F">
        <w:rPr>
          <w:rFonts w:ascii="Times New Roman" w:hAnsi="Times New Roman" w:cs="Times New Roman"/>
        </w:rPr>
        <w:t>Martínez</w:t>
      </w:r>
      <w:proofErr w:type="spellEnd"/>
      <w:r w:rsidRPr="007E788F">
        <w:rPr>
          <w:rFonts w:ascii="Times New Roman" w:hAnsi="Times New Roman" w:cs="Times New Roman"/>
        </w:rPr>
        <w:t xml:space="preserve"> (2020) noted that content-valid instruments ensure accurate measurement of learning domains, while </w:t>
      </w:r>
      <w:proofErr w:type="spellStart"/>
      <w:r w:rsidRPr="007E788F">
        <w:rPr>
          <w:rFonts w:ascii="Times New Roman" w:hAnsi="Times New Roman" w:cs="Times New Roman"/>
        </w:rPr>
        <w:t>García-Ceberino</w:t>
      </w:r>
      <w:proofErr w:type="spellEnd"/>
      <w:r w:rsidRPr="007E788F">
        <w:rPr>
          <w:rFonts w:ascii="Times New Roman" w:hAnsi="Times New Roman" w:cs="Times New Roman"/>
        </w:rPr>
        <w:t xml:space="preserve"> et al. (2020) emphasized that validated instruments improve the reliability and usefulness of educational assessments. Similarly, the </w:t>
      </w:r>
      <w:proofErr w:type="spellStart"/>
      <w:r w:rsidRPr="007E788F">
        <w:rPr>
          <w:rFonts w:ascii="Times New Roman" w:hAnsi="Times New Roman" w:cs="Times New Roman"/>
        </w:rPr>
        <w:t>Organisation</w:t>
      </w:r>
      <w:proofErr w:type="spellEnd"/>
      <w:r w:rsidRPr="007E788F">
        <w:rPr>
          <w:rFonts w:ascii="Times New Roman" w:hAnsi="Times New Roman" w:cs="Times New Roman"/>
        </w:rPr>
        <w:t xml:space="preserve"> for Economic Co-operation and Development PISA framework highlights the importance of assessing scientific literacy through competencies such as explaining phenomena, interpreting evidence, and evaluating inquiry. Studies by </w:t>
      </w:r>
      <w:proofErr w:type="spellStart"/>
      <w:r w:rsidRPr="007E788F">
        <w:rPr>
          <w:rFonts w:ascii="Times New Roman" w:hAnsi="Times New Roman" w:cs="Times New Roman"/>
        </w:rPr>
        <w:t>Andaresta</w:t>
      </w:r>
      <w:proofErr w:type="spellEnd"/>
      <w:r w:rsidRPr="007E788F">
        <w:rPr>
          <w:rFonts w:ascii="Times New Roman" w:hAnsi="Times New Roman" w:cs="Times New Roman"/>
        </w:rPr>
        <w:t xml:space="preserve"> et al. (2023) and </w:t>
      </w:r>
      <w:proofErr w:type="spellStart"/>
      <w:r w:rsidRPr="007E788F">
        <w:rPr>
          <w:rFonts w:ascii="Times New Roman" w:hAnsi="Times New Roman" w:cs="Times New Roman"/>
        </w:rPr>
        <w:t>Hadiastriani</w:t>
      </w:r>
      <w:proofErr w:type="spellEnd"/>
      <w:r w:rsidRPr="007E788F">
        <w:rPr>
          <w:rFonts w:ascii="Times New Roman" w:hAnsi="Times New Roman" w:cs="Times New Roman"/>
        </w:rPr>
        <w:t xml:space="preserve"> and </w:t>
      </w:r>
      <w:proofErr w:type="spellStart"/>
      <w:r w:rsidRPr="007E788F">
        <w:rPr>
          <w:rFonts w:ascii="Times New Roman" w:hAnsi="Times New Roman" w:cs="Times New Roman"/>
        </w:rPr>
        <w:t>Prasetyorini</w:t>
      </w:r>
      <w:proofErr w:type="spellEnd"/>
      <w:r w:rsidRPr="007E788F">
        <w:rPr>
          <w:rFonts w:ascii="Times New Roman" w:hAnsi="Times New Roman" w:cs="Times New Roman"/>
        </w:rPr>
        <w:t xml:space="preserve"> (2024) further confirmed that competency-based assessment tools are effective in identifying conceptual gaps and improving science learning outcomes.</w:t>
      </w:r>
    </w:p>
    <w:p w14:paraId="4D884410" w14:textId="77777777" w:rsidR="004854AB" w:rsidRPr="00982771" w:rsidRDefault="004854AB" w:rsidP="004854AB">
      <w:pPr>
        <w:jc w:val="both"/>
        <w:rPr>
          <w:rFonts w:ascii="Times New Roman" w:hAnsi="Times New Roman" w:cs="Times New Roman"/>
          <w:b/>
          <w:bCs/>
          <w:i/>
          <w:iCs/>
        </w:rPr>
      </w:pPr>
      <w:r w:rsidRPr="00982771">
        <w:rPr>
          <w:rFonts w:ascii="Times New Roman" w:hAnsi="Times New Roman" w:cs="Times New Roman"/>
          <w:b/>
          <w:bCs/>
          <w:i/>
          <w:iCs/>
        </w:rPr>
        <w:t xml:space="preserve">Instrument Reliability </w:t>
      </w:r>
    </w:p>
    <w:p w14:paraId="7FA7F8AB" w14:textId="77777777" w:rsidR="004854AB" w:rsidRPr="00C95959" w:rsidRDefault="004854AB" w:rsidP="004854AB">
      <w:pPr>
        <w:jc w:val="both"/>
        <w:rPr>
          <w:rFonts w:ascii="Times New Roman" w:hAnsi="Times New Roman" w:cs="Times New Roman"/>
        </w:rPr>
      </w:pPr>
      <w:r>
        <w:rPr>
          <w:rFonts w:ascii="Times New Roman" w:hAnsi="Times New Roman" w:cs="Times New Roman"/>
        </w:rPr>
        <w:tab/>
      </w:r>
      <w:r w:rsidRPr="00982771">
        <w:rPr>
          <w:rFonts w:ascii="Times New Roman" w:hAnsi="Times New Roman" w:cs="Times New Roman"/>
        </w:rPr>
        <w:t xml:space="preserve">To ensure the consistency and dependability of the developed PISA-based assessment instrument, a reliability analysis was conducted using </w:t>
      </w:r>
      <w:proofErr w:type="spellStart"/>
      <w:r w:rsidRPr="00982771">
        <w:rPr>
          <w:rFonts w:ascii="Times New Roman" w:hAnsi="Times New Roman" w:cs="Times New Roman"/>
        </w:rPr>
        <w:t>Cronbach’s</w:t>
      </w:r>
      <w:proofErr w:type="spellEnd"/>
      <w:r w:rsidRPr="00982771">
        <w:rPr>
          <w:rFonts w:ascii="Times New Roman" w:hAnsi="Times New Roman" w:cs="Times New Roman"/>
        </w:rPr>
        <w:t xml:space="preserve"> Alpha. Reliability to determine whether the assessment accurately measures learners’ competencies and minimizes measurement error. Table 2 presents the reliability coefficient of the instrument.</w:t>
      </w:r>
    </w:p>
    <w:p w14:paraId="69FBB6AC" w14:textId="77777777" w:rsidR="004854AB" w:rsidRPr="004854AB" w:rsidRDefault="00B3397B" w:rsidP="00B3397B">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Table 2</w:t>
      </w:r>
    </w:p>
    <w:p w14:paraId="789BDCBE" w14:textId="77777777" w:rsidR="004854AB" w:rsidRPr="004854AB" w:rsidRDefault="004854AB" w:rsidP="00B3397B">
      <w:pPr>
        <w:pStyle w:val="NoSpacing"/>
        <w:spacing w:line="360" w:lineRule="auto"/>
        <w:rPr>
          <w:rFonts w:ascii="Times New Roman" w:hAnsi="Times New Roman" w:cs="Times New Roman"/>
          <w:i/>
          <w:sz w:val="24"/>
          <w:szCs w:val="24"/>
        </w:rPr>
      </w:pPr>
      <w:r w:rsidRPr="004854AB">
        <w:rPr>
          <w:rFonts w:ascii="Times New Roman" w:hAnsi="Times New Roman" w:cs="Times New Roman"/>
          <w:i/>
          <w:sz w:val="24"/>
          <w:szCs w:val="24"/>
        </w:rPr>
        <w:t>Reliability Coefficient of the Instrument</w:t>
      </w:r>
    </w:p>
    <w:tbl>
      <w:tblPr>
        <w:tblStyle w:val="TableGrid"/>
        <w:tblW w:w="92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493"/>
        <w:gridCol w:w="2103"/>
        <w:gridCol w:w="3033"/>
      </w:tblGrid>
      <w:tr w:rsidR="004854AB" w:rsidRPr="00982771" w14:paraId="26E837DC" w14:textId="77777777" w:rsidTr="004854AB">
        <w:trPr>
          <w:trHeight w:val="323"/>
        </w:trPr>
        <w:tc>
          <w:tcPr>
            <w:tcW w:w="2609" w:type="dxa"/>
            <w:tcBorders>
              <w:top w:val="single" w:sz="4" w:space="0" w:color="auto"/>
              <w:bottom w:val="single" w:sz="4" w:space="0" w:color="auto"/>
            </w:tcBorders>
            <w:vAlign w:val="center"/>
            <w:hideMark/>
          </w:tcPr>
          <w:p w14:paraId="0E705352" w14:textId="77777777" w:rsidR="004854AB" w:rsidRPr="004854AB" w:rsidRDefault="004854AB" w:rsidP="004854AB">
            <w:pPr>
              <w:jc w:val="center"/>
              <w:rPr>
                <w:rFonts w:ascii="Times New Roman" w:hAnsi="Times New Roman" w:cs="Times New Roman"/>
                <w:b/>
              </w:rPr>
            </w:pPr>
            <w:proofErr w:type="spellStart"/>
            <w:r w:rsidRPr="004854AB">
              <w:rPr>
                <w:rFonts w:ascii="Times New Roman" w:hAnsi="Times New Roman" w:cs="Times New Roman"/>
                <w:b/>
              </w:rPr>
              <w:t>Cronbach’s</w:t>
            </w:r>
            <w:proofErr w:type="spellEnd"/>
            <w:r w:rsidRPr="004854AB">
              <w:rPr>
                <w:rFonts w:ascii="Times New Roman" w:hAnsi="Times New Roman" w:cs="Times New Roman"/>
                <w:b/>
              </w:rPr>
              <w:t xml:space="preserve"> Alpha</w:t>
            </w:r>
          </w:p>
        </w:tc>
        <w:tc>
          <w:tcPr>
            <w:tcW w:w="1493" w:type="dxa"/>
            <w:tcBorders>
              <w:top w:val="single" w:sz="4" w:space="0" w:color="auto"/>
              <w:bottom w:val="single" w:sz="4" w:space="0" w:color="auto"/>
            </w:tcBorders>
            <w:vAlign w:val="center"/>
            <w:hideMark/>
          </w:tcPr>
          <w:p w14:paraId="063932A8" w14:textId="77777777" w:rsidR="004854AB" w:rsidRPr="004854AB" w:rsidRDefault="004854AB" w:rsidP="004854AB">
            <w:pPr>
              <w:jc w:val="center"/>
              <w:rPr>
                <w:rFonts w:ascii="Times New Roman" w:hAnsi="Times New Roman" w:cs="Times New Roman"/>
                <w:b/>
              </w:rPr>
            </w:pPr>
            <w:r w:rsidRPr="004854AB">
              <w:rPr>
                <w:rFonts w:ascii="Times New Roman" w:hAnsi="Times New Roman" w:cs="Times New Roman"/>
                <w:b/>
              </w:rPr>
              <w:t>No. of Items</w:t>
            </w:r>
          </w:p>
        </w:tc>
        <w:tc>
          <w:tcPr>
            <w:tcW w:w="2103" w:type="dxa"/>
            <w:tcBorders>
              <w:top w:val="single" w:sz="4" w:space="0" w:color="auto"/>
              <w:bottom w:val="single" w:sz="4" w:space="0" w:color="auto"/>
            </w:tcBorders>
            <w:vAlign w:val="center"/>
            <w:hideMark/>
          </w:tcPr>
          <w:p w14:paraId="5B58FD8B" w14:textId="77777777" w:rsidR="004854AB" w:rsidRPr="004854AB" w:rsidRDefault="004854AB" w:rsidP="004854AB">
            <w:pPr>
              <w:jc w:val="center"/>
              <w:rPr>
                <w:rFonts w:ascii="Times New Roman" w:hAnsi="Times New Roman" w:cs="Times New Roman"/>
                <w:b/>
              </w:rPr>
            </w:pPr>
            <w:r w:rsidRPr="004854AB">
              <w:rPr>
                <w:rFonts w:ascii="Times New Roman" w:hAnsi="Times New Roman" w:cs="Times New Roman"/>
                <w:b/>
              </w:rPr>
              <w:t>Variance</w:t>
            </w:r>
          </w:p>
        </w:tc>
        <w:tc>
          <w:tcPr>
            <w:tcW w:w="3033" w:type="dxa"/>
            <w:tcBorders>
              <w:top w:val="single" w:sz="4" w:space="0" w:color="auto"/>
              <w:bottom w:val="single" w:sz="4" w:space="0" w:color="auto"/>
            </w:tcBorders>
            <w:vAlign w:val="center"/>
            <w:hideMark/>
          </w:tcPr>
          <w:p w14:paraId="0003A547" w14:textId="77777777" w:rsidR="004854AB" w:rsidRPr="004854AB" w:rsidRDefault="004854AB" w:rsidP="004854AB">
            <w:pPr>
              <w:jc w:val="center"/>
              <w:rPr>
                <w:rFonts w:ascii="Times New Roman" w:hAnsi="Times New Roman" w:cs="Times New Roman"/>
                <w:b/>
              </w:rPr>
            </w:pPr>
            <w:r w:rsidRPr="004854AB">
              <w:rPr>
                <w:rFonts w:ascii="Times New Roman" w:hAnsi="Times New Roman" w:cs="Times New Roman"/>
                <w:b/>
              </w:rPr>
              <w:t>Interpretation</w:t>
            </w:r>
          </w:p>
        </w:tc>
      </w:tr>
      <w:tr w:rsidR="004854AB" w:rsidRPr="00982771" w14:paraId="03874EBC" w14:textId="77777777" w:rsidTr="004854AB">
        <w:trPr>
          <w:trHeight w:val="323"/>
        </w:trPr>
        <w:tc>
          <w:tcPr>
            <w:tcW w:w="2609" w:type="dxa"/>
            <w:tcBorders>
              <w:top w:val="single" w:sz="4" w:space="0" w:color="auto"/>
            </w:tcBorders>
            <w:vAlign w:val="center"/>
            <w:hideMark/>
          </w:tcPr>
          <w:p w14:paraId="35B3CD10" w14:textId="77777777" w:rsidR="004854AB" w:rsidRPr="00982771" w:rsidRDefault="004854AB" w:rsidP="004854AB">
            <w:pPr>
              <w:jc w:val="center"/>
              <w:rPr>
                <w:rFonts w:ascii="Times New Roman" w:hAnsi="Times New Roman" w:cs="Times New Roman"/>
              </w:rPr>
            </w:pPr>
            <w:r w:rsidRPr="00982771">
              <w:rPr>
                <w:rFonts w:ascii="Times New Roman" w:hAnsi="Times New Roman" w:cs="Times New Roman"/>
              </w:rPr>
              <w:t>0.757</w:t>
            </w:r>
          </w:p>
        </w:tc>
        <w:tc>
          <w:tcPr>
            <w:tcW w:w="1493" w:type="dxa"/>
            <w:tcBorders>
              <w:top w:val="single" w:sz="4" w:space="0" w:color="auto"/>
            </w:tcBorders>
            <w:vAlign w:val="center"/>
            <w:hideMark/>
          </w:tcPr>
          <w:p w14:paraId="4DCEB3D1" w14:textId="77777777" w:rsidR="004854AB" w:rsidRPr="00982771" w:rsidRDefault="004854AB" w:rsidP="004854AB">
            <w:pPr>
              <w:jc w:val="center"/>
              <w:rPr>
                <w:rFonts w:ascii="Times New Roman" w:hAnsi="Times New Roman" w:cs="Times New Roman"/>
              </w:rPr>
            </w:pPr>
            <w:r w:rsidRPr="00982771">
              <w:rPr>
                <w:rFonts w:ascii="Times New Roman" w:hAnsi="Times New Roman" w:cs="Times New Roman"/>
              </w:rPr>
              <w:t>50</w:t>
            </w:r>
          </w:p>
        </w:tc>
        <w:tc>
          <w:tcPr>
            <w:tcW w:w="2103" w:type="dxa"/>
            <w:tcBorders>
              <w:top w:val="single" w:sz="4" w:space="0" w:color="auto"/>
            </w:tcBorders>
            <w:vAlign w:val="center"/>
            <w:hideMark/>
          </w:tcPr>
          <w:p w14:paraId="0DD548B9" w14:textId="77777777" w:rsidR="004854AB" w:rsidRPr="00982771" w:rsidRDefault="004854AB" w:rsidP="004854AB">
            <w:pPr>
              <w:jc w:val="center"/>
              <w:rPr>
                <w:rFonts w:ascii="Times New Roman" w:hAnsi="Times New Roman" w:cs="Times New Roman"/>
              </w:rPr>
            </w:pPr>
            <w:r w:rsidRPr="00982771">
              <w:rPr>
                <w:rFonts w:ascii="Times New Roman" w:hAnsi="Times New Roman" w:cs="Times New Roman"/>
              </w:rPr>
              <w:t>43.68</w:t>
            </w:r>
          </w:p>
        </w:tc>
        <w:tc>
          <w:tcPr>
            <w:tcW w:w="3033" w:type="dxa"/>
            <w:tcBorders>
              <w:top w:val="single" w:sz="4" w:space="0" w:color="auto"/>
            </w:tcBorders>
            <w:vAlign w:val="center"/>
            <w:hideMark/>
          </w:tcPr>
          <w:p w14:paraId="4A5394FB" w14:textId="77777777" w:rsidR="004854AB" w:rsidRPr="00982771" w:rsidRDefault="004854AB" w:rsidP="004854AB">
            <w:pPr>
              <w:jc w:val="center"/>
              <w:rPr>
                <w:rFonts w:ascii="Times New Roman" w:hAnsi="Times New Roman" w:cs="Times New Roman"/>
              </w:rPr>
            </w:pPr>
            <w:r w:rsidRPr="00982771">
              <w:rPr>
                <w:rFonts w:ascii="Times New Roman" w:hAnsi="Times New Roman" w:cs="Times New Roman"/>
              </w:rPr>
              <w:t>Acceptable</w:t>
            </w:r>
          </w:p>
        </w:tc>
      </w:tr>
    </w:tbl>
    <w:p w14:paraId="78E424D6" w14:textId="77777777" w:rsidR="004854AB" w:rsidRPr="00982771" w:rsidRDefault="004854AB" w:rsidP="004854AB">
      <w:pPr>
        <w:jc w:val="both"/>
        <w:rPr>
          <w:rFonts w:ascii="Times New Roman" w:hAnsi="Times New Roman" w:cs="Times New Roman"/>
        </w:rPr>
      </w:pPr>
      <w:r>
        <w:rPr>
          <w:rFonts w:ascii="Times New Roman" w:hAnsi="Times New Roman" w:cs="Times New Roman"/>
        </w:rPr>
        <w:br/>
      </w:r>
      <w:r>
        <w:rPr>
          <w:rFonts w:ascii="Times New Roman" w:hAnsi="Times New Roman" w:cs="Times New Roman"/>
        </w:rPr>
        <w:tab/>
      </w:r>
      <w:r w:rsidRPr="00982771">
        <w:rPr>
          <w:rFonts w:ascii="Times New Roman" w:hAnsi="Times New Roman" w:cs="Times New Roman"/>
        </w:rPr>
        <w:t xml:space="preserve">Table 2 presents the reliability analysis of the PISA-based assessment instrument using </w:t>
      </w:r>
      <w:proofErr w:type="spellStart"/>
      <w:r w:rsidRPr="00982771">
        <w:rPr>
          <w:rFonts w:ascii="Times New Roman" w:hAnsi="Times New Roman" w:cs="Times New Roman"/>
        </w:rPr>
        <w:t>Cronbach’s</w:t>
      </w:r>
      <w:proofErr w:type="spellEnd"/>
      <w:r w:rsidRPr="00982771">
        <w:rPr>
          <w:rFonts w:ascii="Times New Roman" w:hAnsi="Times New Roman" w:cs="Times New Roman"/>
        </w:rPr>
        <w:t xml:space="preserve"> Alpha. The 50-item test obtained a reliability coefficient of 0.757, interpreted as acceptable, indicating satisfactory internal consistency among the test items. This suggests that the instrument consistently measures learners’ scientific literacy and conceptual understanding in General Chemistry. The obtained coefficient exceeds the commonly accepted threshold of 0.70 for </w:t>
      </w:r>
      <w:r w:rsidRPr="00982771">
        <w:rPr>
          <w:rFonts w:ascii="Times New Roman" w:hAnsi="Times New Roman" w:cs="Times New Roman"/>
        </w:rPr>
        <w:lastRenderedPageBreak/>
        <w:t>educational research, while the variance value of 43.68 indicates that differences in responses are largely due to variations in learners’ abilities rather than measurement error.</w:t>
      </w:r>
    </w:p>
    <w:p w14:paraId="63661BD4" w14:textId="77777777" w:rsidR="004854AB" w:rsidRPr="00982771" w:rsidRDefault="004854AB" w:rsidP="004854AB">
      <w:pPr>
        <w:jc w:val="both"/>
        <w:rPr>
          <w:rFonts w:ascii="Times New Roman" w:hAnsi="Times New Roman" w:cs="Times New Roman"/>
        </w:rPr>
      </w:pPr>
      <w:r>
        <w:rPr>
          <w:rFonts w:ascii="Times New Roman" w:hAnsi="Times New Roman" w:cs="Times New Roman"/>
        </w:rPr>
        <w:tab/>
      </w:r>
      <w:r w:rsidRPr="00982771">
        <w:rPr>
          <w:rFonts w:ascii="Times New Roman" w:hAnsi="Times New Roman" w:cs="Times New Roman"/>
        </w:rPr>
        <w:t>These findings imply that the instrument is reliable for diagnosing and mapping learning gaps among Senior High School learners. The acceptable reliability coefficient supports the consistency and dependability of the assessment results, making the instrument suitable for instructional planning, curriculum improvement, and future research applications. However, since the coefficient has not yet reached the higher benchmark of 0.80, further refinement of weaker items may still improve the overall consistency of the instrument.</w:t>
      </w:r>
    </w:p>
    <w:p w14:paraId="5F46780B" w14:textId="77777777" w:rsidR="004854AB" w:rsidRPr="00982771" w:rsidRDefault="004854AB" w:rsidP="004854AB">
      <w:pPr>
        <w:jc w:val="both"/>
        <w:rPr>
          <w:rFonts w:ascii="Times New Roman" w:hAnsi="Times New Roman" w:cs="Times New Roman"/>
        </w:rPr>
      </w:pPr>
      <w:r>
        <w:rPr>
          <w:rFonts w:ascii="Times New Roman" w:hAnsi="Times New Roman" w:cs="Times New Roman"/>
        </w:rPr>
        <w:tab/>
      </w:r>
      <w:r w:rsidRPr="00982771">
        <w:rPr>
          <w:rFonts w:ascii="Times New Roman" w:hAnsi="Times New Roman" w:cs="Times New Roman"/>
        </w:rPr>
        <w:t xml:space="preserve">The results are supported by previous studies emphasizing the importance of reliability in educational assessment. </w:t>
      </w:r>
      <w:proofErr w:type="spellStart"/>
      <w:r w:rsidRPr="00982771">
        <w:rPr>
          <w:rFonts w:ascii="Times New Roman" w:hAnsi="Times New Roman" w:cs="Times New Roman"/>
        </w:rPr>
        <w:t>Olateju</w:t>
      </w:r>
      <w:proofErr w:type="spellEnd"/>
      <w:r w:rsidRPr="00982771">
        <w:rPr>
          <w:rFonts w:ascii="Times New Roman" w:hAnsi="Times New Roman" w:cs="Times New Roman"/>
        </w:rPr>
        <w:t xml:space="preserve"> et al. (2024) noted that </w:t>
      </w:r>
      <w:proofErr w:type="spellStart"/>
      <w:r w:rsidRPr="00982771">
        <w:rPr>
          <w:rFonts w:ascii="Times New Roman" w:hAnsi="Times New Roman" w:cs="Times New Roman"/>
        </w:rPr>
        <w:t>Cronbach’s</w:t>
      </w:r>
      <w:proofErr w:type="spellEnd"/>
      <w:r w:rsidRPr="00982771">
        <w:rPr>
          <w:rFonts w:ascii="Times New Roman" w:hAnsi="Times New Roman" w:cs="Times New Roman"/>
        </w:rPr>
        <w:t xml:space="preserve"> Alpha values above 0.70 indicate acceptable reliability for research instruments. Similarly, </w:t>
      </w:r>
      <w:proofErr w:type="spellStart"/>
      <w:r w:rsidRPr="00982771">
        <w:rPr>
          <w:rFonts w:ascii="Times New Roman" w:hAnsi="Times New Roman" w:cs="Times New Roman"/>
        </w:rPr>
        <w:t>Irwanto</w:t>
      </w:r>
      <w:proofErr w:type="spellEnd"/>
      <w:r w:rsidRPr="00982771">
        <w:rPr>
          <w:rFonts w:ascii="Times New Roman" w:hAnsi="Times New Roman" w:cs="Times New Roman"/>
        </w:rPr>
        <w:t xml:space="preserve"> et al. (2019) emphasized that science education assessments must demonstrate sufficient internal consistency to accurately measure higher-order thinking skills. The </w:t>
      </w:r>
      <w:proofErr w:type="spellStart"/>
      <w:r w:rsidRPr="00982771">
        <w:rPr>
          <w:rFonts w:ascii="Times New Roman" w:hAnsi="Times New Roman" w:cs="Times New Roman"/>
        </w:rPr>
        <w:t>Organisation</w:t>
      </w:r>
      <w:proofErr w:type="spellEnd"/>
      <w:r w:rsidRPr="00982771">
        <w:rPr>
          <w:rFonts w:ascii="Times New Roman" w:hAnsi="Times New Roman" w:cs="Times New Roman"/>
        </w:rPr>
        <w:t xml:space="preserve"> for Economic Co-operation and Development PISA framework also highlights the need for reliable scientific literacy assessments to ensure</w:t>
      </w:r>
      <w:r w:rsidRPr="00982771">
        <w:t xml:space="preserve"> </w:t>
      </w:r>
      <w:r w:rsidRPr="00982771">
        <w:rPr>
          <w:rFonts w:ascii="Times New Roman" w:hAnsi="Times New Roman" w:cs="Times New Roman"/>
        </w:rPr>
        <w:t xml:space="preserve">accurate measurement of learners’ reasoning and problem-solving competencies. Studies by </w:t>
      </w:r>
      <w:proofErr w:type="spellStart"/>
      <w:r w:rsidRPr="00982771">
        <w:rPr>
          <w:rFonts w:ascii="Times New Roman" w:hAnsi="Times New Roman" w:cs="Times New Roman"/>
        </w:rPr>
        <w:t>Andaresta</w:t>
      </w:r>
      <w:proofErr w:type="spellEnd"/>
      <w:r w:rsidRPr="00982771">
        <w:rPr>
          <w:rFonts w:ascii="Times New Roman" w:hAnsi="Times New Roman" w:cs="Times New Roman"/>
        </w:rPr>
        <w:t xml:space="preserve"> et al. (2023) and </w:t>
      </w:r>
      <w:proofErr w:type="spellStart"/>
      <w:r w:rsidRPr="00982771">
        <w:rPr>
          <w:rFonts w:ascii="Times New Roman" w:hAnsi="Times New Roman" w:cs="Times New Roman"/>
        </w:rPr>
        <w:t>Hadiastriani</w:t>
      </w:r>
      <w:proofErr w:type="spellEnd"/>
      <w:r w:rsidRPr="00982771">
        <w:rPr>
          <w:rFonts w:ascii="Times New Roman" w:hAnsi="Times New Roman" w:cs="Times New Roman"/>
        </w:rPr>
        <w:t xml:space="preserve"> and </w:t>
      </w:r>
      <w:proofErr w:type="spellStart"/>
      <w:r w:rsidRPr="00982771">
        <w:rPr>
          <w:rFonts w:ascii="Times New Roman" w:hAnsi="Times New Roman" w:cs="Times New Roman"/>
        </w:rPr>
        <w:t>Prasetyorini</w:t>
      </w:r>
      <w:proofErr w:type="spellEnd"/>
      <w:r w:rsidRPr="00982771">
        <w:rPr>
          <w:rFonts w:ascii="Times New Roman" w:hAnsi="Times New Roman" w:cs="Times New Roman"/>
        </w:rPr>
        <w:t xml:space="preserve"> (2024) further confirmed that reliable instruments contribute</w:t>
      </w:r>
      <w:r w:rsidRPr="00982771">
        <w:t xml:space="preserve"> </w:t>
      </w:r>
      <w:r w:rsidRPr="00982771">
        <w:rPr>
          <w:rFonts w:ascii="Times New Roman" w:hAnsi="Times New Roman" w:cs="Times New Roman"/>
        </w:rPr>
        <w:t>to accurate identification of learning gaps and support evidence-based educational practices.</w:t>
      </w:r>
    </w:p>
    <w:p w14:paraId="2D782AA5" w14:textId="77777777" w:rsidR="004854AB" w:rsidRPr="004854AB" w:rsidRDefault="004854AB" w:rsidP="004854AB">
      <w:pPr>
        <w:jc w:val="both"/>
        <w:rPr>
          <w:rFonts w:ascii="Times New Roman" w:hAnsi="Times New Roman" w:cs="Times New Roman"/>
          <w:b/>
          <w:iCs/>
        </w:rPr>
      </w:pPr>
      <w:r w:rsidRPr="004854AB">
        <w:rPr>
          <w:rFonts w:ascii="Times New Roman" w:hAnsi="Times New Roman" w:cs="Times New Roman"/>
          <w:b/>
          <w:iCs/>
        </w:rPr>
        <w:t xml:space="preserve">Item Analysis </w:t>
      </w:r>
    </w:p>
    <w:p w14:paraId="7608BDF3" w14:textId="77777777" w:rsidR="004854AB" w:rsidRDefault="004854AB" w:rsidP="004854AB">
      <w:pPr>
        <w:jc w:val="both"/>
        <w:rPr>
          <w:rFonts w:ascii="Times New Roman" w:hAnsi="Times New Roman" w:cs="Times New Roman"/>
        </w:rPr>
      </w:pPr>
      <w:r>
        <w:rPr>
          <w:rFonts w:ascii="Times New Roman" w:hAnsi="Times New Roman" w:cs="Times New Roman"/>
        </w:rPr>
        <w:tab/>
      </w:r>
      <w:r w:rsidRPr="00744583">
        <w:rPr>
          <w:rFonts w:ascii="Times New Roman" w:hAnsi="Times New Roman" w:cs="Times New Roman"/>
        </w:rPr>
        <w:t>Table 3 presents the summary of the item analysis conducted on the PISA-based assessment instrument.</w:t>
      </w:r>
    </w:p>
    <w:p w14:paraId="486C1474" w14:textId="77777777" w:rsidR="004854AB" w:rsidRPr="004854AB" w:rsidRDefault="004854AB" w:rsidP="004854AB">
      <w:pPr>
        <w:pStyle w:val="NoSpacing"/>
        <w:spacing w:line="360" w:lineRule="auto"/>
        <w:rPr>
          <w:rFonts w:ascii="Times New Roman" w:hAnsi="Times New Roman" w:cs="Times New Roman"/>
          <w:b/>
          <w:sz w:val="24"/>
        </w:rPr>
      </w:pPr>
      <w:r w:rsidRPr="004854AB">
        <w:rPr>
          <w:rFonts w:ascii="Times New Roman" w:hAnsi="Times New Roman" w:cs="Times New Roman"/>
          <w:b/>
          <w:sz w:val="24"/>
        </w:rPr>
        <w:t>Table 3</w:t>
      </w:r>
    </w:p>
    <w:p w14:paraId="755985AC" w14:textId="77777777" w:rsidR="004854AB" w:rsidRPr="004854AB" w:rsidRDefault="004854AB" w:rsidP="004854AB">
      <w:pPr>
        <w:pStyle w:val="NoSpacing"/>
        <w:spacing w:line="360" w:lineRule="auto"/>
        <w:rPr>
          <w:rFonts w:ascii="Times New Roman" w:hAnsi="Times New Roman" w:cs="Times New Roman"/>
          <w:i/>
          <w:sz w:val="24"/>
        </w:rPr>
      </w:pPr>
      <w:r w:rsidRPr="004854AB">
        <w:rPr>
          <w:rFonts w:ascii="Times New Roman" w:hAnsi="Times New Roman" w:cs="Times New Roman"/>
          <w:i/>
          <w:sz w:val="24"/>
        </w:rPr>
        <w:t>Summary of Item Analysis</w:t>
      </w:r>
    </w:p>
    <w:tbl>
      <w:tblPr>
        <w:tblStyle w:val="TableGrid"/>
        <w:tblW w:w="93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2560"/>
        <w:gridCol w:w="2749"/>
      </w:tblGrid>
      <w:tr w:rsidR="004854AB" w:rsidRPr="004854AB" w14:paraId="4A108B71" w14:textId="77777777" w:rsidTr="00B3397B">
        <w:trPr>
          <w:trHeight w:val="195"/>
        </w:trPr>
        <w:tc>
          <w:tcPr>
            <w:tcW w:w="4013" w:type="dxa"/>
            <w:tcBorders>
              <w:top w:val="single" w:sz="4" w:space="0" w:color="auto"/>
              <w:bottom w:val="single" w:sz="4" w:space="0" w:color="auto"/>
            </w:tcBorders>
            <w:hideMark/>
          </w:tcPr>
          <w:p w14:paraId="066A0808" w14:textId="77777777" w:rsidR="004854AB" w:rsidRPr="004854AB" w:rsidRDefault="004854AB" w:rsidP="00C513D3">
            <w:pP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Category</w:t>
            </w:r>
          </w:p>
        </w:tc>
        <w:tc>
          <w:tcPr>
            <w:tcW w:w="2560" w:type="dxa"/>
            <w:tcBorders>
              <w:top w:val="single" w:sz="4" w:space="0" w:color="auto"/>
              <w:bottom w:val="single" w:sz="4" w:space="0" w:color="auto"/>
            </w:tcBorders>
            <w:hideMark/>
          </w:tcPr>
          <w:p w14:paraId="2CC2C7CA" w14:textId="77777777" w:rsidR="004854AB" w:rsidRPr="004854AB" w:rsidRDefault="004854AB" w:rsidP="00C513D3">
            <w:pPr>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Number of Items</w:t>
            </w:r>
          </w:p>
        </w:tc>
        <w:tc>
          <w:tcPr>
            <w:tcW w:w="2749" w:type="dxa"/>
            <w:tcBorders>
              <w:top w:val="single" w:sz="4" w:space="0" w:color="auto"/>
              <w:bottom w:val="single" w:sz="4" w:space="0" w:color="auto"/>
            </w:tcBorders>
            <w:hideMark/>
          </w:tcPr>
          <w:p w14:paraId="477762A7" w14:textId="77777777" w:rsidR="004854AB" w:rsidRPr="004854AB" w:rsidRDefault="004854AB" w:rsidP="00C513D3">
            <w:pPr>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Interpretation</w:t>
            </w:r>
          </w:p>
        </w:tc>
      </w:tr>
      <w:tr w:rsidR="004854AB" w:rsidRPr="004854AB" w14:paraId="5453A22B" w14:textId="77777777" w:rsidTr="00B3397B">
        <w:trPr>
          <w:trHeight w:val="208"/>
        </w:trPr>
        <w:tc>
          <w:tcPr>
            <w:tcW w:w="4013" w:type="dxa"/>
            <w:tcBorders>
              <w:top w:val="single" w:sz="4" w:space="0" w:color="auto"/>
            </w:tcBorders>
            <w:hideMark/>
          </w:tcPr>
          <w:p w14:paraId="77C241AB"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Good Discrimination</w:t>
            </w:r>
          </w:p>
        </w:tc>
        <w:tc>
          <w:tcPr>
            <w:tcW w:w="2560" w:type="dxa"/>
            <w:tcBorders>
              <w:top w:val="single" w:sz="4" w:space="0" w:color="auto"/>
            </w:tcBorders>
            <w:hideMark/>
          </w:tcPr>
          <w:p w14:paraId="725E323B"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20</w:t>
            </w:r>
          </w:p>
        </w:tc>
        <w:tc>
          <w:tcPr>
            <w:tcW w:w="2749" w:type="dxa"/>
            <w:tcBorders>
              <w:top w:val="single" w:sz="4" w:space="0" w:color="auto"/>
            </w:tcBorders>
            <w:hideMark/>
          </w:tcPr>
          <w:p w14:paraId="22B9FE0B"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Retained</w:t>
            </w:r>
          </w:p>
        </w:tc>
      </w:tr>
      <w:tr w:rsidR="004854AB" w:rsidRPr="004854AB" w14:paraId="100178C5" w14:textId="77777777" w:rsidTr="00B3397B">
        <w:trPr>
          <w:trHeight w:val="195"/>
        </w:trPr>
        <w:tc>
          <w:tcPr>
            <w:tcW w:w="4013" w:type="dxa"/>
            <w:hideMark/>
          </w:tcPr>
          <w:p w14:paraId="278131FA"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Fair Discrimination</w:t>
            </w:r>
          </w:p>
        </w:tc>
        <w:tc>
          <w:tcPr>
            <w:tcW w:w="2560" w:type="dxa"/>
            <w:hideMark/>
          </w:tcPr>
          <w:p w14:paraId="2266FBF2"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22</w:t>
            </w:r>
          </w:p>
        </w:tc>
        <w:tc>
          <w:tcPr>
            <w:tcW w:w="2749" w:type="dxa"/>
            <w:hideMark/>
          </w:tcPr>
          <w:p w14:paraId="63DC2843"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Requires Revision</w:t>
            </w:r>
          </w:p>
        </w:tc>
      </w:tr>
      <w:tr w:rsidR="004854AB" w:rsidRPr="004854AB" w14:paraId="0A51783F" w14:textId="77777777" w:rsidTr="00B3397B">
        <w:trPr>
          <w:trHeight w:val="195"/>
        </w:trPr>
        <w:tc>
          <w:tcPr>
            <w:tcW w:w="4013" w:type="dxa"/>
            <w:hideMark/>
          </w:tcPr>
          <w:p w14:paraId="2382DCA8"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No Discrimination</w:t>
            </w:r>
          </w:p>
        </w:tc>
        <w:tc>
          <w:tcPr>
            <w:tcW w:w="2560" w:type="dxa"/>
            <w:hideMark/>
          </w:tcPr>
          <w:p w14:paraId="6E57F09F"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8</w:t>
            </w:r>
          </w:p>
        </w:tc>
        <w:tc>
          <w:tcPr>
            <w:tcW w:w="2749" w:type="dxa"/>
            <w:hideMark/>
          </w:tcPr>
          <w:p w14:paraId="3EB6EA90"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Rejected</w:t>
            </w:r>
          </w:p>
        </w:tc>
      </w:tr>
      <w:tr w:rsidR="004854AB" w:rsidRPr="004854AB" w14:paraId="5D2E4B42" w14:textId="77777777" w:rsidTr="00B3397B">
        <w:trPr>
          <w:trHeight w:val="195"/>
        </w:trPr>
        <w:tc>
          <w:tcPr>
            <w:tcW w:w="4013" w:type="dxa"/>
            <w:hideMark/>
          </w:tcPr>
          <w:p w14:paraId="727ECBDF"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Difficulty Level (Average)</w:t>
            </w:r>
          </w:p>
        </w:tc>
        <w:tc>
          <w:tcPr>
            <w:tcW w:w="2560" w:type="dxa"/>
            <w:hideMark/>
          </w:tcPr>
          <w:p w14:paraId="056012B1"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Majority</w:t>
            </w:r>
          </w:p>
        </w:tc>
        <w:tc>
          <w:tcPr>
            <w:tcW w:w="2749" w:type="dxa"/>
            <w:hideMark/>
          </w:tcPr>
          <w:p w14:paraId="51B9BA56"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Suitable for diagnostic testing</w:t>
            </w:r>
          </w:p>
        </w:tc>
      </w:tr>
    </w:tbl>
    <w:p w14:paraId="540A10E5" w14:textId="77777777" w:rsidR="004854AB" w:rsidRPr="005D0223" w:rsidRDefault="004854AB" w:rsidP="004854AB">
      <w:pPr>
        <w:jc w:val="both"/>
        <w:rPr>
          <w:rFonts w:ascii="Times New Roman" w:hAnsi="Times New Roman" w:cs="Times New Roman"/>
        </w:rPr>
      </w:pPr>
      <w:r>
        <w:rPr>
          <w:rFonts w:ascii="Times New Roman" w:hAnsi="Times New Roman" w:cs="Times New Roman"/>
        </w:rPr>
        <w:br/>
      </w:r>
      <w:r>
        <w:rPr>
          <w:rFonts w:ascii="Times New Roman" w:hAnsi="Times New Roman" w:cs="Times New Roman"/>
        </w:rPr>
        <w:tab/>
      </w:r>
      <w:r w:rsidRPr="005D0223">
        <w:rPr>
          <w:rFonts w:ascii="Times New Roman" w:hAnsi="Times New Roman" w:cs="Times New Roman"/>
        </w:rPr>
        <w:t xml:space="preserve">The item analysis results in Table 3 indicate that the majority of the test items fall within the average difficulty level, making them suitable for diagnostic assessment. Out of the 50 items, 20 demonstrated good discrimination and were retained, while 22 showed fair discrimination and require revision to improve clarity, alignment, or distractor effectiveness. However, 8 items exhibited no discrimination and were rejected because they failed to distinguish between high- and low-performing learners. These findings suggest that the instrument has a strong foundation for </w:t>
      </w:r>
      <w:r w:rsidRPr="005D0223">
        <w:rPr>
          <w:rFonts w:ascii="Times New Roman" w:hAnsi="Times New Roman" w:cs="Times New Roman"/>
        </w:rPr>
        <w:lastRenderedPageBreak/>
        <w:t>assessing scientific literacy and conceptual understanding, although refinement is still necessary to improve its overall quality and diagnostic accuracy.</w:t>
      </w:r>
    </w:p>
    <w:p w14:paraId="21370CF1" w14:textId="77777777" w:rsidR="004854AB" w:rsidRPr="000A04C7" w:rsidRDefault="004854AB" w:rsidP="004854AB">
      <w:pPr>
        <w:jc w:val="both"/>
        <w:rPr>
          <w:rFonts w:ascii="Times New Roman" w:hAnsi="Times New Roman" w:cs="Times New Roman"/>
        </w:rPr>
      </w:pPr>
      <w:r>
        <w:rPr>
          <w:rFonts w:ascii="Times New Roman" w:hAnsi="Times New Roman" w:cs="Times New Roman"/>
        </w:rPr>
        <w:tab/>
      </w:r>
      <w:r w:rsidRPr="005D0223">
        <w:rPr>
          <w:rFonts w:ascii="Times New Roman" w:hAnsi="Times New Roman" w:cs="Times New Roman"/>
        </w:rPr>
        <w:t>The results emphasize the importance of item analysis in developing reliable and valid assessment tools. Retaining well-performing items, revising moderately functioning ones, and removing weak items help ensure that the instrument accurately identifies learners’ strengths and learning gaps. Recent studies support this process, highlighting that appropriate difficulty and strong discrimination indices are essential for effective educational assessment and scientific literacy evaluation (</w:t>
      </w:r>
      <w:proofErr w:type="spellStart"/>
      <w:r w:rsidRPr="005D0223">
        <w:rPr>
          <w:rFonts w:ascii="Times New Roman" w:hAnsi="Times New Roman" w:cs="Times New Roman"/>
        </w:rPr>
        <w:t>Irwanto</w:t>
      </w:r>
      <w:proofErr w:type="spellEnd"/>
      <w:r w:rsidRPr="005D0223">
        <w:rPr>
          <w:rFonts w:ascii="Times New Roman" w:hAnsi="Times New Roman" w:cs="Times New Roman"/>
        </w:rPr>
        <w:t xml:space="preserve"> et al., 2019; </w:t>
      </w:r>
      <w:proofErr w:type="spellStart"/>
      <w:r w:rsidRPr="005D0223">
        <w:rPr>
          <w:rFonts w:ascii="Times New Roman" w:hAnsi="Times New Roman" w:cs="Times New Roman"/>
        </w:rPr>
        <w:t>Setiawan</w:t>
      </w:r>
      <w:proofErr w:type="spellEnd"/>
      <w:r w:rsidRPr="005D0223">
        <w:rPr>
          <w:rFonts w:ascii="Times New Roman" w:hAnsi="Times New Roman" w:cs="Times New Roman"/>
        </w:rPr>
        <w:t xml:space="preserve"> et al., 2020; </w:t>
      </w:r>
      <w:proofErr w:type="spellStart"/>
      <w:r w:rsidRPr="005D0223">
        <w:rPr>
          <w:rFonts w:ascii="Times New Roman" w:hAnsi="Times New Roman" w:cs="Times New Roman"/>
        </w:rPr>
        <w:t>García-Ceberino</w:t>
      </w:r>
      <w:proofErr w:type="spellEnd"/>
      <w:r w:rsidRPr="005D0223">
        <w:rPr>
          <w:rFonts w:ascii="Times New Roman" w:hAnsi="Times New Roman" w:cs="Times New Roman"/>
        </w:rPr>
        <w:t xml:space="preserve"> et al., 2020).</w:t>
      </w:r>
    </w:p>
    <w:p w14:paraId="57F834AB" w14:textId="77777777" w:rsidR="004854AB" w:rsidRDefault="004854AB" w:rsidP="004854AB">
      <w:pPr>
        <w:jc w:val="both"/>
        <w:rPr>
          <w:rFonts w:ascii="Times New Roman" w:hAnsi="Times New Roman" w:cs="Times New Roman"/>
          <w:b/>
          <w:i/>
        </w:rPr>
      </w:pPr>
    </w:p>
    <w:p w14:paraId="68096A05" w14:textId="77777777" w:rsidR="004854AB" w:rsidRDefault="004854AB" w:rsidP="004854AB">
      <w:pPr>
        <w:jc w:val="both"/>
        <w:rPr>
          <w:rFonts w:ascii="Times New Roman" w:hAnsi="Times New Roman" w:cs="Times New Roman"/>
          <w:b/>
          <w:i/>
        </w:rPr>
      </w:pPr>
      <w:r>
        <w:rPr>
          <w:rFonts w:ascii="Times New Roman" w:hAnsi="Times New Roman" w:cs="Times New Roman"/>
          <w:b/>
          <w:i/>
        </w:rPr>
        <w:t xml:space="preserve">Least Mastered Competencies </w:t>
      </w:r>
    </w:p>
    <w:p w14:paraId="4C354338" w14:textId="77777777" w:rsidR="004854AB" w:rsidRPr="005D0223" w:rsidRDefault="004854AB" w:rsidP="004854AB">
      <w:pPr>
        <w:jc w:val="both"/>
        <w:rPr>
          <w:rFonts w:ascii="Times New Roman" w:hAnsi="Times New Roman" w:cs="Times New Roman"/>
        </w:rPr>
      </w:pPr>
      <w:r>
        <w:rPr>
          <w:rFonts w:ascii="Times New Roman" w:hAnsi="Times New Roman" w:cs="Times New Roman"/>
        </w:rPr>
        <w:tab/>
      </w:r>
      <w:r w:rsidRPr="005D0223">
        <w:rPr>
          <w:rFonts w:ascii="Times New Roman" w:hAnsi="Times New Roman" w:cs="Times New Roman"/>
        </w:rPr>
        <w:t>Table 4 presents the learners’ performance across major General Chemistry competencies.</w:t>
      </w:r>
    </w:p>
    <w:p w14:paraId="3260896C" w14:textId="77777777" w:rsidR="004854AB" w:rsidRPr="004854AB" w:rsidRDefault="00B3397B" w:rsidP="004854AB">
      <w:pPr>
        <w:pStyle w:val="NoSpacing"/>
        <w:spacing w:line="360" w:lineRule="auto"/>
        <w:rPr>
          <w:rFonts w:ascii="Times New Roman" w:hAnsi="Times New Roman" w:cs="Times New Roman"/>
          <w:b/>
          <w:sz w:val="24"/>
        </w:rPr>
      </w:pPr>
      <w:r>
        <w:rPr>
          <w:rFonts w:ascii="Times New Roman" w:hAnsi="Times New Roman" w:cs="Times New Roman"/>
          <w:b/>
          <w:sz w:val="24"/>
        </w:rPr>
        <w:t>Table 4</w:t>
      </w:r>
    </w:p>
    <w:p w14:paraId="3C84B20D" w14:textId="77777777" w:rsidR="004854AB" w:rsidRPr="004854AB" w:rsidRDefault="004854AB" w:rsidP="004854AB">
      <w:pPr>
        <w:pStyle w:val="NoSpacing"/>
        <w:spacing w:line="360" w:lineRule="auto"/>
        <w:rPr>
          <w:rFonts w:ascii="Times New Roman" w:hAnsi="Times New Roman" w:cs="Times New Roman"/>
          <w:i/>
          <w:sz w:val="24"/>
        </w:rPr>
      </w:pPr>
      <w:r w:rsidRPr="004854AB">
        <w:rPr>
          <w:rFonts w:ascii="Times New Roman" w:hAnsi="Times New Roman" w:cs="Times New Roman"/>
          <w:i/>
          <w:sz w:val="24"/>
        </w:rPr>
        <w:t xml:space="preserve">Least Mastered Competencies </w:t>
      </w:r>
    </w:p>
    <w:tbl>
      <w:tblPr>
        <w:tblStyle w:val="TableGrid"/>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261"/>
        <w:gridCol w:w="2851"/>
      </w:tblGrid>
      <w:tr w:rsidR="004854AB" w:rsidRPr="004854AB" w14:paraId="5C8F8D34" w14:textId="77777777" w:rsidTr="004854AB">
        <w:trPr>
          <w:trHeight w:val="182"/>
        </w:trPr>
        <w:tc>
          <w:tcPr>
            <w:tcW w:w="4281" w:type="dxa"/>
            <w:tcBorders>
              <w:top w:val="single" w:sz="4" w:space="0" w:color="auto"/>
              <w:bottom w:val="single" w:sz="4" w:space="0" w:color="auto"/>
            </w:tcBorders>
            <w:hideMark/>
          </w:tcPr>
          <w:p w14:paraId="49AF70F1" w14:textId="77777777" w:rsidR="004854AB" w:rsidRPr="004854AB" w:rsidRDefault="004854AB" w:rsidP="00C513D3">
            <w:pPr>
              <w:jc w:val="center"/>
              <w:rPr>
                <w:rFonts w:ascii="Times New Roman" w:eastAsia="Times New Roman" w:hAnsi="Times New Roman" w:cs="Times New Roman"/>
                <w:b/>
                <w:bCs/>
                <w:lang w:eastAsia="en-PH"/>
              </w:rPr>
            </w:pPr>
            <w:bookmarkStart w:id="1" w:name="_Hlk229060620"/>
            <w:r w:rsidRPr="004854AB">
              <w:rPr>
                <w:rFonts w:ascii="Times New Roman" w:eastAsia="Times New Roman" w:hAnsi="Times New Roman" w:cs="Times New Roman"/>
                <w:b/>
                <w:bCs/>
                <w:lang w:eastAsia="en-PH"/>
              </w:rPr>
              <w:t>Learning Competency</w:t>
            </w:r>
          </w:p>
        </w:tc>
        <w:tc>
          <w:tcPr>
            <w:tcW w:w="2261" w:type="dxa"/>
            <w:tcBorders>
              <w:top w:val="single" w:sz="4" w:space="0" w:color="auto"/>
              <w:bottom w:val="single" w:sz="4" w:space="0" w:color="auto"/>
            </w:tcBorders>
            <w:hideMark/>
          </w:tcPr>
          <w:p w14:paraId="6A8CADAE" w14:textId="77777777" w:rsidR="004854AB" w:rsidRPr="004854AB" w:rsidRDefault="004854AB" w:rsidP="00C513D3">
            <w:pPr>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 Correct</w:t>
            </w:r>
          </w:p>
        </w:tc>
        <w:tc>
          <w:tcPr>
            <w:tcW w:w="2851" w:type="dxa"/>
            <w:tcBorders>
              <w:top w:val="single" w:sz="4" w:space="0" w:color="auto"/>
              <w:bottom w:val="single" w:sz="4" w:space="0" w:color="auto"/>
            </w:tcBorders>
            <w:hideMark/>
          </w:tcPr>
          <w:p w14:paraId="31EFEE23" w14:textId="77777777" w:rsidR="004854AB" w:rsidRPr="004854AB" w:rsidRDefault="004854AB" w:rsidP="00C513D3">
            <w:pPr>
              <w:jc w:val="center"/>
              <w:rPr>
                <w:rFonts w:ascii="Times New Roman" w:eastAsia="Times New Roman" w:hAnsi="Times New Roman" w:cs="Times New Roman"/>
                <w:b/>
                <w:bCs/>
                <w:lang w:eastAsia="en-PH"/>
              </w:rPr>
            </w:pPr>
            <w:r w:rsidRPr="004854AB">
              <w:rPr>
                <w:rFonts w:ascii="Times New Roman" w:eastAsia="Times New Roman" w:hAnsi="Times New Roman" w:cs="Times New Roman"/>
                <w:b/>
                <w:bCs/>
                <w:lang w:eastAsia="en-PH"/>
              </w:rPr>
              <w:t>Mastery Level</w:t>
            </w:r>
          </w:p>
        </w:tc>
      </w:tr>
      <w:tr w:rsidR="004854AB" w:rsidRPr="004854AB" w14:paraId="6553ADFC" w14:textId="77777777" w:rsidTr="004854AB">
        <w:trPr>
          <w:trHeight w:val="197"/>
        </w:trPr>
        <w:tc>
          <w:tcPr>
            <w:tcW w:w="4281" w:type="dxa"/>
            <w:tcBorders>
              <w:top w:val="single" w:sz="4" w:space="0" w:color="auto"/>
            </w:tcBorders>
            <w:hideMark/>
          </w:tcPr>
          <w:p w14:paraId="0A28F197"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Matter and Its Properties</w:t>
            </w:r>
          </w:p>
        </w:tc>
        <w:tc>
          <w:tcPr>
            <w:tcW w:w="2261" w:type="dxa"/>
            <w:tcBorders>
              <w:top w:val="single" w:sz="4" w:space="0" w:color="auto"/>
            </w:tcBorders>
            <w:vAlign w:val="center"/>
            <w:hideMark/>
          </w:tcPr>
          <w:p w14:paraId="5FC8DE55"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43%</w:t>
            </w:r>
          </w:p>
        </w:tc>
        <w:tc>
          <w:tcPr>
            <w:tcW w:w="2851" w:type="dxa"/>
            <w:tcBorders>
              <w:top w:val="single" w:sz="4" w:space="0" w:color="auto"/>
            </w:tcBorders>
            <w:vAlign w:val="center"/>
            <w:hideMark/>
          </w:tcPr>
          <w:p w14:paraId="380650B9"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4F71135E" w14:textId="77777777" w:rsidTr="004854AB">
        <w:trPr>
          <w:trHeight w:val="182"/>
        </w:trPr>
        <w:tc>
          <w:tcPr>
            <w:tcW w:w="4281" w:type="dxa"/>
            <w:hideMark/>
          </w:tcPr>
          <w:p w14:paraId="56468226"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Atomic Structure &amp; Periodic Table</w:t>
            </w:r>
          </w:p>
        </w:tc>
        <w:tc>
          <w:tcPr>
            <w:tcW w:w="2261" w:type="dxa"/>
            <w:vAlign w:val="center"/>
            <w:hideMark/>
          </w:tcPr>
          <w:p w14:paraId="69FBD155"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52%</w:t>
            </w:r>
          </w:p>
        </w:tc>
        <w:tc>
          <w:tcPr>
            <w:tcW w:w="2851" w:type="dxa"/>
            <w:vAlign w:val="center"/>
            <w:hideMark/>
          </w:tcPr>
          <w:p w14:paraId="7C9A886F"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44A9CDBB" w14:textId="77777777" w:rsidTr="004854AB">
        <w:trPr>
          <w:trHeight w:val="182"/>
        </w:trPr>
        <w:tc>
          <w:tcPr>
            <w:tcW w:w="4281" w:type="dxa"/>
            <w:hideMark/>
          </w:tcPr>
          <w:p w14:paraId="4000DF88"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Chemical Bonding</w:t>
            </w:r>
          </w:p>
        </w:tc>
        <w:tc>
          <w:tcPr>
            <w:tcW w:w="2261" w:type="dxa"/>
            <w:vAlign w:val="center"/>
            <w:hideMark/>
          </w:tcPr>
          <w:p w14:paraId="7C8C2AD6"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57%</w:t>
            </w:r>
          </w:p>
        </w:tc>
        <w:tc>
          <w:tcPr>
            <w:tcW w:w="2851" w:type="dxa"/>
            <w:vAlign w:val="center"/>
            <w:hideMark/>
          </w:tcPr>
          <w:p w14:paraId="28544A0E"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5375BBC3" w14:textId="77777777" w:rsidTr="004854AB">
        <w:trPr>
          <w:trHeight w:val="182"/>
        </w:trPr>
        <w:tc>
          <w:tcPr>
            <w:tcW w:w="4281" w:type="dxa"/>
            <w:hideMark/>
          </w:tcPr>
          <w:p w14:paraId="4146662F"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Chemical Reactions</w:t>
            </w:r>
          </w:p>
        </w:tc>
        <w:tc>
          <w:tcPr>
            <w:tcW w:w="2261" w:type="dxa"/>
            <w:vAlign w:val="center"/>
            <w:hideMark/>
          </w:tcPr>
          <w:p w14:paraId="44CAFE74"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47%</w:t>
            </w:r>
          </w:p>
        </w:tc>
        <w:tc>
          <w:tcPr>
            <w:tcW w:w="2851" w:type="dxa"/>
            <w:vAlign w:val="center"/>
            <w:hideMark/>
          </w:tcPr>
          <w:p w14:paraId="3A9078C4"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7F1078E1" w14:textId="77777777" w:rsidTr="004854AB">
        <w:trPr>
          <w:trHeight w:val="197"/>
        </w:trPr>
        <w:tc>
          <w:tcPr>
            <w:tcW w:w="4281" w:type="dxa"/>
            <w:hideMark/>
          </w:tcPr>
          <w:p w14:paraId="66B10965"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Gas Laws</w:t>
            </w:r>
          </w:p>
        </w:tc>
        <w:tc>
          <w:tcPr>
            <w:tcW w:w="2261" w:type="dxa"/>
            <w:vAlign w:val="center"/>
            <w:hideMark/>
          </w:tcPr>
          <w:p w14:paraId="30C25490"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28%</w:t>
            </w:r>
          </w:p>
        </w:tc>
        <w:tc>
          <w:tcPr>
            <w:tcW w:w="2851" w:type="dxa"/>
            <w:vAlign w:val="center"/>
            <w:hideMark/>
          </w:tcPr>
          <w:p w14:paraId="2A32EF3B"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2AD5698B" w14:textId="77777777" w:rsidTr="004854AB">
        <w:trPr>
          <w:trHeight w:val="182"/>
        </w:trPr>
        <w:tc>
          <w:tcPr>
            <w:tcW w:w="4281" w:type="dxa"/>
            <w:hideMark/>
          </w:tcPr>
          <w:p w14:paraId="35FA56C3"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Solutions, Acids, and Bases</w:t>
            </w:r>
          </w:p>
        </w:tc>
        <w:tc>
          <w:tcPr>
            <w:tcW w:w="2261" w:type="dxa"/>
            <w:vAlign w:val="center"/>
            <w:hideMark/>
          </w:tcPr>
          <w:p w14:paraId="5FDF369A"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55%</w:t>
            </w:r>
          </w:p>
        </w:tc>
        <w:tc>
          <w:tcPr>
            <w:tcW w:w="2851" w:type="dxa"/>
            <w:vAlign w:val="center"/>
            <w:hideMark/>
          </w:tcPr>
          <w:p w14:paraId="113EA1E4"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3C6013A3" w14:textId="77777777" w:rsidTr="004854AB">
        <w:trPr>
          <w:trHeight w:val="182"/>
        </w:trPr>
        <w:tc>
          <w:tcPr>
            <w:tcW w:w="4281" w:type="dxa"/>
            <w:hideMark/>
          </w:tcPr>
          <w:p w14:paraId="583EB86F"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Thermochemistry and Kinetics</w:t>
            </w:r>
          </w:p>
        </w:tc>
        <w:tc>
          <w:tcPr>
            <w:tcW w:w="2261" w:type="dxa"/>
            <w:vAlign w:val="center"/>
            <w:hideMark/>
          </w:tcPr>
          <w:p w14:paraId="79366A57"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48%</w:t>
            </w:r>
          </w:p>
        </w:tc>
        <w:tc>
          <w:tcPr>
            <w:tcW w:w="2851" w:type="dxa"/>
            <w:vAlign w:val="center"/>
            <w:hideMark/>
          </w:tcPr>
          <w:p w14:paraId="379A7AA6"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35953CCF" w14:textId="77777777" w:rsidTr="004854AB">
        <w:trPr>
          <w:trHeight w:val="197"/>
        </w:trPr>
        <w:tc>
          <w:tcPr>
            <w:tcW w:w="4281" w:type="dxa"/>
            <w:hideMark/>
          </w:tcPr>
          <w:p w14:paraId="4CDE2C2E"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Nuclear Chemistry</w:t>
            </w:r>
          </w:p>
        </w:tc>
        <w:tc>
          <w:tcPr>
            <w:tcW w:w="2261" w:type="dxa"/>
            <w:vAlign w:val="center"/>
            <w:hideMark/>
          </w:tcPr>
          <w:p w14:paraId="0251C3FF"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45%</w:t>
            </w:r>
          </w:p>
        </w:tc>
        <w:tc>
          <w:tcPr>
            <w:tcW w:w="2851" w:type="dxa"/>
            <w:vAlign w:val="center"/>
            <w:hideMark/>
          </w:tcPr>
          <w:p w14:paraId="15D8B49A"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1D5C91CE" w14:textId="77777777" w:rsidTr="004854AB">
        <w:trPr>
          <w:trHeight w:val="182"/>
        </w:trPr>
        <w:tc>
          <w:tcPr>
            <w:tcW w:w="4281" w:type="dxa"/>
            <w:hideMark/>
          </w:tcPr>
          <w:p w14:paraId="394A98E8"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Organic Chemistry &amp; Biochemistry</w:t>
            </w:r>
          </w:p>
        </w:tc>
        <w:tc>
          <w:tcPr>
            <w:tcW w:w="2261" w:type="dxa"/>
            <w:vAlign w:val="center"/>
            <w:hideMark/>
          </w:tcPr>
          <w:p w14:paraId="7DD8CF99"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44%</w:t>
            </w:r>
          </w:p>
        </w:tc>
        <w:tc>
          <w:tcPr>
            <w:tcW w:w="2851" w:type="dxa"/>
            <w:vAlign w:val="center"/>
            <w:hideMark/>
          </w:tcPr>
          <w:p w14:paraId="01A12030"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r w:rsidR="004854AB" w:rsidRPr="004854AB" w14:paraId="67E0406A" w14:textId="77777777" w:rsidTr="004854AB">
        <w:trPr>
          <w:trHeight w:val="182"/>
        </w:trPr>
        <w:tc>
          <w:tcPr>
            <w:tcW w:w="4281" w:type="dxa"/>
            <w:tcBorders>
              <w:bottom w:val="single" w:sz="4" w:space="0" w:color="auto"/>
            </w:tcBorders>
            <w:hideMark/>
          </w:tcPr>
          <w:p w14:paraId="03524071" w14:textId="77777777" w:rsidR="004854AB" w:rsidRPr="004854AB" w:rsidRDefault="004854AB" w:rsidP="00C513D3">
            <w:pP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Chemistry in Everyday Life</w:t>
            </w:r>
          </w:p>
        </w:tc>
        <w:tc>
          <w:tcPr>
            <w:tcW w:w="2261" w:type="dxa"/>
            <w:tcBorders>
              <w:bottom w:val="single" w:sz="4" w:space="0" w:color="auto"/>
            </w:tcBorders>
            <w:vAlign w:val="center"/>
            <w:hideMark/>
          </w:tcPr>
          <w:p w14:paraId="057EDB4D"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44%</w:t>
            </w:r>
          </w:p>
        </w:tc>
        <w:tc>
          <w:tcPr>
            <w:tcW w:w="2851" w:type="dxa"/>
            <w:tcBorders>
              <w:bottom w:val="single" w:sz="4" w:space="0" w:color="auto"/>
            </w:tcBorders>
            <w:vAlign w:val="center"/>
            <w:hideMark/>
          </w:tcPr>
          <w:p w14:paraId="6EAFC332" w14:textId="77777777" w:rsidR="004854AB" w:rsidRPr="004854AB" w:rsidRDefault="004854AB" w:rsidP="00C513D3">
            <w:pPr>
              <w:jc w:val="center"/>
              <w:rPr>
                <w:rFonts w:ascii="Times New Roman" w:eastAsia="Times New Roman" w:hAnsi="Times New Roman" w:cs="Times New Roman"/>
                <w:lang w:eastAsia="en-PH"/>
              </w:rPr>
            </w:pPr>
            <w:r w:rsidRPr="004854AB">
              <w:rPr>
                <w:rFonts w:ascii="Times New Roman" w:eastAsia="Times New Roman" w:hAnsi="Times New Roman" w:cs="Times New Roman"/>
                <w:lang w:eastAsia="en-PH"/>
              </w:rPr>
              <w:t>Least Mastered</w:t>
            </w:r>
          </w:p>
        </w:tc>
      </w:tr>
    </w:tbl>
    <w:bookmarkEnd w:id="1"/>
    <w:p w14:paraId="211400FF" w14:textId="77777777" w:rsidR="004854AB" w:rsidRPr="005D0223" w:rsidRDefault="004854AB" w:rsidP="004854AB">
      <w:pPr>
        <w:jc w:val="both"/>
        <w:rPr>
          <w:rFonts w:ascii="Times New Roman" w:hAnsi="Times New Roman" w:cs="Times New Roman"/>
        </w:rPr>
      </w:pPr>
      <w:r>
        <w:rPr>
          <w:rFonts w:ascii="Times New Roman" w:hAnsi="Times New Roman" w:cs="Times New Roman"/>
        </w:rPr>
        <w:br/>
      </w:r>
      <w:r>
        <w:rPr>
          <w:rFonts w:ascii="Times New Roman" w:hAnsi="Times New Roman" w:cs="Times New Roman"/>
        </w:rPr>
        <w:tab/>
      </w:r>
      <w:r w:rsidRPr="005D0223">
        <w:rPr>
          <w:rFonts w:ascii="Times New Roman" w:hAnsi="Times New Roman" w:cs="Times New Roman"/>
        </w:rPr>
        <w:t>The results presented in Table 4 reveal that learners demonstrated low mastery across all ten core competencies in General Chemistry, with percentage scores ranging from 28% to 57%, all classified under the “Least Mastered” level. None of the competencies reached the “Nearly Mastered” threshold, indicating widespread conceptual difficulties among learners. Among the topics, Gas Laws (28%) showed the lowest performance, suggesting that learners struggle with mathematical relationships and particle behavior concepts. Foundational topics such as Atomic Structure and the Periodic Table (52%) and Chemical Bonding (57%) also reflected low mastery, indicating difficulties in understanding abstract chemistry concepts. Likewise, the low score in Chemistry in Everyday Life (44%) suggests that learners have difficulty applying theoretical knowledge to real-world situations, highlighting weaknesses in scientific literacy.</w:t>
      </w:r>
    </w:p>
    <w:p w14:paraId="1776EBFD" w14:textId="77777777" w:rsidR="004854AB" w:rsidRPr="005D0223" w:rsidRDefault="004854AB" w:rsidP="004854AB">
      <w:pPr>
        <w:jc w:val="both"/>
        <w:rPr>
          <w:rFonts w:ascii="Times New Roman" w:hAnsi="Times New Roman" w:cs="Times New Roman"/>
        </w:rPr>
      </w:pPr>
      <w:r>
        <w:rPr>
          <w:rFonts w:ascii="Times New Roman" w:hAnsi="Times New Roman" w:cs="Times New Roman"/>
        </w:rPr>
        <w:lastRenderedPageBreak/>
        <w:tab/>
      </w:r>
      <w:r w:rsidRPr="005D0223">
        <w:rPr>
          <w:rFonts w:ascii="Times New Roman" w:hAnsi="Times New Roman" w:cs="Times New Roman"/>
        </w:rPr>
        <w:t>These findings imply that learners possess fragmented understanding and rely more on memorization than meaningful conceptual learning. Difficulties in abstract and mathematically intensive topics indicate weaknesses in both conceptual reasoning and quantitative skills. The results also suggest that chemistry instruction may not be sufficiently contextualized or inquiry-based, limiting learners’ engagement and understanding.</w:t>
      </w:r>
      <w:r w:rsidRPr="005D0223">
        <w:t xml:space="preserve"> </w:t>
      </w:r>
      <w:r w:rsidRPr="005D0223">
        <w:rPr>
          <w:rFonts w:ascii="Times New Roman" w:hAnsi="Times New Roman" w:cs="Times New Roman"/>
        </w:rPr>
        <w:t>Therefore, there is a need for improved instructional strategies such as inquiry-based learning, model-based teaching, and contextualized approaches to strengthen conceptual understanding and scientific literacy.</w:t>
      </w:r>
    </w:p>
    <w:p w14:paraId="484808F9" w14:textId="77777777" w:rsidR="004854AB" w:rsidRPr="005D0223" w:rsidRDefault="004854AB" w:rsidP="004854AB">
      <w:pPr>
        <w:jc w:val="both"/>
        <w:rPr>
          <w:rFonts w:ascii="Times New Roman" w:hAnsi="Times New Roman" w:cs="Times New Roman"/>
        </w:rPr>
      </w:pPr>
      <w:r>
        <w:rPr>
          <w:rFonts w:ascii="Times New Roman" w:hAnsi="Times New Roman" w:cs="Times New Roman"/>
        </w:rPr>
        <w:tab/>
      </w:r>
      <w:r w:rsidRPr="005D0223">
        <w:rPr>
          <w:rFonts w:ascii="Times New Roman" w:hAnsi="Times New Roman" w:cs="Times New Roman"/>
        </w:rPr>
        <w:t xml:space="preserve">The findings are supported by recent studies emphasizing persistent learning gaps in chemistry education. Poblete et al. (2025) and Sayre et al. (2025) reported that Senior High School learners often demonstrate low mastery in chemistry competencies due to difficulties in abstract reasoning and problem-solving. Similarly, </w:t>
      </w:r>
      <w:proofErr w:type="spellStart"/>
      <w:r w:rsidRPr="005D0223">
        <w:rPr>
          <w:rFonts w:ascii="Times New Roman" w:hAnsi="Times New Roman" w:cs="Times New Roman"/>
        </w:rPr>
        <w:t>Khmel</w:t>
      </w:r>
      <w:proofErr w:type="spellEnd"/>
      <w:r w:rsidRPr="005D0223">
        <w:rPr>
          <w:rFonts w:ascii="Times New Roman" w:hAnsi="Times New Roman" w:cs="Times New Roman"/>
        </w:rPr>
        <w:t xml:space="preserve"> and </w:t>
      </w:r>
      <w:proofErr w:type="spellStart"/>
      <w:r w:rsidRPr="005D0223">
        <w:rPr>
          <w:rFonts w:ascii="Times New Roman" w:hAnsi="Times New Roman" w:cs="Times New Roman"/>
        </w:rPr>
        <w:t>Shpyrka</w:t>
      </w:r>
      <w:proofErr w:type="spellEnd"/>
      <w:r w:rsidRPr="005D0223">
        <w:rPr>
          <w:rFonts w:ascii="Times New Roman" w:hAnsi="Times New Roman" w:cs="Times New Roman"/>
        </w:rPr>
        <w:t xml:space="preserve"> (2025) explained that the abstract nature of chemistry and its symbolic representations contribute to poor conceptual understanding. </w:t>
      </w:r>
      <w:r>
        <w:rPr>
          <w:rFonts w:ascii="Times New Roman" w:hAnsi="Times New Roman" w:cs="Times New Roman"/>
        </w:rPr>
        <w:tab/>
      </w:r>
      <w:r w:rsidRPr="005D0223">
        <w:rPr>
          <w:rFonts w:ascii="Times New Roman" w:hAnsi="Times New Roman" w:cs="Times New Roman"/>
        </w:rPr>
        <w:t xml:space="preserve">Furthermore, the </w:t>
      </w:r>
      <w:proofErr w:type="spellStart"/>
      <w:r w:rsidRPr="005D0223">
        <w:rPr>
          <w:rFonts w:ascii="Times New Roman" w:hAnsi="Times New Roman" w:cs="Times New Roman"/>
        </w:rPr>
        <w:t>Organisation</w:t>
      </w:r>
      <w:proofErr w:type="spellEnd"/>
      <w:r w:rsidRPr="005D0223">
        <w:rPr>
          <w:rFonts w:ascii="Times New Roman" w:hAnsi="Times New Roman" w:cs="Times New Roman"/>
        </w:rPr>
        <w:t xml:space="preserve"> for Economic Co-operation and Development PISA framework (2019, 2023) emphasizes that scientific literacy requires learners to apply knowledge and explain phenomena in real-world contexts. Studies by </w:t>
      </w:r>
      <w:proofErr w:type="spellStart"/>
      <w:r w:rsidRPr="005D0223">
        <w:rPr>
          <w:rFonts w:ascii="Times New Roman" w:hAnsi="Times New Roman" w:cs="Times New Roman"/>
        </w:rPr>
        <w:t>Andaresta</w:t>
      </w:r>
      <w:proofErr w:type="spellEnd"/>
      <w:r w:rsidRPr="005D0223">
        <w:rPr>
          <w:rFonts w:ascii="Times New Roman" w:hAnsi="Times New Roman" w:cs="Times New Roman"/>
        </w:rPr>
        <w:t xml:space="preserve"> et al. (2023) and </w:t>
      </w:r>
      <w:proofErr w:type="spellStart"/>
      <w:r w:rsidRPr="005D0223">
        <w:rPr>
          <w:rFonts w:ascii="Times New Roman" w:hAnsi="Times New Roman" w:cs="Times New Roman"/>
        </w:rPr>
        <w:t>Hadiastriani</w:t>
      </w:r>
      <w:proofErr w:type="spellEnd"/>
      <w:r w:rsidRPr="005D0223">
        <w:rPr>
          <w:rFonts w:ascii="Times New Roman" w:hAnsi="Times New Roman" w:cs="Times New Roman"/>
        </w:rPr>
        <w:t xml:space="preserve"> and </w:t>
      </w:r>
      <w:proofErr w:type="spellStart"/>
      <w:r w:rsidRPr="005D0223">
        <w:rPr>
          <w:rFonts w:ascii="Times New Roman" w:hAnsi="Times New Roman" w:cs="Times New Roman"/>
        </w:rPr>
        <w:t>Prasetyorini</w:t>
      </w:r>
      <w:proofErr w:type="spellEnd"/>
      <w:r w:rsidRPr="005D0223">
        <w:rPr>
          <w:rFonts w:ascii="Times New Roman" w:hAnsi="Times New Roman" w:cs="Times New Roman"/>
        </w:rPr>
        <w:t xml:space="preserve"> (2024) further support that scientific literacy-based assessments effectively identify conceptual gaps and guide instructional improvement.</w:t>
      </w:r>
    </w:p>
    <w:p w14:paraId="0E8D1DEA" w14:textId="77777777" w:rsidR="004854AB" w:rsidRDefault="004854AB" w:rsidP="004854AB">
      <w:pPr>
        <w:jc w:val="both"/>
        <w:rPr>
          <w:rFonts w:ascii="Times New Roman" w:hAnsi="Times New Roman" w:cs="Times New Roman"/>
          <w:b/>
          <w:bCs/>
          <w:i/>
          <w:iCs/>
        </w:rPr>
      </w:pPr>
      <w:r w:rsidRPr="005D0223">
        <w:rPr>
          <w:rFonts w:ascii="Times New Roman" w:hAnsi="Times New Roman" w:cs="Times New Roman"/>
          <w:b/>
          <w:bCs/>
          <w:i/>
          <w:iCs/>
        </w:rPr>
        <w:t xml:space="preserve">Ranking of Least Mastered Competencies </w:t>
      </w:r>
    </w:p>
    <w:p w14:paraId="56C14B3C" w14:textId="77777777" w:rsidR="004854AB" w:rsidRPr="004854AB" w:rsidRDefault="004854AB" w:rsidP="004854AB">
      <w:pPr>
        <w:spacing w:line="240" w:lineRule="auto"/>
        <w:jc w:val="both"/>
        <w:rPr>
          <w:rFonts w:ascii="Times New Roman" w:hAnsi="Times New Roman" w:cs="Times New Roman"/>
          <w:b/>
          <w:iCs/>
        </w:rPr>
      </w:pPr>
      <w:r w:rsidRPr="004854AB">
        <w:rPr>
          <w:rFonts w:ascii="Times New Roman" w:hAnsi="Times New Roman" w:cs="Times New Roman"/>
          <w:b/>
          <w:iCs/>
        </w:rPr>
        <w:t>Table 5</w:t>
      </w:r>
    </w:p>
    <w:p w14:paraId="50702399" w14:textId="77777777" w:rsidR="004854AB" w:rsidRDefault="004854AB" w:rsidP="004854AB">
      <w:pPr>
        <w:spacing w:line="240" w:lineRule="auto"/>
        <w:jc w:val="both"/>
        <w:rPr>
          <w:rFonts w:ascii="Times New Roman" w:hAnsi="Times New Roman" w:cs="Times New Roman"/>
          <w:i/>
          <w:iCs/>
        </w:rPr>
      </w:pPr>
      <w:r w:rsidRPr="005D0223">
        <w:rPr>
          <w:rFonts w:ascii="Times New Roman" w:hAnsi="Times New Roman" w:cs="Times New Roman"/>
          <w:i/>
          <w:iCs/>
        </w:rPr>
        <w:t xml:space="preserve">Ranking of Least Mastered Competencies </w:t>
      </w:r>
    </w:p>
    <w:tbl>
      <w:tblPr>
        <w:tblStyle w:val="TableGrid"/>
        <w:tblpPr w:leftFromText="180" w:rightFromText="180" w:vertAnchor="text" w:horzAnchor="margin" w:tblpY="-97"/>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1187"/>
        <w:gridCol w:w="1850"/>
        <w:gridCol w:w="1953"/>
        <w:gridCol w:w="1237"/>
      </w:tblGrid>
      <w:tr w:rsidR="004854AB" w:rsidRPr="004854AB" w14:paraId="737734C0" w14:textId="77777777" w:rsidTr="004854AB">
        <w:trPr>
          <w:trHeight w:val="228"/>
        </w:trPr>
        <w:tc>
          <w:tcPr>
            <w:tcW w:w="3082" w:type="dxa"/>
            <w:tcBorders>
              <w:top w:val="single" w:sz="4" w:space="0" w:color="auto"/>
              <w:bottom w:val="single" w:sz="4" w:space="0" w:color="auto"/>
            </w:tcBorders>
            <w:noWrap/>
            <w:vAlign w:val="center"/>
            <w:hideMark/>
          </w:tcPr>
          <w:p w14:paraId="79128683" w14:textId="77777777" w:rsidR="004854AB" w:rsidRPr="004854AB" w:rsidRDefault="004854AB" w:rsidP="004854AB">
            <w:pPr>
              <w:jc w:val="center"/>
              <w:rPr>
                <w:rFonts w:ascii="Times New Roman" w:hAnsi="Times New Roman" w:cs="Times New Roman"/>
                <w:b/>
                <w:bCs/>
              </w:rPr>
            </w:pPr>
            <w:r w:rsidRPr="004854AB">
              <w:rPr>
                <w:rFonts w:ascii="Times New Roman" w:hAnsi="Times New Roman" w:cs="Times New Roman"/>
                <w:b/>
                <w:bCs/>
              </w:rPr>
              <w:t>LEARNING COMPETENCIES</w:t>
            </w:r>
          </w:p>
        </w:tc>
        <w:tc>
          <w:tcPr>
            <w:tcW w:w="1187" w:type="dxa"/>
            <w:tcBorders>
              <w:top w:val="single" w:sz="4" w:space="0" w:color="auto"/>
              <w:bottom w:val="single" w:sz="4" w:space="0" w:color="auto"/>
            </w:tcBorders>
            <w:vAlign w:val="center"/>
          </w:tcPr>
          <w:p w14:paraId="56BF38F0" w14:textId="77777777" w:rsidR="004854AB" w:rsidRPr="004854AB" w:rsidRDefault="004854AB" w:rsidP="004854AB">
            <w:pPr>
              <w:jc w:val="center"/>
              <w:rPr>
                <w:rFonts w:ascii="Times New Roman" w:hAnsi="Times New Roman" w:cs="Times New Roman"/>
                <w:b/>
                <w:bCs/>
              </w:rPr>
            </w:pPr>
            <w:r w:rsidRPr="004854AB">
              <w:rPr>
                <w:rFonts w:ascii="Times New Roman" w:hAnsi="Times New Roman" w:cs="Times New Roman"/>
                <w:b/>
                <w:bCs/>
              </w:rPr>
              <w:t>No. of Items</w:t>
            </w:r>
          </w:p>
        </w:tc>
        <w:tc>
          <w:tcPr>
            <w:tcW w:w="1850" w:type="dxa"/>
            <w:tcBorders>
              <w:top w:val="single" w:sz="4" w:space="0" w:color="auto"/>
              <w:bottom w:val="single" w:sz="4" w:space="0" w:color="auto"/>
            </w:tcBorders>
            <w:vAlign w:val="center"/>
          </w:tcPr>
          <w:p w14:paraId="00F83804" w14:textId="77777777" w:rsidR="004854AB" w:rsidRPr="004854AB" w:rsidRDefault="004854AB" w:rsidP="004854AB">
            <w:pPr>
              <w:jc w:val="center"/>
              <w:rPr>
                <w:rFonts w:ascii="Times New Roman" w:hAnsi="Times New Roman" w:cs="Times New Roman"/>
                <w:b/>
                <w:bCs/>
              </w:rPr>
            </w:pPr>
            <w:r w:rsidRPr="004854AB">
              <w:rPr>
                <w:rFonts w:ascii="Times New Roman" w:hAnsi="Times New Roman" w:cs="Times New Roman"/>
                <w:b/>
                <w:bCs/>
              </w:rPr>
              <w:t>Number of Correct Responses</w:t>
            </w:r>
          </w:p>
        </w:tc>
        <w:tc>
          <w:tcPr>
            <w:tcW w:w="1953" w:type="dxa"/>
            <w:tcBorders>
              <w:top w:val="single" w:sz="4" w:space="0" w:color="auto"/>
              <w:bottom w:val="single" w:sz="4" w:space="0" w:color="auto"/>
            </w:tcBorders>
            <w:noWrap/>
            <w:vAlign w:val="center"/>
            <w:hideMark/>
          </w:tcPr>
          <w:p w14:paraId="4D89A959" w14:textId="77777777" w:rsidR="004854AB" w:rsidRPr="004854AB" w:rsidRDefault="004854AB" w:rsidP="004854AB">
            <w:pPr>
              <w:jc w:val="center"/>
              <w:rPr>
                <w:rFonts w:ascii="Times New Roman" w:hAnsi="Times New Roman" w:cs="Times New Roman"/>
                <w:b/>
                <w:bCs/>
              </w:rPr>
            </w:pPr>
            <w:r w:rsidRPr="004854AB">
              <w:rPr>
                <w:rFonts w:ascii="Times New Roman" w:hAnsi="Times New Roman" w:cs="Times New Roman"/>
                <w:b/>
                <w:bCs/>
              </w:rPr>
              <w:t>Percentage Correct</w:t>
            </w:r>
          </w:p>
        </w:tc>
        <w:tc>
          <w:tcPr>
            <w:tcW w:w="1235" w:type="dxa"/>
            <w:tcBorders>
              <w:top w:val="single" w:sz="4" w:space="0" w:color="auto"/>
              <w:bottom w:val="single" w:sz="4" w:space="0" w:color="auto"/>
            </w:tcBorders>
            <w:noWrap/>
            <w:vAlign w:val="center"/>
            <w:hideMark/>
          </w:tcPr>
          <w:p w14:paraId="3532A881" w14:textId="77777777" w:rsidR="004854AB" w:rsidRPr="004854AB" w:rsidRDefault="004854AB" w:rsidP="004854AB">
            <w:pPr>
              <w:jc w:val="center"/>
              <w:rPr>
                <w:rFonts w:ascii="Times New Roman" w:hAnsi="Times New Roman" w:cs="Times New Roman"/>
                <w:b/>
                <w:bCs/>
              </w:rPr>
            </w:pPr>
            <w:r w:rsidRPr="004854AB">
              <w:rPr>
                <w:rFonts w:ascii="Times New Roman" w:hAnsi="Times New Roman" w:cs="Times New Roman"/>
                <w:b/>
                <w:bCs/>
              </w:rPr>
              <w:t>Rank</w:t>
            </w:r>
          </w:p>
        </w:tc>
      </w:tr>
      <w:tr w:rsidR="004854AB" w:rsidRPr="004854AB" w14:paraId="2A54FBAE" w14:textId="77777777" w:rsidTr="004854AB">
        <w:trPr>
          <w:trHeight w:val="154"/>
        </w:trPr>
        <w:tc>
          <w:tcPr>
            <w:tcW w:w="3082" w:type="dxa"/>
            <w:tcBorders>
              <w:top w:val="single" w:sz="4" w:space="0" w:color="auto"/>
            </w:tcBorders>
            <w:noWrap/>
            <w:vAlign w:val="center"/>
            <w:hideMark/>
          </w:tcPr>
          <w:p w14:paraId="3F2FAC6D"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Chemical Bonding</w:t>
            </w:r>
          </w:p>
        </w:tc>
        <w:tc>
          <w:tcPr>
            <w:tcW w:w="1187" w:type="dxa"/>
            <w:tcBorders>
              <w:top w:val="single" w:sz="4" w:space="0" w:color="auto"/>
            </w:tcBorders>
            <w:vAlign w:val="center"/>
          </w:tcPr>
          <w:p w14:paraId="22F6A30C"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5</w:t>
            </w:r>
          </w:p>
        </w:tc>
        <w:tc>
          <w:tcPr>
            <w:tcW w:w="1850" w:type="dxa"/>
            <w:tcBorders>
              <w:top w:val="single" w:sz="4" w:space="0" w:color="auto"/>
            </w:tcBorders>
            <w:vAlign w:val="center"/>
          </w:tcPr>
          <w:p w14:paraId="6AD9C7D7"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215</w:t>
            </w:r>
          </w:p>
        </w:tc>
        <w:tc>
          <w:tcPr>
            <w:tcW w:w="1953" w:type="dxa"/>
            <w:tcBorders>
              <w:top w:val="single" w:sz="4" w:space="0" w:color="auto"/>
            </w:tcBorders>
            <w:vAlign w:val="center"/>
            <w:hideMark/>
          </w:tcPr>
          <w:p w14:paraId="3FD4840F"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43</w:t>
            </w:r>
          </w:p>
        </w:tc>
        <w:tc>
          <w:tcPr>
            <w:tcW w:w="1235" w:type="dxa"/>
            <w:tcBorders>
              <w:top w:val="single" w:sz="4" w:space="0" w:color="auto"/>
            </w:tcBorders>
            <w:noWrap/>
            <w:vAlign w:val="center"/>
            <w:hideMark/>
          </w:tcPr>
          <w:p w14:paraId="56DAFE27"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w:t>
            </w:r>
          </w:p>
        </w:tc>
      </w:tr>
      <w:tr w:rsidR="004854AB" w:rsidRPr="004854AB" w14:paraId="45EA11E6" w14:textId="77777777" w:rsidTr="004854AB">
        <w:trPr>
          <w:trHeight w:val="154"/>
        </w:trPr>
        <w:tc>
          <w:tcPr>
            <w:tcW w:w="3082" w:type="dxa"/>
            <w:noWrap/>
            <w:vAlign w:val="center"/>
            <w:hideMark/>
          </w:tcPr>
          <w:p w14:paraId="19481010"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Solutions, Acids and Bases</w:t>
            </w:r>
          </w:p>
        </w:tc>
        <w:tc>
          <w:tcPr>
            <w:tcW w:w="1187" w:type="dxa"/>
            <w:vAlign w:val="center"/>
          </w:tcPr>
          <w:p w14:paraId="7C9D0515"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w:t>
            </w:r>
          </w:p>
        </w:tc>
        <w:tc>
          <w:tcPr>
            <w:tcW w:w="1850" w:type="dxa"/>
            <w:vAlign w:val="center"/>
          </w:tcPr>
          <w:p w14:paraId="2ED8FD93"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163</w:t>
            </w:r>
          </w:p>
        </w:tc>
        <w:tc>
          <w:tcPr>
            <w:tcW w:w="1953" w:type="dxa"/>
            <w:vAlign w:val="center"/>
            <w:hideMark/>
          </w:tcPr>
          <w:p w14:paraId="5584CF7C"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41</w:t>
            </w:r>
          </w:p>
        </w:tc>
        <w:tc>
          <w:tcPr>
            <w:tcW w:w="1235" w:type="dxa"/>
            <w:noWrap/>
            <w:vAlign w:val="center"/>
            <w:hideMark/>
          </w:tcPr>
          <w:p w14:paraId="6318B524"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2</w:t>
            </w:r>
          </w:p>
        </w:tc>
      </w:tr>
      <w:tr w:rsidR="004854AB" w:rsidRPr="004854AB" w14:paraId="3C271B44" w14:textId="77777777" w:rsidTr="004854AB">
        <w:trPr>
          <w:trHeight w:val="154"/>
        </w:trPr>
        <w:tc>
          <w:tcPr>
            <w:tcW w:w="3082" w:type="dxa"/>
            <w:noWrap/>
            <w:vAlign w:val="center"/>
            <w:hideMark/>
          </w:tcPr>
          <w:p w14:paraId="3FBD8D01"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Atomic Structure and Periodic Table</w:t>
            </w:r>
          </w:p>
        </w:tc>
        <w:tc>
          <w:tcPr>
            <w:tcW w:w="1187" w:type="dxa"/>
            <w:vAlign w:val="center"/>
          </w:tcPr>
          <w:p w14:paraId="65D74125"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w:t>
            </w:r>
          </w:p>
        </w:tc>
        <w:tc>
          <w:tcPr>
            <w:tcW w:w="1850" w:type="dxa"/>
            <w:vAlign w:val="center"/>
          </w:tcPr>
          <w:p w14:paraId="0DEB03DB"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157</w:t>
            </w:r>
          </w:p>
        </w:tc>
        <w:tc>
          <w:tcPr>
            <w:tcW w:w="1953" w:type="dxa"/>
            <w:vAlign w:val="center"/>
            <w:hideMark/>
          </w:tcPr>
          <w:p w14:paraId="0BFFB31E"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39</w:t>
            </w:r>
          </w:p>
        </w:tc>
        <w:tc>
          <w:tcPr>
            <w:tcW w:w="1235" w:type="dxa"/>
            <w:noWrap/>
            <w:vAlign w:val="center"/>
            <w:hideMark/>
          </w:tcPr>
          <w:p w14:paraId="6B872F1B"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w:t>
            </w:r>
          </w:p>
        </w:tc>
      </w:tr>
      <w:tr w:rsidR="004854AB" w:rsidRPr="004854AB" w14:paraId="13BF3ABA" w14:textId="77777777" w:rsidTr="004854AB">
        <w:trPr>
          <w:trHeight w:val="154"/>
        </w:trPr>
        <w:tc>
          <w:tcPr>
            <w:tcW w:w="3082" w:type="dxa"/>
            <w:noWrap/>
            <w:vAlign w:val="center"/>
            <w:hideMark/>
          </w:tcPr>
          <w:p w14:paraId="434DCE4E"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Gas and Gas Laws</w:t>
            </w:r>
          </w:p>
        </w:tc>
        <w:tc>
          <w:tcPr>
            <w:tcW w:w="1187" w:type="dxa"/>
            <w:vAlign w:val="center"/>
          </w:tcPr>
          <w:p w14:paraId="1AF04E92"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5</w:t>
            </w:r>
          </w:p>
        </w:tc>
        <w:tc>
          <w:tcPr>
            <w:tcW w:w="1850" w:type="dxa"/>
            <w:vAlign w:val="center"/>
          </w:tcPr>
          <w:p w14:paraId="1002EE6A"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177</w:t>
            </w:r>
          </w:p>
        </w:tc>
        <w:tc>
          <w:tcPr>
            <w:tcW w:w="1953" w:type="dxa"/>
            <w:vAlign w:val="center"/>
            <w:hideMark/>
          </w:tcPr>
          <w:p w14:paraId="5B8114E6"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35</w:t>
            </w:r>
          </w:p>
        </w:tc>
        <w:tc>
          <w:tcPr>
            <w:tcW w:w="1235" w:type="dxa"/>
            <w:noWrap/>
            <w:vAlign w:val="center"/>
            <w:hideMark/>
          </w:tcPr>
          <w:p w14:paraId="020BA4D5"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w:t>
            </w:r>
          </w:p>
        </w:tc>
      </w:tr>
      <w:tr w:rsidR="004854AB" w:rsidRPr="004854AB" w14:paraId="50FD0648" w14:textId="77777777" w:rsidTr="004854AB">
        <w:trPr>
          <w:trHeight w:val="154"/>
        </w:trPr>
        <w:tc>
          <w:tcPr>
            <w:tcW w:w="3082" w:type="dxa"/>
            <w:noWrap/>
            <w:vAlign w:val="center"/>
          </w:tcPr>
          <w:p w14:paraId="2A3C9FA8"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Thermochemistry and Kinetics</w:t>
            </w:r>
          </w:p>
        </w:tc>
        <w:tc>
          <w:tcPr>
            <w:tcW w:w="1187" w:type="dxa"/>
            <w:vAlign w:val="center"/>
          </w:tcPr>
          <w:p w14:paraId="72C5AF58"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5</w:t>
            </w:r>
          </w:p>
        </w:tc>
        <w:tc>
          <w:tcPr>
            <w:tcW w:w="1850" w:type="dxa"/>
            <w:vAlign w:val="center"/>
          </w:tcPr>
          <w:p w14:paraId="24E4AF78"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181</w:t>
            </w:r>
          </w:p>
        </w:tc>
        <w:tc>
          <w:tcPr>
            <w:tcW w:w="1953" w:type="dxa"/>
            <w:vAlign w:val="center"/>
            <w:hideMark/>
          </w:tcPr>
          <w:p w14:paraId="742C42AB"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36</w:t>
            </w:r>
          </w:p>
        </w:tc>
        <w:tc>
          <w:tcPr>
            <w:tcW w:w="1235" w:type="dxa"/>
            <w:noWrap/>
            <w:vAlign w:val="center"/>
            <w:hideMark/>
          </w:tcPr>
          <w:p w14:paraId="61067D2D"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4</w:t>
            </w:r>
          </w:p>
        </w:tc>
      </w:tr>
      <w:tr w:rsidR="004854AB" w:rsidRPr="004854AB" w14:paraId="34F23070" w14:textId="77777777" w:rsidTr="004854AB">
        <w:trPr>
          <w:trHeight w:val="154"/>
        </w:trPr>
        <w:tc>
          <w:tcPr>
            <w:tcW w:w="3082" w:type="dxa"/>
            <w:noWrap/>
            <w:vAlign w:val="center"/>
            <w:hideMark/>
          </w:tcPr>
          <w:p w14:paraId="15E6D751"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Chemical Reactions</w:t>
            </w:r>
          </w:p>
        </w:tc>
        <w:tc>
          <w:tcPr>
            <w:tcW w:w="1187" w:type="dxa"/>
            <w:vAlign w:val="center"/>
          </w:tcPr>
          <w:p w14:paraId="53DF0C2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5</w:t>
            </w:r>
          </w:p>
        </w:tc>
        <w:tc>
          <w:tcPr>
            <w:tcW w:w="1850" w:type="dxa"/>
            <w:vAlign w:val="center"/>
          </w:tcPr>
          <w:p w14:paraId="2EE10F54"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176</w:t>
            </w:r>
          </w:p>
        </w:tc>
        <w:tc>
          <w:tcPr>
            <w:tcW w:w="1953" w:type="dxa"/>
            <w:vAlign w:val="center"/>
            <w:hideMark/>
          </w:tcPr>
          <w:p w14:paraId="0B15CBFB"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35</w:t>
            </w:r>
          </w:p>
        </w:tc>
        <w:tc>
          <w:tcPr>
            <w:tcW w:w="1235" w:type="dxa"/>
            <w:noWrap/>
            <w:vAlign w:val="center"/>
            <w:hideMark/>
          </w:tcPr>
          <w:p w14:paraId="5E3F1414"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6</w:t>
            </w:r>
          </w:p>
        </w:tc>
      </w:tr>
      <w:tr w:rsidR="004854AB" w:rsidRPr="004854AB" w14:paraId="3D0E77BC" w14:textId="77777777" w:rsidTr="004854AB">
        <w:trPr>
          <w:trHeight w:val="154"/>
        </w:trPr>
        <w:tc>
          <w:tcPr>
            <w:tcW w:w="3082" w:type="dxa"/>
            <w:noWrap/>
            <w:vAlign w:val="center"/>
            <w:hideMark/>
          </w:tcPr>
          <w:p w14:paraId="4A39051D"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Nuclear Chemistry</w:t>
            </w:r>
          </w:p>
        </w:tc>
        <w:tc>
          <w:tcPr>
            <w:tcW w:w="1187" w:type="dxa"/>
            <w:vAlign w:val="center"/>
          </w:tcPr>
          <w:p w14:paraId="08860DDE"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w:t>
            </w:r>
          </w:p>
        </w:tc>
        <w:tc>
          <w:tcPr>
            <w:tcW w:w="1850" w:type="dxa"/>
            <w:vAlign w:val="center"/>
          </w:tcPr>
          <w:p w14:paraId="19CEB972"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102</w:t>
            </w:r>
          </w:p>
        </w:tc>
        <w:tc>
          <w:tcPr>
            <w:tcW w:w="1953" w:type="dxa"/>
            <w:vAlign w:val="center"/>
            <w:hideMark/>
          </w:tcPr>
          <w:p w14:paraId="2AACFBF1"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36</w:t>
            </w:r>
          </w:p>
        </w:tc>
        <w:tc>
          <w:tcPr>
            <w:tcW w:w="1235" w:type="dxa"/>
            <w:noWrap/>
            <w:vAlign w:val="center"/>
            <w:hideMark/>
          </w:tcPr>
          <w:p w14:paraId="494A28DD"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7</w:t>
            </w:r>
          </w:p>
        </w:tc>
      </w:tr>
      <w:tr w:rsidR="004854AB" w:rsidRPr="004854AB" w14:paraId="1376342B" w14:textId="77777777" w:rsidTr="004854AB">
        <w:trPr>
          <w:trHeight w:val="154"/>
        </w:trPr>
        <w:tc>
          <w:tcPr>
            <w:tcW w:w="3082" w:type="dxa"/>
            <w:noWrap/>
            <w:vAlign w:val="center"/>
          </w:tcPr>
          <w:p w14:paraId="6F142BC7"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Chemistry in Everyday Lives</w:t>
            </w:r>
          </w:p>
        </w:tc>
        <w:tc>
          <w:tcPr>
            <w:tcW w:w="1187" w:type="dxa"/>
            <w:vAlign w:val="center"/>
          </w:tcPr>
          <w:p w14:paraId="73E0723E"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w:t>
            </w:r>
          </w:p>
        </w:tc>
        <w:tc>
          <w:tcPr>
            <w:tcW w:w="1850" w:type="dxa"/>
            <w:vAlign w:val="center"/>
          </w:tcPr>
          <w:p w14:paraId="048BA598"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98</w:t>
            </w:r>
          </w:p>
        </w:tc>
        <w:tc>
          <w:tcPr>
            <w:tcW w:w="1953" w:type="dxa"/>
            <w:vAlign w:val="center"/>
            <w:hideMark/>
          </w:tcPr>
          <w:p w14:paraId="7C5C6F7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33</w:t>
            </w:r>
          </w:p>
        </w:tc>
        <w:tc>
          <w:tcPr>
            <w:tcW w:w="1235" w:type="dxa"/>
            <w:noWrap/>
            <w:vAlign w:val="center"/>
            <w:hideMark/>
          </w:tcPr>
          <w:p w14:paraId="012C16E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8</w:t>
            </w:r>
          </w:p>
        </w:tc>
      </w:tr>
      <w:tr w:rsidR="004854AB" w:rsidRPr="004854AB" w14:paraId="1B26DC81" w14:textId="77777777" w:rsidTr="004854AB">
        <w:trPr>
          <w:trHeight w:val="154"/>
        </w:trPr>
        <w:tc>
          <w:tcPr>
            <w:tcW w:w="3082" w:type="dxa"/>
            <w:noWrap/>
            <w:vAlign w:val="center"/>
            <w:hideMark/>
          </w:tcPr>
          <w:p w14:paraId="38BC1038"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 xml:space="preserve">Organic </w:t>
            </w:r>
            <w:proofErr w:type="spellStart"/>
            <w:r w:rsidRPr="004854AB">
              <w:rPr>
                <w:rFonts w:ascii="Times New Roman" w:hAnsi="Times New Roman" w:cs="Times New Roman"/>
              </w:rPr>
              <w:t>Chemistrty</w:t>
            </w:r>
            <w:proofErr w:type="spellEnd"/>
            <w:r w:rsidRPr="004854AB">
              <w:rPr>
                <w:rFonts w:ascii="Times New Roman" w:hAnsi="Times New Roman" w:cs="Times New Roman"/>
              </w:rPr>
              <w:t xml:space="preserve"> and Biochemistry</w:t>
            </w:r>
          </w:p>
        </w:tc>
        <w:tc>
          <w:tcPr>
            <w:tcW w:w="1187" w:type="dxa"/>
            <w:vAlign w:val="center"/>
          </w:tcPr>
          <w:p w14:paraId="21C6F4F9"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2</w:t>
            </w:r>
          </w:p>
        </w:tc>
        <w:tc>
          <w:tcPr>
            <w:tcW w:w="1850" w:type="dxa"/>
            <w:vAlign w:val="center"/>
          </w:tcPr>
          <w:p w14:paraId="68B0AE4D"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65</w:t>
            </w:r>
          </w:p>
        </w:tc>
        <w:tc>
          <w:tcPr>
            <w:tcW w:w="1953" w:type="dxa"/>
            <w:noWrap/>
            <w:vAlign w:val="center"/>
            <w:hideMark/>
          </w:tcPr>
          <w:p w14:paraId="5D1BA28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33</w:t>
            </w:r>
          </w:p>
        </w:tc>
        <w:tc>
          <w:tcPr>
            <w:tcW w:w="1235" w:type="dxa"/>
            <w:noWrap/>
            <w:vAlign w:val="center"/>
            <w:hideMark/>
          </w:tcPr>
          <w:p w14:paraId="0836033C"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9</w:t>
            </w:r>
          </w:p>
        </w:tc>
      </w:tr>
      <w:tr w:rsidR="004854AB" w:rsidRPr="004854AB" w14:paraId="799900A7" w14:textId="77777777" w:rsidTr="004854AB">
        <w:trPr>
          <w:trHeight w:val="237"/>
        </w:trPr>
        <w:tc>
          <w:tcPr>
            <w:tcW w:w="3082" w:type="dxa"/>
            <w:tcBorders>
              <w:bottom w:val="single" w:sz="4" w:space="0" w:color="auto"/>
            </w:tcBorders>
            <w:noWrap/>
            <w:vAlign w:val="center"/>
            <w:hideMark/>
          </w:tcPr>
          <w:p w14:paraId="3CE6142F" w14:textId="77777777" w:rsidR="004854AB" w:rsidRPr="004854AB" w:rsidRDefault="004854AB" w:rsidP="004854AB">
            <w:pPr>
              <w:rPr>
                <w:rFonts w:ascii="Times New Roman" w:hAnsi="Times New Roman" w:cs="Times New Roman"/>
              </w:rPr>
            </w:pPr>
            <w:r w:rsidRPr="004854AB">
              <w:rPr>
                <w:rFonts w:ascii="Times New Roman" w:hAnsi="Times New Roman" w:cs="Times New Roman"/>
              </w:rPr>
              <w:t>Matter and Its Properties</w:t>
            </w:r>
          </w:p>
        </w:tc>
        <w:tc>
          <w:tcPr>
            <w:tcW w:w="1187" w:type="dxa"/>
            <w:tcBorders>
              <w:bottom w:val="single" w:sz="4" w:space="0" w:color="auto"/>
            </w:tcBorders>
            <w:vAlign w:val="center"/>
          </w:tcPr>
          <w:p w14:paraId="61A1285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5</w:t>
            </w:r>
          </w:p>
        </w:tc>
        <w:tc>
          <w:tcPr>
            <w:tcW w:w="1850" w:type="dxa"/>
            <w:tcBorders>
              <w:bottom w:val="single" w:sz="4" w:space="0" w:color="auto"/>
            </w:tcBorders>
            <w:vAlign w:val="center"/>
          </w:tcPr>
          <w:p w14:paraId="7E946BB6"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129</w:t>
            </w:r>
          </w:p>
        </w:tc>
        <w:tc>
          <w:tcPr>
            <w:tcW w:w="1953" w:type="dxa"/>
            <w:tcBorders>
              <w:bottom w:val="single" w:sz="4" w:space="0" w:color="auto"/>
            </w:tcBorders>
            <w:vAlign w:val="center"/>
            <w:hideMark/>
          </w:tcPr>
          <w:p w14:paraId="1EF51F7A"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32</w:t>
            </w:r>
          </w:p>
        </w:tc>
        <w:tc>
          <w:tcPr>
            <w:tcW w:w="1235" w:type="dxa"/>
            <w:tcBorders>
              <w:bottom w:val="single" w:sz="4" w:space="0" w:color="auto"/>
            </w:tcBorders>
            <w:noWrap/>
            <w:vAlign w:val="center"/>
            <w:hideMark/>
          </w:tcPr>
          <w:p w14:paraId="3CC556A0" w14:textId="77777777" w:rsidR="004854AB" w:rsidRPr="004854AB" w:rsidRDefault="004854AB" w:rsidP="004854AB">
            <w:pPr>
              <w:jc w:val="center"/>
              <w:rPr>
                <w:rFonts w:ascii="Times New Roman" w:hAnsi="Times New Roman" w:cs="Times New Roman"/>
              </w:rPr>
            </w:pPr>
            <w:r w:rsidRPr="004854AB">
              <w:rPr>
                <w:rFonts w:ascii="Times New Roman" w:hAnsi="Times New Roman" w:cs="Times New Roman"/>
              </w:rPr>
              <w:t>10</w:t>
            </w:r>
          </w:p>
        </w:tc>
      </w:tr>
      <w:tr w:rsidR="004854AB" w:rsidRPr="004854AB" w14:paraId="0A067625" w14:textId="77777777" w:rsidTr="004854AB">
        <w:trPr>
          <w:trHeight w:val="154"/>
        </w:trPr>
        <w:tc>
          <w:tcPr>
            <w:tcW w:w="9309" w:type="dxa"/>
            <w:gridSpan w:val="5"/>
            <w:tcBorders>
              <w:top w:val="single" w:sz="4" w:space="0" w:color="auto"/>
              <w:bottom w:val="nil"/>
            </w:tcBorders>
            <w:noWrap/>
            <w:vAlign w:val="center"/>
          </w:tcPr>
          <w:p w14:paraId="7DBB0046" w14:textId="77777777" w:rsidR="004854AB" w:rsidRPr="004854AB" w:rsidRDefault="004854AB" w:rsidP="004854AB">
            <w:pPr>
              <w:rPr>
                <w:rFonts w:ascii="Times New Roman" w:hAnsi="Times New Roman" w:cs="Times New Roman"/>
                <w:sz w:val="18"/>
                <w:szCs w:val="18"/>
              </w:rPr>
            </w:pPr>
            <w:r w:rsidRPr="004854AB">
              <w:rPr>
                <w:rFonts w:ascii="Times New Roman" w:hAnsi="Times New Roman" w:cs="Times New Roman"/>
                <w:i/>
                <w:iCs/>
                <w:sz w:val="18"/>
                <w:szCs w:val="18"/>
              </w:rPr>
              <w:t>Legend: (Increasing Level of Difficulty); were 1: easiest, 16: most difficult</w:t>
            </w:r>
          </w:p>
        </w:tc>
      </w:tr>
    </w:tbl>
    <w:p w14:paraId="34EF0E88" w14:textId="77777777" w:rsidR="004854AB" w:rsidRPr="000A04C7" w:rsidRDefault="004854AB" w:rsidP="004854AB">
      <w:pPr>
        <w:jc w:val="both"/>
        <w:rPr>
          <w:rFonts w:ascii="Times New Roman" w:hAnsi="Times New Roman" w:cs="Times New Roman"/>
        </w:rPr>
      </w:pPr>
      <w:r>
        <w:rPr>
          <w:rFonts w:ascii="Times New Roman" w:hAnsi="Times New Roman" w:cs="Times New Roman"/>
        </w:rPr>
        <w:lastRenderedPageBreak/>
        <w:br/>
      </w:r>
      <w:r>
        <w:rPr>
          <w:rFonts w:ascii="Times New Roman" w:hAnsi="Times New Roman" w:cs="Times New Roman"/>
        </w:rPr>
        <w:tab/>
      </w:r>
      <w:r w:rsidRPr="000A04C7">
        <w:rPr>
          <w:rFonts w:ascii="Times New Roman" w:hAnsi="Times New Roman" w:cs="Times New Roman"/>
        </w:rPr>
        <w:t>The ranking of least mastered competencies presented in Table 5 highlights the major learning difficulties experienced by Senior High School learners in General Chemistry. All competencies obtained scores below 45%, indicating low mastery across all chemistry domains. Among the competencies, Chemical Bonding (43%) ranked as the most difficult, followed by Solutions, Acids, and Bases (41%) and Atomic Structure (39%). These topics involve abstract and microscopic concepts that learners often struggle to visualize and understand. Similarly, low scores in Gas Laws, Thermochemistry, and Chemistry in Everyday Life suggest difficulties in mathematical reasoning, conceptual understanding, and real-world application of chemistry concepts.</w:t>
      </w:r>
    </w:p>
    <w:p w14:paraId="520D4DDF" w14:textId="77777777" w:rsidR="004854AB" w:rsidRPr="000A04C7" w:rsidRDefault="004854AB" w:rsidP="004854AB">
      <w:pPr>
        <w:jc w:val="both"/>
        <w:rPr>
          <w:rFonts w:ascii="Times New Roman" w:hAnsi="Times New Roman" w:cs="Times New Roman"/>
        </w:rPr>
      </w:pPr>
      <w:r>
        <w:rPr>
          <w:rFonts w:ascii="Times New Roman" w:hAnsi="Times New Roman" w:cs="Times New Roman"/>
        </w:rPr>
        <w:tab/>
      </w:r>
      <w:r w:rsidRPr="000A04C7">
        <w:rPr>
          <w:rFonts w:ascii="Times New Roman" w:hAnsi="Times New Roman" w:cs="Times New Roman"/>
        </w:rPr>
        <w:t>These findings imply that learners rely more on memorization than meaningful conceptual understanding, resulting in fragmented knowledge structures. The results also suggest that current instructional approaches may not sufficiently support inquiry, visualization, and contextualized learning. Thus, there is a need for innovative teaching strategies such as simulations, model-based instruction, laboratory activities, and real-world applications to strengthen learners’ scientific literacy and conceptual understanding.</w:t>
      </w:r>
    </w:p>
    <w:p w14:paraId="63715560" w14:textId="77777777" w:rsidR="004854AB" w:rsidRPr="000A04C7" w:rsidRDefault="004854AB" w:rsidP="004854AB">
      <w:pPr>
        <w:jc w:val="both"/>
        <w:rPr>
          <w:rFonts w:ascii="Times New Roman" w:hAnsi="Times New Roman" w:cs="Times New Roman"/>
        </w:rPr>
      </w:pPr>
      <w:r>
        <w:rPr>
          <w:rFonts w:ascii="Times New Roman" w:hAnsi="Times New Roman" w:cs="Times New Roman"/>
        </w:rPr>
        <w:tab/>
      </w:r>
      <w:r w:rsidRPr="000A04C7">
        <w:rPr>
          <w:rFonts w:ascii="Times New Roman" w:hAnsi="Times New Roman" w:cs="Times New Roman"/>
        </w:rPr>
        <w:t>The findings are supported by studies showing that chemistry learners commonly struggle with abstract concepts and multiple representations in chemistry (</w:t>
      </w:r>
      <w:proofErr w:type="spellStart"/>
      <w:r w:rsidRPr="000A04C7">
        <w:rPr>
          <w:rFonts w:ascii="Times New Roman" w:hAnsi="Times New Roman" w:cs="Times New Roman"/>
        </w:rPr>
        <w:t>Johnstone</w:t>
      </w:r>
      <w:proofErr w:type="spellEnd"/>
      <w:r w:rsidRPr="000A04C7">
        <w:rPr>
          <w:rFonts w:ascii="Times New Roman" w:hAnsi="Times New Roman" w:cs="Times New Roman"/>
        </w:rPr>
        <w:t xml:space="preserve">, 2019; Sayre et al., 2025; Poblete et al., 2025). Furthermore, the </w:t>
      </w:r>
      <w:proofErr w:type="spellStart"/>
      <w:r w:rsidRPr="000A04C7">
        <w:rPr>
          <w:rFonts w:ascii="Times New Roman" w:hAnsi="Times New Roman" w:cs="Times New Roman"/>
        </w:rPr>
        <w:t>Organisation</w:t>
      </w:r>
      <w:proofErr w:type="spellEnd"/>
      <w:r w:rsidRPr="000A04C7">
        <w:rPr>
          <w:rFonts w:ascii="Times New Roman" w:hAnsi="Times New Roman" w:cs="Times New Roman"/>
        </w:rPr>
        <w:t xml:space="preserve"> for Economic Co-operation and Development PISA framework (2019, 2023) emphasizes that scientific literacy requires learners to apply scientific concepts and explain real-world phenomena, competencies that were found to be weak among the learners in this study.</w:t>
      </w:r>
    </w:p>
    <w:p w14:paraId="0DE53D43" w14:textId="77777777" w:rsidR="004854AB" w:rsidRPr="000A04C7" w:rsidRDefault="004854AB" w:rsidP="004854AB">
      <w:pPr>
        <w:jc w:val="both"/>
        <w:rPr>
          <w:rFonts w:ascii="Times New Roman" w:hAnsi="Times New Roman" w:cs="Times New Roman"/>
          <w:b/>
          <w:bCs/>
        </w:rPr>
      </w:pPr>
      <w:r w:rsidRPr="000A04C7">
        <w:rPr>
          <w:rFonts w:ascii="Times New Roman" w:hAnsi="Times New Roman" w:cs="Times New Roman"/>
          <w:b/>
          <w:bCs/>
        </w:rPr>
        <w:t>CONCLUSION</w:t>
      </w:r>
    </w:p>
    <w:p w14:paraId="2E6BF0B5" w14:textId="77777777" w:rsidR="004854AB" w:rsidRPr="000A04C7" w:rsidRDefault="004854AB" w:rsidP="004854AB">
      <w:pPr>
        <w:jc w:val="both"/>
        <w:rPr>
          <w:rFonts w:ascii="Times New Roman" w:hAnsi="Times New Roman" w:cs="Times New Roman"/>
        </w:rPr>
      </w:pPr>
      <w:r>
        <w:rPr>
          <w:rFonts w:ascii="Times New Roman" w:hAnsi="Times New Roman" w:cs="Times New Roman"/>
        </w:rPr>
        <w:tab/>
      </w:r>
      <w:r w:rsidRPr="000A04C7">
        <w:rPr>
          <w:rFonts w:ascii="Times New Roman" w:hAnsi="Times New Roman" w:cs="Times New Roman"/>
        </w:rPr>
        <w:t xml:space="preserve">This study identified and mapped learning gaps in Senior High School General Chemistry using a PISA-based assessment instrument anchored on scientific literacy competencies. The instrument underwent expert validation and reliability testing, obtaining “Exceed Expectation” ratings and a </w:t>
      </w:r>
      <w:proofErr w:type="spellStart"/>
      <w:r w:rsidRPr="000A04C7">
        <w:rPr>
          <w:rFonts w:ascii="Times New Roman" w:hAnsi="Times New Roman" w:cs="Times New Roman"/>
        </w:rPr>
        <w:t>Cronbach’s</w:t>
      </w:r>
      <w:proofErr w:type="spellEnd"/>
      <w:r w:rsidRPr="000A04C7">
        <w:rPr>
          <w:rFonts w:ascii="Times New Roman" w:hAnsi="Times New Roman" w:cs="Times New Roman"/>
        </w:rPr>
        <w:t xml:space="preserve"> Alpha of 0.757, indicating acceptable reliability. Item analysis showed that 20 items were retained, 22 required revision, and 8 were rejected. Results revealed that all ten chemistry competencies were classified under the “Least Mastered” level, with major difficulties observed in Chemical Bonding, Atomic Structure, Gas Laws, and Thermochemistry. The findings showed that learners struggle with conceptual understanding, scientific reasoning, and application of chemistry concepts in real-world situations. </w:t>
      </w:r>
    </w:p>
    <w:p w14:paraId="7DFE2086" w14:textId="77777777" w:rsidR="004854AB" w:rsidRPr="000A04C7" w:rsidRDefault="004854AB" w:rsidP="004854AB">
      <w:pPr>
        <w:jc w:val="both"/>
        <w:rPr>
          <w:rFonts w:ascii="Times New Roman" w:hAnsi="Times New Roman" w:cs="Times New Roman"/>
        </w:rPr>
      </w:pPr>
      <w:r>
        <w:rPr>
          <w:rFonts w:ascii="Times New Roman" w:hAnsi="Times New Roman" w:cs="Times New Roman"/>
        </w:rPr>
        <w:tab/>
      </w:r>
      <w:r w:rsidRPr="000A04C7">
        <w:rPr>
          <w:rFonts w:ascii="Times New Roman" w:hAnsi="Times New Roman" w:cs="Times New Roman"/>
        </w:rPr>
        <w:t>The study concludes that significant and widespread learning gaps exist among Senior High School learners in General Chemistry, particularly in abstract and foundational concepts. Learners demonstrated weaknesses not only in content knowledge but also in scientific reasoning and application skills, suggesting limitations in traditional teaching approaches. The study also confirmed that the developed PISA-based assessment instrument is a valid and reliable tool for diagnosing chemistry learning gaps and supporting instructional improvement.</w:t>
      </w:r>
    </w:p>
    <w:p w14:paraId="1932AD8B" w14:textId="77777777" w:rsidR="004854AB" w:rsidRPr="000A04C7" w:rsidRDefault="004854AB" w:rsidP="004854AB">
      <w:pPr>
        <w:jc w:val="both"/>
        <w:rPr>
          <w:rFonts w:ascii="Times New Roman" w:hAnsi="Times New Roman" w:cs="Times New Roman"/>
          <w:b/>
          <w:bCs/>
        </w:rPr>
      </w:pPr>
      <w:r w:rsidRPr="000A04C7">
        <w:rPr>
          <w:rFonts w:ascii="Times New Roman" w:hAnsi="Times New Roman" w:cs="Times New Roman"/>
          <w:b/>
          <w:bCs/>
        </w:rPr>
        <w:lastRenderedPageBreak/>
        <w:t xml:space="preserve"> RECOMMENDATION </w:t>
      </w:r>
    </w:p>
    <w:p w14:paraId="48386086" w14:textId="77777777" w:rsidR="004854AB" w:rsidRPr="000A04C7" w:rsidRDefault="004854AB" w:rsidP="004854AB">
      <w:pPr>
        <w:jc w:val="both"/>
        <w:rPr>
          <w:rFonts w:ascii="Times New Roman" w:hAnsi="Times New Roman" w:cs="Times New Roman"/>
        </w:rPr>
      </w:pPr>
      <w:r w:rsidRPr="000A04C7">
        <w:rPr>
          <w:rFonts w:ascii="Times New Roman" w:hAnsi="Times New Roman" w:cs="Times New Roman"/>
        </w:rPr>
        <w:t>Based on the findings and conclusions of the study, the following recommendations are proposed:</w:t>
      </w:r>
    </w:p>
    <w:p w14:paraId="35DBC2E8" w14:textId="77777777" w:rsidR="004854AB" w:rsidRPr="000A04C7" w:rsidRDefault="004854AB" w:rsidP="004854AB">
      <w:pPr>
        <w:pStyle w:val="ListParagraph"/>
        <w:numPr>
          <w:ilvl w:val="0"/>
          <w:numId w:val="1"/>
        </w:numPr>
        <w:tabs>
          <w:tab w:val="left" w:pos="360"/>
        </w:tabs>
        <w:jc w:val="both"/>
        <w:rPr>
          <w:rFonts w:ascii="Times New Roman" w:hAnsi="Times New Roman" w:cs="Times New Roman"/>
        </w:rPr>
      </w:pPr>
      <w:r w:rsidRPr="000A04C7">
        <w:rPr>
          <w:rFonts w:ascii="Times New Roman" w:hAnsi="Times New Roman" w:cs="Times New Roman"/>
        </w:rPr>
        <w:t xml:space="preserve">Chemistry teachers should use learner-centered and inquiry-based strategies that promote conceptual understanding, scientific reasoning, and real-world application of chemistry concepts. </w:t>
      </w:r>
    </w:p>
    <w:p w14:paraId="4AD10A09" w14:textId="77777777" w:rsidR="004854AB" w:rsidRPr="000A04C7" w:rsidRDefault="004854AB" w:rsidP="004854AB">
      <w:pPr>
        <w:pStyle w:val="ListParagraph"/>
        <w:numPr>
          <w:ilvl w:val="0"/>
          <w:numId w:val="1"/>
        </w:numPr>
        <w:jc w:val="both"/>
        <w:rPr>
          <w:rFonts w:ascii="Times New Roman" w:hAnsi="Times New Roman" w:cs="Times New Roman"/>
        </w:rPr>
      </w:pPr>
      <w:r w:rsidRPr="000A04C7">
        <w:rPr>
          <w:rFonts w:ascii="Times New Roman" w:hAnsi="Times New Roman" w:cs="Times New Roman"/>
        </w:rPr>
        <w:t xml:space="preserve">Schools and curriculum developers should strengthen the integration of scientific literacy competencies in chemistry instruction and assessment aligned with the PISA framework. </w:t>
      </w:r>
    </w:p>
    <w:p w14:paraId="507AC73F" w14:textId="77777777" w:rsidR="004854AB" w:rsidRPr="000A04C7" w:rsidRDefault="004854AB" w:rsidP="004854AB">
      <w:pPr>
        <w:pStyle w:val="ListParagraph"/>
        <w:numPr>
          <w:ilvl w:val="0"/>
          <w:numId w:val="1"/>
        </w:numPr>
        <w:jc w:val="both"/>
        <w:rPr>
          <w:rFonts w:ascii="Times New Roman" w:hAnsi="Times New Roman" w:cs="Times New Roman"/>
        </w:rPr>
      </w:pPr>
      <w:r w:rsidRPr="000A04C7">
        <w:rPr>
          <w:rFonts w:ascii="Times New Roman" w:hAnsi="Times New Roman" w:cs="Times New Roman"/>
        </w:rPr>
        <w:t xml:space="preserve">Remediation and intervention programs should be implemented to address least mastered competencies, particularly foundational chemistry topics. </w:t>
      </w:r>
    </w:p>
    <w:p w14:paraId="113A9CC6" w14:textId="77777777" w:rsidR="004854AB" w:rsidRPr="000A04C7" w:rsidRDefault="004854AB" w:rsidP="004854AB">
      <w:pPr>
        <w:pStyle w:val="ListParagraph"/>
        <w:numPr>
          <w:ilvl w:val="0"/>
          <w:numId w:val="1"/>
        </w:numPr>
        <w:jc w:val="both"/>
        <w:rPr>
          <w:rFonts w:ascii="Times New Roman" w:hAnsi="Times New Roman" w:cs="Times New Roman"/>
        </w:rPr>
      </w:pPr>
      <w:r w:rsidRPr="000A04C7">
        <w:rPr>
          <w:rFonts w:ascii="Times New Roman" w:hAnsi="Times New Roman" w:cs="Times New Roman"/>
        </w:rPr>
        <w:t xml:space="preserve">Teachers should participate in professional development programs focusing on competency-based instruction, scientific literacy, and innovative assessment practices. </w:t>
      </w:r>
    </w:p>
    <w:p w14:paraId="109D0617" w14:textId="77777777" w:rsidR="004854AB" w:rsidRPr="000A04C7" w:rsidRDefault="004854AB" w:rsidP="004854AB">
      <w:pPr>
        <w:pStyle w:val="ListParagraph"/>
        <w:numPr>
          <w:ilvl w:val="0"/>
          <w:numId w:val="1"/>
        </w:numPr>
        <w:jc w:val="both"/>
        <w:rPr>
          <w:rFonts w:ascii="Times New Roman" w:hAnsi="Times New Roman" w:cs="Times New Roman"/>
        </w:rPr>
      </w:pPr>
      <w:r w:rsidRPr="000A04C7">
        <w:rPr>
          <w:rFonts w:ascii="Times New Roman" w:hAnsi="Times New Roman" w:cs="Times New Roman"/>
        </w:rPr>
        <w:t xml:space="preserve">Future researchers are encouraged to conduct further studies on intervention strategies and learning gaps in chemistry education. </w:t>
      </w:r>
    </w:p>
    <w:p w14:paraId="72FF4FA2" w14:textId="77777777" w:rsidR="004854AB" w:rsidRPr="004854AB" w:rsidRDefault="004854AB" w:rsidP="004854AB">
      <w:pPr>
        <w:pStyle w:val="ListParagraph"/>
        <w:numPr>
          <w:ilvl w:val="0"/>
          <w:numId w:val="1"/>
        </w:numPr>
        <w:jc w:val="both"/>
        <w:rPr>
          <w:rFonts w:ascii="Times New Roman" w:hAnsi="Times New Roman" w:cs="Times New Roman"/>
        </w:rPr>
      </w:pPr>
      <w:r w:rsidRPr="000A04C7">
        <w:rPr>
          <w:rFonts w:ascii="Times New Roman" w:hAnsi="Times New Roman" w:cs="Times New Roman"/>
        </w:rPr>
        <w:t>The validated PISA-based assessment instrument may be utilized and refined for wider use in other schools and science disciplines.</w:t>
      </w:r>
    </w:p>
    <w:p w14:paraId="479EEB4B" w14:textId="77777777" w:rsidR="004854AB" w:rsidRDefault="004854AB" w:rsidP="004854AB">
      <w:pPr>
        <w:jc w:val="both"/>
        <w:rPr>
          <w:rFonts w:ascii="Times New Roman" w:hAnsi="Times New Roman" w:cs="Times New Roman"/>
          <w:b/>
          <w:bCs/>
        </w:rPr>
      </w:pPr>
    </w:p>
    <w:p w14:paraId="36B57663" w14:textId="77777777" w:rsidR="00B3397B" w:rsidRDefault="00B3397B" w:rsidP="004854AB">
      <w:pPr>
        <w:jc w:val="both"/>
        <w:rPr>
          <w:rFonts w:ascii="Times New Roman" w:hAnsi="Times New Roman" w:cs="Times New Roman"/>
          <w:b/>
          <w:bCs/>
        </w:rPr>
      </w:pPr>
    </w:p>
    <w:p w14:paraId="6A8B7B25" w14:textId="77777777" w:rsidR="00B3397B" w:rsidRDefault="00B3397B" w:rsidP="004854AB">
      <w:pPr>
        <w:jc w:val="both"/>
        <w:rPr>
          <w:rFonts w:ascii="Times New Roman" w:hAnsi="Times New Roman" w:cs="Times New Roman"/>
          <w:b/>
          <w:bCs/>
        </w:rPr>
      </w:pPr>
    </w:p>
    <w:p w14:paraId="040029B7" w14:textId="77777777" w:rsidR="00B3397B" w:rsidRDefault="00B3397B" w:rsidP="004854AB">
      <w:pPr>
        <w:jc w:val="both"/>
        <w:rPr>
          <w:rFonts w:ascii="Times New Roman" w:hAnsi="Times New Roman" w:cs="Times New Roman"/>
          <w:b/>
          <w:bCs/>
        </w:rPr>
      </w:pPr>
    </w:p>
    <w:p w14:paraId="154CFAD8" w14:textId="77777777" w:rsidR="00B3397B" w:rsidRDefault="00B3397B" w:rsidP="004854AB">
      <w:pPr>
        <w:jc w:val="both"/>
        <w:rPr>
          <w:rFonts w:ascii="Times New Roman" w:hAnsi="Times New Roman" w:cs="Times New Roman"/>
          <w:b/>
          <w:bCs/>
        </w:rPr>
      </w:pPr>
    </w:p>
    <w:p w14:paraId="453FEE22" w14:textId="77777777" w:rsidR="00B3397B" w:rsidRDefault="00B3397B" w:rsidP="004854AB">
      <w:pPr>
        <w:jc w:val="both"/>
        <w:rPr>
          <w:rFonts w:ascii="Times New Roman" w:hAnsi="Times New Roman" w:cs="Times New Roman"/>
          <w:b/>
          <w:bCs/>
        </w:rPr>
      </w:pPr>
    </w:p>
    <w:p w14:paraId="409F7AFF" w14:textId="77777777" w:rsidR="00B3397B" w:rsidRDefault="00B3397B" w:rsidP="004854AB">
      <w:pPr>
        <w:jc w:val="both"/>
        <w:rPr>
          <w:rFonts w:ascii="Times New Roman" w:hAnsi="Times New Roman" w:cs="Times New Roman"/>
          <w:b/>
          <w:bCs/>
        </w:rPr>
      </w:pPr>
    </w:p>
    <w:p w14:paraId="413E7103" w14:textId="77777777" w:rsidR="00B3397B" w:rsidRDefault="00B3397B" w:rsidP="004854AB">
      <w:pPr>
        <w:jc w:val="both"/>
        <w:rPr>
          <w:rFonts w:ascii="Times New Roman" w:hAnsi="Times New Roman" w:cs="Times New Roman"/>
          <w:b/>
          <w:bCs/>
        </w:rPr>
      </w:pPr>
    </w:p>
    <w:p w14:paraId="13825AE8" w14:textId="77777777" w:rsidR="00B3397B" w:rsidRDefault="00B3397B" w:rsidP="004854AB">
      <w:pPr>
        <w:jc w:val="both"/>
        <w:rPr>
          <w:rFonts w:ascii="Times New Roman" w:hAnsi="Times New Roman" w:cs="Times New Roman"/>
          <w:b/>
          <w:bCs/>
        </w:rPr>
      </w:pPr>
    </w:p>
    <w:p w14:paraId="0AE62F75" w14:textId="77777777" w:rsidR="00B3397B" w:rsidRDefault="00B3397B" w:rsidP="004854AB">
      <w:pPr>
        <w:jc w:val="both"/>
        <w:rPr>
          <w:rFonts w:ascii="Times New Roman" w:hAnsi="Times New Roman" w:cs="Times New Roman"/>
          <w:b/>
          <w:bCs/>
        </w:rPr>
      </w:pPr>
    </w:p>
    <w:p w14:paraId="3BB73F52" w14:textId="77777777" w:rsidR="00B3397B" w:rsidRDefault="00B3397B" w:rsidP="004854AB">
      <w:pPr>
        <w:jc w:val="both"/>
        <w:rPr>
          <w:rFonts w:ascii="Times New Roman" w:hAnsi="Times New Roman" w:cs="Times New Roman"/>
          <w:b/>
          <w:bCs/>
        </w:rPr>
      </w:pPr>
    </w:p>
    <w:p w14:paraId="0004FFE4" w14:textId="77777777" w:rsidR="00B3397B" w:rsidRDefault="00B3397B" w:rsidP="004854AB">
      <w:pPr>
        <w:jc w:val="both"/>
        <w:rPr>
          <w:rFonts w:ascii="Times New Roman" w:hAnsi="Times New Roman" w:cs="Times New Roman"/>
          <w:b/>
          <w:bCs/>
        </w:rPr>
      </w:pPr>
    </w:p>
    <w:p w14:paraId="5AD96BCC" w14:textId="77777777" w:rsidR="00B3397B" w:rsidRDefault="00B3397B" w:rsidP="004854AB">
      <w:pPr>
        <w:jc w:val="both"/>
        <w:rPr>
          <w:rFonts w:ascii="Times New Roman" w:hAnsi="Times New Roman" w:cs="Times New Roman"/>
          <w:b/>
          <w:bCs/>
        </w:rPr>
      </w:pPr>
    </w:p>
    <w:p w14:paraId="62096420" w14:textId="77777777" w:rsidR="00B3397B" w:rsidRDefault="00B3397B" w:rsidP="004854AB">
      <w:pPr>
        <w:jc w:val="both"/>
        <w:rPr>
          <w:rFonts w:ascii="Times New Roman" w:hAnsi="Times New Roman" w:cs="Times New Roman"/>
          <w:b/>
          <w:bCs/>
        </w:rPr>
      </w:pPr>
    </w:p>
    <w:p w14:paraId="1D53005C" w14:textId="77777777" w:rsidR="00B3397B" w:rsidRDefault="00B3397B" w:rsidP="004854AB">
      <w:pPr>
        <w:jc w:val="both"/>
        <w:rPr>
          <w:rFonts w:ascii="Times New Roman" w:hAnsi="Times New Roman" w:cs="Times New Roman"/>
          <w:b/>
          <w:bCs/>
        </w:rPr>
      </w:pPr>
    </w:p>
    <w:p w14:paraId="14419002" w14:textId="77777777" w:rsidR="00B3397B" w:rsidRDefault="00B3397B" w:rsidP="004854AB">
      <w:pPr>
        <w:jc w:val="both"/>
        <w:rPr>
          <w:rFonts w:ascii="Times New Roman" w:hAnsi="Times New Roman" w:cs="Times New Roman"/>
          <w:b/>
          <w:bCs/>
        </w:rPr>
      </w:pPr>
    </w:p>
    <w:p w14:paraId="323E5440" w14:textId="77777777" w:rsidR="004854AB" w:rsidRDefault="004854AB" w:rsidP="004854AB">
      <w:pPr>
        <w:jc w:val="both"/>
        <w:rPr>
          <w:rFonts w:ascii="Times New Roman" w:hAnsi="Times New Roman" w:cs="Times New Roman"/>
          <w:b/>
          <w:bCs/>
        </w:rPr>
      </w:pPr>
      <w:r w:rsidRPr="000A04C7">
        <w:rPr>
          <w:rFonts w:ascii="Times New Roman" w:hAnsi="Times New Roman" w:cs="Times New Roman"/>
          <w:b/>
          <w:bCs/>
        </w:rPr>
        <w:lastRenderedPageBreak/>
        <w:t xml:space="preserve">REFERENCES </w:t>
      </w:r>
    </w:p>
    <w:p w14:paraId="1C32E595" w14:textId="77777777" w:rsidR="004854AB" w:rsidRPr="000A04C7" w:rsidRDefault="004854AB" w:rsidP="004854AB">
      <w:pPr>
        <w:pStyle w:val="ListParagraph"/>
        <w:numPr>
          <w:ilvl w:val="0"/>
          <w:numId w:val="2"/>
        </w:numPr>
        <w:jc w:val="both"/>
        <w:rPr>
          <w:rFonts w:ascii="Times New Roman" w:hAnsi="Times New Roman" w:cs="Times New Roman"/>
        </w:rPr>
      </w:pPr>
      <w:proofErr w:type="spellStart"/>
      <w:r w:rsidRPr="000A04C7">
        <w:rPr>
          <w:rFonts w:ascii="Times New Roman" w:hAnsi="Times New Roman" w:cs="Times New Roman"/>
        </w:rPr>
        <w:t>Andaresta</w:t>
      </w:r>
      <w:proofErr w:type="spellEnd"/>
      <w:r w:rsidRPr="000A04C7">
        <w:rPr>
          <w:rFonts w:ascii="Times New Roman" w:hAnsi="Times New Roman" w:cs="Times New Roman"/>
        </w:rPr>
        <w:t xml:space="preserve">, O., </w:t>
      </w:r>
      <w:proofErr w:type="spellStart"/>
      <w:r w:rsidRPr="000A04C7">
        <w:rPr>
          <w:rFonts w:ascii="Times New Roman" w:hAnsi="Times New Roman" w:cs="Times New Roman"/>
        </w:rPr>
        <w:t>Muliani</w:t>
      </w:r>
      <w:proofErr w:type="spellEnd"/>
      <w:r w:rsidRPr="000A04C7">
        <w:rPr>
          <w:rFonts w:ascii="Times New Roman" w:hAnsi="Times New Roman" w:cs="Times New Roman"/>
        </w:rPr>
        <w:t xml:space="preserve">, M., </w:t>
      </w:r>
      <w:proofErr w:type="spellStart"/>
      <w:r w:rsidRPr="000A04C7">
        <w:rPr>
          <w:rFonts w:ascii="Times New Roman" w:hAnsi="Times New Roman" w:cs="Times New Roman"/>
        </w:rPr>
        <w:t>Safriana</w:t>
      </w:r>
      <w:proofErr w:type="spellEnd"/>
      <w:r w:rsidRPr="000A04C7">
        <w:rPr>
          <w:rFonts w:ascii="Times New Roman" w:hAnsi="Times New Roman" w:cs="Times New Roman"/>
        </w:rPr>
        <w:t xml:space="preserve">, S., </w:t>
      </w:r>
      <w:proofErr w:type="spellStart"/>
      <w:r w:rsidRPr="000A04C7">
        <w:rPr>
          <w:rFonts w:ascii="Times New Roman" w:hAnsi="Times New Roman" w:cs="Times New Roman"/>
        </w:rPr>
        <w:t>Sakdiah</w:t>
      </w:r>
      <w:proofErr w:type="spellEnd"/>
      <w:r w:rsidRPr="000A04C7">
        <w:rPr>
          <w:rFonts w:ascii="Times New Roman" w:hAnsi="Times New Roman" w:cs="Times New Roman"/>
        </w:rPr>
        <w:t xml:space="preserve">, H., &amp; </w:t>
      </w:r>
      <w:proofErr w:type="spellStart"/>
      <w:r w:rsidRPr="000A04C7">
        <w:rPr>
          <w:rFonts w:ascii="Times New Roman" w:hAnsi="Times New Roman" w:cs="Times New Roman"/>
        </w:rPr>
        <w:t>Novita</w:t>
      </w:r>
      <w:proofErr w:type="spellEnd"/>
      <w:r w:rsidRPr="000A04C7">
        <w:rPr>
          <w:rFonts w:ascii="Times New Roman" w:hAnsi="Times New Roman" w:cs="Times New Roman"/>
        </w:rPr>
        <w:t xml:space="preserve">, N. (2023). Development of assessments to measure learners’ science literacy ability: </w:t>
      </w:r>
      <w:proofErr w:type="spellStart"/>
      <w:r w:rsidRPr="000A04C7">
        <w:rPr>
          <w:rFonts w:ascii="Times New Roman" w:hAnsi="Times New Roman" w:cs="Times New Roman"/>
        </w:rPr>
        <w:t>Rasch</w:t>
      </w:r>
      <w:proofErr w:type="spellEnd"/>
      <w:r w:rsidRPr="000A04C7">
        <w:rPr>
          <w:rFonts w:ascii="Times New Roman" w:hAnsi="Times New Roman" w:cs="Times New Roman"/>
        </w:rPr>
        <w:t xml:space="preserve"> modeling analysis. </w:t>
      </w:r>
      <w:proofErr w:type="spellStart"/>
      <w:r w:rsidRPr="000A04C7">
        <w:rPr>
          <w:rFonts w:ascii="Times New Roman" w:hAnsi="Times New Roman" w:cs="Times New Roman"/>
        </w:rPr>
        <w:t>Jurnal</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Pendidikan</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Fisika</w:t>
      </w:r>
      <w:proofErr w:type="spellEnd"/>
      <w:r w:rsidRPr="000A04C7">
        <w:rPr>
          <w:rFonts w:ascii="Times New Roman" w:hAnsi="Times New Roman" w:cs="Times New Roman"/>
        </w:rPr>
        <w:t xml:space="preserve"> Dan </w:t>
      </w:r>
      <w:proofErr w:type="spellStart"/>
      <w:r w:rsidRPr="000A04C7">
        <w:rPr>
          <w:rFonts w:ascii="Times New Roman" w:hAnsi="Times New Roman" w:cs="Times New Roman"/>
        </w:rPr>
        <w:t>Teknologi</w:t>
      </w:r>
      <w:proofErr w:type="spellEnd"/>
      <w:r w:rsidRPr="000A04C7">
        <w:rPr>
          <w:rFonts w:ascii="Times New Roman" w:hAnsi="Times New Roman" w:cs="Times New Roman"/>
        </w:rPr>
        <w:t>, 9(2), 356–365. https://doi.org/10.29303/jpft.v9i2.6092</w:t>
      </w:r>
    </w:p>
    <w:p w14:paraId="679E3FCC" w14:textId="77777777" w:rsidR="004854AB" w:rsidRPr="000A04C7" w:rsidRDefault="004854AB" w:rsidP="004854AB">
      <w:pPr>
        <w:pStyle w:val="ListParagraph"/>
        <w:numPr>
          <w:ilvl w:val="0"/>
          <w:numId w:val="2"/>
        </w:numPr>
        <w:jc w:val="both"/>
        <w:rPr>
          <w:rFonts w:ascii="Times New Roman" w:hAnsi="Times New Roman" w:cs="Times New Roman"/>
        </w:rPr>
      </w:pPr>
      <w:proofErr w:type="spellStart"/>
      <w:r w:rsidRPr="000A04C7">
        <w:rPr>
          <w:rFonts w:ascii="Times New Roman" w:hAnsi="Times New Roman" w:cs="Times New Roman"/>
        </w:rPr>
        <w:t>Baigan</w:t>
      </w:r>
      <w:proofErr w:type="spellEnd"/>
      <w:r w:rsidRPr="000A04C7">
        <w:rPr>
          <w:rFonts w:ascii="Times New Roman" w:hAnsi="Times New Roman" w:cs="Times New Roman"/>
        </w:rPr>
        <w:t xml:space="preserve">, A., </w:t>
      </w:r>
      <w:proofErr w:type="spellStart"/>
      <w:r w:rsidRPr="000A04C7">
        <w:rPr>
          <w:rFonts w:ascii="Times New Roman" w:hAnsi="Times New Roman" w:cs="Times New Roman"/>
        </w:rPr>
        <w:t>Nabua</w:t>
      </w:r>
      <w:proofErr w:type="spellEnd"/>
      <w:r w:rsidRPr="000A04C7">
        <w:rPr>
          <w:rFonts w:ascii="Times New Roman" w:hAnsi="Times New Roman" w:cs="Times New Roman"/>
        </w:rPr>
        <w:t xml:space="preserve">, E., </w:t>
      </w:r>
      <w:proofErr w:type="spellStart"/>
      <w:r w:rsidRPr="000A04C7">
        <w:rPr>
          <w:rFonts w:ascii="Times New Roman" w:hAnsi="Times New Roman" w:cs="Times New Roman"/>
        </w:rPr>
        <w:t>Alcopra</w:t>
      </w:r>
      <w:proofErr w:type="spellEnd"/>
      <w:r w:rsidRPr="000A04C7">
        <w:rPr>
          <w:rFonts w:ascii="Times New Roman" w:hAnsi="Times New Roman" w:cs="Times New Roman"/>
        </w:rPr>
        <w:t>, A., Fernandez, M. J., &amp; Salic-</w:t>
      </w:r>
      <w:proofErr w:type="spellStart"/>
      <w:r w:rsidRPr="000A04C7">
        <w:rPr>
          <w:rFonts w:ascii="Times New Roman" w:hAnsi="Times New Roman" w:cs="Times New Roman"/>
        </w:rPr>
        <w:t>Hairulla</w:t>
      </w:r>
      <w:proofErr w:type="spellEnd"/>
      <w:r w:rsidRPr="000A04C7">
        <w:rPr>
          <w:rFonts w:ascii="Times New Roman" w:hAnsi="Times New Roman" w:cs="Times New Roman"/>
        </w:rPr>
        <w:t xml:space="preserve">, M. (2025). Development of balancing equation learning packet: A strategic intervention material for Grade 10 learners. International Journal of Research and Innovation in Social Science, </w:t>
      </w:r>
      <w:proofErr w:type="gramStart"/>
      <w:r w:rsidRPr="000A04C7">
        <w:rPr>
          <w:rFonts w:ascii="Times New Roman" w:hAnsi="Times New Roman" w:cs="Times New Roman"/>
        </w:rPr>
        <w:t>IX(</w:t>
      </w:r>
      <w:proofErr w:type="gramEnd"/>
      <w:r w:rsidRPr="000A04C7">
        <w:rPr>
          <w:rFonts w:ascii="Times New Roman" w:hAnsi="Times New Roman" w:cs="Times New Roman"/>
        </w:rPr>
        <w:t>IV), 6533–6540. https://doi.org/10.47772/ijriss.2025.9040047</w:t>
      </w:r>
    </w:p>
    <w:p w14:paraId="3D025791" w14:textId="77777777" w:rsidR="004854AB" w:rsidRPr="000A04C7" w:rsidRDefault="004854AB" w:rsidP="004854AB">
      <w:pPr>
        <w:pStyle w:val="ListParagraph"/>
        <w:numPr>
          <w:ilvl w:val="0"/>
          <w:numId w:val="2"/>
        </w:numPr>
        <w:jc w:val="both"/>
        <w:rPr>
          <w:rFonts w:ascii="Times New Roman" w:hAnsi="Times New Roman" w:cs="Times New Roman"/>
        </w:rPr>
      </w:pPr>
      <w:r w:rsidRPr="000A04C7">
        <w:rPr>
          <w:rFonts w:ascii="Times New Roman" w:hAnsi="Times New Roman" w:cs="Times New Roman"/>
        </w:rPr>
        <w:t xml:space="preserve">Fives, H., Huebner, W., Birnbaum, A. S., &amp; </w:t>
      </w:r>
      <w:proofErr w:type="spellStart"/>
      <w:r w:rsidRPr="000A04C7">
        <w:rPr>
          <w:rFonts w:ascii="Times New Roman" w:hAnsi="Times New Roman" w:cs="Times New Roman"/>
        </w:rPr>
        <w:t>Nicolich</w:t>
      </w:r>
      <w:proofErr w:type="spellEnd"/>
      <w:r w:rsidRPr="000A04C7">
        <w:rPr>
          <w:rFonts w:ascii="Times New Roman" w:hAnsi="Times New Roman" w:cs="Times New Roman"/>
        </w:rPr>
        <w:t>, M. (2022). Developing a measure of scientific literacy for middle school students. Science Education, 106(2), 289–314. https://doi.org/10.1002/sce.21682</w:t>
      </w:r>
    </w:p>
    <w:p w14:paraId="1DE62314" w14:textId="77777777" w:rsidR="004854AB" w:rsidRPr="000A04C7" w:rsidRDefault="004854AB" w:rsidP="004854AB">
      <w:pPr>
        <w:pStyle w:val="ListParagraph"/>
        <w:numPr>
          <w:ilvl w:val="0"/>
          <w:numId w:val="2"/>
        </w:numPr>
        <w:jc w:val="both"/>
        <w:rPr>
          <w:rFonts w:ascii="Times New Roman" w:hAnsi="Times New Roman" w:cs="Times New Roman"/>
        </w:rPr>
      </w:pPr>
      <w:proofErr w:type="spellStart"/>
      <w:r w:rsidRPr="000A04C7">
        <w:rPr>
          <w:rFonts w:ascii="Times New Roman" w:hAnsi="Times New Roman" w:cs="Times New Roman"/>
        </w:rPr>
        <w:t>García-Ceberino</w:t>
      </w:r>
      <w:proofErr w:type="spellEnd"/>
      <w:r w:rsidRPr="000A04C7">
        <w:rPr>
          <w:rFonts w:ascii="Times New Roman" w:hAnsi="Times New Roman" w:cs="Times New Roman"/>
        </w:rPr>
        <w:t xml:space="preserve">, J. M., </w:t>
      </w:r>
      <w:proofErr w:type="spellStart"/>
      <w:r w:rsidRPr="000A04C7">
        <w:rPr>
          <w:rFonts w:ascii="Times New Roman" w:hAnsi="Times New Roman" w:cs="Times New Roman"/>
        </w:rPr>
        <w:t>Antúnez</w:t>
      </w:r>
      <w:proofErr w:type="spellEnd"/>
      <w:r w:rsidRPr="000A04C7">
        <w:rPr>
          <w:rFonts w:ascii="Times New Roman" w:hAnsi="Times New Roman" w:cs="Times New Roman"/>
        </w:rPr>
        <w:t xml:space="preserve">, A., Ibáñez, S. J., &amp; </w:t>
      </w:r>
      <w:proofErr w:type="spellStart"/>
      <w:r w:rsidRPr="000A04C7">
        <w:rPr>
          <w:rFonts w:ascii="Times New Roman" w:hAnsi="Times New Roman" w:cs="Times New Roman"/>
        </w:rPr>
        <w:t>Feu</w:t>
      </w:r>
      <w:proofErr w:type="spellEnd"/>
      <w:r w:rsidRPr="000A04C7">
        <w:rPr>
          <w:rFonts w:ascii="Times New Roman" w:hAnsi="Times New Roman" w:cs="Times New Roman"/>
        </w:rPr>
        <w:t>, S. (2020). Design and validation of the instrument for the measurement of learning and performance in football. International Journal of Environmental Research and Public Health, 17(13), 4629. https://doi.org/10.3390/ijerph17134629</w:t>
      </w:r>
    </w:p>
    <w:p w14:paraId="20DC8218" w14:textId="77777777" w:rsidR="004854AB" w:rsidRPr="000A04C7" w:rsidRDefault="004854AB" w:rsidP="004854AB">
      <w:pPr>
        <w:pStyle w:val="ListParagraph"/>
        <w:numPr>
          <w:ilvl w:val="0"/>
          <w:numId w:val="2"/>
        </w:numPr>
        <w:jc w:val="both"/>
        <w:rPr>
          <w:rFonts w:ascii="Times New Roman" w:hAnsi="Times New Roman" w:cs="Times New Roman"/>
        </w:rPr>
      </w:pPr>
      <w:proofErr w:type="spellStart"/>
      <w:r w:rsidRPr="000A04C7">
        <w:rPr>
          <w:rFonts w:ascii="Times New Roman" w:hAnsi="Times New Roman" w:cs="Times New Roman"/>
        </w:rPr>
        <w:t>Hadiastriani</w:t>
      </w:r>
      <w:proofErr w:type="spellEnd"/>
      <w:r w:rsidRPr="000A04C7">
        <w:rPr>
          <w:rFonts w:ascii="Times New Roman" w:hAnsi="Times New Roman" w:cs="Times New Roman"/>
        </w:rPr>
        <w:t xml:space="preserve">, Y., &amp; </w:t>
      </w:r>
      <w:proofErr w:type="spellStart"/>
      <w:r w:rsidRPr="000A04C7">
        <w:rPr>
          <w:rFonts w:ascii="Times New Roman" w:hAnsi="Times New Roman" w:cs="Times New Roman"/>
        </w:rPr>
        <w:t>Djarot</w:t>
      </w:r>
      <w:proofErr w:type="spellEnd"/>
      <w:r w:rsidRPr="000A04C7">
        <w:rPr>
          <w:rFonts w:ascii="Times New Roman" w:hAnsi="Times New Roman" w:cs="Times New Roman"/>
        </w:rPr>
        <w:t xml:space="preserve">, P. (2024). Mapping research trends on development of scientific literacy assessment: A </w:t>
      </w:r>
      <w:proofErr w:type="spellStart"/>
      <w:r w:rsidRPr="000A04C7">
        <w:rPr>
          <w:rFonts w:ascii="Times New Roman" w:hAnsi="Times New Roman" w:cs="Times New Roman"/>
        </w:rPr>
        <w:t>bibliometric</w:t>
      </w:r>
      <w:proofErr w:type="spellEnd"/>
      <w:r w:rsidRPr="000A04C7">
        <w:rPr>
          <w:rFonts w:ascii="Times New Roman" w:hAnsi="Times New Roman" w:cs="Times New Roman"/>
        </w:rPr>
        <w:t xml:space="preserve"> analysis. JPBI (</w:t>
      </w:r>
      <w:proofErr w:type="spellStart"/>
      <w:r w:rsidRPr="000A04C7">
        <w:rPr>
          <w:rFonts w:ascii="Times New Roman" w:hAnsi="Times New Roman" w:cs="Times New Roman"/>
        </w:rPr>
        <w:t>Jurnal</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Pendidikan</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Biologi</w:t>
      </w:r>
      <w:proofErr w:type="spellEnd"/>
      <w:r w:rsidRPr="000A04C7">
        <w:rPr>
          <w:rFonts w:ascii="Times New Roman" w:hAnsi="Times New Roman" w:cs="Times New Roman"/>
        </w:rPr>
        <w:t xml:space="preserve"> Indonesia), 10(1), 211–222. https://doi.org/10.22219/jpbi.v10i1.31136</w:t>
      </w:r>
    </w:p>
    <w:p w14:paraId="4677A5AA" w14:textId="77777777" w:rsidR="004854AB" w:rsidRPr="000A04C7" w:rsidRDefault="004854AB" w:rsidP="004854AB">
      <w:pPr>
        <w:pStyle w:val="ListParagraph"/>
        <w:numPr>
          <w:ilvl w:val="0"/>
          <w:numId w:val="2"/>
        </w:numPr>
        <w:jc w:val="both"/>
        <w:rPr>
          <w:rFonts w:ascii="Times New Roman" w:hAnsi="Times New Roman" w:cs="Times New Roman"/>
        </w:rPr>
      </w:pPr>
      <w:proofErr w:type="spellStart"/>
      <w:r w:rsidRPr="000A04C7">
        <w:rPr>
          <w:rFonts w:ascii="Times New Roman" w:hAnsi="Times New Roman" w:cs="Times New Roman"/>
        </w:rPr>
        <w:t>Irwanto</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Rohaeti</w:t>
      </w:r>
      <w:proofErr w:type="spellEnd"/>
      <w:r w:rsidRPr="000A04C7">
        <w:rPr>
          <w:rFonts w:ascii="Times New Roman" w:hAnsi="Times New Roman" w:cs="Times New Roman"/>
        </w:rPr>
        <w:t xml:space="preserve">, E., LFX, E. W., &amp; </w:t>
      </w:r>
      <w:proofErr w:type="spellStart"/>
      <w:r w:rsidRPr="000A04C7">
        <w:rPr>
          <w:rFonts w:ascii="Times New Roman" w:hAnsi="Times New Roman" w:cs="Times New Roman"/>
        </w:rPr>
        <w:t>Suyanta</w:t>
      </w:r>
      <w:proofErr w:type="spellEnd"/>
      <w:r w:rsidRPr="000A04C7">
        <w:rPr>
          <w:rFonts w:ascii="Times New Roman" w:hAnsi="Times New Roman" w:cs="Times New Roman"/>
        </w:rPr>
        <w:t xml:space="preserve">. (2019). </w:t>
      </w:r>
      <w:proofErr w:type="gramStart"/>
      <w:r w:rsidRPr="000A04C7">
        <w:rPr>
          <w:rFonts w:ascii="Times New Roman" w:hAnsi="Times New Roman" w:cs="Times New Roman"/>
        </w:rPr>
        <w:t>The</w:t>
      </w:r>
      <w:proofErr w:type="gramEnd"/>
      <w:r w:rsidRPr="000A04C7">
        <w:rPr>
          <w:rFonts w:ascii="Times New Roman" w:hAnsi="Times New Roman" w:cs="Times New Roman"/>
        </w:rPr>
        <w:t xml:space="preserve"> development of an integrated assessment instrument for measuring analytical thinking and science process skills. AIP Conference Proceedings, 1847, 050005. https://doi.org/10.1063/1.4983907</w:t>
      </w:r>
    </w:p>
    <w:p w14:paraId="771B4784" w14:textId="77777777" w:rsidR="004854AB" w:rsidRPr="000A04C7" w:rsidRDefault="004854AB" w:rsidP="004854AB">
      <w:pPr>
        <w:pStyle w:val="ListParagraph"/>
        <w:numPr>
          <w:ilvl w:val="0"/>
          <w:numId w:val="2"/>
        </w:numPr>
        <w:jc w:val="both"/>
        <w:rPr>
          <w:rFonts w:ascii="Times New Roman" w:hAnsi="Times New Roman" w:cs="Times New Roman"/>
          <w:b/>
          <w:bCs/>
        </w:rPr>
      </w:pPr>
      <w:proofErr w:type="spellStart"/>
      <w:r w:rsidRPr="000A04C7">
        <w:rPr>
          <w:rFonts w:ascii="Times New Roman" w:hAnsi="Times New Roman" w:cs="Times New Roman"/>
        </w:rPr>
        <w:t>Khmel</w:t>
      </w:r>
      <w:proofErr w:type="spellEnd"/>
      <w:r w:rsidRPr="000A04C7">
        <w:rPr>
          <w:rFonts w:ascii="Times New Roman" w:hAnsi="Times New Roman" w:cs="Times New Roman"/>
        </w:rPr>
        <w:t xml:space="preserve">, N., &amp; </w:t>
      </w:r>
      <w:proofErr w:type="spellStart"/>
      <w:r w:rsidRPr="000A04C7">
        <w:rPr>
          <w:rFonts w:ascii="Times New Roman" w:hAnsi="Times New Roman" w:cs="Times New Roman"/>
        </w:rPr>
        <w:t>Shpyrka</w:t>
      </w:r>
      <w:proofErr w:type="spellEnd"/>
      <w:r w:rsidRPr="000A04C7">
        <w:rPr>
          <w:rFonts w:ascii="Times New Roman" w:hAnsi="Times New Roman" w:cs="Times New Roman"/>
        </w:rPr>
        <w:t xml:space="preserve">, Z. (2025). Studying chemistry at school: Overcoming challenges together. Journal of </w:t>
      </w:r>
      <w:proofErr w:type="spellStart"/>
      <w:r w:rsidRPr="000A04C7">
        <w:rPr>
          <w:rFonts w:ascii="Times New Roman" w:hAnsi="Times New Roman" w:cs="Times New Roman"/>
        </w:rPr>
        <w:t>Vasyl</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Stefanyk</w:t>
      </w:r>
      <w:proofErr w:type="spellEnd"/>
      <w:r w:rsidRPr="000A04C7">
        <w:rPr>
          <w:rFonts w:ascii="Times New Roman" w:hAnsi="Times New Roman" w:cs="Times New Roman"/>
        </w:rPr>
        <w:t xml:space="preserve"> </w:t>
      </w:r>
      <w:proofErr w:type="spellStart"/>
      <w:r w:rsidRPr="000A04C7">
        <w:rPr>
          <w:rFonts w:ascii="Times New Roman" w:hAnsi="Times New Roman" w:cs="Times New Roman"/>
        </w:rPr>
        <w:t>Precarpathian</w:t>
      </w:r>
      <w:proofErr w:type="spellEnd"/>
      <w:r w:rsidRPr="000A04C7">
        <w:rPr>
          <w:rFonts w:ascii="Times New Roman" w:hAnsi="Times New Roman" w:cs="Times New Roman"/>
        </w:rPr>
        <w:t xml:space="preserve"> National University, 12(1), 151–160. https://doi.org/10.15330/jpnu.12.1.151-160</w:t>
      </w:r>
    </w:p>
    <w:p w14:paraId="6C938E35" w14:textId="77777777" w:rsidR="004854AB" w:rsidRPr="000A04C7" w:rsidRDefault="004854AB" w:rsidP="004854AB">
      <w:pPr>
        <w:pStyle w:val="ListParagraph"/>
        <w:numPr>
          <w:ilvl w:val="0"/>
          <w:numId w:val="2"/>
        </w:numPr>
        <w:jc w:val="both"/>
        <w:rPr>
          <w:rFonts w:ascii="Times New Roman" w:hAnsi="Times New Roman" w:cs="Times New Roman"/>
          <w:b/>
          <w:bCs/>
        </w:rPr>
      </w:pPr>
      <w:r w:rsidRPr="000A04C7">
        <w:rPr>
          <w:rFonts w:ascii="Times New Roman" w:hAnsi="Times New Roman" w:cs="Times New Roman"/>
        </w:rPr>
        <w:t xml:space="preserve">OECD. (2019). PISA 2018 assessment and analytical framework. </w:t>
      </w:r>
      <w:proofErr w:type="spellStart"/>
      <w:r w:rsidRPr="000A04C7">
        <w:rPr>
          <w:rFonts w:ascii="Times New Roman" w:hAnsi="Times New Roman" w:cs="Times New Roman"/>
        </w:rPr>
        <w:t>Organisation</w:t>
      </w:r>
      <w:proofErr w:type="spellEnd"/>
      <w:r w:rsidRPr="000A04C7">
        <w:rPr>
          <w:rFonts w:ascii="Times New Roman" w:hAnsi="Times New Roman" w:cs="Times New Roman"/>
        </w:rPr>
        <w:t xml:space="preserve"> for Economic Co-operation and Development Publishing. https://doi.org/10.1787/b25efab8-en</w:t>
      </w:r>
    </w:p>
    <w:p w14:paraId="73C37FD0" w14:textId="77777777" w:rsidR="004854AB" w:rsidRPr="000A04C7" w:rsidRDefault="004854AB" w:rsidP="004854AB">
      <w:pPr>
        <w:pStyle w:val="ListParagraph"/>
        <w:numPr>
          <w:ilvl w:val="0"/>
          <w:numId w:val="2"/>
        </w:numPr>
        <w:jc w:val="both"/>
        <w:rPr>
          <w:rFonts w:ascii="Times New Roman" w:hAnsi="Times New Roman" w:cs="Times New Roman"/>
          <w:b/>
          <w:bCs/>
        </w:rPr>
      </w:pPr>
      <w:r w:rsidRPr="000A04C7">
        <w:rPr>
          <w:rFonts w:ascii="Times New Roman" w:hAnsi="Times New Roman" w:cs="Times New Roman"/>
        </w:rPr>
        <w:t xml:space="preserve">OECD. (2023). PISA 2022 science framework. </w:t>
      </w:r>
      <w:proofErr w:type="spellStart"/>
      <w:r w:rsidRPr="000A04C7">
        <w:rPr>
          <w:rFonts w:ascii="Times New Roman" w:hAnsi="Times New Roman" w:cs="Times New Roman"/>
        </w:rPr>
        <w:t>Organisation</w:t>
      </w:r>
      <w:proofErr w:type="spellEnd"/>
      <w:r w:rsidRPr="000A04C7">
        <w:rPr>
          <w:rFonts w:ascii="Times New Roman" w:hAnsi="Times New Roman" w:cs="Times New Roman"/>
        </w:rPr>
        <w:t xml:space="preserve"> for Economic Co-operation and Development Publishing. https://www.oecd.org/pisa/innovation/science-framework/</w:t>
      </w:r>
    </w:p>
    <w:p w14:paraId="2E0B3271" w14:textId="77777777" w:rsidR="004854AB" w:rsidRPr="000A04C7" w:rsidRDefault="004854AB" w:rsidP="004854AB">
      <w:pPr>
        <w:pStyle w:val="ListParagraph"/>
        <w:numPr>
          <w:ilvl w:val="0"/>
          <w:numId w:val="2"/>
        </w:numPr>
        <w:jc w:val="both"/>
        <w:rPr>
          <w:rFonts w:ascii="Times New Roman" w:hAnsi="Times New Roman" w:cs="Times New Roman"/>
          <w:b/>
          <w:bCs/>
        </w:rPr>
      </w:pPr>
      <w:proofErr w:type="spellStart"/>
      <w:r w:rsidRPr="000A04C7">
        <w:rPr>
          <w:rFonts w:ascii="Times New Roman" w:hAnsi="Times New Roman" w:cs="Times New Roman"/>
        </w:rPr>
        <w:t>Oktariani</w:t>
      </w:r>
      <w:proofErr w:type="spellEnd"/>
      <w:r w:rsidRPr="000A04C7">
        <w:rPr>
          <w:rFonts w:ascii="Times New Roman" w:hAnsi="Times New Roman" w:cs="Times New Roman"/>
        </w:rPr>
        <w:t xml:space="preserve">, O., &amp; </w:t>
      </w:r>
      <w:proofErr w:type="spellStart"/>
      <w:r w:rsidRPr="000A04C7">
        <w:rPr>
          <w:rFonts w:ascii="Times New Roman" w:hAnsi="Times New Roman" w:cs="Times New Roman"/>
        </w:rPr>
        <w:t>Febliza</w:t>
      </w:r>
      <w:proofErr w:type="spellEnd"/>
      <w:r w:rsidRPr="000A04C7">
        <w:rPr>
          <w:rFonts w:ascii="Times New Roman" w:hAnsi="Times New Roman" w:cs="Times New Roman"/>
        </w:rPr>
        <w:t>, A. (2019). Analysis of learners’ difficulties in chemistry learning on TIMSS-based questions. Journal of Educational Sciences, 3(4), 521–531. https://doi.org/10.31258/jes.3.4.p.521-531</w:t>
      </w:r>
    </w:p>
    <w:p w14:paraId="7E9AF7D5" w14:textId="77777777" w:rsidR="004854AB" w:rsidRPr="000A04C7" w:rsidRDefault="004854AB" w:rsidP="004854AB">
      <w:pPr>
        <w:pStyle w:val="ListParagraph"/>
        <w:numPr>
          <w:ilvl w:val="0"/>
          <w:numId w:val="2"/>
        </w:numPr>
        <w:jc w:val="both"/>
        <w:rPr>
          <w:rFonts w:ascii="Times New Roman" w:hAnsi="Times New Roman" w:cs="Times New Roman"/>
          <w:b/>
          <w:bCs/>
        </w:rPr>
      </w:pPr>
      <w:proofErr w:type="spellStart"/>
      <w:r w:rsidRPr="000A04C7">
        <w:rPr>
          <w:rFonts w:ascii="Times New Roman" w:hAnsi="Times New Roman" w:cs="Times New Roman"/>
        </w:rPr>
        <w:t>Olateju</w:t>
      </w:r>
      <w:proofErr w:type="spellEnd"/>
      <w:r w:rsidRPr="000A04C7">
        <w:rPr>
          <w:rFonts w:ascii="Times New Roman" w:hAnsi="Times New Roman" w:cs="Times New Roman"/>
        </w:rPr>
        <w:t xml:space="preserve">, O., </w:t>
      </w:r>
      <w:proofErr w:type="spellStart"/>
      <w:r w:rsidRPr="000A04C7">
        <w:rPr>
          <w:rFonts w:ascii="Times New Roman" w:hAnsi="Times New Roman" w:cs="Times New Roman"/>
        </w:rPr>
        <w:t>Adewumi</w:t>
      </w:r>
      <w:proofErr w:type="spellEnd"/>
      <w:r w:rsidRPr="000A04C7">
        <w:rPr>
          <w:rFonts w:ascii="Times New Roman" w:hAnsi="Times New Roman" w:cs="Times New Roman"/>
        </w:rPr>
        <w:t xml:space="preserve">, T., &amp; </w:t>
      </w:r>
      <w:proofErr w:type="spellStart"/>
      <w:r w:rsidRPr="000A04C7">
        <w:rPr>
          <w:rFonts w:ascii="Times New Roman" w:hAnsi="Times New Roman" w:cs="Times New Roman"/>
        </w:rPr>
        <w:t>Oladipo</w:t>
      </w:r>
      <w:proofErr w:type="spellEnd"/>
      <w:r w:rsidRPr="000A04C7">
        <w:rPr>
          <w:rFonts w:ascii="Times New Roman" w:hAnsi="Times New Roman" w:cs="Times New Roman"/>
        </w:rPr>
        <w:t>, A. (2024). Reliability and validity in educational measurement: Implications for assessment research. International Journal of Educational Methodology, 10(1), 45–58. https://doi.org/10.12973/ijem.10.1.45</w:t>
      </w:r>
    </w:p>
    <w:p w14:paraId="1A229DF8" w14:textId="77777777" w:rsidR="004854AB" w:rsidRPr="000A04C7" w:rsidRDefault="004854AB" w:rsidP="004854AB">
      <w:pPr>
        <w:pStyle w:val="ListParagraph"/>
        <w:numPr>
          <w:ilvl w:val="0"/>
          <w:numId w:val="2"/>
        </w:numPr>
        <w:jc w:val="both"/>
        <w:rPr>
          <w:rFonts w:ascii="Times New Roman" w:hAnsi="Times New Roman" w:cs="Times New Roman"/>
          <w:b/>
          <w:bCs/>
        </w:rPr>
      </w:pPr>
      <w:r w:rsidRPr="000A04C7">
        <w:rPr>
          <w:rFonts w:ascii="Times New Roman" w:hAnsi="Times New Roman" w:cs="Times New Roman"/>
        </w:rPr>
        <w:t xml:space="preserve">Poblete, T. C., </w:t>
      </w:r>
      <w:proofErr w:type="spellStart"/>
      <w:r w:rsidRPr="000A04C7">
        <w:rPr>
          <w:rFonts w:ascii="Times New Roman" w:hAnsi="Times New Roman" w:cs="Times New Roman"/>
        </w:rPr>
        <w:t>Nabua</w:t>
      </w:r>
      <w:proofErr w:type="spellEnd"/>
      <w:r w:rsidRPr="000A04C7">
        <w:rPr>
          <w:rFonts w:ascii="Times New Roman" w:hAnsi="Times New Roman" w:cs="Times New Roman"/>
        </w:rPr>
        <w:t xml:space="preserve">, E. B., </w:t>
      </w:r>
      <w:proofErr w:type="spellStart"/>
      <w:r w:rsidRPr="000A04C7">
        <w:rPr>
          <w:rFonts w:ascii="Times New Roman" w:hAnsi="Times New Roman" w:cs="Times New Roman"/>
        </w:rPr>
        <w:t>Abdurahman</w:t>
      </w:r>
      <w:proofErr w:type="spellEnd"/>
      <w:r w:rsidRPr="000A04C7">
        <w:rPr>
          <w:rFonts w:ascii="Times New Roman" w:hAnsi="Times New Roman" w:cs="Times New Roman"/>
        </w:rPr>
        <w:t xml:space="preserve">, M. M., </w:t>
      </w:r>
      <w:proofErr w:type="spellStart"/>
      <w:r w:rsidRPr="000A04C7">
        <w:rPr>
          <w:rFonts w:ascii="Times New Roman" w:hAnsi="Times New Roman" w:cs="Times New Roman"/>
        </w:rPr>
        <w:t>Navalta</w:t>
      </w:r>
      <w:proofErr w:type="spellEnd"/>
      <w:r w:rsidRPr="000A04C7">
        <w:rPr>
          <w:rFonts w:ascii="Times New Roman" w:hAnsi="Times New Roman" w:cs="Times New Roman"/>
        </w:rPr>
        <w:t xml:space="preserve"> Jr., E. R., &amp; </w:t>
      </w:r>
      <w:proofErr w:type="spellStart"/>
      <w:r w:rsidRPr="000A04C7">
        <w:rPr>
          <w:rFonts w:ascii="Times New Roman" w:hAnsi="Times New Roman" w:cs="Times New Roman"/>
        </w:rPr>
        <w:t>Micutuan</w:t>
      </w:r>
      <w:proofErr w:type="spellEnd"/>
      <w:r w:rsidRPr="000A04C7">
        <w:rPr>
          <w:rFonts w:ascii="Times New Roman" w:hAnsi="Times New Roman" w:cs="Times New Roman"/>
        </w:rPr>
        <w:t xml:space="preserve">, R. P. (2025). Grade 11 STEM learners’ learning competencies and their motivation in General Chemistry. International Journal of Research and Innovation in Social Science, </w:t>
      </w:r>
      <w:proofErr w:type="gramStart"/>
      <w:r w:rsidRPr="000A04C7">
        <w:rPr>
          <w:rFonts w:ascii="Times New Roman" w:hAnsi="Times New Roman" w:cs="Times New Roman"/>
        </w:rPr>
        <w:t>IX(</w:t>
      </w:r>
      <w:proofErr w:type="gramEnd"/>
      <w:r w:rsidRPr="000A04C7">
        <w:rPr>
          <w:rFonts w:ascii="Times New Roman" w:hAnsi="Times New Roman" w:cs="Times New Roman"/>
        </w:rPr>
        <w:t>I), 3763–3774. https://doi.org/10.47772/ijriss.2025.9010294</w:t>
      </w:r>
    </w:p>
    <w:p w14:paraId="3D12E2AC" w14:textId="77777777" w:rsidR="004854AB" w:rsidRPr="000A04C7" w:rsidRDefault="004854AB" w:rsidP="004854AB">
      <w:pPr>
        <w:pStyle w:val="ListParagraph"/>
        <w:numPr>
          <w:ilvl w:val="0"/>
          <w:numId w:val="2"/>
        </w:numPr>
        <w:jc w:val="both"/>
        <w:rPr>
          <w:rFonts w:ascii="Times New Roman" w:hAnsi="Times New Roman" w:cs="Times New Roman"/>
          <w:b/>
          <w:bCs/>
        </w:rPr>
      </w:pPr>
      <w:r w:rsidRPr="000A04C7">
        <w:rPr>
          <w:rFonts w:ascii="Times New Roman" w:hAnsi="Times New Roman" w:cs="Times New Roman"/>
        </w:rPr>
        <w:t xml:space="preserve">Sayre, J., </w:t>
      </w:r>
      <w:proofErr w:type="spellStart"/>
      <w:r w:rsidRPr="000A04C7">
        <w:rPr>
          <w:rFonts w:ascii="Times New Roman" w:hAnsi="Times New Roman" w:cs="Times New Roman"/>
        </w:rPr>
        <w:t>Nabua</w:t>
      </w:r>
      <w:proofErr w:type="spellEnd"/>
      <w:r w:rsidRPr="000A04C7">
        <w:rPr>
          <w:rFonts w:ascii="Times New Roman" w:hAnsi="Times New Roman" w:cs="Times New Roman"/>
        </w:rPr>
        <w:t>, E., Salic-</w:t>
      </w:r>
      <w:proofErr w:type="spellStart"/>
      <w:r w:rsidRPr="000A04C7">
        <w:rPr>
          <w:rFonts w:ascii="Times New Roman" w:hAnsi="Times New Roman" w:cs="Times New Roman"/>
        </w:rPr>
        <w:t>Hairulla</w:t>
      </w:r>
      <w:proofErr w:type="spellEnd"/>
      <w:r w:rsidRPr="000A04C7">
        <w:rPr>
          <w:rFonts w:ascii="Times New Roman" w:hAnsi="Times New Roman" w:cs="Times New Roman"/>
        </w:rPr>
        <w:t xml:space="preserve">, M., </w:t>
      </w:r>
      <w:proofErr w:type="spellStart"/>
      <w:r w:rsidRPr="000A04C7">
        <w:rPr>
          <w:rFonts w:ascii="Times New Roman" w:hAnsi="Times New Roman" w:cs="Times New Roman"/>
        </w:rPr>
        <w:t>Alcopra</w:t>
      </w:r>
      <w:proofErr w:type="spellEnd"/>
      <w:r w:rsidRPr="000A04C7">
        <w:rPr>
          <w:rFonts w:ascii="Times New Roman" w:hAnsi="Times New Roman" w:cs="Times New Roman"/>
        </w:rPr>
        <w:t xml:space="preserve">, A., &amp; Fernandez, M. J. (2025). Assessing General Chemistry learning gaps: A needs assessment of competency mastery among Grade </w:t>
      </w:r>
      <w:r w:rsidRPr="000A04C7">
        <w:rPr>
          <w:rFonts w:ascii="Times New Roman" w:hAnsi="Times New Roman" w:cs="Times New Roman"/>
        </w:rPr>
        <w:lastRenderedPageBreak/>
        <w:t xml:space="preserve">11 learners. International Journal of Research and Innovation in Social Science, </w:t>
      </w:r>
      <w:proofErr w:type="gramStart"/>
      <w:r w:rsidRPr="000A04C7">
        <w:rPr>
          <w:rFonts w:ascii="Times New Roman" w:hAnsi="Times New Roman" w:cs="Times New Roman"/>
        </w:rPr>
        <w:t>IX(</w:t>
      </w:r>
      <w:proofErr w:type="gramEnd"/>
      <w:r w:rsidRPr="000A04C7">
        <w:rPr>
          <w:rFonts w:ascii="Times New Roman" w:hAnsi="Times New Roman" w:cs="Times New Roman"/>
        </w:rPr>
        <w:t>IV), 6518–6524. https://doi.org/10.47772/ijriss.2025.90400472</w:t>
      </w:r>
    </w:p>
    <w:p w14:paraId="188EC770" w14:textId="77777777" w:rsidR="004854AB" w:rsidRPr="000A04C7" w:rsidRDefault="004854AB" w:rsidP="004854AB">
      <w:pPr>
        <w:pStyle w:val="ListParagraph"/>
        <w:numPr>
          <w:ilvl w:val="0"/>
          <w:numId w:val="2"/>
        </w:numPr>
        <w:tabs>
          <w:tab w:val="left" w:pos="360"/>
        </w:tabs>
        <w:jc w:val="both"/>
        <w:rPr>
          <w:rFonts w:ascii="Times New Roman" w:hAnsi="Times New Roman" w:cs="Times New Roman"/>
          <w:b/>
          <w:bCs/>
        </w:rPr>
      </w:pPr>
      <w:proofErr w:type="spellStart"/>
      <w:r w:rsidRPr="000A04C7">
        <w:rPr>
          <w:rFonts w:ascii="Times New Roman" w:hAnsi="Times New Roman" w:cs="Times New Roman"/>
        </w:rPr>
        <w:t>Setiawan</w:t>
      </w:r>
      <w:proofErr w:type="spellEnd"/>
      <w:r w:rsidRPr="000A04C7">
        <w:rPr>
          <w:rFonts w:ascii="Times New Roman" w:hAnsi="Times New Roman" w:cs="Times New Roman"/>
        </w:rPr>
        <w:t xml:space="preserve">, H., </w:t>
      </w:r>
      <w:proofErr w:type="spellStart"/>
      <w:r w:rsidRPr="000A04C7">
        <w:rPr>
          <w:rFonts w:ascii="Times New Roman" w:hAnsi="Times New Roman" w:cs="Times New Roman"/>
        </w:rPr>
        <w:t>Khair</w:t>
      </w:r>
      <w:proofErr w:type="spellEnd"/>
      <w:r w:rsidRPr="000A04C7">
        <w:rPr>
          <w:rFonts w:ascii="Times New Roman" w:hAnsi="Times New Roman" w:cs="Times New Roman"/>
        </w:rPr>
        <w:t xml:space="preserve">, B. N., </w:t>
      </w:r>
      <w:proofErr w:type="spellStart"/>
      <w:r w:rsidRPr="000A04C7">
        <w:rPr>
          <w:rFonts w:ascii="Times New Roman" w:hAnsi="Times New Roman" w:cs="Times New Roman"/>
        </w:rPr>
        <w:t>Ratnadi</w:t>
      </w:r>
      <w:proofErr w:type="spellEnd"/>
      <w:r w:rsidRPr="000A04C7">
        <w:rPr>
          <w:rFonts w:ascii="Times New Roman" w:hAnsi="Times New Roman" w:cs="Times New Roman"/>
        </w:rPr>
        <w:t xml:space="preserve">, R., Hakim, M., &amp; </w:t>
      </w:r>
      <w:proofErr w:type="spellStart"/>
      <w:r w:rsidRPr="000A04C7">
        <w:rPr>
          <w:rFonts w:ascii="Times New Roman" w:hAnsi="Times New Roman" w:cs="Times New Roman"/>
        </w:rPr>
        <w:t>Istiningsih</w:t>
      </w:r>
      <w:proofErr w:type="spellEnd"/>
      <w:r w:rsidRPr="000A04C7">
        <w:rPr>
          <w:rFonts w:ascii="Times New Roman" w:hAnsi="Times New Roman" w:cs="Times New Roman"/>
        </w:rPr>
        <w:t>, S. (2020). Developing HOTS-based assessment instrument for primary schools. Proceedings of the 1st Annual Conference on Education and Social Sciences (ACCESS 2019). https://doi.org/10.2991/assehr.k.200827.054</w:t>
      </w:r>
    </w:p>
    <w:p w14:paraId="3885DD31" w14:textId="77777777" w:rsidR="00362612" w:rsidRDefault="004854AB" w:rsidP="004854AB">
      <w:pPr>
        <w:pStyle w:val="ListParagraph"/>
        <w:numPr>
          <w:ilvl w:val="0"/>
          <w:numId w:val="2"/>
        </w:numPr>
      </w:pPr>
      <w:proofErr w:type="spellStart"/>
      <w:r w:rsidRPr="004854AB">
        <w:rPr>
          <w:rFonts w:ascii="Times New Roman" w:hAnsi="Times New Roman" w:cs="Times New Roman"/>
        </w:rPr>
        <w:t>Johnstone</w:t>
      </w:r>
      <w:proofErr w:type="spellEnd"/>
      <w:r w:rsidRPr="004854AB">
        <w:rPr>
          <w:rFonts w:ascii="Times New Roman" w:hAnsi="Times New Roman" w:cs="Times New Roman"/>
        </w:rPr>
        <w:t>, A. H. (2019). You can’t get there from here: The problem of learning chemistry concepts. Journal of Chemical</w:t>
      </w:r>
    </w:p>
    <w:sectPr w:rsidR="003626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4158"/>
    <w:multiLevelType w:val="hybridMultilevel"/>
    <w:tmpl w:val="14B84EA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E4B7BDF"/>
    <w:multiLevelType w:val="hybridMultilevel"/>
    <w:tmpl w:val="4CE8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AB"/>
    <w:rsid w:val="002A5CD2"/>
    <w:rsid w:val="004854AB"/>
    <w:rsid w:val="008521BC"/>
    <w:rsid w:val="00B3397B"/>
    <w:rsid w:val="00C808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68D5"/>
  <w15:chartTrackingRefBased/>
  <w15:docId w15:val="{4344E30D-F1FD-41EB-98C5-B5F8556F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4AB"/>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AB"/>
    <w:pPr>
      <w:ind w:left="720"/>
      <w:contextualSpacing/>
    </w:pPr>
  </w:style>
  <w:style w:type="paragraph" w:styleId="NoSpacing">
    <w:name w:val="No Spacing"/>
    <w:uiPriority w:val="1"/>
    <w:qFormat/>
    <w:rsid w:val="004854AB"/>
    <w:pPr>
      <w:spacing w:after="0" w:line="240" w:lineRule="auto"/>
    </w:pPr>
  </w:style>
  <w:style w:type="table" w:styleId="TableGrid">
    <w:name w:val="Table Grid"/>
    <w:basedOn w:val="TableNormal"/>
    <w:uiPriority w:val="39"/>
    <w:qFormat/>
    <w:rsid w:val="00485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3397B"/>
    <w:rPr>
      <w:b/>
      <w:bCs/>
    </w:rPr>
  </w:style>
  <w:style w:type="character" w:styleId="Hyperlink">
    <w:name w:val="Hyperlink"/>
    <w:basedOn w:val="DefaultParagraphFont"/>
    <w:uiPriority w:val="99"/>
    <w:unhideWhenUsed/>
    <w:rsid w:val="00B33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na.nabua@g.msuiit.edu.ph" TargetMode="External"/><Relationship Id="rId5" Type="http://schemas.openxmlformats.org/officeDocument/2006/relationships/hyperlink" Target="mailto:lykah.roldan@g.msuiit.edu.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2026-06-02T15:35:00Z</dcterms:created>
  <dcterms:modified xsi:type="dcterms:W3CDTF">2026-06-02T15:35:00Z</dcterms:modified>
</cp:coreProperties>
</file>