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A3A92" w14:textId="77777777" w:rsidR="002B141C" w:rsidRDefault="002B141C" w:rsidP="002B141C">
      <w:pPr>
        <w:jc w:val="center"/>
        <w:rPr>
          <w:rFonts w:ascii="Times New Roman" w:eastAsia="Times New Roman" w:hAnsi="Times New Roman" w:cs="Times New Roman"/>
          <w:b/>
          <w:bCs/>
          <w:color w:val="000000" w:themeColor="text1"/>
          <w:sz w:val="44"/>
          <w:szCs w:val="44"/>
        </w:rPr>
      </w:pPr>
      <w:r w:rsidRPr="44A109B2">
        <w:rPr>
          <w:rFonts w:ascii="Times New Roman" w:eastAsia="Times New Roman" w:hAnsi="Times New Roman" w:cs="Times New Roman"/>
          <w:b/>
          <w:bCs/>
          <w:color w:val="000000" w:themeColor="text1"/>
          <w:sz w:val="44"/>
          <w:szCs w:val="44"/>
        </w:rPr>
        <w:t>From Philanthropy to Shared Value: Innovations in Corporate Social Responsibility for Local Development in Sanzule, Ghana</w:t>
      </w:r>
    </w:p>
    <w:p w14:paraId="13F5C3D1" w14:textId="77777777" w:rsidR="002B141C" w:rsidRPr="00900724" w:rsidRDefault="002B141C" w:rsidP="002B141C">
      <w:pPr>
        <w:spacing w:after="0" w:line="276" w:lineRule="auto"/>
        <w:jc w:val="center"/>
        <w:rPr>
          <w:rFonts w:ascii="Times New Roman" w:eastAsia="Times New Roman" w:hAnsi="Times New Roman" w:cs="Times New Roman"/>
          <w:b/>
          <w:bCs/>
          <w:color w:val="000000" w:themeColor="text1"/>
        </w:rPr>
      </w:pPr>
      <w:r w:rsidRPr="00900724">
        <w:rPr>
          <w:rFonts w:ascii="Times New Roman" w:eastAsia="Times New Roman" w:hAnsi="Times New Roman" w:cs="Times New Roman"/>
          <w:b/>
          <w:bCs/>
          <w:color w:val="000000" w:themeColor="text1"/>
        </w:rPr>
        <w:t xml:space="preserve"/>
      </w:r>
      <w:r w:rsidRPr="00900724">
        <w:rPr>
          <w:rFonts w:ascii="Times New Roman" w:eastAsia="Times New Roman" w:hAnsi="Times New Roman" w:cs="Times New Roman"/>
          <w:bCs/>
          <w:color w:val="000000" w:themeColor="text1"/>
        </w:rPr>
        <w:t/>
      </w:r>
    </w:p>
    <w:p w14:paraId="5665D50F" w14:textId="77777777" w:rsidR="002B141C" w:rsidRPr="00900724" w:rsidRDefault="002B141C" w:rsidP="002B141C">
      <w:pPr>
        <w:spacing w:after="0" w:line="276" w:lineRule="auto"/>
        <w:jc w:val="center"/>
        <w:rPr>
          <w:rFonts w:ascii="Times New Roman" w:hAnsi="Times New Roman" w:cs="Times New Roman"/>
        </w:rPr>
      </w:pPr>
      <w:r w:rsidRPr="00900724">
        <w:rPr>
          <w:rFonts w:ascii="Times New Roman" w:hAnsi="Times New Roman" w:cs="Times New Roman"/>
          <w:b/>
        </w:rPr>
        <w:t/>
      </w:r>
      <w:r w:rsidRPr="00900724">
        <w:rPr>
          <w:rFonts w:ascii="Times New Roman" w:hAnsi="Times New Roman" w:cs="Times New Roman"/>
        </w:rPr>
        <w:t xml:space="preserve"/>
      </w:r>
      <w:hyperlink r:id="rId7" w:history="1">
        <w:r w:rsidRPr="00900724">
          <w:rPr>
            <w:rStyle w:val="Hyperlink"/>
            <w:rFonts w:ascii="Times New Roman" w:hAnsi="Times New Roman" w:cs="Times New Roman"/>
          </w:rPr>
          <w:t/>
        </w:r>
      </w:hyperlink>
    </w:p>
    <w:p w14:paraId="1BAB79C4" w14:textId="77777777" w:rsidR="002B141C" w:rsidRPr="00900724" w:rsidRDefault="002B141C" w:rsidP="002B141C">
      <w:pPr>
        <w:spacing w:after="0" w:line="276" w:lineRule="auto"/>
        <w:jc w:val="center"/>
        <w:rPr>
          <w:rFonts w:ascii="Times New Roman" w:hAnsi="Times New Roman" w:cs="Times New Roman"/>
        </w:rPr>
      </w:pPr>
      <w:r w:rsidRPr="00900724">
        <w:rPr>
          <w:rFonts w:ascii="Times New Roman" w:hAnsi="Times New Roman" w:cs="Times New Roman"/>
        </w:rPr>
        <w:t/>
      </w:r>
    </w:p>
    <w:p w14:paraId="1C6B1B76" w14:textId="77777777" w:rsidR="002B141C" w:rsidRPr="00900724" w:rsidRDefault="002B141C" w:rsidP="002B141C">
      <w:pPr>
        <w:spacing w:after="0" w:line="276" w:lineRule="auto"/>
        <w:jc w:val="center"/>
        <w:rPr>
          <w:rFonts w:ascii="Times New Roman" w:eastAsia="Times New Roman" w:hAnsi="Times New Roman" w:cs="Times New Roman"/>
          <w:color w:val="000000" w:themeColor="text1"/>
        </w:rPr>
      </w:pPr>
      <w:r w:rsidRPr="00900724">
        <w:rPr>
          <w:rFonts w:ascii="Times New Roman" w:eastAsia="Times New Roman" w:hAnsi="Times New Roman" w:cs="Times New Roman"/>
          <w:b/>
          <w:color w:val="000000" w:themeColor="text1"/>
        </w:rPr>
        <w:t/>
      </w:r>
      <w:r>
        <w:rPr>
          <w:rFonts w:ascii="Times New Roman" w:eastAsia="Times New Roman" w:hAnsi="Times New Roman" w:cs="Times New Roman"/>
          <w:color w:val="000000" w:themeColor="text1"/>
        </w:rPr>
        <w:t xml:space="preserve"/>
      </w:r>
      <w:r w:rsidRPr="44A109B2">
        <w:rPr>
          <w:rFonts w:ascii="Times New Roman" w:eastAsia="Times New Roman" w:hAnsi="Times New Roman" w:cs="Times New Roman"/>
          <w:color w:val="000000" w:themeColor="text1"/>
        </w:rPr>
        <w:t/>
      </w:r>
      <w:r>
        <w:rPr>
          <w:rFonts w:ascii="Times New Roman" w:eastAsia="Times New Roman" w:hAnsi="Times New Roman" w:cs="Times New Roman"/>
          <w:color w:val="000000" w:themeColor="text1"/>
        </w:rPr>
        <w:t xml:space="preserve"/>
      </w:r>
      <w:r w:rsidRPr="44A109B2">
        <w:rPr>
          <w:rFonts w:ascii="Times New Roman" w:eastAsia="Times New Roman" w:hAnsi="Times New Roman" w:cs="Times New Roman"/>
          <w:color w:val="000000" w:themeColor="text1"/>
        </w:rPr>
        <w:t/>
      </w:r>
    </w:p>
    <w:p w14:paraId="54094DBD" w14:textId="77777777" w:rsidR="002B141C" w:rsidRDefault="002B141C" w:rsidP="002B141C"/>
    <w:p w14:paraId="0EE2B6C4" w14:textId="03F83DA1" w:rsidR="002B141C" w:rsidRDefault="002B141C" w:rsidP="000E0A06">
      <w:pPr>
        <w:spacing w:after="0" w:line="360" w:lineRule="auto"/>
        <w:jc w:val="center"/>
        <w:rPr>
          <w:rFonts w:ascii="Times New Roman" w:eastAsia="Times New Roman" w:hAnsi="Times New Roman" w:cs="Times New Roman"/>
          <w:b/>
          <w:bCs/>
          <w:color w:val="000000" w:themeColor="text1"/>
        </w:rPr>
      </w:pPr>
    </w:p>
    <w:p w14:paraId="65610787" w14:textId="566AAF2B" w:rsidR="002B141C" w:rsidRDefault="002B141C" w:rsidP="000E0A06">
      <w:pPr>
        <w:spacing w:after="0" w:line="360" w:lineRule="auto"/>
        <w:jc w:val="center"/>
        <w:rPr>
          <w:rFonts w:ascii="Times New Roman" w:eastAsia="Times New Roman" w:hAnsi="Times New Roman" w:cs="Times New Roman"/>
          <w:b/>
          <w:bCs/>
          <w:color w:val="000000" w:themeColor="text1"/>
        </w:rPr>
      </w:pPr>
    </w:p>
    <w:p w14:paraId="55CED864" w14:textId="7B505103" w:rsidR="002B141C" w:rsidRDefault="002B141C" w:rsidP="000E0A06">
      <w:pPr>
        <w:spacing w:after="0" w:line="360" w:lineRule="auto"/>
        <w:jc w:val="center"/>
        <w:rPr>
          <w:rFonts w:ascii="Times New Roman" w:eastAsia="Times New Roman" w:hAnsi="Times New Roman" w:cs="Times New Roman"/>
          <w:b/>
          <w:bCs/>
          <w:color w:val="000000" w:themeColor="text1"/>
        </w:rPr>
      </w:pPr>
    </w:p>
    <w:p w14:paraId="5340D461" w14:textId="7920637A" w:rsidR="002B141C" w:rsidRDefault="002B141C" w:rsidP="000E0A06">
      <w:pPr>
        <w:spacing w:after="0" w:line="360" w:lineRule="auto"/>
        <w:jc w:val="center"/>
        <w:rPr>
          <w:rFonts w:ascii="Times New Roman" w:eastAsia="Times New Roman" w:hAnsi="Times New Roman" w:cs="Times New Roman"/>
          <w:b/>
          <w:bCs/>
          <w:color w:val="000000" w:themeColor="text1"/>
        </w:rPr>
      </w:pPr>
    </w:p>
    <w:p w14:paraId="6A954225" w14:textId="7B1764F9" w:rsidR="002B141C" w:rsidRDefault="002B141C" w:rsidP="000E0A06">
      <w:pPr>
        <w:spacing w:after="0" w:line="360" w:lineRule="auto"/>
        <w:jc w:val="center"/>
        <w:rPr>
          <w:rFonts w:ascii="Times New Roman" w:eastAsia="Times New Roman" w:hAnsi="Times New Roman" w:cs="Times New Roman"/>
          <w:b/>
          <w:bCs/>
          <w:color w:val="000000" w:themeColor="text1"/>
        </w:rPr>
      </w:pPr>
    </w:p>
    <w:p w14:paraId="4B899500" w14:textId="7825F43E" w:rsidR="002B141C" w:rsidRDefault="002B141C" w:rsidP="000E0A06">
      <w:pPr>
        <w:spacing w:after="0" w:line="360" w:lineRule="auto"/>
        <w:jc w:val="center"/>
        <w:rPr>
          <w:rFonts w:ascii="Times New Roman" w:eastAsia="Times New Roman" w:hAnsi="Times New Roman" w:cs="Times New Roman"/>
          <w:b/>
          <w:bCs/>
          <w:color w:val="000000" w:themeColor="text1"/>
        </w:rPr>
      </w:pPr>
    </w:p>
    <w:p w14:paraId="6317E728" w14:textId="270BD475" w:rsidR="002B141C" w:rsidRDefault="002B141C" w:rsidP="000E0A06">
      <w:pPr>
        <w:spacing w:after="0" w:line="360" w:lineRule="auto"/>
        <w:jc w:val="center"/>
        <w:rPr>
          <w:rFonts w:ascii="Times New Roman" w:eastAsia="Times New Roman" w:hAnsi="Times New Roman" w:cs="Times New Roman"/>
          <w:b/>
          <w:bCs/>
          <w:color w:val="000000" w:themeColor="text1"/>
        </w:rPr>
      </w:pPr>
    </w:p>
    <w:p w14:paraId="0BE247B3" w14:textId="02E5648A" w:rsidR="002B141C" w:rsidRDefault="002B141C" w:rsidP="000E0A06">
      <w:pPr>
        <w:spacing w:after="0" w:line="360" w:lineRule="auto"/>
        <w:jc w:val="center"/>
        <w:rPr>
          <w:rFonts w:ascii="Times New Roman" w:eastAsia="Times New Roman" w:hAnsi="Times New Roman" w:cs="Times New Roman"/>
          <w:b/>
          <w:bCs/>
          <w:color w:val="000000" w:themeColor="text1"/>
        </w:rPr>
      </w:pPr>
    </w:p>
    <w:p w14:paraId="354EB2B0" w14:textId="2729D864" w:rsidR="002B141C" w:rsidRDefault="002B141C" w:rsidP="000E0A06">
      <w:pPr>
        <w:spacing w:after="0" w:line="360" w:lineRule="auto"/>
        <w:jc w:val="center"/>
        <w:rPr>
          <w:rFonts w:ascii="Times New Roman" w:eastAsia="Times New Roman" w:hAnsi="Times New Roman" w:cs="Times New Roman"/>
          <w:b/>
          <w:bCs/>
          <w:color w:val="000000" w:themeColor="text1"/>
        </w:rPr>
      </w:pPr>
    </w:p>
    <w:p w14:paraId="0B5F45A1" w14:textId="60FEE809" w:rsidR="002B141C" w:rsidRDefault="002B141C" w:rsidP="000E0A06">
      <w:pPr>
        <w:spacing w:after="0" w:line="360" w:lineRule="auto"/>
        <w:jc w:val="center"/>
        <w:rPr>
          <w:rFonts w:ascii="Times New Roman" w:eastAsia="Times New Roman" w:hAnsi="Times New Roman" w:cs="Times New Roman"/>
          <w:b/>
          <w:bCs/>
          <w:color w:val="000000" w:themeColor="text1"/>
        </w:rPr>
      </w:pPr>
    </w:p>
    <w:p w14:paraId="2E18841A" w14:textId="7D90A352" w:rsidR="002B141C" w:rsidRDefault="002B141C" w:rsidP="000E0A06">
      <w:pPr>
        <w:spacing w:after="0" w:line="360" w:lineRule="auto"/>
        <w:jc w:val="center"/>
        <w:rPr>
          <w:rFonts w:ascii="Times New Roman" w:eastAsia="Times New Roman" w:hAnsi="Times New Roman" w:cs="Times New Roman"/>
          <w:b/>
          <w:bCs/>
          <w:color w:val="000000" w:themeColor="text1"/>
        </w:rPr>
      </w:pPr>
    </w:p>
    <w:p w14:paraId="30D684BD" w14:textId="30AF1B8E" w:rsidR="002B141C" w:rsidRDefault="002B141C" w:rsidP="000E0A06">
      <w:pPr>
        <w:spacing w:after="0" w:line="360" w:lineRule="auto"/>
        <w:jc w:val="center"/>
        <w:rPr>
          <w:rFonts w:ascii="Times New Roman" w:eastAsia="Times New Roman" w:hAnsi="Times New Roman" w:cs="Times New Roman"/>
          <w:b/>
          <w:bCs/>
          <w:color w:val="000000" w:themeColor="text1"/>
        </w:rPr>
      </w:pPr>
    </w:p>
    <w:p w14:paraId="48C0E8B5" w14:textId="2BAC4497" w:rsidR="002B141C" w:rsidRDefault="002B141C" w:rsidP="000E0A06">
      <w:pPr>
        <w:spacing w:after="0" w:line="360" w:lineRule="auto"/>
        <w:jc w:val="center"/>
        <w:rPr>
          <w:rFonts w:ascii="Times New Roman" w:eastAsia="Times New Roman" w:hAnsi="Times New Roman" w:cs="Times New Roman"/>
          <w:b/>
          <w:bCs/>
          <w:color w:val="000000" w:themeColor="text1"/>
        </w:rPr>
      </w:pPr>
    </w:p>
    <w:p w14:paraId="0AD030B9" w14:textId="6FE9D0D7" w:rsidR="002B141C" w:rsidRDefault="002B141C" w:rsidP="000E0A06">
      <w:pPr>
        <w:spacing w:after="0" w:line="360" w:lineRule="auto"/>
        <w:jc w:val="center"/>
        <w:rPr>
          <w:rFonts w:ascii="Times New Roman" w:eastAsia="Times New Roman" w:hAnsi="Times New Roman" w:cs="Times New Roman"/>
          <w:b/>
          <w:bCs/>
          <w:color w:val="000000" w:themeColor="text1"/>
        </w:rPr>
      </w:pPr>
    </w:p>
    <w:p w14:paraId="77FDCBAD" w14:textId="5E7BAA8D" w:rsidR="002B141C" w:rsidRDefault="002B141C" w:rsidP="000E0A06">
      <w:pPr>
        <w:spacing w:after="0" w:line="360" w:lineRule="auto"/>
        <w:jc w:val="center"/>
        <w:rPr>
          <w:rFonts w:ascii="Times New Roman" w:eastAsia="Times New Roman" w:hAnsi="Times New Roman" w:cs="Times New Roman"/>
          <w:b/>
          <w:bCs/>
          <w:color w:val="000000" w:themeColor="text1"/>
        </w:rPr>
      </w:pPr>
    </w:p>
    <w:p w14:paraId="494AC30E" w14:textId="5429D623" w:rsidR="002B141C" w:rsidRDefault="002B141C" w:rsidP="000E0A06">
      <w:pPr>
        <w:spacing w:after="0" w:line="360" w:lineRule="auto"/>
        <w:jc w:val="center"/>
        <w:rPr>
          <w:rFonts w:ascii="Times New Roman" w:eastAsia="Times New Roman" w:hAnsi="Times New Roman" w:cs="Times New Roman"/>
          <w:b/>
          <w:bCs/>
          <w:color w:val="000000" w:themeColor="text1"/>
        </w:rPr>
      </w:pPr>
    </w:p>
    <w:p w14:paraId="6408E5B0" w14:textId="44607D22" w:rsidR="002B141C" w:rsidRDefault="002B141C" w:rsidP="000E0A06">
      <w:pPr>
        <w:spacing w:after="0" w:line="360" w:lineRule="auto"/>
        <w:jc w:val="center"/>
        <w:rPr>
          <w:rFonts w:ascii="Times New Roman" w:eastAsia="Times New Roman" w:hAnsi="Times New Roman" w:cs="Times New Roman"/>
          <w:b/>
          <w:bCs/>
          <w:color w:val="000000" w:themeColor="text1"/>
        </w:rPr>
      </w:pPr>
    </w:p>
    <w:p w14:paraId="44AD6648" w14:textId="4B39A555" w:rsidR="002B141C" w:rsidRDefault="002B141C" w:rsidP="000E0A06">
      <w:pPr>
        <w:spacing w:after="0" w:line="360" w:lineRule="auto"/>
        <w:jc w:val="center"/>
        <w:rPr>
          <w:rFonts w:ascii="Times New Roman" w:eastAsia="Times New Roman" w:hAnsi="Times New Roman" w:cs="Times New Roman"/>
          <w:b/>
          <w:bCs/>
          <w:color w:val="000000" w:themeColor="text1"/>
        </w:rPr>
      </w:pPr>
    </w:p>
    <w:p w14:paraId="7D888B29" w14:textId="7A4FA990" w:rsidR="002B141C" w:rsidRDefault="002B141C" w:rsidP="000E0A06">
      <w:pPr>
        <w:spacing w:after="0" w:line="360" w:lineRule="auto"/>
        <w:jc w:val="center"/>
        <w:rPr>
          <w:rFonts w:ascii="Times New Roman" w:eastAsia="Times New Roman" w:hAnsi="Times New Roman" w:cs="Times New Roman"/>
          <w:b/>
          <w:bCs/>
          <w:color w:val="000000" w:themeColor="text1"/>
        </w:rPr>
      </w:pPr>
    </w:p>
    <w:p w14:paraId="5D28FB50" w14:textId="083E0B9A" w:rsidR="002B141C" w:rsidRDefault="002B141C" w:rsidP="000E0A06">
      <w:pPr>
        <w:spacing w:after="0" w:line="360" w:lineRule="auto"/>
        <w:jc w:val="center"/>
        <w:rPr>
          <w:rFonts w:ascii="Times New Roman" w:eastAsia="Times New Roman" w:hAnsi="Times New Roman" w:cs="Times New Roman"/>
          <w:b/>
          <w:bCs/>
          <w:color w:val="000000" w:themeColor="text1"/>
        </w:rPr>
      </w:pPr>
    </w:p>
    <w:p w14:paraId="4F4FB6C3" w14:textId="402329F0" w:rsidR="002B141C" w:rsidRDefault="002B141C" w:rsidP="000E0A06">
      <w:pPr>
        <w:spacing w:after="0" w:line="360" w:lineRule="auto"/>
        <w:jc w:val="center"/>
        <w:rPr>
          <w:rFonts w:ascii="Times New Roman" w:eastAsia="Times New Roman" w:hAnsi="Times New Roman" w:cs="Times New Roman"/>
          <w:b/>
          <w:bCs/>
          <w:color w:val="000000" w:themeColor="text1"/>
        </w:rPr>
      </w:pPr>
    </w:p>
    <w:p w14:paraId="200CA086" w14:textId="1F770155" w:rsidR="002B141C" w:rsidRDefault="002B141C" w:rsidP="000E0A06">
      <w:pPr>
        <w:spacing w:after="0" w:line="360" w:lineRule="auto"/>
        <w:jc w:val="center"/>
        <w:rPr>
          <w:rFonts w:ascii="Times New Roman" w:eastAsia="Times New Roman" w:hAnsi="Times New Roman" w:cs="Times New Roman"/>
          <w:b/>
          <w:bCs/>
          <w:color w:val="000000" w:themeColor="text1"/>
        </w:rPr>
      </w:pPr>
    </w:p>
    <w:p w14:paraId="337AECC0" w14:textId="0DD9578C" w:rsidR="002B141C" w:rsidRDefault="002B141C" w:rsidP="000E0A06">
      <w:pPr>
        <w:spacing w:after="0" w:line="360" w:lineRule="auto"/>
        <w:jc w:val="center"/>
        <w:rPr>
          <w:rFonts w:ascii="Times New Roman" w:eastAsia="Times New Roman" w:hAnsi="Times New Roman" w:cs="Times New Roman"/>
          <w:b/>
          <w:bCs/>
          <w:color w:val="000000" w:themeColor="text1"/>
        </w:rPr>
      </w:pPr>
    </w:p>
    <w:p w14:paraId="66004882" w14:textId="33EA9B56" w:rsidR="002B141C" w:rsidRDefault="002B141C" w:rsidP="000E0A06">
      <w:pPr>
        <w:spacing w:after="0" w:line="360" w:lineRule="auto"/>
        <w:jc w:val="center"/>
        <w:rPr>
          <w:rFonts w:ascii="Times New Roman" w:eastAsia="Times New Roman" w:hAnsi="Times New Roman" w:cs="Times New Roman"/>
          <w:b/>
          <w:bCs/>
          <w:color w:val="000000" w:themeColor="text1"/>
        </w:rPr>
      </w:pPr>
    </w:p>
    <w:p w14:paraId="4A56129A" w14:textId="77777777" w:rsidR="002B141C" w:rsidRDefault="002B141C" w:rsidP="000E0A06">
      <w:pPr>
        <w:spacing w:after="0" w:line="360" w:lineRule="auto"/>
        <w:jc w:val="center"/>
        <w:rPr>
          <w:rFonts w:ascii="Times New Roman" w:eastAsia="Times New Roman" w:hAnsi="Times New Roman" w:cs="Times New Roman"/>
          <w:b/>
          <w:bCs/>
          <w:color w:val="000000" w:themeColor="text1"/>
        </w:rPr>
      </w:pPr>
      <w:bookmarkStart w:id="0" w:name="_GoBack"/>
      <w:bookmarkEnd w:id="0"/>
    </w:p>
    <w:p w14:paraId="03AE09E5" w14:textId="454BFAD6" w:rsidR="58F1DF59" w:rsidRDefault="58F1DF59" w:rsidP="000E0A06">
      <w:pPr>
        <w:spacing w:after="0" w:line="360" w:lineRule="auto"/>
        <w:jc w:val="center"/>
        <w:rPr>
          <w:rFonts w:ascii="Times New Roman" w:eastAsia="Times New Roman" w:hAnsi="Times New Roman" w:cs="Times New Roman"/>
          <w:b/>
          <w:bCs/>
          <w:color w:val="000000" w:themeColor="text1"/>
        </w:rPr>
      </w:pPr>
      <w:r w:rsidRPr="44A109B2">
        <w:rPr>
          <w:rFonts w:ascii="Times New Roman" w:eastAsia="Times New Roman" w:hAnsi="Times New Roman" w:cs="Times New Roman"/>
          <w:b/>
          <w:bCs/>
          <w:color w:val="000000" w:themeColor="text1"/>
        </w:rPr>
        <w:lastRenderedPageBreak/>
        <w:t>ABSTRACT</w:t>
      </w:r>
    </w:p>
    <w:p w14:paraId="542A9F0E" w14:textId="6B89C3D3" w:rsidR="001B0C22" w:rsidRPr="001B0C22" w:rsidRDefault="001B0C22" w:rsidP="00341AF8">
      <w:pPr>
        <w:spacing w:after="0" w:line="360" w:lineRule="auto"/>
        <w:jc w:val="both"/>
        <w:rPr>
          <w:rFonts w:ascii="Times New Roman" w:eastAsia="Times New Roman" w:hAnsi="Times New Roman" w:cs="Times New Roman"/>
          <w:lang w:val="en-US" w:eastAsia="en-US"/>
        </w:rPr>
      </w:pPr>
      <w:r w:rsidRPr="001B0C22">
        <w:rPr>
          <w:rFonts w:ascii="Times New Roman" w:eastAsia="Times New Roman" w:hAnsi="Times New Roman" w:cs="Times New Roman"/>
          <w:color w:val="000000"/>
          <w:lang w:val="en-US" w:eastAsia="en-US"/>
        </w:rPr>
        <w:t xml:space="preserve">Corporate social responsibility (CSR) in extractive industries has shifted from peripheral philanthropy toward a strategic tool for securing social </w:t>
      </w:r>
      <w:r w:rsidR="00900724" w:rsidRPr="001B0C22">
        <w:rPr>
          <w:rFonts w:ascii="Times New Roman" w:eastAsia="Times New Roman" w:hAnsi="Times New Roman" w:cs="Times New Roman"/>
          <w:color w:val="000000"/>
          <w:lang w:val="en-US" w:eastAsia="en-US"/>
        </w:rPr>
        <w:t>license</w:t>
      </w:r>
      <w:r w:rsidRPr="001B0C22">
        <w:rPr>
          <w:rFonts w:ascii="Times New Roman" w:eastAsia="Times New Roman" w:hAnsi="Times New Roman" w:cs="Times New Roman"/>
          <w:color w:val="000000"/>
          <w:lang w:val="en-US" w:eastAsia="en-US"/>
        </w:rPr>
        <w:t>, creating shared value, and advancing sustainable development in host communities. This study examines CSR interventions implemented by Eni Exploration and Production Company Limited in Sanzule, Ghana, and evaluates their contributions to local sustainable development. Guided by stakeholder, legitimacy, and sustainability transitions theories, the research employs a mixed-methods case study approach. Qualitative data were generated through semi-structured interviews with company officials, community leaders, and beneficiaries, complemented by quantitative indicators on access to water, health and education services, and livelihood outcomes. The results show that Eni’s initiatives—including solar-powered water systems, healthcare and educational support, cultural heritage projects, and a Livelihood Restoration Plan—have improved basic service delivery and strengthened aspects of economic resilience. Nevertheless, limitations in participation, equity, and long-term viability constrain transformative impact. The study provides empirical evidence from Ghana’s oil-producing context and highlights pathways for aligning extractive-sector CSR with the Sustainable Development Goals through more inclusive and sustainable community development strategies.</w:t>
      </w:r>
    </w:p>
    <w:p w14:paraId="30491EFF" w14:textId="77777777" w:rsidR="00900724" w:rsidRDefault="00900724" w:rsidP="00341AF8">
      <w:pPr>
        <w:spacing w:line="360" w:lineRule="auto"/>
        <w:jc w:val="both"/>
        <w:rPr>
          <w:rFonts w:ascii="Times New Roman" w:hAnsi="Times New Roman" w:cs="Times New Roman"/>
        </w:rPr>
      </w:pPr>
    </w:p>
    <w:p w14:paraId="44ADD45F" w14:textId="018040F8" w:rsidR="001A606C" w:rsidRDefault="001A606C" w:rsidP="00341AF8">
      <w:pPr>
        <w:spacing w:line="360" w:lineRule="auto"/>
        <w:jc w:val="both"/>
        <w:rPr>
          <w:rFonts w:ascii="Times New Roman" w:hAnsi="Times New Roman" w:cs="Times New Roman"/>
          <w:i/>
        </w:rPr>
      </w:pPr>
      <w:r w:rsidRPr="00857AFE">
        <w:rPr>
          <w:rFonts w:ascii="Times New Roman" w:hAnsi="Times New Roman" w:cs="Times New Roman"/>
          <w:b/>
        </w:rPr>
        <w:t>Keywords:</w:t>
      </w:r>
      <w:r w:rsidRPr="003F1E42">
        <w:rPr>
          <w:rFonts w:ascii="Times New Roman" w:hAnsi="Times New Roman" w:cs="Times New Roman"/>
        </w:rPr>
        <w:t xml:space="preserve"> </w:t>
      </w:r>
      <w:r w:rsidRPr="00857AFE">
        <w:rPr>
          <w:rFonts w:ascii="Times New Roman" w:hAnsi="Times New Roman" w:cs="Times New Roman"/>
          <w:i/>
        </w:rPr>
        <w:t>Corporate Social Responsibility; Sustainable Development; Stakeholder Theory; Shared Value; Extractive Industries; Community Developmen</w:t>
      </w:r>
      <w:r>
        <w:rPr>
          <w:rFonts w:ascii="Times New Roman" w:hAnsi="Times New Roman" w:cs="Times New Roman"/>
          <w:i/>
        </w:rPr>
        <w:t>t</w:t>
      </w:r>
      <w:r w:rsidRPr="00857AFE">
        <w:rPr>
          <w:rFonts w:ascii="Times New Roman" w:hAnsi="Times New Roman" w:cs="Times New Roman"/>
          <w:i/>
        </w:rPr>
        <w:t>.</w:t>
      </w:r>
    </w:p>
    <w:p w14:paraId="2533E438" w14:textId="58F1DB9F" w:rsidR="44A109B2" w:rsidRDefault="44A109B2" w:rsidP="00341AF8">
      <w:pPr>
        <w:spacing w:before="240" w:after="240" w:line="360" w:lineRule="auto"/>
        <w:jc w:val="both"/>
        <w:rPr>
          <w:rFonts w:ascii="Times New Roman" w:eastAsia="Times New Roman" w:hAnsi="Times New Roman" w:cs="Times New Roman"/>
          <w:color w:val="000000" w:themeColor="text1"/>
        </w:rPr>
      </w:pPr>
    </w:p>
    <w:p w14:paraId="3B383B0D" w14:textId="6ACE2C39" w:rsidR="44A109B2" w:rsidRDefault="44A109B2" w:rsidP="00341AF8">
      <w:pPr>
        <w:spacing w:before="240" w:after="240" w:line="360" w:lineRule="auto"/>
        <w:jc w:val="both"/>
        <w:rPr>
          <w:rFonts w:ascii="Times New Roman" w:eastAsia="Times New Roman" w:hAnsi="Times New Roman" w:cs="Times New Roman"/>
          <w:color w:val="000000" w:themeColor="text1"/>
        </w:rPr>
      </w:pPr>
    </w:p>
    <w:p w14:paraId="34ABB577" w14:textId="0036D942" w:rsidR="001B0C22" w:rsidRDefault="001B0C22" w:rsidP="00341AF8">
      <w:pPr>
        <w:spacing w:before="240" w:after="240" w:line="360" w:lineRule="auto"/>
        <w:jc w:val="both"/>
        <w:rPr>
          <w:rFonts w:ascii="Times New Roman" w:eastAsia="Times New Roman" w:hAnsi="Times New Roman" w:cs="Times New Roman"/>
          <w:b/>
          <w:bCs/>
          <w:color w:val="000000" w:themeColor="text1"/>
        </w:rPr>
      </w:pPr>
    </w:p>
    <w:p w14:paraId="533975EE" w14:textId="5E6E0F74" w:rsidR="00900724" w:rsidRDefault="00900724" w:rsidP="00341AF8">
      <w:pPr>
        <w:spacing w:before="240" w:after="240" w:line="360" w:lineRule="auto"/>
        <w:jc w:val="both"/>
        <w:rPr>
          <w:rFonts w:ascii="Times New Roman" w:eastAsia="Times New Roman" w:hAnsi="Times New Roman" w:cs="Times New Roman"/>
          <w:b/>
          <w:bCs/>
          <w:color w:val="000000" w:themeColor="text1"/>
        </w:rPr>
      </w:pPr>
    </w:p>
    <w:p w14:paraId="3F53B978" w14:textId="09FF12C1" w:rsidR="00900724" w:rsidRDefault="00900724" w:rsidP="00341AF8">
      <w:pPr>
        <w:spacing w:before="240" w:after="240" w:line="360" w:lineRule="auto"/>
        <w:jc w:val="both"/>
        <w:rPr>
          <w:rFonts w:ascii="Times New Roman" w:eastAsia="Times New Roman" w:hAnsi="Times New Roman" w:cs="Times New Roman"/>
          <w:b/>
          <w:bCs/>
          <w:color w:val="000000" w:themeColor="text1"/>
        </w:rPr>
      </w:pPr>
    </w:p>
    <w:p w14:paraId="197F27A5" w14:textId="3E209AE4" w:rsidR="00900724" w:rsidRDefault="00900724" w:rsidP="00341AF8">
      <w:pPr>
        <w:spacing w:before="240" w:after="240" w:line="360" w:lineRule="auto"/>
        <w:jc w:val="both"/>
        <w:rPr>
          <w:rFonts w:ascii="Times New Roman" w:eastAsia="Times New Roman" w:hAnsi="Times New Roman" w:cs="Times New Roman"/>
          <w:b/>
          <w:bCs/>
          <w:color w:val="000000" w:themeColor="text1"/>
        </w:rPr>
      </w:pPr>
    </w:p>
    <w:p w14:paraId="03E2EE47" w14:textId="33DBDE47" w:rsidR="00900724" w:rsidRDefault="00900724" w:rsidP="00341AF8">
      <w:pPr>
        <w:spacing w:before="240" w:after="240" w:line="360" w:lineRule="auto"/>
        <w:jc w:val="both"/>
        <w:rPr>
          <w:rFonts w:ascii="Times New Roman" w:eastAsia="Times New Roman" w:hAnsi="Times New Roman" w:cs="Times New Roman"/>
          <w:b/>
          <w:bCs/>
          <w:color w:val="000000" w:themeColor="text1"/>
        </w:rPr>
      </w:pPr>
    </w:p>
    <w:p w14:paraId="14EB2462" w14:textId="77777777" w:rsidR="00900724" w:rsidRDefault="00900724" w:rsidP="00341AF8">
      <w:pPr>
        <w:spacing w:before="240" w:after="240" w:line="360" w:lineRule="auto"/>
        <w:jc w:val="both"/>
        <w:rPr>
          <w:rFonts w:ascii="Times New Roman" w:eastAsia="Times New Roman" w:hAnsi="Times New Roman" w:cs="Times New Roman"/>
          <w:b/>
          <w:bCs/>
          <w:color w:val="000000" w:themeColor="text1"/>
        </w:rPr>
      </w:pPr>
    </w:p>
    <w:p w14:paraId="6D3F3B1A" w14:textId="4E25687F" w:rsidR="2344FAB9" w:rsidRDefault="008776D4" w:rsidP="00341AF8">
      <w:pPr>
        <w:spacing w:before="240" w:after="240" w:line="360" w:lineRule="auto"/>
        <w:jc w:val="both"/>
        <w:rPr>
          <w:rFonts w:ascii="Times New Roman" w:eastAsia="Times New Roman" w:hAnsi="Times New Roman" w:cs="Times New Roman"/>
          <w:b/>
          <w:bCs/>
          <w:color w:val="000000" w:themeColor="text1"/>
        </w:rPr>
      </w:pPr>
      <w:r w:rsidRPr="46125EC3">
        <w:rPr>
          <w:rFonts w:ascii="Times New Roman" w:eastAsia="Times New Roman" w:hAnsi="Times New Roman" w:cs="Times New Roman"/>
          <w:b/>
          <w:bCs/>
          <w:color w:val="000000" w:themeColor="text1"/>
        </w:rPr>
        <w:lastRenderedPageBreak/>
        <w:t xml:space="preserve">1.0 </w:t>
      </w:r>
      <w:r>
        <w:rPr>
          <w:rFonts w:ascii="Times New Roman" w:eastAsia="Times New Roman" w:hAnsi="Times New Roman" w:cs="Times New Roman"/>
          <w:b/>
          <w:bCs/>
          <w:color w:val="000000" w:themeColor="text1"/>
        </w:rPr>
        <w:t>I</w:t>
      </w:r>
      <w:r w:rsidRPr="46125EC3">
        <w:rPr>
          <w:rFonts w:ascii="Times New Roman" w:eastAsia="Times New Roman" w:hAnsi="Times New Roman" w:cs="Times New Roman"/>
          <w:b/>
          <w:bCs/>
          <w:color w:val="000000" w:themeColor="text1"/>
        </w:rPr>
        <w:t>ntroduction</w:t>
      </w:r>
    </w:p>
    <w:p w14:paraId="3B5C528D" w14:textId="1C34158A" w:rsidR="76BD6541" w:rsidRDefault="76BD6541" w:rsidP="00341AF8">
      <w:pPr>
        <w:spacing w:before="240" w:after="240" w:line="360" w:lineRule="auto"/>
        <w:jc w:val="both"/>
      </w:pPr>
      <w:r w:rsidRPr="46125EC3">
        <w:rPr>
          <w:rFonts w:ascii="Times New Roman" w:eastAsia="Times New Roman" w:hAnsi="Times New Roman" w:cs="Times New Roman"/>
          <w:color w:val="000000" w:themeColor="text1"/>
        </w:rPr>
        <w:t>Corporate Social Responsibility (CSR) has evolved from traditional philanthropy towards a more strategic, shared value-oriented approach, wherein companies integrate social and environmental considerations into core business strategies to create long-term benefits for both the business and the community (Porter &amp; Kramer, 2011; Smith &amp; Langley, 2021). This paradigm shift recognizes that businesses operate within complex social ecosystems and that addressing community needs can generate mutual value by simultaneously enhancing societal welfare and company competitiveness (Khan et al., 2022).</w:t>
      </w:r>
    </w:p>
    <w:p w14:paraId="716518D9" w14:textId="6E8AF597" w:rsidR="5CFF66FE" w:rsidRDefault="5CFF66FE" w:rsidP="00341AF8">
      <w:pPr>
        <w:spacing w:before="240" w:after="240" w:line="360" w:lineRule="auto"/>
        <w:jc w:val="both"/>
      </w:pPr>
      <w:r w:rsidRPr="44A109B2">
        <w:rPr>
          <w:rFonts w:ascii="Times New Roman" w:eastAsia="Times New Roman" w:hAnsi="Times New Roman" w:cs="Times New Roman"/>
          <w:color w:val="000000" w:themeColor="text1"/>
        </w:rPr>
        <w:t>The socioeconomic and environmental landscape of host communities like Sanzule in the Ellembelle District</w:t>
      </w:r>
      <w:r w:rsidR="6BA64617" w:rsidRPr="44A109B2">
        <w:rPr>
          <w:rFonts w:ascii="Times New Roman" w:eastAsia="Times New Roman" w:hAnsi="Times New Roman" w:cs="Times New Roman"/>
          <w:color w:val="000000" w:themeColor="text1"/>
        </w:rPr>
        <w:t xml:space="preserve"> in the Western Region of Ghana</w:t>
      </w:r>
      <w:r w:rsidRPr="44A109B2">
        <w:rPr>
          <w:rFonts w:ascii="Times New Roman" w:eastAsia="Times New Roman" w:hAnsi="Times New Roman" w:cs="Times New Roman"/>
          <w:color w:val="000000" w:themeColor="text1"/>
        </w:rPr>
        <w:t xml:space="preserve"> has changed because of the discovery of significant offshore oil and gas reserves in Ghana's Western Region.</w:t>
      </w:r>
      <w:r w:rsidR="7695537D" w:rsidRPr="44A109B2">
        <w:rPr>
          <w:rFonts w:ascii="Times New Roman" w:eastAsia="Times New Roman" w:hAnsi="Times New Roman" w:cs="Times New Roman"/>
          <w:color w:val="000000" w:themeColor="text1"/>
        </w:rPr>
        <w:t xml:space="preserve"> These communities have become focal points for multinational petroleum companies, including Eni Exploration and Production Company Limited (ENI), whose operations promise economic growth but also introduce complex environmental and social risks. Like other resource-rich regions in the Global South, Sanzule faces challenges of environmental degradation, livelihood disruption, and unequal distribution of benefits, underscoring the need for innovative and inclusive corporate engagement (Obeng-Odoom &amp; Sano, 2021).</w:t>
      </w:r>
    </w:p>
    <w:p w14:paraId="06976DF3" w14:textId="72C3E8A2" w:rsidR="7695537D" w:rsidRDefault="7695537D" w:rsidP="00341AF8">
      <w:pPr>
        <w:spacing w:before="240" w:after="240" w:line="360" w:lineRule="auto"/>
        <w:jc w:val="both"/>
      </w:pPr>
      <w:r w:rsidRPr="44A109B2">
        <w:rPr>
          <w:rFonts w:ascii="Times New Roman" w:eastAsia="Times New Roman" w:hAnsi="Times New Roman" w:cs="Times New Roman"/>
          <w:color w:val="000000" w:themeColor="text1"/>
        </w:rPr>
        <w:t>Oil and gas operations are historically associated with negative environmental externalities, including effluent discharge, oil spills, and coastal ecosystem disruption. Local populations, reliant on fisheries and agricultural lands, are disproportionately vulnerable to these impacts, highlighting questions of equity, justice, and corporate responsibility (Aboagye et al., 2022). In this context, Corporate Social Responsibility (CSR) has evolved from peripheral charitable activity to a strategic mechanism for promoting shared value, mitigating operational risks, and fostering community resilience (Porter &amp; Kramer, 2011; Crane et al., 2021).</w:t>
      </w:r>
    </w:p>
    <w:p w14:paraId="5C02672B" w14:textId="13CCD5ED" w:rsidR="7695537D" w:rsidRDefault="7695537D" w:rsidP="00341AF8">
      <w:pPr>
        <w:spacing w:before="240" w:after="240" w:line="360" w:lineRule="auto"/>
        <w:jc w:val="both"/>
      </w:pPr>
      <w:r w:rsidRPr="44A109B2">
        <w:rPr>
          <w:rFonts w:ascii="Times New Roman" w:eastAsia="Times New Roman" w:hAnsi="Times New Roman" w:cs="Times New Roman"/>
          <w:color w:val="000000" w:themeColor="text1"/>
        </w:rPr>
        <w:t>Early CSR approaches focused primarily on philanthropy or compliance, often prioritizing corporate image over meaningful community impact. Contemporary CSR paradigms, by contrast, emphasize innovation, stakeholder engagement, and measurable developmental outcomes, reflecting a shift toward transformative practices capable of generating both societal and business value (Dembek et al., 2020). In Ghana’s oil-producing areas, such transformative CSR has the potential to address structural inequities while promoting sustainable local development.</w:t>
      </w:r>
    </w:p>
    <w:p w14:paraId="41B152B6" w14:textId="35949700" w:rsidR="7695537D" w:rsidRDefault="7695537D" w:rsidP="00341AF8">
      <w:pPr>
        <w:spacing w:before="240" w:after="240" w:line="360" w:lineRule="auto"/>
        <w:jc w:val="both"/>
      </w:pPr>
      <w:r w:rsidRPr="44A109B2">
        <w:rPr>
          <w:rFonts w:ascii="Times New Roman" w:eastAsia="Times New Roman" w:hAnsi="Times New Roman" w:cs="Times New Roman"/>
          <w:color w:val="000000" w:themeColor="text1"/>
        </w:rPr>
        <w:lastRenderedPageBreak/>
        <w:t>Despite ENI’s active CSR presence in Sanzule, limited empirical evidence exists on how its initiatives are conceptualized, implemented, and experienced within the community. Traditional CSR interventions often remain fragmented or symbolic, failing to address long-term socio-environmental challenges (Mensah et al., 2021). The growing global emphasis on innovative and shared-value CSR necessitates an assessment of whether ENI’s initiatives transcend philanthropic models to deliver equitable, sustainable, and impact-driven outcomes. This knowledge gap motivates the present study.</w:t>
      </w:r>
    </w:p>
    <w:p w14:paraId="03D35F5F" w14:textId="793C7A7A" w:rsidR="7695537D" w:rsidRDefault="7695537D" w:rsidP="00341AF8">
      <w:pPr>
        <w:spacing w:before="240" w:after="240" w:line="360" w:lineRule="auto"/>
        <w:jc w:val="both"/>
      </w:pPr>
      <w:r w:rsidRPr="44A109B2">
        <w:rPr>
          <w:rFonts w:ascii="Times New Roman" w:eastAsia="Times New Roman" w:hAnsi="Times New Roman" w:cs="Times New Roman"/>
          <w:color w:val="000000" w:themeColor="text1"/>
        </w:rPr>
        <w:t>This study contributes to the evolving discourse on transformative CSR in Africa’s extractive sector by evaluating ENI’s community interventions through the lens of innovation, shared value, and sustainability. Findings provide insights for corporate policy, community engagement strategies, and regulatory frameworks, offering empirical evidence to guide CSR initiatives capable of fostering resilience, reducing inequalities, and promoting inclusive local development (Agyapong et al., 2022).</w:t>
      </w:r>
    </w:p>
    <w:p w14:paraId="2FBDDF96" w14:textId="135B1562" w:rsidR="7695537D" w:rsidRDefault="7695537D" w:rsidP="00341AF8">
      <w:pPr>
        <w:spacing w:before="240" w:after="240" w:line="360" w:lineRule="auto"/>
        <w:jc w:val="both"/>
        <w:rPr>
          <w:rFonts w:ascii="Times New Roman" w:eastAsia="Times New Roman" w:hAnsi="Times New Roman" w:cs="Times New Roman"/>
          <w:color w:val="000000" w:themeColor="text1"/>
        </w:rPr>
      </w:pPr>
      <w:r w:rsidRPr="44A109B2">
        <w:rPr>
          <w:rFonts w:ascii="Times New Roman" w:eastAsia="Times New Roman" w:hAnsi="Times New Roman" w:cs="Times New Roman"/>
          <w:color w:val="000000" w:themeColor="text1"/>
        </w:rPr>
        <w:t>The overarching aim of the study is to critically evaluate the extent to which ENI’s CSR initiatives promote transformative and sustainable development in Sanzule.</w:t>
      </w:r>
      <w:r w:rsidR="4E134190" w:rsidRPr="44A109B2">
        <w:rPr>
          <w:rFonts w:ascii="Times New Roman" w:eastAsia="Times New Roman" w:hAnsi="Times New Roman" w:cs="Times New Roman"/>
          <w:color w:val="000000" w:themeColor="text1"/>
        </w:rPr>
        <w:t xml:space="preserve"> To achieve this aim, the study </w:t>
      </w:r>
      <w:r w:rsidRPr="44A109B2">
        <w:rPr>
          <w:rFonts w:ascii="Times New Roman" w:eastAsia="Times New Roman" w:hAnsi="Times New Roman" w:cs="Times New Roman"/>
          <w:color w:val="000000" w:themeColor="text1"/>
        </w:rPr>
        <w:t>examine</w:t>
      </w:r>
      <w:r w:rsidR="190C1FF0" w:rsidRPr="44A109B2">
        <w:rPr>
          <w:rFonts w:ascii="Times New Roman" w:eastAsia="Times New Roman" w:hAnsi="Times New Roman" w:cs="Times New Roman"/>
          <w:color w:val="000000" w:themeColor="text1"/>
        </w:rPr>
        <w:t>s</w:t>
      </w:r>
      <w:r w:rsidRPr="44A109B2">
        <w:rPr>
          <w:rFonts w:ascii="Times New Roman" w:eastAsia="Times New Roman" w:hAnsi="Times New Roman" w:cs="Times New Roman"/>
          <w:color w:val="000000" w:themeColor="text1"/>
        </w:rPr>
        <w:t xml:space="preserve"> the nature, scope, and thematic focus of ENI’s CSR initiatives in Sanzule</w:t>
      </w:r>
      <w:r w:rsidR="26E68D3A" w:rsidRPr="44A109B2">
        <w:rPr>
          <w:rFonts w:ascii="Times New Roman" w:eastAsia="Times New Roman" w:hAnsi="Times New Roman" w:cs="Times New Roman"/>
          <w:color w:val="000000" w:themeColor="text1"/>
        </w:rPr>
        <w:t xml:space="preserve">, </w:t>
      </w:r>
      <w:r w:rsidRPr="44A109B2">
        <w:rPr>
          <w:rFonts w:ascii="Times New Roman" w:eastAsia="Times New Roman" w:hAnsi="Times New Roman" w:cs="Times New Roman"/>
          <w:color w:val="000000" w:themeColor="text1"/>
        </w:rPr>
        <w:t>assess</w:t>
      </w:r>
      <w:r w:rsidR="1DF6A3CC" w:rsidRPr="44A109B2">
        <w:rPr>
          <w:rFonts w:ascii="Times New Roman" w:eastAsia="Times New Roman" w:hAnsi="Times New Roman" w:cs="Times New Roman"/>
          <w:color w:val="000000" w:themeColor="text1"/>
        </w:rPr>
        <w:t>es</w:t>
      </w:r>
      <w:r w:rsidRPr="44A109B2">
        <w:rPr>
          <w:rFonts w:ascii="Times New Roman" w:eastAsia="Times New Roman" w:hAnsi="Times New Roman" w:cs="Times New Roman"/>
          <w:color w:val="000000" w:themeColor="text1"/>
        </w:rPr>
        <w:t xml:space="preserve"> the alignment of these initiatives with transformative and shared-value CSR paradigms</w:t>
      </w:r>
      <w:r w:rsidR="3DB7F516" w:rsidRPr="44A109B2">
        <w:rPr>
          <w:rFonts w:ascii="Times New Roman" w:eastAsia="Times New Roman" w:hAnsi="Times New Roman" w:cs="Times New Roman"/>
          <w:color w:val="000000" w:themeColor="text1"/>
        </w:rPr>
        <w:t xml:space="preserve">, </w:t>
      </w:r>
      <w:r w:rsidRPr="44A109B2">
        <w:rPr>
          <w:rFonts w:ascii="Times New Roman" w:eastAsia="Times New Roman" w:hAnsi="Times New Roman" w:cs="Times New Roman"/>
          <w:color w:val="000000" w:themeColor="text1"/>
        </w:rPr>
        <w:t>evaluate</w:t>
      </w:r>
      <w:r w:rsidR="376C6968" w:rsidRPr="44A109B2">
        <w:rPr>
          <w:rFonts w:ascii="Times New Roman" w:eastAsia="Times New Roman" w:hAnsi="Times New Roman" w:cs="Times New Roman"/>
          <w:color w:val="000000" w:themeColor="text1"/>
        </w:rPr>
        <w:t>s</w:t>
      </w:r>
      <w:r w:rsidRPr="44A109B2">
        <w:rPr>
          <w:rFonts w:ascii="Times New Roman" w:eastAsia="Times New Roman" w:hAnsi="Times New Roman" w:cs="Times New Roman"/>
          <w:color w:val="000000" w:themeColor="text1"/>
        </w:rPr>
        <w:t xml:space="preserve"> community perceptions regarding the effectiveness, inclusiveness, and impact of ENI’s CSR projects</w:t>
      </w:r>
      <w:r w:rsidR="1E751EEE" w:rsidRPr="44A109B2">
        <w:rPr>
          <w:rFonts w:ascii="Times New Roman" w:eastAsia="Times New Roman" w:hAnsi="Times New Roman" w:cs="Times New Roman"/>
          <w:color w:val="000000" w:themeColor="text1"/>
        </w:rPr>
        <w:t xml:space="preserve"> and </w:t>
      </w:r>
      <w:r w:rsidRPr="44A109B2">
        <w:rPr>
          <w:rFonts w:ascii="Times New Roman" w:eastAsia="Times New Roman" w:hAnsi="Times New Roman" w:cs="Times New Roman"/>
          <w:color w:val="000000" w:themeColor="text1"/>
        </w:rPr>
        <w:t>identif</w:t>
      </w:r>
      <w:r w:rsidR="63BE625A" w:rsidRPr="44A109B2">
        <w:rPr>
          <w:rFonts w:ascii="Times New Roman" w:eastAsia="Times New Roman" w:hAnsi="Times New Roman" w:cs="Times New Roman"/>
          <w:color w:val="000000" w:themeColor="text1"/>
        </w:rPr>
        <w:t>ies</w:t>
      </w:r>
      <w:r w:rsidRPr="44A109B2">
        <w:rPr>
          <w:rFonts w:ascii="Times New Roman" w:eastAsia="Times New Roman" w:hAnsi="Times New Roman" w:cs="Times New Roman"/>
          <w:color w:val="000000" w:themeColor="text1"/>
        </w:rPr>
        <w:t xml:space="preserve"> gaps, challenges, and opportunities for enhancing CSR implementation to achieve long-term resilience and equitable development.</w:t>
      </w:r>
    </w:p>
    <w:p w14:paraId="29E96193" w14:textId="5039C701" w:rsidR="7695537D" w:rsidRDefault="7695537D" w:rsidP="00341AF8">
      <w:pPr>
        <w:spacing w:before="240" w:after="240" w:line="360" w:lineRule="auto"/>
        <w:jc w:val="both"/>
      </w:pPr>
      <w:r w:rsidRPr="44A109B2">
        <w:rPr>
          <w:rFonts w:ascii="Times New Roman" w:eastAsia="Times New Roman" w:hAnsi="Times New Roman" w:cs="Times New Roman"/>
          <w:color w:val="000000" w:themeColor="text1"/>
        </w:rPr>
        <w:t xml:space="preserve">By addressing these </w:t>
      </w:r>
      <w:r w:rsidR="69D1CFEF" w:rsidRPr="44A109B2">
        <w:rPr>
          <w:rFonts w:ascii="Times New Roman" w:eastAsia="Times New Roman" w:hAnsi="Times New Roman" w:cs="Times New Roman"/>
          <w:color w:val="000000" w:themeColor="text1"/>
        </w:rPr>
        <w:t>objectives</w:t>
      </w:r>
      <w:r w:rsidRPr="44A109B2">
        <w:rPr>
          <w:rFonts w:ascii="Times New Roman" w:eastAsia="Times New Roman" w:hAnsi="Times New Roman" w:cs="Times New Roman"/>
          <w:color w:val="000000" w:themeColor="text1"/>
        </w:rPr>
        <w:t>, the study advances</w:t>
      </w:r>
      <w:r w:rsidR="2207C97A" w:rsidRPr="44A109B2">
        <w:rPr>
          <w:rFonts w:ascii="Times New Roman" w:eastAsia="Times New Roman" w:hAnsi="Times New Roman" w:cs="Times New Roman"/>
          <w:color w:val="000000" w:themeColor="text1"/>
        </w:rPr>
        <w:t xml:space="preserve"> the</w:t>
      </w:r>
      <w:r w:rsidRPr="44A109B2">
        <w:rPr>
          <w:rFonts w:ascii="Times New Roman" w:eastAsia="Times New Roman" w:hAnsi="Times New Roman" w:cs="Times New Roman"/>
          <w:color w:val="000000" w:themeColor="text1"/>
        </w:rPr>
        <w:t xml:space="preserve"> understanding of CSR as a mechanism for shared value creation, moving beyond traditional philanthropy to generate tangible socio-economic and environmental benefits for resource-dependent communities.</w:t>
      </w:r>
    </w:p>
    <w:p w14:paraId="7A61F2D2" w14:textId="7FCB7C9E" w:rsidR="508575F4" w:rsidRDefault="008776D4" w:rsidP="00341AF8">
      <w:pPr>
        <w:spacing w:before="240" w:after="240" w:line="360" w:lineRule="auto"/>
        <w:jc w:val="both"/>
        <w:rPr>
          <w:rFonts w:ascii="Times New Roman" w:eastAsia="Times New Roman" w:hAnsi="Times New Roman" w:cs="Times New Roman"/>
          <w:b/>
          <w:bCs/>
          <w:color w:val="000000" w:themeColor="text1"/>
        </w:rPr>
      </w:pPr>
      <w:r w:rsidRPr="44A109B2">
        <w:rPr>
          <w:rFonts w:ascii="Times New Roman" w:eastAsia="Times New Roman" w:hAnsi="Times New Roman" w:cs="Times New Roman"/>
          <w:b/>
          <w:bCs/>
          <w:color w:val="000000" w:themeColor="text1"/>
        </w:rPr>
        <w:t>2.0 Literature Review</w:t>
      </w:r>
    </w:p>
    <w:p w14:paraId="620F8BEF" w14:textId="77777777" w:rsidR="0023332E" w:rsidRPr="005D335B" w:rsidRDefault="0023332E" w:rsidP="00341AF8">
      <w:pPr>
        <w:spacing w:line="360" w:lineRule="auto"/>
        <w:jc w:val="both"/>
        <w:rPr>
          <w:rFonts w:ascii="Times New Roman" w:hAnsi="Times New Roman" w:cs="Times New Roman"/>
          <w:b/>
        </w:rPr>
      </w:pPr>
      <w:r>
        <w:rPr>
          <w:rFonts w:ascii="Times New Roman" w:hAnsi="Times New Roman" w:cs="Times New Roman"/>
          <w:b/>
        </w:rPr>
        <w:t xml:space="preserve">2.1 </w:t>
      </w:r>
      <w:r w:rsidRPr="005D335B">
        <w:rPr>
          <w:rFonts w:ascii="Times New Roman" w:hAnsi="Times New Roman" w:cs="Times New Roman"/>
          <w:b/>
        </w:rPr>
        <w:t>Theoretical and Conceptual Framework</w:t>
      </w:r>
    </w:p>
    <w:p w14:paraId="09782F70" w14:textId="77777777" w:rsidR="0023332E" w:rsidRDefault="0023332E" w:rsidP="00341AF8">
      <w:pPr>
        <w:spacing w:line="360" w:lineRule="auto"/>
        <w:jc w:val="both"/>
        <w:rPr>
          <w:rFonts w:ascii="Times New Roman" w:hAnsi="Times New Roman" w:cs="Times New Roman"/>
        </w:rPr>
      </w:pPr>
      <w:r w:rsidRPr="005D335B">
        <w:rPr>
          <w:rFonts w:ascii="Times New Roman" w:hAnsi="Times New Roman" w:cs="Times New Roman"/>
        </w:rPr>
        <w:t xml:space="preserve">CSR is widely recognised as a multidimensional construct that intersects with debates on sustainability, governance, and business ethics (Agnihotri &amp; Devi, 2024; Ashrafi et al., 2020; </w:t>
      </w:r>
      <w:proofErr w:type="spellStart"/>
      <w:r w:rsidRPr="005D335B">
        <w:rPr>
          <w:rFonts w:ascii="Times New Roman" w:hAnsi="Times New Roman" w:cs="Times New Roman"/>
        </w:rPr>
        <w:t>Hilson</w:t>
      </w:r>
      <w:proofErr w:type="spellEnd"/>
      <w:r w:rsidRPr="005D335B">
        <w:rPr>
          <w:rFonts w:ascii="Times New Roman" w:hAnsi="Times New Roman" w:cs="Times New Roman"/>
        </w:rPr>
        <w:t xml:space="preserve">, 2012). Recent </w:t>
      </w:r>
      <w:proofErr w:type="spellStart"/>
      <w:r w:rsidRPr="005D335B">
        <w:rPr>
          <w:rFonts w:ascii="Times New Roman" w:hAnsi="Times New Roman" w:cs="Times New Roman"/>
        </w:rPr>
        <w:t>scientometric</w:t>
      </w:r>
      <w:proofErr w:type="spellEnd"/>
      <w:r w:rsidRPr="005D335B">
        <w:rPr>
          <w:rFonts w:ascii="Times New Roman" w:hAnsi="Times New Roman" w:cs="Times New Roman"/>
        </w:rPr>
        <w:t xml:space="preserve"> and bibliometric analyses show that stakeholder theory, legitimacy theory, and institutional theory form dominant theoretical foundations for CSR and corporate sustainability research (Ashrafi et al., 2020; </w:t>
      </w:r>
      <w:proofErr w:type="spellStart"/>
      <w:r w:rsidRPr="005D335B">
        <w:rPr>
          <w:rFonts w:ascii="Times New Roman" w:hAnsi="Times New Roman" w:cs="Times New Roman"/>
        </w:rPr>
        <w:t>Pouresmaieli</w:t>
      </w:r>
      <w:proofErr w:type="spellEnd"/>
      <w:r w:rsidRPr="005D335B">
        <w:rPr>
          <w:rFonts w:ascii="Times New Roman" w:hAnsi="Times New Roman" w:cs="Times New Roman"/>
        </w:rPr>
        <w:t xml:space="preserve"> et al., 2024). In parallel, sustainability‑transitions theory has gained prominence for understanding how firms can</w:t>
      </w:r>
      <w:r>
        <w:rPr>
          <w:rFonts w:ascii="Times New Roman" w:hAnsi="Times New Roman" w:cs="Times New Roman"/>
        </w:rPr>
        <w:t xml:space="preserve"> </w:t>
      </w:r>
      <w:r w:rsidRPr="005D335B">
        <w:rPr>
          <w:rFonts w:ascii="Times New Roman" w:hAnsi="Times New Roman" w:cs="Times New Roman"/>
        </w:rPr>
        <w:lastRenderedPageBreak/>
        <w:t xml:space="preserve">support systemic shifts toward low‑carbon, socially inclusive development in resource‑dependent regions (Millington et al., 2021; </w:t>
      </w:r>
      <w:proofErr w:type="spellStart"/>
      <w:r w:rsidRPr="005D335B">
        <w:rPr>
          <w:rFonts w:ascii="Times New Roman" w:hAnsi="Times New Roman" w:cs="Times New Roman"/>
        </w:rPr>
        <w:t>Siahaan</w:t>
      </w:r>
      <w:proofErr w:type="spellEnd"/>
      <w:r w:rsidRPr="005D335B">
        <w:rPr>
          <w:rFonts w:ascii="Times New Roman" w:hAnsi="Times New Roman" w:cs="Times New Roman"/>
        </w:rPr>
        <w:t xml:space="preserve"> et al., 2025).</w:t>
      </w:r>
    </w:p>
    <w:p w14:paraId="62C08678" w14:textId="77777777" w:rsidR="0023332E" w:rsidRDefault="0023332E" w:rsidP="00341AF8">
      <w:pPr>
        <w:spacing w:line="360" w:lineRule="auto"/>
        <w:jc w:val="both"/>
        <w:rPr>
          <w:rFonts w:ascii="Times New Roman" w:hAnsi="Times New Roman" w:cs="Times New Roman"/>
        </w:rPr>
      </w:pPr>
      <w:r w:rsidRPr="005D335B">
        <w:rPr>
          <w:rFonts w:ascii="Times New Roman" w:hAnsi="Times New Roman" w:cs="Times New Roman"/>
        </w:rPr>
        <w:t xml:space="preserve">Stakeholder theory posits that firms have responsibilities not only to shareholders but also to a broad set of stakeholders—including employees, communities, governments, and the natural environment—whose interests and well‑being are affected by corporate activities (Ashrafi et al., 2020; </w:t>
      </w:r>
      <w:proofErr w:type="spellStart"/>
      <w:r w:rsidRPr="005D335B">
        <w:rPr>
          <w:rFonts w:ascii="Times New Roman" w:hAnsi="Times New Roman" w:cs="Times New Roman"/>
        </w:rPr>
        <w:t>Rathobei</w:t>
      </w:r>
      <w:proofErr w:type="spellEnd"/>
      <w:r w:rsidRPr="005D335B">
        <w:rPr>
          <w:rFonts w:ascii="Times New Roman" w:hAnsi="Times New Roman" w:cs="Times New Roman"/>
        </w:rPr>
        <w:t xml:space="preserve"> et al., 2024; </w:t>
      </w:r>
      <w:proofErr w:type="spellStart"/>
      <w:r w:rsidRPr="005D335B">
        <w:rPr>
          <w:rFonts w:ascii="Times New Roman" w:hAnsi="Times New Roman" w:cs="Times New Roman"/>
        </w:rPr>
        <w:t>Singal</w:t>
      </w:r>
      <w:proofErr w:type="spellEnd"/>
      <w:r w:rsidRPr="005D335B">
        <w:rPr>
          <w:rFonts w:ascii="Times New Roman" w:hAnsi="Times New Roman" w:cs="Times New Roman"/>
        </w:rPr>
        <w:t xml:space="preserve">, 2021). In extractive contexts, effective stakeholder engagement and inclusive decision‑making are critical for aligning CSR with local priorities, managing conflict, and building trust (Attah &amp; Amoah, 2023; </w:t>
      </w:r>
      <w:proofErr w:type="spellStart"/>
      <w:r w:rsidRPr="005D335B">
        <w:rPr>
          <w:rFonts w:ascii="Times New Roman" w:hAnsi="Times New Roman" w:cs="Times New Roman"/>
        </w:rPr>
        <w:t>Gilberthorpe</w:t>
      </w:r>
      <w:proofErr w:type="spellEnd"/>
      <w:r w:rsidRPr="005D335B">
        <w:rPr>
          <w:rFonts w:ascii="Times New Roman" w:hAnsi="Times New Roman" w:cs="Times New Roman"/>
        </w:rPr>
        <w:t xml:space="preserve"> &amp; Banks, 2012; Mohammed et al., 2022). Legitimacy theory, by contrast, emphasises that firms undertake CSR to secure or restore societal approval and maintain their “licence to operate” within prevailing social norms and regulatory frameworks (</w:t>
      </w:r>
      <w:proofErr w:type="spellStart"/>
      <w:r w:rsidRPr="005D335B">
        <w:rPr>
          <w:rFonts w:ascii="Times New Roman" w:hAnsi="Times New Roman" w:cs="Times New Roman"/>
        </w:rPr>
        <w:t>Alony</w:t>
      </w:r>
      <w:proofErr w:type="spellEnd"/>
      <w:r w:rsidRPr="005D335B">
        <w:rPr>
          <w:rFonts w:ascii="Times New Roman" w:hAnsi="Times New Roman" w:cs="Times New Roman"/>
        </w:rPr>
        <w:t xml:space="preserve">, 2025; </w:t>
      </w:r>
      <w:proofErr w:type="spellStart"/>
      <w:r w:rsidRPr="005D335B">
        <w:rPr>
          <w:rFonts w:ascii="Times New Roman" w:hAnsi="Times New Roman" w:cs="Times New Roman"/>
        </w:rPr>
        <w:t>Asare</w:t>
      </w:r>
      <w:proofErr w:type="spellEnd"/>
      <w:r w:rsidRPr="005D335B">
        <w:rPr>
          <w:rFonts w:ascii="Times New Roman" w:hAnsi="Times New Roman" w:cs="Times New Roman"/>
        </w:rPr>
        <w:t xml:space="preserve"> et al., 2022; Mohammed et al., 2022). In the extractive sector, where environmental and social risks are highly visible, CSR disclosures and community projects often function as legitimation tools to signal conformity with societal expectations and global sustainability agendas (</w:t>
      </w:r>
      <w:proofErr w:type="spellStart"/>
      <w:r w:rsidRPr="005D335B">
        <w:rPr>
          <w:rFonts w:ascii="Times New Roman" w:hAnsi="Times New Roman" w:cs="Times New Roman"/>
        </w:rPr>
        <w:t>Asare</w:t>
      </w:r>
      <w:proofErr w:type="spellEnd"/>
      <w:r w:rsidRPr="005D335B">
        <w:rPr>
          <w:rFonts w:ascii="Times New Roman" w:hAnsi="Times New Roman" w:cs="Times New Roman"/>
        </w:rPr>
        <w:t xml:space="preserve"> et al., 2022; Millington et al., 2021; </w:t>
      </w:r>
      <w:proofErr w:type="spellStart"/>
      <w:r w:rsidRPr="005D335B">
        <w:rPr>
          <w:rFonts w:ascii="Times New Roman" w:hAnsi="Times New Roman" w:cs="Times New Roman"/>
        </w:rPr>
        <w:t>Pouresmaieli</w:t>
      </w:r>
      <w:proofErr w:type="spellEnd"/>
      <w:r w:rsidRPr="005D335B">
        <w:rPr>
          <w:rFonts w:ascii="Times New Roman" w:hAnsi="Times New Roman" w:cs="Times New Roman"/>
        </w:rPr>
        <w:t xml:space="preserve"> et al., 2024).</w:t>
      </w:r>
    </w:p>
    <w:p w14:paraId="0EF39EEF" w14:textId="77777777" w:rsidR="0023332E" w:rsidRPr="005D335B" w:rsidRDefault="0023332E" w:rsidP="00341AF8">
      <w:pPr>
        <w:spacing w:line="360" w:lineRule="auto"/>
        <w:jc w:val="both"/>
        <w:rPr>
          <w:rFonts w:ascii="Times New Roman" w:hAnsi="Times New Roman" w:cs="Times New Roman"/>
        </w:rPr>
      </w:pPr>
      <w:r w:rsidRPr="005D335B">
        <w:rPr>
          <w:rFonts w:ascii="Times New Roman" w:hAnsi="Times New Roman" w:cs="Times New Roman"/>
        </w:rPr>
        <w:t xml:space="preserve">Sustainability‑transitions theory complements these perspectives by focusing on how corporate practices can contribute to long‑term transformations in socio‑technical systems, including energy, water, and livelihoods (Millington et al., 2021; </w:t>
      </w:r>
      <w:proofErr w:type="spellStart"/>
      <w:r w:rsidRPr="005D335B">
        <w:rPr>
          <w:rFonts w:ascii="Times New Roman" w:hAnsi="Times New Roman" w:cs="Times New Roman"/>
        </w:rPr>
        <w:t>Siahaan</w:t>
      </w:r>
      <w:proofErr w:type="spellEnd"/>
      <w:r w:rsidRPr="005D335B">
        <w:rPr>
          <w:rFonts w:ascii="Times New Roman" w:hAnsi="Times New Roman" w:cs="Times New Roman"/>
        </w:rPr>
        <w:t xml:space="preserve"> et al., 2025). From this vantage point, CSR that is integrated with corporate sustainability and aligned with SDGs can help reconfigure infrastructures, institutions, and capabilities in ways that reduce vulnerability and enhance resilience in host communities (Agnihotri &amp; Devi, 2024; Ashrafi et al., 2020; </w:t>
      </w:r>
      <w:proofErr w:type="spellStart"/>
      <w:r w:rsidRPr="005D335B">
        <w:rPr>
          <w:rFonts w:ascii="Times New Roman" w:hAnsi="Times New Roman" w:cs="Times New Roman"/>
        </w:rPr>
        <w:t>Pouresmaieli</w:t>
      </w:r>
      <w:proofErr w:type="spellEnd"/>
      <w:r w:rsidRPr="005D335B">
        <w:rPr>
          <w:rFonts w:ascii="Times New Roman" w:hAnsi="Times New Roman" w:cs="Times New Roman"/>
        </w:rPr>
        <w:t xml:space="preserve"> et al., 2024; </w:t>
      </w:r>
      <w:proofErr w:type="spellStart"/>
      <w:r w:rsidRPr="005D335B">
        <w:rPr>
          <w:rFonts w:ascii="Times New Roman" w:hAnsi="Times New Roman" w:cs="Times New Roman"/>
        </w:rPr>
        <w:t>Siahaan</w:t>
      </w:r>
      <w:proofErr w:type="spellEnd"/>
      <w:r w:rsidRPr="005D335B">
        <w:rPr>
          <w:rFonts w:ascii="Times New Roman" w:hAnsi="Times New Roman" w:cs="Times New Roman"/>
        </w:rPr>
        <w:t xml:space="preserve"> et al., 2025). Together, these theoretical lenses provide a framework for analysing not only the content of Eni’s CSR interventions in Sanzule but also the motivations, power dynamics, and systemic implications underlying them.</w:t>
      </w:r>
    </w:p>
    <w:p w14:paraId="3324FB89" w14:textId="77777777" w:rsidR="0023332E" w:rsidRPr="005D335B" w:rsidRDefault="0023332E" w:rsidP="00341AF8">
      <w:pPr>
        <w:spacing w:line="360" w:lineRule="auto"/>
        <w:jc w:val="both"/>
        <w:rPr>
          <w:rFonts w:ascii="Times New Roman" w:hAnsi="Times New Roman" w:cs="Times New Roman"/>
        </w:rPr>
      </w:pPr>
    </w:p>
    <w:p w14:paraId="2CD27FE7" w14:textId="77777777" w:rsidR="0023332E" w:rsidRPr="009E7F8B" w:rsidRDefault="0023332E" w:rsidP="00341AF8">
      <w:pPr>
        <w:spacing w:line="360" w:lineRule="auto"/>
        <w:jc w:val="both"/>
        <w:rPr>
          <w:rFonts w:ascii="Times New Roman" w:hAnsi="Times New Roman" w:cs="Times New Roman"/>
          <w:b/>
        </w:rPr>
      </w:pPr>
      <w:r w:rsidRPr="009E7F8B">
        <w:rPr>
          <w:rFonts w:ascii="Times New Roman" w:hAnsi="Times New Roman" w:cs="Times New Roman"/>
          <w:b/>
        </w:rPr>
        <w:t>2.2 Evolving CSR Paradigms: From Philanthropy to Strategic and Transformative CSR</w:t>
      </w:r>
    </w:p>
    <w:p w14:paraId="22817F2F" w14:textId="77777777" w:rsidR="0023332E" w:rsidRPr="009E7F8B" w:rsidRDefault="0023332E" w:rsidP="00341AF8">
      <w:pPr>
        <w:spacing w:line="360" w:lineRule="auto"/>
        <w:jc w:val="both"/>
        <w:rPr>
          <w:rFonts w:ascii="Times New Roman" w:hAnsi="Times New Roman" w:cs="Times New Roman"/>
        </w:rPr>
      </w:pPr>
      <w:r w:rsidRPr="009E7F8B">
        <w:rPr>
          <w:rFonts w:ascii="Times New Roman" w:hAnsi="Times New Roman" w:cs="Times New Roman"/>
        </w:rPr>
        <w:t>Bibliometric and systematic reviews document a clear evolution in CSR paradigms from early philanthropic and compliance‑oriented models to more strategic, performance‑driven, and sustainability‑anchored approaches (</w:t>
      </w:r>
      <w:proofErr w:type="spellStart"/>
      <w:r w:rsidRPr="009E7F8B">
        <w:rPr>
          <w:rFonts w:ascii="Times New Roman" w:hAnsi="Times New Roman" w:cs="Times New Roman"/>
        </w:rPr>
        <w:t>ElAlfy</w:t>
      </w:r>
      <w:proofErr w:type="spellEnd"/>
      <w:r w:rsidRPr="009E7F8B">
        <w:rPr>
          <w:rFonts w:ascii="Times New Roman" w:hAnsi="Times New Roman" w:cs="Times New Roman"/>
        </w:rPr>
        <w:t xml:space="preserve"> et al., 2020; </w:t>
      </w:r>
      <w:proofErr w:type="spellStart"/>
      <w:r w:rsidRPr="009E7F8B">
        <w:rPr>
          <w:rFonts w:ascii="Times New Roman" w:hAnsi="Times New Roman" w:cs="Times New Roman"/>
        </w:rPr>
        <w:t>Pouresmaieli</w:t>
      </w:r>
      <w:proofErr w:type="spellEnd"/>
      <w:r w:rsidRPr="009E7F8B">
        <w:rPr>
          <w:rFonts w:ascii="Times New Roman" w:hAnsi="Times New Roman" w:cs="Times New Roman"/>
        </w:rPr>
        <w:t xml:space="preserve"> et al., 2024; Qureshi, 2025; Ye et al., 2020). Traditional philanthropic CSR typically involves donations, sponsorships, and small‑scale community projects aimed at enhancing corporate image rather than addressing structural development challenges (</w:t>
      </w:r>
      <w:proofErr w:type="spellStart"/>
      <w:r w:rsidRPr="009E7F8B">
        <w:rPr>
          <w:rFonts w:ascii="Times New Roman" w:hAnsi="Times New Roman" w:cs="Times New Roman"/>
        </w:rPr>
        <w:t>Buddu</w:t>
      </w:r>
      <w:proofErr w:type="spellEnd"/>
      <w:r w:rsidRPr="009E7F8B">
        <w:rPr>
          <w:rFonts w:ascii="Times New Roman" w:hAnsi="Times New Roman" w:cs="Times New Roman"/>
        </w:rPr>
        <w:t xml:space="preserve"> &amp; Scheepers, 2022; </w:t>
      </w:r>
      <w:proofErr w:type="spellStart"/>
      <w:r w:rsidRPr="009E7F8B">
        <w:rPr>
          <w:rFonts w:ascii="Times New Roman" w:hAnsi="Times New Roman" w:cs="Times New Roman"/>
        </w:rPr>
        <w:t>Gilberthorpe</w:t>
      </w:r>
      <w:proofErr w:type="spellEnd"/>
      <w:r w:rsidRPr="009E7F8B">
        <w:rPr>
          <w:rFonts w:ascii="Times New Roman" w:hAnsi="Times New Roman" w:cs="Times New Roman"/>
        </w:rPr>
        <w:t xml:space="preserve"> &amp; </w:t>
      </w:r>
      <w:r w:rsidRPr="009E7F8B">
        <w:rPr>
          <w:rFonts w:ascii="Times New Roman" w:hAnsi="Times New Roman" w:cs="Times New Roman"/>
        </w:rPr>
        <w:lastRenderedPageBreak/>
        <w:t xml:space="preserve">Banks, 2012; </w:t>
      </w:r>
      <w:proofErr w:type="spellStart"/>
      <w:r w:rsidRPr="009E7F8B">
        <w:rPr>
          <w:rFonts w:ascii="Times New Roman" w:hAnsi="Times New Roman" w:cs="Times New Roman"/>
        </w:rPr>
        <w:t>Hilson</w:t>
      </w:r>
      <w:proofErr w:type="spellEnd"/>
      <w:r w:rsidRPr="009E7F8B">
        <w:rPr>
          <w:rFonts w:ascii="Times New Roman" w:hAnsi="Times New Roman" w:cs="Times New Roman"/>
        </w:rPr>
        <w:t>, 2012). While such initiatives may yield short‑term benefits, they often lack strong stakeholder participation, comprehensive impact assessment, or alignment with national development plans and the SDGs (</w:t>
      </w:r>
      <w:proofErr w:type="spellStart"/>
      <w:r w:rsidRPr="009E7F8B">
        <w:rPr>
          <w:rFonts w:ascii="Times New Roman" w:hAnsi="Times New Roman" w:cs="Times New Roman"/>
        </w:rPr>
        <w:t>ElAlfy</w:t>
      </w:r>
      <w:proofErr w:type="spellEnd"/>
      <w:r w:rsidRPr="009E7F8B">
        <w:rPr>
          <w:rFonts w:ascii="Times New Roman" w:hAnsi="Times New Roman" w:cs="Times New Roman"/>
        </w:rPr>
        <w:t xml:space="preserve"> et al., 2020; </w:t>
      </w:r>
      <w:proofErr w:type="spellStart"/>
      <w:r w:rsidRPr="009E7F8B">
        <w:rPr>
          <w:rFonts w:ascii="Times New Roman" w:hAnsi="Times New Roman" w:cs="Times New Roman"/>
        </w:rPr>
        <w:t>Pouresmaieli</w:t>
      </w:r>
      <w:proofErr w:type="spellEnd"/>
      <w:r w:rsidRPr="009E7F8B">
        <w:rPr>
          <w:rFonts w:ascii="Times New Roman" w:hAnsi="Times New Roman" w:cs="Times New Roman"/>
        </w:rPr>
        <w:t xml:space="preserve"> et al., 2024; Ye et al., 2020).</w:t>
      </w:r>
    </w:p>
    <w:p w14:paraId="5CF905BD" w14:textId="77777777" w:rsidR="0023332E" w:rsidRPr="009E7F8B" w:rsidRDefault="0023332E" w:rsidP="00341AF8">
      <w:pPr>
        <w:spacing w:line="360" w:lineRule="auto"/>
        <w:jc w:val="both"/>
        <w:rPr>
          <w:rFonts w:ascii="Times New Roman" w:hAnsi="Times New Roman" w:cs="Times New Roman"/>
        </w:rPr>
      </w:pPr>
      <w:r w:rsidRPr="009E7F8B">
        <w:rPr>
          <w:rFonts w:ascii="Times New Roman" w:hAnsi="Times New Roman" w:cs="Times New Roman"/>
        </w:rPr>
        <w:t>Strategic CSR emerged in response to these limitations, emphasising the integration of social and environmental considerations into core business strategy and operations (</w:t>
      </w:r>
      <w:proofErr w:type="spellStart"/>
      <w:r w:rsidRPr="009E7F8B">
        <w:rPr>
          <w:rFonts w:ascii="Times New Roman" w:hAnsi="Times New Roman" w:cs="Times New Roman"/>
        </w:rPr>
        <w:t>ElAlfy</w:t>
      </w:r>
      <w:proofErr w:type="spellEnd"/>
      <w:r w:rsidRPr="009E7F8B">
        <w:rPr>
          <w:rFonts w:ascii="Times New Roman" w:hAnsi="Times New Roman" w:cs="Times New Roman"/>
        </w:rPr>
        <w:t xml:space="preserve"> et al., 2020; Isaksson, 2025; Qureshi, 2025). In extractive industries, strategic CSR commonly focuses on risk mitigation, reputation management, and operational continuity, with companies investing in targeted community projects, local supplier development, and environmental management systems (</w:t>
      </w:r>
      <w:proofErr w:type="spellStart"/>
      <w:r w:rsidRPr="009E7F8B">
        <w:rPr>
          <w:rFonts w:ascii="Times New Roman" w:hAnsi="Times New Roman" w:cs="Times New Roman"/>
        </w:rPr>
        <w:t>Buddu</w:t>
      </w:r>
      <w:proofErr w:type="spellEnd"/>
      <w:r w:rsidRPr="009E7F8B">
        <w:rPr>
          <w:rFonts w:ascii="Times New Roman" w:hAnsi="Times New Roman" w:cs="Times New Roman"/>
        </w:rPr>
        <w:t xml:space="preserve"> &amp; Scheepers, 2022; </w:t>
      </w:r>
      <w:proofErr w:type="spellStart"/>
      <w:r w:rsidRPr="009E7F8B">
        <w:rPr>
          <w:rFonts w:ascii="Times New Roman" w:hAnsi="Times New Roman" w:cs="Times New Roman"/>
        </w:rPr>
        <w:t>Pouresmaieli</w:t>
      </w:r>
      <w:proofErr w:type="spellEnd"/>
      <w:r w:rsidRPr="009E7F8B">
        <w:rPr>
          <w:rFonts w:ascii="Times New Roman" w:hAnsi="Times New Roman" w:cs="Times New Roman"/>
        </w:rPr>
        <w:t xml:space="preserve"> et al., 2024; </w:t>
      </w:r>
      <w:proofErr w:type="spellStart"/>
      <w:r w:rsidRPr="009E7F8B">
        <w:rPr>
          <w:rFonts w:ascii="Times New Roman" w:hAnsi="Times New Roman" w:cs="Times New Roman"/>
        </w:rPr>
        <w:t>Rathobei</w:t>
      </w:r>
      <w:proofErr w:type="spellEnd"/>
      <w:r w:rsidRPr="009E7F8B">
        <w:rPr>
          <w:rFonts w:ascii="Times New Roman" w:hAnsi="Times New Roman" w:cs="Times New Roman"/>
        </w:rPr>
        <w:t xml:space="preserve"> et al., 2024; Turcotte &amp; Lachance, 2023). Reviews of CSR implementation highlight the importance of clear organisational structures, cross‑functional coordination, and performance metrics in embedding CSR within corporate decision‑making (Fatima &amp; </w:t>
      </w:r>
      <w:proofErr w:type="spellStart"/>
      <w:r w:rsidRPr="009E7F8B">
        <w:rPr>
          <w:rFonts w:ascii="Times New Roman" w:hAnsi="Times New Roman" w:cs="Times New Roman"/>
        </w:rPr>
        <w:t>Elbanna</w:t>
      </w:r>
      <w:proofErr w:type="spellEnd"/>
      <w:r w:rsidRPr="009E7F8B">
        <w:rPr>
          <w:rFonts w:ascii="Times New Roman" w:hAnsi="Times New Roman" w:cs="Times New Roman"/>
        </w:rPr>
        <w:t>, 2022; Isaksson, 2025; Qureshi, 2025).</w:t>
      </w:r>
    </w:p>
    <w:p w14:paraId="585E116E" w14:textId="77777777" w:rsidR="0023332E" w:rsidRPr="009E7F8B" w:rsidRDefault="0023332E" w:rsidP="00341AF8">
      <w:pPr>
        <w:spacing w:line="360" w:lineRule="auto"/>
        <w:jc w:val="both"/>
        <w:rPr>
          <w:rFonts w:ascii="Times New Roman" w:hAnsi="Times New Roman" w:cs="Times New Roman"/>
        </w:rPr>
      </w:pPr>
      <w:r w:rsidRPr="009E7F8B">
        <w:rPr>
          <w:rFonts w:ascii="Times New Roman" w:hAnsi="Times New Roman" w:cs="Times New Roman"/>
        </w:rPr>
        <w:t>More recently, scholars have advanced the notion of transformative CSR, which seeks to move beyond risk management and incremental improvement to foster systemic social and environmental change (</w:t>
      </w:r>
      <w:proofErr w:type="spellStart"/>
      <w:r w:rsidRPr="009E7F8B">
        <w:rPr>
          <w:rFonts w:ascii="Times New Roman" w:hAnsi="Times New Roman" w:cs="Times New Roman"/>
        </w:rPr>
        <w:t>Abidin</w:t>
      </w:r>
      <w:proofErr w:type="spellEnd"/>
      <w:r w:rsidRPr="009E7F8B">
        <w:rPr>
          <w:rFonts w:ascii="Times New Roman" w:hAnsi="Times New Roman" w:cs="Times New Roman"/>
        </w:rPr>
        <w:t xml:space="preserve"> et al., 2025; </w:t>
      </w:r>
      <w:proofErr w:type="spellStart"/>
      <w:r w:rsidRPr="009E7F8B">
        <w:rPr>
          <w:rFonts w:ascii="Times New Roman" w:hAnsi="Times New Roman" w:cs="Times New Roman"/>
        </w:rPr>
        <w:t>Menghwar</w:t>
      </w:r>
      <w:proofErr w:type="spellEnd"/>
      <w:r w:rsidRPr="009E7F8B">
        <w:rPr>
          <w:rFonts w:ascii="Times New Roman" w:hAnsi="Times New Roman" w:cs="Times New Roman"/>
        </w:rPr>
        <w:t xml:space="preserve"> &amp; </w:t>
      </w:r>
      <w:proofErr w:type="spellStart"/>
      <w:r w:rsidRPr="009E7F8B">
        <w:rPr>
          <w:rFonts w:ascii="Times New Roman" w:hAnsi="Times New Roman" w:cs="Times New Roman"/>
        </w:rPr>
        <w:t>Daood</w:t>
      </w:r>
      <w:proofErr w:type="spellEnd"/>
      <w:r w:rsidRPr="009E7F8B">
        <w:rPr>
          <w:rFonts w:ascii="Times New Roman" w:hAnsi="Times New Roman" w:cs="Times New Roman"/>
        </w:rPr>
        <w:t xml:space="preserve">, 2021; </w:t>
      </w:r>
      <w:proofErr w:type="spellStart"/>
      <w:r w:rsidRPr="009E7F8B">
        <w:rPr>
          <w:rFonts w:ascii="Times New Roman" w:hAnsi="Times New Roman" w:cs="Times New Roman"/>
        </w:rPr>
        <w:t>Pouresmaieli</w:t>
      </w:r>
      <w:proofErr w:type="spellEnd"/>
      <w:r w:rsidRPr="009E7F8B">
        <w:rPr>
          <w:rFonts w:ascii="Times New Roman" w:hAnsi="Times New Roman" w:cs="Times New Roman"/>
        </w:rPr>
        <w:t xml:space="preserve"> et al., 2024; </w:t>
      </w:r>
      <w:proofErr w:type="spellStart"/>
      <w:r w:rsidRPr="009E7F8B">
        <w:rPr>
          <w:rFonts w:ascii="Times New Roman" w:hAnsi="Times New Roman" w:cs="Times New Roman"/>
        </w:rPr>
        <w:t>Siahaan</w:t>
      </w:r>
      <w:proofErr w:type="spellEnd"/>
      <w:r w:rsidRPr="009E7F8B">
        <w:rPr>
          <w:rFonts w:ascii="Times New Roman" w:hAnsi="Times New Roman" w:cs="Times New Roman"/>
        </w:rPr>
        <w:t xml:space="preserve"> et al., 2025). Transformative CSR emphasises tackling root causes of inequality and vulnerability, empowering marginalised groups, and aligning corporate initiatives with broader sustainability transitions and the SDGs (</w:t>
      </w:r>
      <w:proofErr w:type="spellStart"/>
      <w:r w:rsidRPr="009E7F8B">
        <w:rPr>
          <w:rFonts w:ascii="Times New Roman" w:hAnsi="Times New Roman" w:cs="Times New Roman"/>
        </w:rPr>
        <w:t>ElAlfy</w:t>
      </w:r>
      <w:proofErr w:type="spellEnd"/>
      <w:r w:rsidRPr="009E7F8B">
        <w:rPr>
          <w:rFonts w:ascii="Times New Roman" w:hAnsi="Times New Roman" w:cs="Times New Roman"/>
        </w:rPr>
        <w:t xml:space="preserve"> et al., 2020; </w:t>
      </w:r>
      <w:proofErr w:type="spellStart"/>
      <w:r w:rsidRPr="009E7F8B">
        <w:rPr>
          <w:rFonts w:ascii="Times New Roman" w:hAnsi="Times New Roman" w:cs="Times New Roman"/>
        </w:rPr>
        <w:t>Menghwar</w:t>
      </w:r>
      <w:proofErr w:type="spellEnd"/>
      <w:r w:rsidRPr="009E7F8B">
        <w:rPr>
          <w:rFonts w:ascii="Times New Roman" w:hAnsi="Times New Roman" w:cs="Times New Roman"/>
        </w:rPr>
        <w:t xml:space="preserve"> &amp; </w:t>
      </w:r>
      <w:proofErr w:type="spellStart"/>
      <w:r w:rsidRPr="009E7F8B">
        <w:rPr>
          <w:rFonts w:ascii="Times New Roman" w:hAnsi="Times New Roman" w:cs="Times New Roman"/>
        </w:rPr>
        <w:t>Daood</w:t>
      </w:r>
      <w:proofErr w:type="spellEnd"/>
      <w:r w:rsidRPr="009E7F8B">
        <w:rPr>
          <w:rFonts w:ascii="Times New Roman" w:hAnsi="Times New Roman" w:cs="Times New Roman"/>
        </w:rPr>
        <w:t xml:space="preserve">, 2021; </w:t>
      </w:r>
      <w:proofErr w:type="spellStart"/>
      <w:r w:rsidRPr="009E7F8B">
        <w:rPr>
          <w:rFonts w:ascii="Times New Roman" w:hAnsi="Times New Roman" w:cs="Times New Roman"/>
        </w:rPr>
        <w:t>Pouresmaieli</w:t>
      </w:r>
      <w:proofErr w:type="spellEnd"/>
      <w:r w:rsidRPr="009E7F8B">
        <w:rPr>
          <w:rFonts w:ascii="Times New Roman" w:hAnsi="Times New Roman" w:cs="Times New Roman"/>
        </w:rPr>
        <w:t xml:space="preserve"> et al., 2024; </w:t>
      </w:r>
      <w:proofErr w:type="spellStart"/>
      <w:r w:rsidRPr="009E7F8B">
        <w:rPr>
          <w:rFonts w:ascii="Times New Roman" w:hAnsi="Times New Roman" w:cs="Times New Roman"/>
        </w:rPr>
        <w:t>Siahaan</w:t>
      </w:r>
      <w:proofErr w:type="spellEnd"/>
      <w:r w:rsidRPr="009E7F8B">
        <w:rPr>
          <w:rFonts w:ascii="Times New Roman" w:hAnsi="Times New Roman" w:cs="Times New Roman"/>
        </w:rPr>
        <w:t xml:space="preserve"> et al., 2025; Ye et al., 2020). In extractive contexts, this implies long‑term investments in diversified livelihoods, participatory governance, environmental restoration, and institutional strengthening rather than isolated projects (</w:t>
      </w:r>
      <w:proofErr w:type="spellStart"/>
      <w:r w:rsidRPr="009E7F8B">
        <w:rPr>
          <w:rFonts w:ascii="Times New Roman" w:hAnsi="Times New Roman" w:cs="Times New Roman"/>
        </w:rPr>
        <w:t>Buddu</w:t>
      </w:r>
      <w:proofErr w:type="spellEnd"/>
      <w:r w:rsidRPr="009E7F8B">
        <w:rPr>
          <w:rFonts w:ascii="Times New Roman" w:hAnsi="Times New Roman" w:cs="Times New Roman"/>
        </w:rPr>
        <w:t xml:space="preserve"> &amp; Scheepers, 2022; </w:t>
      </w:r>
      <w:proofErr w:type="spellStart"/>
      <w:r w:rsidRPr="009E7F8B">
        <w:rPr>
          <w:rFonts w:ascii="Times New Roman" w:hAnsi="Times New Roman" w:cs="Times New Roman"/>
        </w:rPr>
        <w:t>Pouresmaieli</w:t>
      </w:r>
      <w:proofErr w:type="spellEnd"/>
      <w:r w:rsidRPr="009E7F8B">
        <w:rPr>
          <w:rFonts w:ascii="Times New Roman" w:hAnsi="Times New Roman" w:cs="Times New Roman"/>
        </w:rPr>
        <w:t xml:space="preserve"> et al., 2024; </w:t>
      </w:r>
      <w:proofErr w:type="spellStart"/>
      <w:r w:rsidRPr="009E7F8B">
        <w:rPr>
          <w:rFonts w:ascii="Times New Roman" w:hAnsi="Times New Roman" w:cs="Times New Roman"/>
        </w:rPr>
        <w:t>Rathobei</w:t>
      </w:r>
      <w:proofErr w:type="spellEnd"/>
      <w:r w:rsidRPr="009E7F8B">
        <w:rPr>
          <w:rFonts w:ascii="Times New Roman" w:hAnsi="Times New Roman" w:cs="Times New Roman"/>
        </w:rPr>
        <w:t xml:space="preserve"> et al., 2024; Turcotte &amp; Lachance, 2023).</w:t>
      </w:r>
    </w:p>
    <w:p w14:paraId="2BCF86C6" w14:textId="77777777" w:rsidR="0023332E" w:rsidRPr="009E7F8B" w:rsidRDefault="0023332E" w:rsidP="00341AF8">
      <w:pPr>
        <w:spacing w:line="360" w:lineRule="auto"/>
        <w:jc w:val="both"/>
        <w:rPr>
          <w:rFonts w:ascii="Times New Roman" w:hAnsi="Times New Roman" w:cs="Times New Roman"/>
        </w:rPr>
      </w:pPr>
      <w:r w:rsidRPr="009E7F8B">
        <w:rPr>
          <w:rFonts w:ascii="Times New Roman" w:hAnsi="Times New Roman" w:cs="Times New Roman"/>
        </w:rPr>
        <w:t>However, empirical analyses in mining and oil‑producing regions suggest that many corporate programmes continue to fall short of this ideal, exhibiting gaps between rhetoric and practice and sometimes reinforcing existing power imbalances (</w:t>
      </w:r>
      <w:proofErr w:type="spellStart"/>
      <w:r w:rsidRPr="009E7F8B">
        <w:rPr>
          <w:rFonts w:ascii="Times New Roman" w:hAnsi="Times New Roman" w:cs="Times New Roman"/>
        </w:rPr>
        <w:t>Buddu</w:t>
      </w:r>
      <w:proofErr w:type="spellEnd"/>
      <w:r w:rsidRPr="009E7F8B">
        <w:rPr>
          <w:rFonts w:ascii="Times New Roman" w:hAnsi="Times New Roman" w:cs="Times New Roman"/>
        </w:rPr>
        <w:t xml:space="preserve"> &amp; Scheepers, 2022; </w:t>
      </w:r>
      <w:proofErr w:type="spellStart"/>
      <w:r w:rsidRPr="009E7F8B">
        <w:rPr>
          <w:rFonts w:ascii="Times New Roman" w:hAnsi="Times New Roman" w:cs="Times New Roman"/>
        </w:rPr>
        <w:t>Ebisi</w:t>
      </w:r>
      <w:proofErr w:type="spellEnd"/>
      <w:r w:rsidRPr="009E7F8B">
        <w:rPr>
          <w:rFonts w:ascii="Times New Roman" w:hAnsi="Times New Roman" w:cs="Times New Roman"/>
        </w:rPr>
        <w:t xml:space="preserve"> et al., 2025; </w:t>
      </w:r>
      <w:proofErr w:type="spellStart"/>
      <w:r w:rsidRPr="009E7F8B">
        <w:rPr>
          <w:rFonts w:ascii="Times New Roman" w:hAnsi="Times New Roman" w:cs="Times New Roman"/>
        </w:rPr>
        <w:t>Gilberthorpe</w:t>
      </w:r>
      <w:proofErr w:type="spellEnd"/>
      <w:r w:rsidRPr="009E7F8B">
        <w:rPr>
          <w:rFonts w:ascii="Times New Roman" w:hAnsi="Times New Roman" w:cs="Times New Roman"/>
        </w:rPr>
        <w:t xml:space="preserve"> &amp; Banks, 2012; </w:t>
      </w:r>
      <w:proofErr w:type="spellStart"/>
      <w:r w:rsidRPr="009E7F8B">
        <w:rPr>
          <w:rFonts w:ascii="Times New Roman" w:hAnsi="Times New Roman" w:cs="Times New Roman"/>
        </w:rPr>
        <w:t>Hilson</w:t>
      </w:r>
      <w:proofErr w:type="spellEnd"/>
      <w:r w:rsidRPr="009E7F8B">
        <w:rPr>
          <w:rFonts w:ascii="Times New Roman" w:hAnsi="Times New Roman" w:cs="Times New Roman"/>
        </w:rPr>
        <w:t xml:space="preserve">, 2012; </w:t>
      </w:r>
      <w:proofErr w:type="spellStart"/>
      <w:r w:rsidRPr="009E7F8B">
        <w:rPr>
          <w:rFonts w:ascii="Times New Roman" w:hAnsi="Times New Roman" w:cs="Times New Roman"/>
        </w:rPr>
        <w:t>Pouresmaieli</w:t>
      </w:r>
      <w:proofErr w:type="spellEnd"/>
      <w:r w:rsidRPr="009E7F8B">
        <w:rPr>
          <w:rFonts w:ascii="Times New Roman" w:hAnsi="Times New Roman" w:cs="Times New Roman"/>
        </w:rPr>
        <w:t xml:space="preserve"> et al., 2024). Given these debates, assessing whether Eni’s CSR in Sanzule reflects philanthropic, strategic, or more transformative tendencies—and how these are perceived by different stakeholders—offers an opportunity to enrich the literature with context‑specific insights from a West African offshore oil setting.</w:t>
      </w:r>
    </w:p>
    <w:p w14:paraId="53721D4A" w14:textId="77777777" w:rsidR="0023332E" w:rsidRPr="009E7F8B" w:rsidRDefault="0023332E" w:rsidP="00341AF8">
      <w:pPr>
        <w:spacing w:line="360" w:lineRule="auto"/>
        <w:jc w:val="both"/>
        <w:rPr>
          <w:rFonts w:ascii="Times New Roman" w:hAnsi="Times New Roman" w:cs="Times New Roman"/>
          <w:b/>
        </w:rPr>
      </w:pPr>
    </w:p>
    <w:p w14:paraId="5BDA8509" w14:textId="77777777" w:rsidR="0023332E" w:rsidRPr="009E7F8B" w:rsidRDefault="0023332E" w:rsidP="00341AF8">
      <w:pPr>
        <w:spacing w:line="360" w:lineRule="auto"/>
        <w:jc w:val="both"/>
        <w:rPr>
          <w:rFonts w:ascii="Times New Roman" w:hAnsi="Times New Roman" w:cs="Times New Roman"/>
          <w:b/>
        </w:rPr>
      </w:pPr>
      <w:r w:rsidRPr="009E7F8B">
        <w:rPr>
          <w:rFonts w:ascii="Times New Roman" w:hAnsi="Times New Roman" w:cs="Times New Roman"/>
          <w:b/>
        </w:rPr>
        <w:t>2.3 Shared Value, CSR, and Sustainable Development in Extractive Contexts</w:t>
      </w:r>
    </w:p>
    <w:p w14:paraId="692E8C59" w14:textId="77777777" w:rsidR="0023332E" w:rsidRPr="009E7F8B" w:rsidRDefault="0023332E" w:rsidP="00341AF8">
      <w:pPr>
        <w:spacing w:line="360" w:lineRule="auto"/>
        <w:jc w:val="both"/>
        <w:rPr>
          <w:rFonts w:ascii="Times New Roman" w:hAnsi="Times New Roman" w:cs="Times New Roman"/>
        </w:rPr>
      </w:pPr>
      <w:r w:rsidRPr="009E7F8B">
        <w:rPr>
          <w:rFonts w:ascii="Times New Roman" w:hAnsi="Times New Roman" w:cs="Times New Roman"/>
        </w:rPr>
        <w:t>The concept of creating shared value (CSV) has attracted substantial attention as a way to reframe CSR as a source of competitive advantage through simultaneous creation of social and economic value (</w:t>
      </w:r>
      <w:proofErr w:type="spellStart"/>
      <w:r w:rsidRPr="009E7F8B">
        <w:rPr>
          <w:rFonts w:ascii="Times New Roman" w:hAnsi="Times New Roman" w:cs="Times New Roman"/>
        </w:rPr>
        <w:t>Menghwar</w:t>
      </w:r>
      <w:proofErr w:type="spellEnd"/>
      <w:r w:rsidRPr="009E7F8B">
        <w:rPr>
          <w:rFonts w:ascii="Times New Roman" w:hAnsi="Times New Roman" w:cs="Times New Roman"/>
        </w:rPr>
        <w:t xml:space="preserve"> &amp; </w:t>
      </w:r>
      <w:proofErr w:type="spellStart"/>
      <w:r w:rsidRPr="009E7F8B">
        <w:rPr>
          <w:rFonts w:ascii="Times New Roman" w:hAnsi="Times New Roman" w:cs="Times New Roman"/>
        </w:rPr>
        <w:t>Daood</w:t>
      </w:r>
      <w:proofErr w:type="spellEnd"/>
      <w:r w:rsidRPr="009E7F8B">
        <w:rPr>
          <w:rFonts w:ascii="Times New Roman" w:hAnsi="Times New Roman" w:cs="Times New Roman"/>
        </w:rPr>
        <w:t>, 2021; Porter &amp; Kramer, 2011; Yang &amp; Yan, 2020). Systematic reviews argue that, rather than being a revolutionary break, CSV represents an incremental extension of strategic CSR and stakeholder theory, focusing on social problems that firms can address through innovative products, value chains, and local cluster development (</w:t>
      </w:r>
      <w:proofErr w:type="spellStart"/>
      <w:r w:rsidRPr="009E7F8B">
        <w:rPr>
          <w:rFonts w:ascii="Times New Roman" w:hAnsi="Times New Roman" w:cs="Times New Roman"/>
        </w:rPr>
        <w:t>Menghwar</w:t>
      </w:r>
      <w:proofErr w:type="spellEnd"/>
      <w:r w:rsidRPr="009E7F8B">
        <w:rPr>
          <w:rFonts w:ascii="Times New Roman" w:hAnsi="Times New Roman" w:cs="Times New Roman"/>
        </w:rPr>
        <w:t xml:space="preserve"> &amp; </w:t>
      </w:r>
      <w:proofErr w:type="spellStart"/>
      <w:r w:rsidRPr="009E7F8B">
        <w:rPr>
          <w:rFonts w:ascii="Times New Roman" w:hAnsi="Times New Roman" w:cs="Times New Roman"/>
        </w:rPr>
        <w:t>Daood</w:t>
      </w:r>
      <w:proofErr w:type="spellEnd"/>
      <w:r w:rsidRPr="009E7F8B">
        <w:rPr>
          <w:rFonts w:ascii="Times New Roman" w:hAnsi="Times New Roman" w:cs="Times New Roman"/>
        </w:rPr>
        <w:t>, 2021; Schwartz, 2024). From a sustainable development perspective, shared value initiatives are expected to contribute to environmental protection, social inclusion, and economic opportunity in host communities (</w:t>
      </w:r>
      <w:proofErr w:type="spellStart"/>
      <w:r w:rsidRPr="009E7F8B">
        <w:rPr>
          <w:rFonts w:ascii="Times New Roman" w:hAnsi="Times New Roman" w:cs="Times New Roman"/>
        </w:rPr>
        <w:t>ElAlfy</w:t>
      </w:r>
      <w:proofErr w:type="spellEnd"/>
      <w:r w:rsidRPr="009E7F8B">
        <w:rPr>
          <w:rFonts w:ascii="Times New Roman" w:hAnsi="Times New Roman" w:cs="Times New Roman"/>
        </w:rPr>
        <w:t xml:space="preserve"> et al., 2020; </w:t>
      </w:r>
      <w:proofErr w:type="spellStart"/>
      <w:r w:rsidRPr="009E7F8B">
        <w:rPr>
          <w:rFonts w:ascii="Times New Roman" w:hAnsi="Times New Roman" w:cs="Times New Roman"/>
        </w:rPr>
        <w:t>Pouresmaieli</w:t>
      </w:r>
      <w:proofErr w:type="spellEnd"/>
      <w:r w:rsidRPr="009E7F8B">
        <w:rPr>
          <w:rFonts w:ascii="Times New Roman" w:hAnsi="Times New Roman" w:cs="Times New Roman"/>
        </w:rPr>
        <w:t xml:space="preserve"> et al., 2024; Yang &amp; Yan, 2020; Ye et al., 2020).</w:t>
      </w:r>
    </w:p>
    <w:p w14:paraId="39CB299E" w14:textId="77777777" w:rsidR="0023332E" w:rsidRPr="009E7F8B" w:rsidRDefault="0023332E" w:rsidP="00341AF8">
      <w:pPr>
        <w:spacing w:line="360" w:lineRule="auto"/>
        <w:jc w:val="both"/>
        <w:rPr>
          <w:rFonts w:ascii="Times New Roman" w:hAnsi="Times New Roman" w:cs="Times New Roman"/>
        </w:rPr>
      </w:pPr>
      <w:r w:rsidRPr="009E7F8B">
        <w:rPr>
          <w:rFonts w:ascii="Times New Roman" w:hAnsi="Times New Roman" w:cs="Times New Roman"/>
        </w:rPr>
        <w:t>In extractive industries, shared value discourse often centres on local content, skills development, and livelihood diversification, aimed at embedding resource projects within broader regional development trajectories (</w:t>
      </w:r>
      <w:proofErr w:type="spellStart"/>
      <w:r w:rsidRPr="009E7F8B">
        <w:rPr>
          <w:rFonts w:ascii="Times New Roman" w:hAnsi="Times New Roman" w:cs="Times New Roman"/>
        </w:rPr>
        <w:t>Buddu</w:t>
      </w:r>
      <w:proofErr w:type="spellEnd"/>
      <w:r w:rsidRPr="009E7F8B">
        <w:rPr>
          <w:rFonts w:ascii="Times New Roman" w:hAnsi="Times New Roman" w:cs="Times New Roman"/>
        </w:rPr>
        <w:t xml:space="preserve"> &amp; Scheepers, 2022; </w:t>
      </w:r>
      <w:proofErr w:type="spellStart"/>
      <w:r w:rsidRPr="009E7F8B">
        <w:rPr>
          <w:rFonts w:ascii="Times New Roman" w:hAnsi="Times New Roman" w:cs="Times New Roman"/>
        </w:rPr>
        <w:t>Pouresmaieli</w:t>
      </w:r>
      <w:proofErr w:type="spellEnd"/>
      <w:r w:rsidRPr="009E7F8B">
        <w:rPr>
          <w:rFonts w:ascii="Times New Roman" w:hAnsi="Times New Roman" w:cs="Times New Roman"/>
        </w:rPr>
        <w:t xml:space="preserve"> et al., 2024; </w:t>
      </w:r>
      <w:proofErr w:type="spellStart"/>
      <w:r w:rsidRPr="009E7F8B">
        <w:rPr>
          <w:rFonts w:ascii="Times New Roman" w:hAnsi="Times New Roman" w:cs="Times New Roman"/>
        </w:rPr>
        <w:t>Rathobei</w:t>
      </w:r>
      <w:proofErr w:type="spellEnd"/>
      <w:r w:rsidRPr="009E7F8B">
        <w:rPr>
          <w:rFonts w:ascii="Times New Roman" w:hAnsi="Times New Roman" w:cs="Times New Roman"/>
        </w:rPr>
        <w:t xml:space="preserve"> et al., 2024; Turcotte &amp; Lachance, 2023). Studies of mining and energy companies highlight the potential of shared‑value‑oriented approaches to enhance local employment, support small and medium‑sized enterprises, and foster infrastructure co‑investment, while simultaneously strengthening corporate legitimacy (</w:t>
      </w:r>
      <w:proofErr w:type="spellStart"/>
      <w:r w:rsidRPr="009E7F8B">
        <w:rPr>
          <w:rFonts w:ascii="Times New Roman" w:hAnsi="Times New Roman" w:cs="Times New Roman"/>
        </w:rPr>
        <w:t>Buddu</w:t>
      </w:r>
      <w:proofErr w:type="spellEnd"/>
      <w:r w:rsidRPr="009E7F8B">
        <w:rPr>
          <w:rFonts w:ascii="Times New Roman" w:hAnsi="Times New Roman" w:cs="Times New Roman"/>
        </w:rPr>
        <w:t xml:space="preserve"> &amp; Scheepers, 2022; Porter &amp; Kramer, 2011; </w:t>
      </w:r>
      <w:proofErr w:type="spellStart"/>
      <w:r w:rsidRPr="009E7F8B">
        <w:rPr>
          <w:rFonts w:ascii="Times New Roman" w:hAnsi="Times New Roman" w:cs="Times New Roman"/>
        </w:rPr>
        <w:t>Rathobei</w:t>
      </w:r>
      <w:proofErr w:type="spellEnd"/>
      <w:r w:rsidRPr="009E7F8B">
        <w:rPr>
          <w:rFonts w:ascii="Times New Roman" w:hAnsi="Times New Roman" w:cs="Times New Roman"/>
        </w:rPr>
        <w:t xml:space="preserve"> et al., 2024; Turcotte &amp; Lachance, 2023). At the same time, empirical work points to significant implementation challenges, including weak stakeholder participation, inadequate attention to long‑term environmental risks, and the tendency for benefits to be captured by local elites (</w:t>
      </w:r>
      <w:proofErr w:type="spellStart"/>
      <w:r w:rsidRPr="009E7F8B">
        <w:rPr>
          <w:rFonts w:ascii="Times New Roman" w:hAnsi="Times New Roman" w:cs="Times New Roman"/>
        </w:rPr>
        <w:t>Buddu</w:t>
      </w:r>
      <w:proofErr w:type="spellEnd"/>
      <w:r w:rsidRPr="009E7F8B">
        <w:rPr>
          <w:rFonts w:ascii="Times New Roman" w:hAnsi="Times New Roman" w:cs="Times New Roman"/>
        </w:rPr>
        <w:t xml:space="preserve"> &amp; Scheepers, 2022; </w:t>
      </w:r>
      <w:proofErr w:type="spellStart"/>
      <w:r w:rsidRPr="009E7F8B">
        <w:rPr>
          <w:rFonts w:ascii="Times New Roman" w:hAnsi="Times New Roman" w:cs="Times New Roman"/>
        </w:rPr>
        <w:t>Ebisi</w:t>
      </w:r>
      <w:proofErr w:type="spellEnd"/>
      <w:r w:rsidRPr="009E7F8B">
        <w:rPr>
          <w:rFonts w:ascii="Times New Roman" w:hAnsi="Times New Roman" w:cs="Times New Roman"/>
        </w:rPr>
        <w:t xml:space="preserve"> et al., 2025; </w:t>
      </w:r>
      <w:proofErr w:type="spellStart"/>
      <w:r w:rsidRPr="009E7F8B">
        <w:rPr>
          <w:rFonts w:ascii="Times New Roman" w:hAnsi="Times New Roman" w:cs="Times New Roman"/>
        </w:rPr>
        <w:t>Gilberthorpe</w:t>
      </w:r>
      <w:proofErr w:type="spellEnd"/>
      <w:r w:rsidRPr="009E7F8B">
        <w:rPr>
          <w:rFonts w:ascii="Times New Roman" w:hAnsi="Times New Roman" w:cs="Times New Roman"/>
        </w:rPr>
        <w:t xml:space="preserve"> &amp; Banks, 2012; </w:t>
      </w:r>
      <w:proofErr w:type="spellStart"/>
      <w:r w:rsidRPr="009E7F8B">
        <w:rPr>
          <w:rFonts w:ascii="Times New Roman" w:hAnsi="Times New Roman" w:cs="Times New Roman"/>
        </w:rPr>
        <w:t>Hilson</w:t>
      </w:r>
      <w:proofErr w:type="spellEnd"/>
      <w:r w:rsidRPr="009E7F8B">
        <w:rPr>
          <w:rFonts w:ascii="Times New Roman" w:hAnsi="Times New Roman" w:cs="Times New Roman"/>
        </w:rPr>
        <w:t>, 2012; Yang &amp; Yan, 2020).</w:t>
      </w:r>
    </w:p>
    <w:p w14:paraId="420872D5" w14:textId="77777777" w:rsidR="0023332E" w:rsidRPr="009E7F8B" w:rsidRDefault="0023332E" w:rsidP="00341AF8">
      <w:pPr>
        <w:spacing w:line="360" w:lineRule="auto"/>
        <w:jc w:val="both"/>
        <w:rPr>
          <w:rFonts w:ascii="Times New Roman" w:hAnsi="Times New Roman" w:cs="Times New Roman"/>
        </w:rPr>
      </w:pPr>
      <w:r w:rsidRPr="009E7F8B">
        <w:rPr>
          <w:rFonts w:ascii="Times New Roman" w:hAnsi="Times New Roman" w:cs="Times New Roman"/>
        </w:rPr>
        <w:t>Recent scoping and bibliometric reviews show that CSR–SDG research increasingly focuses on how CSR and shared value can be leveraged to address specific global challenges such as clean water and sanitation, health, decent work, and reduced inequalities, particularly in developing countries (</w:t>
      </w:r>
      <w:proofErr w:type="spellStart"/>
      <w:r w:rsidRPr="009E7F8B">
        <w:rPr>
          <w:rFonts w:ascii="Times New Roman" w:hAnsi="Times New Roman" w:cs="Times New Roman"/>
        </w:rPr>
        <w:t>ElAlfy</w:t>
      </w:r>
      <w:proofErr w:type="spellEnd"/>
      <w:r w:rsidRPr="009E7F8B">
        <w:rPr>
          <w:rFonts w:ascii="Times New Roman" w:hAnsi="Times New Roman" w:cs="Times New Roman"/>
        </w:rPr>
        <w:t xml:space="preserve"> et al., 2020; </w:t>
      </w:r>
      <w:proofErr w:type="spellStart"/>
      <w:r w:rsidRPr="009E7F8B">
        <w:rPr>
          <w:rFonts w:ascii="Times New Roman" w:hAnsi="Times New Roman" w:cs="Times New Roman"/>
        </w:rPr>
        <w:t>Pouresmaieli</w:t>
      </w:r>
      <w:proofErr w:type="spellEnd"/>
      <w:r w:rsidRPr="009E7F8B">
        <w:rPr>
          <w:rFonts w:ascii="Times New Roman" w:hAnsi="Times New Roman" w:cs="Times New Roman"/>
        </w:rPr>
        <w:t xml:space="preserve"> et al., 2024; Ye et al., 2020). However, they also emphasise the need for more granular, community‑level evidence on the effectiveness and equity of CSR and CSV initiatives, especially in the Global South (</w:t>
      </w:r>
      <w:proofErr w:type="spellStart"/>
      <w:r w:rsidRPr="009E7F8B">
        <w:rPr>
          <w:rFonts w:ascii="Times New Roman" w:hAnsi="Times New Roman" w:cs="Times New Roman"/>
        </w:rPr>
        <w:t>Ebisi</w:t>
      </w:r>
      <w:proofErr w:type="spellEnd"/>
      <w:r w:rsidRPr="009E7F8B">
        <w:rPr>
          <w:rFonts w:ascii="Times New Roman" w:hAnsi="Times New Roman" w:cs="Times New Roman"/>
        </w:rPr>
        <w:t xml:space="preserve"> et al., 2025; </w:t>
      </w:r>
      <w:proofErr w:type="spellStart"/>
      <w:r w:rsidRPr="009E7F8B">
        <w:rPr>
          <w:rFonts w:ascii="Times New Roman" w:hAnsi="Times New Roman" w:cs="Times New Roman"/>
        </w:rPr>
        <w:t>Pouresmaieli</w:t>
      </w:r>
      <w:proofErr w:type="spellEnd"/>
      <w:r w:rsidRPr="009E7F8B">
        <w:rPr>
          <w:rFonts w:ascii="Times New Roman" w:hAnsi="Times New Roman" w:cs="Times New Roman"/>
        </w:rPr>
        <w:t xml:space="preserve"> et al., 2024; Ye et al., 2020). In this light, Eni’s interventions in Sanzule—spanning water, health, education, and livelihoods—provide a relevant empirical setting for </w:t>
      </w:r>
      <w:r w:rsidRPr="009E7F8B">
        <w:rPr>
          <w:rFonts w:ascii="Times New Roman" w:hAnsi="Times New Roman" w:cs="Times New Roman"/>
        </w:rPr>
        <w:lastRenderedPageBreak/>
        <w:t>interrogating how shared value rhetoric translates into practice, whose interests are prioritised, and to what extent such initiatives contribute to sustainable development outcomes.</w:t>
      </w:r>
    </w:p>
    <w:p w14:paraId="592A2673" w14:textId="77777777" w:rsidR="0023332E" w:rsidRDefault="0023332E" w:rsidP="00341AF8">
      <w:pPr>
        <w:spacing w:line="360" w:lineRule="auto"/>
        <w:jc w:val="both"/>
        <w:rPr>
          <w:rFonts w:ascii="Times New Roman" w:hAnsi="Times New Roman" w:cs="Times New Roman"/>
        </w:rPr>
      </w:pPr>
      <w:r w:rsidRPr="009E7F8B">
        <w:rPr>
          <w:rFonts w:ascii="Times New Roman" w:hAnsi="Times New Roman" w:cs="Times New Roman"/>
        </w:rPr>
        <w:t>These theoretical and empirical insights inform the analytical lens used in this paper to assess Eni’s CSR strategy and its implications for local development in Sanzule.</w:t>
      </w:r>
    </w:p>
    <w:p w14:paraId="4111F826" w14:textId="77777777" w:rsidR="0023332E" w:rsidRPr="00C866BA" w:rsidRDefault="0023332E" w:rsidP="00341AF8">
      <w:pPr>
        <w:spacing w:line="360" w:lineRule="auto"/>
        <w:jc w:val="both"/>
        <w:rPr>
          <w:rFonts w:ascii="Times New Roman" w:hAnsi="Times New Roman" w:cs="Times New Roman"/>
          <w:b/>
        </w:rPr>
      </w:pPr>
      <w:r>
        <w:rPr>
          <w:rFonts w:ascii="Times New Roman" w:hAnsi="Times New Roman" w:cs="Times New Roman"/>
          <w:b/>
        </w:rPr>
        <w:t xml:space="preserve">3.0 </w:t>
      </w:r>
      <w:r w:rsidRPr="00C866BA">
        <w:rPr>
          <w:rFonts w:ascii="Times New Roman" w:hAnsi="Times New Roman" w:cs="Times New Roman"/>
          <w:b/>
        </w:rPr>
        <w:t>Methodology</w:t>
      </w:r>
    </w:p>
    <w:p w14:paraId="696992A2" w14:textId="77777777" w:rsidR="0023332E" w:rsidRPr="00C866BA" w:rsidRDefault="0023332E" w:rsidP="00341AF8">
      <w:pPr>
        <w:spacing w:line="360" w:lineRule="auto"/>
        <w:jc w:val="both"/>
        <w:rPr>
          <w:rFonts w:ascii="Times New Roman" w:hAnsi="Times New Roman" w:cs="Times New Roman"/>
          <w:b/>
        </w:rPr>
      </w:pPr>
      <w:r w:rsidRPr="00C866BA">
        <w:rPr>
          <w:rFonts w:ascii="Times New Roman" w:hAnsi="Times New Roman" w:cs="Times New Roman"/>
          <w:b/>
        </w:rPr>
        <w:t>3.1 Study Design</w:t>
      </w:r>
    </w:p>
    <w:p w14:paraId="122B3FF9" w14:textId="3A5D7251" w:rsidR="0023332E" w:rsidRPr="00C866BA" w:rsidRDefault="0023332E" w:rsidP="00341AF8">
      <w:pPr>
        <w:spacing w:line="360" w:lineRule="auto"/>
        <w:jc w:val="both"/>
        <w:rPr>
          <w:rFonts w:ascii="Times New Roman" w:hAnsi="Times New Roman" w:cs="Times New Roman"/>
        </w:rPr>
      </w:pPr>
      <w:r w:rsidRPr="00C866BA">
        <w:rPr>
          <w:rFonts w:ascii="Times New Roman" w:hAnsi="Times New Roman" w:cs="Times New Roman"/>
        </w:rPr>
        <w:t>The study adopted an embedded case study design focusing on the CSR initiatives of Eni Exploration and Production Company Limited in Sanzule, Ghana. Embedded or single‑case designs with multiple units of analysis are well suited to examining complex interventions in real‑life contexts and integrating qualitative and quantitative evidence (</w:t>
      </w:r>
      <w:proofErr w:type="spellStart"/>
      <w:r w:rsidRPr="00C866BA">
        <w:rPr>
          <w:rFonts w:ascii="Times New Roman" w:hAnsi="Times New Roman" w:cs="Times New Roman"/>
        </w:rPr>
        <w:t>Weale</w:t>
      </w:r>
      <w:proofErr w:type="spellEnd"/>
      <w:r w:rsidRPr="00C866BA">
        <w:rPr>
          <w:rFonts w:ascii="Times New Roman" w:hAnsi="Times New Roman" w:cs="Times New Roman"/>
        </w:rPr>
        <w:t xml:space="preserve">, 2003). A mixed‑methods approach was employed, combining qualitative and quantitative data to capture both the depth of stakeholder experiences and measurable changes in community well‑being, consistent with CSR and energy‑sector research in Ghana and other African extractive settings (Mohammed et al., 2022; </w:t>
      </w:r>
      <w:proofErr w:type="spellStart"/>
      <w:r w:rsidRPr="00C866BA">
        <w:rPr>
          <w:rFonts w:ascii="Times New Roman" w:hAnsi="Times New Roman" w:cs="Times New Roman"/>
        </w:rPr>
        <w:t>Blay</w:t>
      </w:r>
      <w:proofErr w:type="spellEnd"/>
      <w:r w:rsidRPr="00C866BA">
        <w:rPr>
          <w:rFonts w:ascii="Times New Roman" w:hAnsi="Times New Roman" w:cs="Times New Roman"/>
        </w:rPr>
        <w:t xml:space="preserve"> Jnr et al., 2021; </w:t>
      </w:r>
      <w:proofErr w:type="spellStart"/>
      <w:r w:rsidRPr="00C866BA">
        <w:rPr>
          <w:rFonts w:ascii="Times New Roman" w:hAnsi="Times New Roman" w:cs="Times New Roman"/>
        </w:rPr>
        <w:t>Kourouma</w:t>
      </w:r>
      <w:proofErr w:type="spellEnd"/>
      <w:r w:rsidRPr="00C866BA">
        <w:rPr>
          <w:rFonts w:ascii="Times New Roman" w:hAnsi="Times New Roman" w:cs="Times New Roman"/>
        </w:rPr>
        <w:t xml:space="preserve"> et al., 2023). This design is appropriate for CSR–sustainable development (CSR–SD) research in resource‑dependent communities, where intertwined social, economic, and environmental dynamics require contextual understanding and SDG‑aligned empirical indicators (</w:t>
      </w:r>
      <w:proofErr w:type="spellStart"/>
      <w:r w:rsidRPr="00C866BA">
        <w:rPr>
          <w:rFonts w:ascii="Times New Roman" w:hAnsi="Times New Roman" w:cs="Times New Roman"/>
        </w:rPr>
        <w:t>Basiru</w:t>
      </w:r>
      <w:proofErr w:type="spellEnd"/>
      <w:r w:rsidRPr="00C866BA">
        <w:rPr>
          <w:rFonts w:ascii="Times New Roman" w:hAnsi="Times New Roman" w:cs="Times New Roman"/>
        </w:rPr>
        <w:t xml:space="preserve"> et al., 2020; Owusu‑Manu et al., 2020).</w:t>
      </w:r>
    </w:p>
    <w:p w14:paraId="2041F53F" w14:textId="77777777" w:rsidR="0023332E" w:rsidRPr="00C866BA" w:rsidRDefault="0023332E" w:rsidP="00341AF8">
      <w:pPr>
        <w:spacing w:line="360" w:lineRule="auto"/>
        <w:jc w:val="both"/>
        <w:rPr>
          <w:rFonts w:ascii="Times New Roman" w:hAnsi="Times New Roman" w:cs="Times New Roman"/>
          <w:b/>
        </w:rPr>
      </w:pPr>
      <w:r w:rsidRPr="00C866BA">
        <w:rPr>
          <w:rFonts w:ascii="Times New Roman" w:hAnsi="Times New Roman" w:cs="Times New Roman"/>
          <w:b/>
        </w:rPr>
        <w:t>3.2 Sampling of Interviewees</w:t>
      </w:r>
    </w:p>
    <w:p w14:paraId="1D6A37CC" w14:textId="77777777" w:rsidR="0023332E" w:rsidRPr="00C866BA" w:rsidRDefault="0023332E" w:rsidP="00341AF8">
      <w:pPr>
        <w:spacing w:line="360" w:lineRule="auto"/>
        <w:jc w:val="both"/>
        <w:rPr>
          <w:rFonts w:ascii="Times New Roman" w:hAnsi="Times New Roman" w:cs="Times New Roman"/>
        </w:rPr>
      </w:pPr>
      <w:r w:rsidRPr="00C866BA">
        <w:rPr>
          <w:rFonts w:ascii="Times New Roman" w:hAnsi="Times New Roman" w:cs="Times New Roman"/>
        </w:rPr>
        <w:t>A purposive sampling strategy was used to select information‑rich participants directly involved in, or affected by, Eni’s CSR activities. Purposive sampling is widely used to align participants with research aims and enhance the credibility and transferability of qualitative findings (Campbell et al., 2020; Ahmad &amp; Wilkins, 2024). Similar approaches are common in CSR case studies in Ghana’s extractive sectors (</w:t>
      </w:r>
      <w:proofErr w:type="spellStart"/>
      <w:r w:rsidRPr="00C866BA">
        <w:rPr>
          <w:rFonts w:ascii="Times New Roman" w:hAnsi="Times New Roman" w:cs="Times New Roman"/>
        </w:rPr>
        <w:t>Ansu</w:t>
      </w:r>
      <w:proofErr w:type="spellEnd"/>
      <w:r w:rsidRPr="00C866BA">
        <w:rPr>
          <w:rFonts w:ascii="Times New Roman" w:hAnsi="Times New Roman" w:cs="Times New Roman"/>
        </w:rPr>
        <w:t>‑Mensah et al., 2021; A. Mohammed et al., 2022).</w:t>
      </w:r>
    </w:p>
    <w:p w14:paraId="74CE4CFE" w14:textId="51BB75E9" w:rsidR="0023332E" w:rsidRPr="00C866BA" w:rsidRDefault="0023332E" w:rsidP="00341AF8">
      <w:pPr>
        <w:pStyle w:val="NormalWeb"/>
        <w:spacing w:line="360" w:lineRule="auto"/>
      </w:pPr>
      <w:r>
        <w:rPr>
          <w:rFonts w:ascii="TimesNewRomanPSMT" w:hAnsi="TimesNewRomanPSMT"/>
        </w:rPr>
        <w:t>Interviews, observations, and document analysis were used to gather data from 18 respondents including</w:t>
      </w:r>
    </w:p>
    <w:p w14:paraId="296CB04C" w14:textId="77777777" w:rsidR="0023332E" w:rsidRDefault="0023332E" w:rsidP="00341AF8">
      <w:pPr>
        <w:pStyle w:val="ListParagraph"/>
        <w:numPr>
          <w:ilvl w:val="0"/>
          <w:numId w:val="23"/>
        </w:numPr>
        <w:spacing w:line="360" w:lineRule="auto"/>
        <w:jc w:val="both"/>
        <w:rPr>
          <w:rFonts w:ascii="Times New Roman" w:hAnsi="Times New Roman" w:cs="Times New Roman"/>
        </w:rPr>
      </w:pPr>
      <w:r w:rsidRPr="007D6F49">
        <w:rPr>
          <w:rFonts w:ascii="Times New Roman" w:hAnsi="Times New Roman" w:cs="Times New Roman"/>
          <w:b/>
          <w:i/>
        </w:rPr>
        <w:t>Company representatives:</w:t>
      </w:r>
      <w:r w:rsidRPr="007D6F49">
        <w:rPr>
          <w:rFonts w:ascii="Times New Roman" w:hAnsi="Times New Roman" w:cs="Times New Roman"/>
        </w:rPr>
        <w:t xml:space="preserve"> CSR/community relations managers, project officers.</w:t>
      </w:r>
    </w:p>
    <w:p w14:paraId="49B42F8C" w14:textId="77777777" w:rsidR="0023332E" w:rsidRDefault="0023332E" w:rsidP="00341AF8">
      <w:pPr>
        <w:pStyle w:val="ListParagraph"/>
        <w:numPr>
          <w:ilvl w:val="0"/>
          <w:numId w:val="23"/>
        </w:numPr>
        <w:spacing w:line="360" w:lineRule="auto"/>
        <w:jc w:val="both"/>
        <w:rPr>
          <w:rFonts w:ascii="Times New Roman" w:hAnsi="Times New Roman" w:cs="Times New Roman"/>
        </w:rPr>
      </w:pPr>
      <w:r w:rsidRPr="007D6F49">
        <w:rPr>
          <w:rFonts w:ascii="Times New Roman" w:hAnsi="Times New Roman" w:cs="Times New Roman"/>
          <w:b/>
          <w:i/>
        </w:rPr>
        <w:t>Traditional and local authorities:</w:t>
      </w:r>
      <w:r w:rsidRPr="007D6F49">
        <w:rPr>
          <w:rFonts w:ascii="Times New Roman" w:hAnsi="Times New Roman" w:cs="Times New Roman"/>
        </w:rPr>
        <w:t xml:space="preserve"> chiefs, elders, assembly members, unit committee members.</w:t>
      </w:r>
    </w:p>
    <w:p w14:paraId="2090E2D5" w14:textId="77777777" w:rsidR="0023332E" w:rsidRDefault="0023332E" w:rsidP="00341AF8">
      <w:pPr>
        <w:pStyle w:val="ListParagraph"/>
        <w:numPr>
          <w:ilvl w:val="0"/>
          <w:numId w:val="23"/>
        </w:numPr>
        <w:spacing w:line="360" w:lineRule="auto"/>
        <w:jc w:val="both"/>
        <w:rPr>
          <w:rFonts w:ascii="Times New Roman" w:hAnsi="Times New Roman" w:cs="Times New Roman"/>
        </w:rPr>
      </w:pPr>
      <w:r w:rsidRPr="007D6F49">
        <w:rPr>
          <w:rFonts w:ascii="Times New Roman" w:hAnsi="Times New Roman" w:cs="Times New Roman"/>
          <w:b/>
          <w:i/>
        </w:rPr>
        <w:lastRenderedPageBreak/>
        <w:t>Community‑based organisation (CBO/NGO) representatives:</w:t>
      </w:r>
      <w:r w:rsidRPr="007D6F49">
        <w:rPr>
          <w:rFonts w:ascii="Times New Roman" w:hAnsi="Times New Roman" w:cs="Times New Roman"/>
        </w:rPr>
        <w:t xml:space="preserve"> local development and advocacy groups.</w:t>
      </w:r>
    </w:p>
    <w:p w14:paraId="715AB81A" w14:textId="77777777" w:rsidR="0023332E" w:rsidRPr="007D6F49" w:rsidRDefault="0023332E" w:rsidP="00341AF8">
      <w:pPr>
        <w:pStyle w:val="ListParagraph"/>
        <w:numPr>
          <w:ilvl w:val="0"/>
          <w:numId w:val="23"/>
        </w:numPr>
        <w:spacing w:line="360" w:lineRule="auto"/>
        <w:jc w:val="both"/>
        <w:rPr>
          <w:rFonts w:ascii="Times New Roman" w:hAnsi="Times New Roman" w:cs="Times New Roman"/>
        </w:rPr>
      </w:pPr>
      <w:r w:rsidRPr="00D67F40">
        <w:rPr>
          <w:rFonts w:ascii="Times New Roman" w:hAnsi="Times New Roman" w:cs="Times New Roman"/>
          <w:b/>
          <w:i/>
        </w:rPr>
        <w:t>Beneficiaries and community members:</w:t>
      </w:r>
      <w:r w:rsidRPr="007D6F49">
        <w:rPr>
          <w:rFonts w:ascii="Times New Roman" w:hAnsi="Times New Roman" w:cs="Times New Roman"/>
        </w:rPr>
        <w:t xml:space="preserve"> users of water facilities, health and education beneficiaries, and affected farmers and fishers under the Livelihood Restoration Plan.</w:t>
      </w:r>
    </w:p>
    <w:p w14:paraId="4055BC86" w14:textId="77777777" w:rsidR="0023332E" w:rsidRPr="00C866BA" w:rsidRDefault="0023332E" w:rsidP="00341AF8">
      <w:pPr>
        <w:spacing w:line="360" w:lineRule="auto"/>
        <w:jc w:val="both"/>
        <w:rPr>
          <w:rFonts w:ascii="Times New Roman" w:hAnsi="Times New Roman" w:cs="Times New Roman"/>
        </w:rPr>
      </w:pPr>
      <w:r w:rsidRPr="00C866BA">
        <w:rPr>
          <w:rFonts w:ascii="Times New Roman" w:hAnsi="Times New Roman" w:cs="Times New Roman"/>
        </w:rPr>
        <w:t xml:space="preserve">Inclusion criteria </w:t>
      </w:r>
      <w:r>
        <w:rPr>
          <w:rFonts w:ascii="Times New Roman" w:hAnsi="Times New Roman" w:cs="Times New Roman"/>
        </w:rPr>
        <w:t xml:space="preserve">were people with </w:t>
      </w:r>
      <w:r w:rsidRPr="00C866BA">
        <w:rPr>
          <w:rFonts w:ascii="Times New Roman" w:hAnsi="Times New Roman" w:cs="Times New Roman"/>
        </w:rPr>
        <w:t>direct involvement in decision‑making, implementation, or monitoring of CSR projects; or at least one year of residence in Sanzule and demonstrable engagement with Eni’s interventions. This mirrors stakeholder‑oriented CSR research that seeks diverse roles and perspectives across gender, age, and livelihood groups (</w:t>
      </w:r>
      <w:proofErr w:type="spellStart"/>
      <w:r w:rsidRPr="00C866BA">
        <w:rPr>
          <w:rFonts w:ascii="Times New Roman" w:hAnsi="Times New Roman" w:cs="Times New Roman"/>
        </w:rPr>
        <w:t>Ansu</w:t>
      </w:r>
      <w:proofErr w:type="spellEnd"/>
      <w:r w:rsidRPr="00C866BA">
        <w:rPr>
          <w:rFonts w:ascii="Times New Roman" w:hAnsi="Times New Roman" w:cs="Times New Roman"/>
        </w:rPr>
        <w:t xml:space="preserve">‑Mensah et al., 2021; </w:t>
      </w:r>
      <w:proofErr w:type="spellStart"/>
      <w:r w:rsidRPr="00C866BA">
        <w:rPr>
          <w:rFonts w:ascii="Times New Roman" w:hAnsi="Times New Roman" w:cs="Times New Roman"/>
        </w:rPr>
        <w:t>Blay</w:t>
      </w:r>
      <w:proofErr w:type="spellEnd"/>
      <w:r w:rsidRPr="00C866BA">
        <w:rPr>
          <w:rFonts w:ascii="Times New Roman" w:hAnsi="Times New Roman" w:cs="Times New Roman"/>
        </w:rPr>
        <w:t xml:space="preserve"> Jnr et al., 2021; </w:t>
      </w:r>
      <w:proofErr w:type="spellStart"/>
      <w:r w:rsidRPr="00C866BA">
        <w:rPr>
          <w:rFonts w:ascii="Times New Roman" w:hAnsi="Times New Roman" w:cs="Times New Roman"/>
        </w:rPr>
        <w:t>Kourouma</w:t>
      </w:r>
      <w:proofErr w:type="spellEnd"/>
      <w:r w:rsidRPr="00C866BA">
        <w:rPr>
          <w:rFonts w:ascii="Times New Roman" w:hAnsi="Times New Roman" w:cs="Times New Roman"/>
        </w:rPr>
        <w:t xml:space="preserve"> et al., 2023).</w:t>
      </w:r>
    </w:p>
    <w:p w14:paraId="342E3CEB" w14:textId="77777777" w:rsidR="0023332E" w:rsidRPr="00D67F40" w:rsidRDefault="0023332E" w:rsidP="00341AF8">
      <w:pPr>
        <w:spacing w:line="360" w:lineRule="auto"/>
        <w:jc w:val="both"/>
        <w:rPr>
          <w:rFonts w:ascii="Times New Roman" w:hAnsi="Times New Roman" w:cs="Times New Roman"/>
          <w:b/>
        </w:rPr>
      </w:pPr>
      <w:r w:rsidRPr="00D67F40">
        <w:rPr>
          <w:rFonts w:ascii="Times New Roman" w:hAnsi="Times New Roman" w:cs="Times New Roman"/>
          <w:b/>
        </w:rPr>
        <w:t>3.3 Survey and Quantitative Data</w:t>
      </w:r>
    </w:p>
    <w:p w14:paraId="6CE3CDD9" w14:textId="2DF77055" w:rsidR="0023332E" w:rsidRPr="00C866BA" w:rsidRDefault="0023332E" w:rsidP="00341AF8">
      <w:pPr>
        <w:spacing w:line="360" w:lineRule="auto"/>
        <w:jc w:val="both"/>
        <w:rPr>
          <w:rFonts w:ascii="Times New Roman" w:hAnsi="Times New Roman" w:cs="Times New Roman"/>
        </w:rPr>
      </w:pPr>
      <w:r w:rsidRPr="00C866BA">
        <w:rPr>
          <w:rFonts w:ascii="Times New Roman" w:hAnsi="Times New Roman" w:cs="Times New Roman"/>
        </w:rPr>
        <w:t>To complement qualitative insights, a structured household survey was administered to a sample of Sanzule residents. A target of 1</w:t>
      </w:r>
      <w:r>
        <w:rPr>
          <w:rFonts w:ascii="Times New Roman" w:hAnsi="Times New Roman" w:cs="Times New Roman"/>
        </w:rPr>
        <w:t>66</w:t>
      </w:r>
      <w:r w:rsidRPr="00C866BA">
        <w:rPr>
          <w:rFonts w:ascii="Times New Roman" w:hAnsi="Times New Roman" w:cs="Times New Roman"/>
        </w:rPr>
        <w:t xml:space="preserve"> households was selected using stratified random sampling by community zones/sections to improve representativeness, in line with SDG‑related household survey practice on WASH and social sustainability (Khan et al., 2017; </w:t>
      </w:r>
      <w:proofErr w:type="spellStart"/>
      <w:r w:rsidRPr="00C866BA">
        <w:rPr>
          <w:rFonts w:ascii="Times New Roman" w:hAnsi="Times New Roman" w:cs="Times New Roman"/>
        </w:rPr>
        <w:t>Kourouma</w:t>
      </w:r>
      <w:proofErr w:type="spellEnd"/>
      <w:r w:rsidRPr="00C866BA">
        <w:rPr>
          <w:rFonts w:ascii="Times New Roman" w:hAnsi="Times New Roman" w:cs="Times New Roman"/>
        </w:rPr>
        <w:t xml:space="preserve"> et al., 2023; Khan et al., 2017).</w:t>
      </w:r>
    </w:p>
    <w:p w14:paraId="7A5CECCC" w14:textId="77777777" w:rsidR="0023332E" w:rsidRDefault="0023332E" w:rsidP="00341AF8">
      <w:pPr>
        <w:spacing w:line="360" w:lineRule="auto"/>
        <w:jc w:val="both"/>
        <w:rPr>
          <w:rFonts w:ascii="Times New Roman" w:hAnsi="Times New Roman" w:cs="Times New Roman"/>
          <w:b/>
          <w:i/>
        </w:rPr>
      </w:pPr>
      <w:r w:rsidRPr="00D67F40">
        <w:rPr>
          <w:rFonts w:ascii="Times New Roman" w:hAnsi="Times New Roman" w:cs="Times New Roman"/>
          <w:b/>
          <w:i/>
        </w:rPr>
        <w:t>3.3.1 Indicators and SDG Alignment</w:t>
      </w:r>
    </w:p>
    <w:p w14:paraId="59F54EC3" w14:textId="77777777" w:rsidR="0023332E" w:rsidRPr="00D67F40" w:rsidRDefault="0023332E" w:rsidP="00341AF8">
      <w:pPr>
        <w:spacing w:line="360" w:lineRule="auto"/>
        <w:jc w:val="both"/>
        <w:rPr>
          <w:rFonts w:ascii="Times New Roman" w:hAnsi="Times New Roman" w:cs="Times New Roman"/>
          <w:b/>
          <w:i/>
        </w:rPr>
      </w:pPr>
      <w:r w:rsidRPr="00C866BA">
        <w:rPr>
          <w:rFonts w:ascii="Times New Roman" w:hAnsi="Times New Roman" w:cs="Times New Roman"/>
        </w:rPr>
        <w:t>Survey items were informed by CSR–SD literature and SDG‑relevant social, economic, and environmental dimensions, similar to indicator‑based assessments used in mining and sanitation studies (</w:t>
      </w:r>
      <w:proofErr w:type="spellStart"/>
      <w:r w:rsidRPr="00C866BA">
        <w:rPr>
          <w:rFonts w:ascii="Times New Roman" w:hAnsi="Times New Roman" w:cs="Times New Roman"/>
        </w:rPr>
        <w:t>Basiru</w:t>
      </w:r>
      <w:proofErr w:type="spellEnd"/>
      <w:r w:rsidRPr="00C866BA">
        <w:rPr>
          <w:rFonts w:ascii="Times New Roman" w:hAnsi="Times New Roman" w:cs="Times New Roman"/>
        </w:rPr>
        <w:t xml:space="preserve"> et al., 2020; </w:t>
      </w:r>
      <w:proofErr w:type="spellStart"/>
      <w:r w:rsidRPr="00C866BA">
        <w:rPr>
          <w:rFonts w:ascii="Times New Roman" w:hAnsi="Times New Roman" w:cs="Times New Roman"/>
        </w:rPr>
        <w:t>Kourouma</w:t>
      </w:r>
      <w:proofErr w:type="spellEnd"/>
      <w:r w:rsidRPr="00C866BA">
        <w:rPr>
          <w:rFonts w:ascii="Times New Roman" w:hAnsi="Times New Roman" w:cs="Times New Roman"/>
        </w:rPr>
        <w:t xml:space="preserve"> et al., 2023; Owusu‑Manu et al., 2020).</w:t>
      </w:r>
    </w:p>
    <w:p w14:paraId="32DB6409" w14:textId="77777777" w:rsidR="0023332E" w:rsidRPr="00C866BA" w:rsidRDefault="0023332E" w:rsidP="00341AF8">
      <w:pPr>
        <w:spacing w:line="360" w:lineRule="auto"/>
        <w:jc w:val="both"/>
        <w:rPr>
          <w:rFonts w:ascii="Times New Roman" w:hAnsi="Times New Roman" w:cs="Times New Roman"/>
        </w:rPr>
      </w:pPr>
      <w:r w:rsidRPr="00134D38">
        <w:rPr>
          <w:rFonts w:ascii="Times New Roman" w:hAnsi="Times New Roman" w:cs="Times New Roman"/>
          <w:i/>
        </w:rPr>
        <w:t xml:space="preserve">Social indicators (SDGs 3, 4, 6, 10, 11) </w:t>
      </w:r>
      <w:r w:rsidRPr="00134D38">
        <w:rPr>
          <w:rFonts w:ascii="Times New Roman" w:hAnsi="Times New Roman" w:cs="Times New Roman"/>
        </w:rPr>
        <w:t>included;</w:t>
      </w:r>
      <w:r>
        <w:rPr>
          <w:rFonts w:ascii="Times New Roman" w:hAnsi="Times New Roman" w:cs="Times New Roman"/>
        </w:rPr>
        <w:t xml:space="preserve"> </w:t>
      </w:r>
      <w:r w:rsidRPr="00C866BA">
        <w:rPr>
          <w:rFonts w:ascii="Times New Roman" w:hAnsi="Times New Roman" w:cs="Times New Roman"/>
        </w:rPr>
        <w:t>Access to safe drinking water (distance, reliability, perceived quality), reflecting WASH measures in SDG 6.1–6.2 monitoring (S. M. Khan et al., 2017)</w:t>
      </w:r>
      <w:r>
        <w:rPr>
          <w:rFonts w:ascii="Times New Roman" w:hAnsi="Times New Roman" w:cs="Times New Roman"/>
        </w:rPr>
        <w:t xml:space="preserve">, </w:t>
      </w:r>
      <w:r w:rsidRPr="00C866BA">
        <w:rPr>
          <w:rFonts w:ascii="Times New Roman" w:hAnsi="Times New Roman" w:cs="Times New Roman"/>
        </w:rPr>
        <w:t>Use of health facilities (frequency of visits, maternal and child health service utilisation)</w:t>
      </w:r>
      <w:r>
        <w:rPr>
          <w:rFonts w:ascii="Times New Roman" w:hAnsi="Times New Roman" w:cs="Times New Roman"/>
        </w:rPr>
        <w:t xml:space="preserve">, </w:t>
      </w:r>
      <w:r w:rsidRPr="00C866BA">
        <w:rPr>
          <w:rFonts w:ascii="Times New Roman" w:hAnsi="Times New Roman" w:cs="Times New Roman"/>
        </w:rPr>
        <w:t>Educational participation (school enrolment, attendance, receipt of scholarships or learning materials), consistent with CSR scholarship support and school interventions in Ghana’s energy sector (</w:t>
      </w:r>
      <w:proofErr w:type="spellStart"/>
      <w:r w:rsidRPr="00C866BA">
        <w:rPr>
          <w:rFonts w:ascii="Times New Roman" w:hAnsi="Times New Roman" w:cs="Times New Roman"/>
        </w:rPr>
        <w:t>Blay</w:t>
      </w:r>
      <w:proofErr w:type="spellEnd"/>
      <w:r w:rsidRPr="00C866BA">
        <w:rPr>
          <w:rFonts w:ascii="Times New Roman" w:hAnsi="Times New Roman" w:cs="Times New Roman"/>
        </w:rPr>
        <w:t xml:space="preserve"> Jnr et al., 2021; Owusu‑Manu et al., 2020)</w:t>
      </w:r>
      <w:r>
        <w:rPr>
          <w:rFonts w:ascii="Times New Roman" w:hAnsi="Times New Roman" w:cs="Times New Roman"/>
        </w:rPr>
        <w:t xml:space="preserve"> and p</w:t>
      </w:r>
      <w:r w:rsidRPr="00C866BA">
        <w:rPr>
          <w:rFonts w:ascii="Times New Roman" w:hAnsi="Times New Roman" w:cs="Times New Roman"/>
        </w:rPr>
        <w:t>erceived social cohesion and participation in community decision‑making, recognised as key components of social sustainability in mining regions (</w:t>
      </w:r>
      <w:proofErr w:type="spellStart"/>
      <w:r w:rsidRPr="00C866BA">
        <w:rPr>
          <w:rFonts w:ascii="Times New Roman" w:hAnsi="Times New Roman" w:cs="Times New Roman"/>
        </w:rPr>
        <w:t>Kourouma</w:t>
      </w:r>
      <w:proofErr w:type="spellEnd"/>
      <w:r w:rsidRPr="00C866BA">
        <w:rPr>
          <w:rFonts w:ascii="Times New Roman" w:hAnsi="Times New Roman" w:cs="Times New Roman"/>
        </w:rPr>
        <w:t xml:space="preserve"> et al., 2023).</w:t>
      </w:r>
    </w:p>
    <w:p w14:paraId="259974E7" w14:textId="77777777" w:rsidR="0023332E" w:rsidRPr="00C866BA" w:rsidRDefault="0023332E" w:rsidP="00341AF8">
      <w:pPr>
        <w:spacing w:line="360" w:lineRule="auto"/>
        <w:jc w:val="both"/>
        <w:rPr>
          <w:rFonts w:ascii="Times New Roman" w:hAnsi="Times New Roman" w:cs="Times New Roman"/>
        </w:rPr>
      </w:pPr>
      <w:r w:rsidRPr="00134D38">
        <w:rPr>
          <w:rFonts w:ascii="Times New Roman" w:hAnsi="Times New Roman" w:cs="Times New Roman"/>
          <w:i/>
        </w:rPr>
        <w:t>Economic indicators (SDGs 1, 2, 8, 9)</w:t>
      </w:r>
      <w:r w:rsidRPr="00C866BA">
        <w:rPr>
          <w:rFonts w:ascii="Times New Roman" w:hAnsi="Times New Roman" w:cs="Times New Roman"/>
        </w:rPr>
        <w:t xml:space="preserve"> captured</w:t>
      </w:r>
      <w:r>
        <w:rPr>
          <w:rFonts w:ascii="Times New Roman" w:hAnsi="Times New Roman" w:cs="Times New Roman"/>
        </w:rPr>
        <w:t xml:space="preserve"> included; </w:t>
      </w:r>
      <w:r w:rsidRPr="00C866BA">
        <w:rPr>
          <w:rFonts w:ascii="Times New Roman" w:hAnsi="Times New Roman" w:cs="Times New Roman"/>
        </w:rPr>
        <w:t>Main livelihood sources and diversification (fishing, farming, petty trade, new enterprises)</w:t>
      </w:r>
      <w:r>
        <w:rPr>
          <w:rFonts w:ascii="Times New Roman" w:hAnsi="Times New Roman" w:cs="Times New Roman"/>
        </w:rPr>
        <w:t xml:space="preserve">, </w:t>
      </w:r>
      <w:r w:rsidRPr="00C866BA">
        <w:rPr>
          <w:rFonts w:ascii="Times New Roman" w:hAnsi="Times New Roman" w:cs="Times New Roman"/>
        </w:rPr>
        <w:t>Household income brackets and perceived income stability</w:t>
      </w:r>
      <w:r>
        <w:rPr>
          <w:rFonts w:ascii="Times New Roman" w:hAnsi="Times New Roman" w:cs="Times New Roman"/>
        </w:rPr>
        <w:t xml:space="preserve">, </w:t>
      </w:r>
      <w:r w:rsidRPr="00C866BA">
        <w:rPr>
          <w:rFonts w:ascii="Times New Roman" w:hAnsi="Times New Roman" w:cs="Times New Roman"/>
        </w:rPr>
        <w:t>Participation in Livelihood Restoration and skills training programmes</w:t>
      </w:r>
      <w:r>
        <w:rPr>
          <w:rFonts w:ascii="Times New Roman" w:hAnsi="Times New Roman" w:cs="Times New Roman"/>
        </w:rPr>
        <w:t xml:space="preserve"> and e</w:t>
      </w:r>
      <w:r w:rsidRPr="00C866BA">
        <w:rPr>
          <w:rFonts w:ascii="Times New Roman" w:hAnsi="Times New Roman" w:cs="Times New Roman"/>
        </w:rPr>
        <w:t xml:space="preserve">mployment or contracting opportunities linked to Eni and its supply chain, </w:t>
      </w:r>
      <w:r w:rsidRPr="00C866BA">
        <w:rPr>
          <w:rFonts w:ascii="Times New Roman" w:hAnsi="Times New Roman" w:cs="Times New Roman"/>
        </w:rPr>
        <w:lastRenderedPageBreak/>
        <w:t xml:space="preserve">echoing CSR studies on local employment and livelihood support in extractive contexts (Abel &amp; </w:t>
      </w:r>
      <w:proofErr w:type="spellStart"/>
      <w:r w:rsidRPr="00C866BA">
        <w:rPr>
          <w:rFonts w:ascii="Times New Roman" w:hAnsi="Times New Roman" w:cs="Times New Roman"/>
        </w:rPr>
        <w:t>Chibomba</w:t>
      </w:r>
      <w:proofErr w:type="spellEnd"/>
      <w:r w:rsidRPr="00C866BA">
        <w:rPr>
          <w:rFonts w:ascii="Times New Roman" w:hAnsi="Times New Roman" w:cs="Times New Roman"/>
        </w:rPr>
        <w:t>, 2025; A. Mohammed et al., 2022).</w:t>
      </w:r>
    </w:p>
    <w:p w14:paraId="0B268E46" w14:textId="77777777" w:rsidR="0023332E" w:rsidRPr="00C866BA" w:rsidRDefault="0023332E" w:rsidP="00341AF8">
      <w:pPr>
        <w:spacing w:line="360" w:lineRule="auto"/>
        <w:jc w:val="both"/>
        <w:rPr>
          <w:rFonts w:ascii="Times New Roman" w:hAnsi="Times New Roman" w:cs="Times New Roman"/>
        </w:rPr>
      </w:pPr>
      <w:r w:rsidRPr="00134D38">
        <w:rPr>
          <w:rFonts w:ascii="Times New Roman" w:hAnsi="Times New Roman" w:cs="Times New Roman"/>
          <w:i/>
        </w:rPr>
        <w:t>Environmental indicators (SDGs 6, 12, 13, 14, 15)</w:t>
      </w:r>
      <w:r w:rsidRPr="00C866BA">
        <w:rPr>
          <w:rFonts w:ascii="Times New Roman" w:hAnsi="Times New Roman" w:cs="Times New Roman"/>
        </w:rPr>
        <w:t xml:space="preserve"> included</w:t>
      </w:r>
      <w:r>
        <w:rPr>
          <w:rFonts w:ascii="Times New Roman" w:hAnsi="Times New Roman" w:cs="Times New Roman"/>
        </w:rPr>
        <w:t xml:space="preserve"> </w:t>
      </w:r>
      <w:r w:rsidRPr="00C866BA">
        <w:rPr>
          <w:rFonts w:ascii="Times New Roman" w:hAnsi="Times New Roman" w:cs="Times New Roman"/>
        </w:rPr>
        <w:t>Perceptions of environmental quality (water bodies, coastal ecosystems, farmland)</w:t>
      </w:r>
      <w:r>
        <w:rPr>
          <w:rFonts w:ascii="Times New Roman" w:hAnsi="Times New Roman" w:cs="Times New Roman"/>
        </w:rPr>
        <w:t xml:space="preserve">, </w:t>
      </w:r>
      <w:r w:rsidRPr="00C866BA">
        <w:rPr>
          <w:rFonts w:ascii="Times New Roman" w:hAnsi="Times New Roman" w:cs="Times New Roman"/>
        </w:rPr>
        <w:t>Reported changes in resource availability</w:t>
      </w:r>
      <w:r>
        <w:rPr>
          <w:rFonts w:ascii="Times New Roman" w:hAnsi="Times New Roman" w:cs="Times New Roman"/>
        </w:rPr>
        <w:t xml:space="preserve"> </w:t>
      </w:r>
      <w:r w:rsidRPr="00C866BA">
        <w:rPr>
          <w:rFonts w:ascii="Times New Roman" w:hAnsi="Times New Roman" w:cs="Times New Roman"/>
        </w:rPr>
        <w:t xml:space="preserve">(fish catch, soil productivity), reflecting common concerns in oil and mining regions (Abel &amp; </w:t>
      </w:r>
      <w:proofErr w:type="spellStart"/>
      <w:r w:rsidRPr="00C866BA">
        <w:rPr>
          <w:rFonts w:ascii="Times New Roman" w:hAnsi="Times New Roman" w:cs="Times New Roman"/>
        </w:rPr>
        <w:t>Chibomba</w:t>
      </w:r>
      <w:proofErr w:type="spellEnd"/>
      <w:r w:rsidRPr="00C866BA">
        <w:rPr>
          <w:rFonts w:ascii="Times New Roman" w:hAnsi="Times New Roman" w:cs="Times New Roman"/>
        </w:rPr>
        <w:t xml:space="preserve">, 2025; A. Mohammed et al., 2022; </w:t>
      </w:r>
      <w:proofErr w:type="spellStart"/>
      <w:r w:rsidRPr="00C866BA">
        <w:rPr>
          <w:rFonts w:ascii="Times New Roman" w:hAnsi="Times New Roman" w:cs="Times New Roman"/>
        </w:rPr>
        <w:t>Oshioste</w:t>
      </w:r>
      <w:proofErr w:type="spellEnd"/>
      <w:r w:rsidRPr="00C866BA">
        <w:rPr>
          <w:rFonts w:ascii="Times New Roman" w:hAnsi="Times New Roman" w:cs="Times New Roman"/>
        </w:rPr>
        <w:t xml:space="preserve"> et al., 2023)</w:t>
      </w:r>
      <w:r>
        <w:rPr>
          <w:rFonts w:ascii="Times New Roman" w:hAnsi="Times New Roman" w:cs="Times New Roman"/>
        </w:rPr>
        <w:t xml:space="preserve"> and a</w:t>
      </w:r>
      <w:r w:rsidRPr="00C866BA">
        <w:rPr>
          <w:rFonts w:ascii="Times New Roman" w:hAnsi="Times New Roman" w:cs="Times New Roman"/>
        </w:rPr>
        <w:t>wareness of and participation in environmental or climate‑related projects supported by Eni, consistent with CSR–environment linkages (</w:t>
      </w:r>
      <w:proofErr w:type="spellStart"/>
      <w:r w:rsidRPr="00C866BA">
        <w:rPr>
          <w:rFonts w:ascii="Times New Roman" w:hAnsi="Times New Roman" w:cs="Times New Roman"/>
        </w:rPr>
        <w:t>Haque</w:t>
      </w:r>
      <w:proofErr w:type="spellEnd"/>
      <w:r w:rsidRPr="00C866BA">
        <w:rPr>
          <w:rFonts w:ascii="Times New Roman" w:hAnsi="Times New Roman" w:cs="Times New Roman"/>
        </w:rPr>
        <w:t xml:space="preserve"> et al., 2024).</w:t>
      </w:r>
    </w:p>
    <w:p w14:paraId="612CCA6D" w14:textId="77777777" w:rsidR="0023332E" w:rsidRPr="00134D38" w:rsidRDefault="0023332E" w:rsidP="00341AF8">
      <w:pPr>
        <w:spacing w:line="360" w:lineRule="auto"/>
        <w:jc w:val="both"/>
        <w:rPr>
          <w:rFonts w:ascii="Times New Roman" w:hAnsi="Times New Roman" w:cs="Times New Roman"/>
          <w:b/>
          <w:i/>
        </w:rPr>
      </w:pPr>
      <w:r w:rsidRPr="00134D38">
        <w:rPr>
          <w:rFonts w:ascii="Times New Roman" w:hAnsi="Times New Roman" w:cs="Times New Roman"/>
          <w:b/>
          <w:i/>
        </w:rPr>
        <w:t>3.3.2 Data Sources and Time Frame</w:t>
      </w:r>
    </w:p>
    <w:p w14:paraId="0E5E9DE1" w14:textId="77777777" w:rsidR="0023332E" w:rsidRPr="00C866BA" w:rsidRDefault="0023332E" w:rsidP="00341AF8">
      <w:pPr>
        <w:spacing w:line="360" w:lineRule="auto"/>
        <w:jc w:val="both"/>
        <w:rPr>
          <w:rFonts w:ascii="Times New Roman" w:hAnsi="Times New Roman" w:cs="Times New Roman"/>
        </w:rPr>
      </w:pPr>
      <w:r w:rsidRPr="00C866BA">
        <w:rPr>
          <w:rFonts w:ascii="Times New Roman" w:hAnsi="Times New Roman" w:cs="Times New Roman"/>
        </w:rPr>
        <w:t xml:space="preserve">Primary data were collected through fieldwork conducted over </w:t>
      </w:r>
      <w:r>
        <w:rPr>
          <w:rFonts w:ascii="Times New Roman" w:hAnsi="Times New Roman" w:cs="Times New Roman"/>
        </w:rPr>
        <w:t xml:space="preserve">13 weeks. </w:t>
      </w:r>
      <w:r w:rsidRPr="00C866BA">
        <w:rPr>
          <w:rFonts w:ascii="Times New Roman" w:hAnsi="Times New Roman" w:cs="Times New Roman"/>
        </w:rPr>
        <w:t>Secondary quantitative data were obtained, where available, from</w:t>
      </w:r>
      <w:r>
        <w:rPr>
          <w:rFonts w:ascii="Times New Roman" w:hAnsi="Times New Roman" w:cs="Times New Roman"/>
        </w:rPr>
        <w:t xml:space="preserve"> </w:t>
      </w:r>
      <w:r w:rsidRPr="00C866BA">
        <w:rPr>
          <w:rFonts w:ascii="Times New Roman" w:hAnsi="Times New Roman" w:cs="Times New Roman"/>
        </w:rPr>
        <w:t>District Assembly reports (health, education, water and sanitation statistics), as used in SDG and sanitation assessments (</w:t>
      </w:r>
      <w:proofErr w:type="spellStart"/>
      <w:r w:rsidRPr="00C866BA">
        <w:rPr>
          <w:rFonts w:ascii="Times New Roman" w:hAnsi="Times New Roman" w:cs="Times New Roman"/>
        </w:rPr>
        <w:t>Basiru</w:t>
      </w:r>
      <w:proofErr w:type="spellEnd"/>
      <w:r w:rsidRPr="00C866BA">
        <w:rPr>
          <w:rFonts w:ascii="Times New Roman" w:hAnsi="Times New Roman" w:cs="Times New Roman"/>
        </w:rPr>
        <w:t xml:space="preserve"> et al., 2020)</w:t>
      </w:r>
      <w:r>
        <w:rPr>
          <w:rFonts w:ascii="Times New Roman" w:hAnsi="Times New Roman" w:cs="Times New Roman"/>
        </w:rPr>
        <w:t xml:space="preserve">, </w:t>
      </w:r>
      <w:r w:rsidRPr="00C866BA">
        <w:rPr>
          <w:rFonts w:ascii="Times New Roman" w:hAnsi="Times New Roman" w:cs="Times New Roman"/>
        </w:rPr>
        <w:t>Eni CSR and sustainability reports</w:t>
      </w:r>
      <w:r>
        <w:rPr>
          <w:rFonts w:ascii="Times New Roman" w:hAnsi="Times New Roman" w:cs="Times New Roman"/>
        </w:rPr>
        <w:t xml:space="preserve">, </w:t>
      </w:r>
      <w:r w:rsidRPr="00C866BA">
        <w:rPr>
          <w:rFonts w:ascii="Times New Roman" w:hAnsi="Times New Roman" w:cs="Times New Roman"/>
        </w:rPr>
        <w:t>Ghana Health Service and Ghana Education Service district‑level data.</w:t>
      </w:r>
    </w:p>
    <w:p w14:paraId="5EDB71E4" w14:textId="77777777" w:rsidR="0023332E" w:rsidRPr="00C866BA" w:rsidRDefault="0023332E" w:rsidP="00341AF8">
      <w:pPr>
        <w:spacing w:line="360" w:lineRule="auto"/>
        <w:jc w:val="both"/>
        <w:rPr>
          <w:rFonts w:ascii="Times New Roman" w:hAnsi="Times New Roman" w:cs="Times New Roman"/>
        </w:rPr>
      </w:pPr>
      <w:r w:rsidRPr="00C866BA">
        <w:rPr>
          <w:rFonts w:ascii="Times New Roman" w:hAnsi="Times New Roman" w:cs="Times New Roman"/>
        </w:rPr>
        <w:t>Where possible, trends were examined over a 3–5‑year period to assess changes coinciding with the implementation of major CSR projects (e.g., solar‑powered water systems, health centre, Livelihood Restoration Plan), following longitudinal comparisons employed in social and health‑related sustainability studies (</w:t>
      </w:r>
      <w:proofErr w:type="spellStart"/>
      <w:r w:rsidRPr="00C866BA">
        <w:rPr>
          <w:rFonts w:ascii="Times New Roman" w:hAnsi="Times New Roman" w:cs="Times New Roman"/>
        </w:rPr>
        <w:t>Basiru</w:t>
      </w:r>
      <w:proofErr w:type="spellEnd"/>
      <w:r w:rsidRPr="00C866BA">
        <w:rPr>
          <w:rFonts w:ascii="Times New Roman" w:hAnsi="Times New Roman" w:cs="Times New Roman"/>
        </w:rPr>
        <w:t xml:space="preserve"> et al., 2020; </w:t>
      </w:r>
      <w:proofErr w:type="spellStart"/>
      <w:r w:rsidRPr="00C866BA">
        <w:rPr>
          <w:rFonts w:ascii="Times New Roman" w:hAnsi="Times New Roman" w:cs="Times New Roman"/>
        </w:rPr>
        <w:t>Kourouma</w:t>
      </w:r>
      <w:proofErr w:type="spellEnd"/>
      <w:r w:rsidRPr="00C866BA">
        <w:rPr>
          <w:rFonts w:ascii="Times New Roman" w:hAnsi="Times New Roman" w:cs="Times New Roman"/>
        </w:rPr>
        <w:t xml:space="preserve"> et al., 2023).</w:t>
      </w:r>
    </w:p>
    <w:p w14:paraId="23AD17AA" w14:textId="77777777" w:rsidR="0023332E" w:rsidRPr="00134D38" w:rsidRDefault="0023332E" w:rsidP="00341AF8">
      <w:pPr>
        <w:spacing w:line="360" w:lineRule="auto"/>
        <w:jc w:val="both"/>
        <w:rPr>
          <w:rFonts w:ascii="Times New Roman" w:hAnsi="Times New Roman" w:cs="Times New Roman"/>
          <w:b/>
          <w:i/>
        </w:rPr>
      </w:pPr>
      <w:r w:rsidRPr="00134D38">
        <w:rPr>
          <w:rFonts w:ascii="Times New Roman" w:hAnsi="Times New Roman" w:cs="Times New Roman"/>
          <w:b/>
          <w:i/>
        </w:rPr>
        <w:t>3.3.3 Analysis Techniques</w:t>
      </w:r>
    </w:p>
    <w:p w14:paraId="565FB0B0" w14:textId="300A3E02" w:rsidR="00E70509" w:rsidRDefault="0023332E" w:rsidP="00341AF8">
      <w:pPr>
        <w:spacing w:line="360" w:lineRule="auto"/>
        <w:jc w:val="both"/>
        <w:rPr>
          <w:rFonts w:ascii="Times New Roman" w:hAnsi="Times New Roman" w:cs="Times New Roman"/>
        </w:rPr>
      </w:pPr>
      <w:r w:rsidRPr="00C866BA">
        <w:rPr>
          <w:rFonts w:ascii="Times New Roman" w:hAnsi="Times New Roman" w:cs="Times New Roman"/>
        </w:rPr>
        <w:t>Survey data were entered and cleaned in SPSS</w:t>
      </w:r>
      <w:r>
        <w:rPr>
          <w:rFonts w:ascii="Times New Roman" w:hAnsi="Times New Roman" w:cs="Times New Roman"/>
        </w:rPr>
        <w:t xml:space="preserve"> and Stata</w:t>
      </w:r>
      <w:r w:rsidRPr="00C866BA">
        <w:rPr>
          <w:rFonts w:ascii="Times New Roman" w:hAnsi="Times New Roman" w:cs="Times New Roman"/>
        </w:rPr>
        <w:t xml:space="preserve"> following established procedures for survey‑based research (Roni &amp; </w:t>
      </w:r>
      <w:proofErr w:type="spellStart"/>
      <w:r w:rsidRPr="00C866BA">
        <w:rPr>
          <w:rFonts w:ascii="Times New Roman" w:hAnsi="Times New Roman" w:cs="Times New Roman"/>
        </w:rPr>
        <w:t>Djajadikerta</w:t>
      </w:r>
      <w:proofErr w:type="spellEnd"/>
      <w:r w:rsidRPr="00C866BA">
        <w:rPr>
          <w:rFonts w:ascii="Times New Roman" w:hAnsi="Times New Roman" w:cs="Times New Roman"/>
        </w:rPr>
        <w:t xml:space="preserve">, 2021). </w:t>
      </w:r>
    </w:p>
    <w:p w14:paraId="7D68E925" w14:textId="0891A47B" w:rsidR="00E70509" w:rsidRPr="00E70509" w:rsidRDefault="00E70509" w:rsidP="00341AF8">
      <w:pPr>
        <w:spacing w:line="360" w:lineRule="auto"/>
        <w:jc w:val="both"/>
        <w:rPr>
          <w:rFonts w:ascii="Times New Roman" w:hAnsi="Times New Roman" w:cs="Times New Roman"/>
        </w:rPr>
      </w:pPr>
      <w:r w:rsidRPr="00E70509">
        <w:rPr>
          <w:rFonts w:ascii="Times New Roman" w:eastAsia="Times New Roman" w:hAnsi="Times New Roman" w:cs="Times New Roman"/>
          <w:color w:val="000000"/>
          <w:lang w:val="en-US" w:eastAsia="en-US"/>
        </w:rPr>
        <w:t xml:space="preserve">Descriptive statistics, including frequencies, means, and percentages, were employed to </w:t>
      </w:r>
      <w:proofErr w:type="spellStart"/>
      <w:r w:rsidRPr="00E70509">
        <w:rPr>
          <w:rFonts w:ascii="Times New Roman" w:eastAsia="Times New Roman" w:hAnsi="Times New Roman" w:cs="Times New Roman"/>
          <w:color w:val="000000"/>
          <w:lang w:val="en-US" w:eastAsia="en-US"/>
        </w:rPr>
        <w:t>summarise</w:t>
      </w:r>
      <w:proofErr w:type="spellEnd"/>
      <w:r w:rsidRPr="00E70509">
        <w:rPr>
          <w:rFonts w:ascii="Times New Roman" w:eastAsia="Times New Roman" w:hAnsi="Times New Roman" w:cs="Times New Roman"/>
          <w:color w:val="000000"/>
          <w:lang w:val="en-US" w:eastAsia="en-US"/>
        </w:rPr>
        <w:t xml:space="preserve"> key indicators, consistent with approaches used in CSR and SDG-related household surveys (</w:t>
      </w:r>
      <w:proofErr w:type="spellStart"/>
      <w:r w:rsidRPr="00E70509">
        <w:rPr>
          <w:rFonts w:ascii="Times New Roman" w:eastAsia="Times New Roman" w:hAnsi="Times New Roman" w:cs="Times New Roman"/>
          <w:color w:val="000000"/>
          <w:lang w:val="en-US" w:eastAsia="en-US"/>
        </w:rPr>
        <w:t>Blay</w:t>
      </w:r>
      <w:proofErr w:type="spellEnd"/>
      <w:r w:rsidRPr="00E70509">
        <w:rPr>
          <w:rFonts w:ascii="Times New Roman" w:eastAsia="Times New Roman" w:hAnsi="Times New Roman" w:cs="Times New Roman"/>
          <w:color w:val="000000"/>
          <w:lang w:val="en-US" w:eastAsia="en-US"/>
        </w:rPr>
        <w:t xml:space="preserve"> Jnr et al., 2021; </w:t>
      </w:r>
      <w:proofErr w:type="spellStart"/>
      <w:r w:rsidRPr="00E70509">
        <w:rPr>
          <w:rFonts w:ascii="Times New Roman" w:eastAsia="Times New Roman" w:hAnsi="Times New Roman" w:cs="Times New Roman"/>
          <w:color w:val="000000"/>
          <w:lang w:val="en-US" w:eastAsia="en-US"/>
        </w:rPr>
        <w:t>Kourouma</w:t>
      </w:r>
      <w:proofErr w:type="spellEnd"/>
      <w:r w:rsidRPr="00E70509">
        <w:rPr>
          <w:rFonts w:ascii="Times New Roman" w:eastAsia="Times New Roman" w:hAnsi="Times New Roman" w:cs="Times New Roman"/>
          <w:color w:val="000000"/>
          <w:lang w:val="en-US" w:eastAsia="en-US"/>
        </w:rPr>
        <w:t xml:space="preserve"> et al., 2023; S. M. Khan et al., 2017). Where sample sizes allowed, cross-tabulations were conducted to compare outcomes between project beneficiaries and non-beneficiaries in order to explore differences in access, participation, and perceived impacts. In addition, simple trend and before–after comparisons were undertaken using available secondary data to assess changes over time, following methods commonly applied in water, sanitation, and hygiene (WASH) and livelihood assessments (</w:t>
      </w:r>
      <w:proofErr w:type="spellStart"/>
      <w:r w:rsidRPr="00E70509">
        <w:rPr>
          <w:rFonts w:ascii="Times New Roman" w:eastAsia="Times New Roman" w:hAnsi="Times New Roman" w:cs="Times New Roman"/>
          <w:color w:val="000000"/>
          <w:lang w:val="en-US" w:eastAsia="en-US"/>
        </w:rPr>
        <w:t>Basiru</w:t>
      </w:r>
      <w:proofErr w:type="spellEnd"/>
      <w:r w:rsidRPr="00E70509">
        <w:rPr>
          <w:rFonts w:ascii="Times New Roman" w:eastAsia="Times New Roman" w:hAnsi="Times New Roman" w:cs="Times New Roman"/>
          <w:color w:val="000000"/>
          <w:lang w:val="en-US" w:eastAsia="en-US"/>
        </w:rPr>
        <w:t xml:space="preserve"> et al., 2020; S. M. Khan et al., 2017).</w:t>
      </w:r>
    </w:p>
    <w:p w14:paraId="72558DCB" w14:textId="77777777" w:rsidR="00E70509" w:rsidRDefault="00E70509" w:rsidP="00341AF8">
      <w:pPr>
        <w:spacing w:line="360" w:lineRule="auto"/>
        <w:jc w:val="both"/>
        <w:rPr>
          <w:rFonts w:ascii="Times New Roman" w:hAnsi="Times New Roman" w:cs="Times New Roman"/>
        </w:rPr>
      </w:pPr>
    </w:p>
    <w:p w14:paraId="0ABDCCD5" w14:textId="3CC52627" w:rsidR="0023332E" w:rsidRPr="00C866BA" w:rsidRDefault="0023332E" w:rsidP="00341AF8">
      <w:pPr>
        <w:spacing w:line="360" w:lineRule="auto"/>
        <w:jc w:val="both"/>
        <w:rPr>
          <w:rFonts w:ascii="Times New Roman" w:hAnsi="Times New Roman" w:cs="Times New Roman"/>
        </w:rPr>
      </w:pPr>
      <w:r w:rsidRPr="00C866BA">
        <w:rPr>
          <w:rFonts w:ascii="Times New Roman" w:hAnsi="Times New Roman" w:cs="Times New Roman"/>
        </w:rPr>
        <w:lastRenderedPageBreak/>
        <w:t>These analyses provided an overview of social, economic, and environmental outcomes potentially associated with Eni’s CSR interventions.</w:t>
      </w:r>
    </w:p>
    <w:p w14:paraId="2E67BE4E" w14:textId="77777777" w:rsidR="0023332E" w:rsidRPr="00134D38" w:rsidRDefault="0023332E" w:rsidP="00341AF8">
      <w:pPr>
        <w:spacing w:line="360" w:lineRule="auto"/>
        <w:jc w:val="both"/>
        <w:rPr>
          <w:rFonts w:ascii="Times New Roman" w:hAnsi="Times New Roman" w:cs="Times New Roman"/>
          <w:b/>
        </w:rPr>
      </w:pPr>
      <w:r w:rsidRPr="00134D38">
        <w:rPr>
          <w:rFonts w:ascii="Times New Roman" w:hAnsi="Times New Roman" w:cs="Times New Roman"/>
          <w:b/>
        </w:rPr>
        <w:t>3.4 Qualitative Data Collection and Analysis</w:t>
      </w:r>
    </w:p>
    <w:p w14:paraId="5CFC6F48" w14:textId="77777777" w:rsidR="0023332E" w:rsidRPr="00C866BA" w:rsidRDefault="0023332E" w:rsidP="00341AF8">
      <w:pPr>
        <w:spacing w:line="360" w:lineRule="auto"/>
        <w:jc w:val="both"/>
        <w:rPr>
          <w:rFonts w:ascii="Times New Roman" w:hAnsi="Times New Roman" w:cs="Times New Roman"/>
        </w:rPr>
      </w:pPr>
      <w:r w:rsidRPr="00C866BA">
        <w:rPr>
          <w:rFonts w:ascii="Times New Roman" w:hAnsi="Times New Roman" w:cs="Times New Roman"/>
        </w:rPr>
        <w:t>Qualitative data were generated through</w:t>
      </w:r>
      <w:r>
        <w:rPr>
          <w:rFonts w:ascii="Times New Roman" w:hAnsi="Times New Roman" w:cs="Times New Roman"/>
        </w:rPr>
        <w:t xml:space="preserve"> </w:t>
      </w:r>
      <w:r w:rsidRPr="00C866BA">
        <w:rPr>
          <w:rFonts w:ascii="Times New Roman" w:hAnsi="Times New Roman" w:cs="Times New Roman"/>
        </w:rPr>
        <w:t>Semi‑structured interviews with the stakeholder groups identified above.</w:t>
      </w:r>
      <w:r>
        <w:rPr>
          <w:rFonts w:ascii="Times New Roman" w:hAnsi="Times New Roman" w:cs="Times New Roman"/>
        </w:rPr>
        <w:t xml:space="preserve"> </w:t>
      </w:r>
      <w:r w:rsidRPr="00C866BA">
        <w:rPr>
          <w:rFonts w:ascii="Times New Roman" w:hAnsi="Times New Roman" w:cs="Times New Roman"/>
        </w:rPr>
        <w:t>Focus group discussions (FGDs) with homogeneous groups (e.g., women fish processors, youth, farmers) where feasible, reflecting participatory approaches in CSR and PPP/SDG research (</w:t>
      </w:r>
      <w:proofErr w:type="spellStart"/>
      <w:r w:rsidRPr="00C866BA">
        <w:rPr>
          <w:rFonts w:ascii="Times New Roman" w:hAnsi="Times New Roman" w:cs="Times New Roman"/>
        </w:rPr>
        <w:t>Ansu</w:t>
      </w:r>
      <w:proofErr w:type="spellEnd"/>
      <w:r w:rsidRPr="00C866BA">
        <w:rPr>
          <w:rFonts w:ascii="Times New Roman" w:hAnsi="Times New Roman" w:cs="Times New Roman"/>
        </w:rPr>
        <w:t>‑Mensah et al., 2021; Owusu‑Manu et al., 2020).</w:t>
      </w:r>
    </w:p>
    <w:p w14:paraId="5B45F8CB" w14:textId="77777777" w:rsidR="0023332E" w:rsidRPr="00C866BA" w:rsidRDefault="0023332E" w:rsidP="00341AF8">
      <w:pPr>
        <w:spacing w:line="360" w:lineRule="auto"/>
        <w:jc w:val="both"/>
        <w:rPr>
          <w:rFonts w:ascii="Times New Roman" w:hAnsi="Times New Roman" w:cs="Times New Roman"/>
        </w:rPr>
      </w:pPr>
      <w:r w:rsidRPr="00C866BA">
        <w:rPr>
          <w:rFonts w:ascii="Times New Roman" w:hAnsi="Times New Roman" w:cs="Times New Roman"/>
        </w:rPr>
        <w:t>Direct field observations of CSR project sites (water facilities, health and education infrastructure, livelihood projects), as recommended in social sustainability case studies (</w:t>
      </w:r>
      <w:proofErr w:type="spellStart"/>
      <w:r w:rsidRPr="00C866BA">
        <w:rPr>
          <w:rFonts w:ascii="Times New Roman" w:hAnsi="Times New Roman" w:cs="Times New Roman"/>
        </w:rPr>
        <w:t>Kourouma</w:t>
      </w:r>
      <w:proofErr w:type="spellEnd"/>
      <w:r w:rsidRPr="00C866BA">
        <w:rPr>
          <w:rFonts w:ascii="Times New Roman" w:hAnsi="Times New Roman" w:cs="Times New Roman"/>
        </w:rPr>
        <w:t xml:space="preserve"> et al., 2023).</w:t>
      </w:r>
    </w:p>
    <w:p w14:paraId="5D3E3A45" w14:textId="77777777" w:rsidR="00E70509" w:rsidRDefault="0023332E" w:rsidP="00341AF8">
      <w:pPr>
        <w:spacing w:line="360" w:lineRule="auto"/>
        <w:jc w:val="both"/>
        <w:rPr>
          <w:rFonts w:ascii="Times New Roman" w:hAnsi="Times New Roman" w:cs="Times New Roman"/>
        </w:rPr>
      </w:pPr>
      <w:r w:rsidRPr="00C866BA">
        <w:rPr>
          <w:rFonts w:ascii="Times New Roman" w:hAnsi="Times New Roman" w:cs="Times New Roman"/>
        </w:rPr>
        <w:t xml:space="preserve">Interviews and FGDs followed topic guides covering: perceptions of CSR objectives, participation in planning and implementation, perceived benefits and trade‑offs, inclusion/exclusion dynamics, and views on long‑term sustainability and shared value, consistent with CSR effectiveness and social licence analyses in extractive industries (Abel &amp; </w:t>
      </w:r>
      <w:proofErr w:type="spellStart"/>
      <w:r w:rsidRPr="00C866BA">
        <w:rPr>
          <w:rFonts w:ascii="Times New Roman" w:hAnsi="Times New Roman" w:cs="Times New Roman"/>
        </w:rPr>
        <w:t>Chibomba</w:t>
      </w:r>
      <w:proofErr w:type="spellEnd"/>
      <w:r w:rsidRPr="00C866BA">
        <w:rPr>
          <w:rFonts w:ascii="Times New Roman" w:hAnsi="Times New Roman" w:cs="Times New Roman"/>
        </w:rPr>
        <w:t xml:space="preserve">, 2025; A. Mohammed et al., 2022; </w:t>
      </w:r>
      <w:proofErr w:type="spellStart"/>
      <w:r w:rsidRPr="00C866BA">
        <w:rPr>
          <w:rFonts w:ascii="Times New Roman" w:hAnsi="Times New Roman" w:cs="Times New Roman"/>
        </w:rPr>
        <w:t>Oshioste</w:t>
      </w:r>
      <w:proofErr w:type="spellEnd"/>
      <w:r w:rsidRPr="00C866BA">
        <w:rPr>
          <w:rFonts w:ascii="Times New Roman" w:hAnsi="Times New Roman" w:cs="Times New Roman"/>
        </w:rPr>
        <w:t xml:space="preserve"> et al., 2023).</w:t>
      </w:r>
    </w:p>
    <w:p w14:paraId="002F404F" w14:textId="610378CD" w:rsidR="00E70509" w:rsidRDefault="0023332E" w:rsidP="00341AF8">
      <w:pPr>
        <w:spacing w:line="360" w:lineRule="auto"/>
        <w:jc w:val="both"/>
        <w:rPr>
          <w:rFonts w:ascii="Times New Roman" w:hAnsi="Times New Roman" w:cs="Times New Roman"/>
        </w:rPr>
      </w:pPr>
      <w:r w:rsidRPr="00C866BA">
        <w:rPr>
          <w:rFonts w:ascii="Times New Roman" w:hAnsi="Times New Roman" w:cs="Times New Roman"/>
        </w:rPr>
        <w:t>All interviews and FGDs were audio‑recorded with consent and transcribed verbatim. Data were analysed using a thematic coding approach</w:t>
      </w:r>
      <w:r w:rsidR="00E70509">
        <w:rPr>
          <w:rFonts w:ascii="Times New Roman" w:hAnsi="Times New Roman" w:cs="Times New Roman"/>
        </w:rPr>
        <w:t>.</w:t>
      </w:r>
    </w:p>
    <w:p w14:paraId="04EEE864" w14:textId="61C5E6AC" w:rsidR="00E70509" w:rsidRPr="00E70509" w:rsidRDefault="00E70509" w:rsidP="00341AF8">
      <w:pPr>
        <w:spacing w:line="360" w:lineRule="auto"/>
        <w:jc w:val="both"/>
        <w:rPr>
          <w:rFonts w:ascii="Times New Roman" w:hAnsi="Times New Roman" w:cs="Times New Roman"/>
        </w:rPr>
      </w:pPr>
      <w:r w:rsidRPr="00E70509">
        <w:rPr>
          <w:rFonts w:ascii="Times New Roman" w:eastAsia="Times New Roman" w:hAnsi="Times New Roman" w:cs="Times New Roman"/>
          <w:color w:val="000000"/>
          <w:lang w:val="en-US" w:eastAsia="en-US"/>
        </w:rPr>
        <w:t>The qualitative analysis began with open coding of interview transcripts to identify recurrent concepts related to corporate social responsibility, stakeholder participation, perceived impacts, and implementation challenges. These initial codes were subsequently refined through focused and thematic coding, whereby related categories were grouped into higher-order themes such as strategic versus philanthropic CSR, participation and voice, livelihood changes, environmental risk and mitigation, and sustainability and resilience. This process followed established thematic analysis procedures commonly applied in CSR, public–private partnership, and SDG-oriented studies (</w:t>
      </w:r>
      <w:proofErr w:type="spellStart"/>
      <w:r w:rsidRPr="00E70509">
        <w:rPr>
          <w:rFonts w:ascii="Times New Roman" w:eastAsia="Times New Roman" w:hAnsi="Times New Roman" w:cs="Times New Roman"/>
          <w:color w:val="000000"/>
          <w:lang w:val="en-US" w:eastAsia="en-US"/>
        </w:rPr>
        <w:t>Ansu</w:t>
      </w:r>
      <w:proofErr w:type="spellEnd"/>
      <w:r w:rsidRPr="00E70509">
        <w:rPr>
          <w:rFonts w:ascii="Times New Roman" w:eastAsia="Times New Roman" w:hAnsi="Times New Roman" w:cs="Times New Roman"/>
          <w:color w:val="000000"/>
          <w:lang w:val="en-US" w:eastAsia="en-US"/>
        </w:rPr>
        <w:t>-Mensah et al., 2021; Owusu-Manu et al., 2020). In the final stage, theoretical coding was undertaken to interpret the emergent themes through the lenses of stakeholder theory, legitimacy theory, and sustainability transitions theory, linking empirical findings to SDG-relevant social, economic, and environmental dimensions.</w:t>
      </w:r>
    </w:p>
    <w:p w14:paraId="68B18FC6" w14:textId="77777777" w:rsidR="00E70509" w:rsidRPr="00E70509" w:rsidRDefault="00E70509" w:rsidP="00341AF8">
      <w:pPr>
        <w:spacing w:after="0" w:line="360" w:lineRule="auto"/>
        <w:rPr>
          <w:rFonts w:ascii="Times New Roman" w:eastAsia="Times New Roman" w:hAnsi="Times New Roman" w:cs="Times New Roman"/>
          <w:lang w:val="en-US" w:eastAsia="en-US"/>
        </w:rPr>
      </w:pPr>
    </w:p>
    <w:p w14:paraId="7EC45ADA" w14:textId="77777777" w:rsidR="0023332E" w:rsidRPr="00C866BA" w:rsidRDefault="0023332E" w:rsidP="00341AF8">
      <w:pPr>
        <w:spacing w:line="360" w:lineRule="auto"/>
        <w:jc w:val="both"/>
        <w:rPr>
          <w:rFonts w:ascii="Times New Roman" w:hAnsi="Times New Roman" w:cs="Times New Roman"/>
        </w:rPr>
      </w:pPr>
      <w:r w:rsidRPr="00C866BA">
        <w:rPr>
          <w:rFonts w:ascii="Times New Roman" w:hAnsi="Times New Roman" w:cs="Times New Roman"/>
        </w:rPr>
        <w:t>Coding was conducted manually or with qualitative software</w:t>
      </w:r>
      <w:r>
        <w:rPr>
          <w:rFonts w:ascii="Times New Roman" w:hAnsi="Times New Roman" w:cs="Times New Roman"/>
        </w:rPr>
        <w:t xml:space="preserve"> </w:t>
      </w:r>
      <w:r w:rsidRPr="00C866BA">
        <w:rPr>
          <w:rFonts w:ascii="Times New Roman" w:hAnsi="Times New Roman" w:cs="Times New Roman"/>
        </w:rPr>
        <w:t xml:space="preserve">to enhance transparency and traceability of the analytic process, as recommended for rigorous qualitative case study research (Campbell et al., 2020; </w:t>
      </w:r>
      <w:proofErr w:type="spellStart"/>
      <w:r w:rsidRPr="00C866BA">
        <w:rPr>
          <w:rFonts w:ascii="Times New Roman" w:hAnsi="Times New Roman" w:cs="Times New Roman"/>
        </w:rPr>
        <w:t>Weale</w:t>
      </w:r>
      <w:proofErr w:type="spellEnd"/>
      <w:r w:rsidRPr="00C866BA">
        <w:rPr>
          <w:rFonts w:ascii="Times New Roman" w:hAnsi="Times New Roman" w:cs="Times New Roman"/>
        </w:rPr>
        <w:t>, 2003).</w:t>
      </w:r>
    </w:p>
    <w:p w14:paraId="4DDE577A" w14:textId="77777777" w:rsidR="0023332E" w:rsidRPr="004E4815" w:rsidRDefault="0023332E" w:rsidP="00341AF8">
      <w:pPr>
        <w:spacing w:line="360" w:lineRule="auto"/>
        <w:jc w:val="both"/>
        <w:rPr>
          <w:rFonts w:ascii="Times New Roman" w:hAnsi="Times New Roman" w:cs="Times New Roman"/>
          <w:b/>
        </w:rPr>
      </w:pPr>
      <w:r w:rsidRPr="004E4815">
        <w:rPr>
          <w:rFonts w:ascii="Times New Roman" w:hAnsi="Times New Roman" w:cs="Times New Roman"/>
          <w:b/>
        </w:rPr>
        <w:lastRenderedPageBreak/>
        <w:t>3.5 Ethic</w:t>
      </w:r>
      <w:r>
        <w:rPr>
          <w:rFonts w:ascii="Times New Roman" w:hAnsi="Times New Roman" w:cs="Times New Roman"/>
          <w:b/>
        </w:rPr>
        <w:t>al Consideration</w:t>
      </w:r>
    </w:p>
    <w:p w14:paraId="65CECDF1" w14:textId="77777777" w:rsidR="0023332E" w:rsidRPr="00C866BA" w:rsidRDefault="0023332E" w:rsidP="00341AF8">
      <w:pPr>
        <w:spacing w:line="360" w:lineRule="auto"/>
        <w:jc w:val="both"/>
        <w:rPr>
          <w:rFonts w:ascii="Times New Roman" w:hAnsi="Times New Roman" w:cs="Times New Roman"/>
        </w:rPr>
      </w:pPr>
      <w:r w:rsidRPr="00C866BA">
        <w:rPr>
          <w:rFonts w:ascii="Times New Roman" w:hAnsi="Times New Roman" w:cs="Times New Roman"/>
        </w:rPr>
        <w:t xml:space="preserve">The study adhered to standard ethical principles of social research. Ethical approval was obtained from </w:t>
      </w:r>
      <w:r>
        <w:rPr>
          <w:rFonts w:ascii="Times New Roman" w:hAnsi="Times New Roman" w:cs="Times New Roman"/>
        </w:rPr>
        <w:t xml:space="preserve">The Kwame Nkrumah University of Science and Technology, Kumasi, </w:t>
      </w:r>
      <w:proofErr w:type="spellStart"/>
      <w:r>
        <w:rPr>
          <w:rFonts w:ascii="Times New Roman" w:hAnsi="Times New Roman" w:cs="Times New Roman"/>
        </w:rPr>
        <w:t>ghana</w:t>
      </w:r>
      <w:proofErr w:type="spellEnd"/>
      <w:r w:rsidRPr="00C866BA">
        <w:rPr>
          <w:rFonts w:ascii="Times New Roman" w:hAnsi="Times New Roman" w:cs="Times New Roman"/>
        </w:rPr>
        <w:t xml:space="preserve"> in line with procedures used in CSR, health, and WASH field studies (Abel &amp; </w:t>
      </w:r>
      <w:proofErr w:type="spellStart"/>
      <w:r w:rsidRPr="00C866BA">
        <w:rPr>
          <w:rFonts w:ascii="Times New Roman" w:hAnsi="Times New Roman" w:cs="Times New Roman"/>
        </w:rPr>
        <w:t>Chibomba</w:t>
      </w:r>
      <w:proofErr w:type="spellEnd"/>
      <w:r w:rsidRPr="00C866BA">
        <w:rPr>
          <w:rFonts w:ascii="Times New Roman" w:hAnsi="Times New Roman" w:cs="Times New Roman"/>
        </w:rPr>
        <w:t xml:space="preserve">, 2025; </w:t>
      </w:r>
      <w:proofErr w:type="spellStart"/>
      <w:r w:rsidRPr="00C866BA">
        <w:rPr>
          <w:rFonts w:ascii="Times New Roman" w:hAnsi="Times New Roman" w:cs="Times New Roman"/>
        </w:rPr>
        <w:t>Kourouma</w:t>
      </w:r>
      <w:proofErr w:type="spellEnd"/>
      <w:r w:rsidRPr="00C866BA">
        <w:rPr>
          <w:rFonts w:ascii="Times New Roman" w:hAnsi="Times New Roman" w:cs="Times New Roman"/>
        </w:rPr>
        <w:t xml:space="preserve"> et al., 2023; S. M. Khan et al., 2017). At the community level, permission was sought from traditional authorities and local government representatives before data collection.</w:t>
      </w:r>
    </w:p>
    <w:p w14:paraId="49BF8299" w14:textId="77777777" w:rsidR="0023332E" w:rsidRPr="00C866BA" w:rsidRDefault="0023332E" w:rsidP="00341AF8">
      <w:pPr>
        <w:spacing w:line="360" w:lineRule="auto"/>
        <w:jc w:val="both"/>
        <w:rPr>
          <w:rFonts w:ascii="Times New Roman" w:hAnsi="Times New Roman" w:cs="Times New Roman"/>
        </w:rPr>
      </w:pPr>
      <w:r w:rsidRPr="00C866BA">
        <w:rPr>
          <w:rFonts w:ascii="Times New Roman" w:hAnsi="Times New Roman" w:cs="Times New Roman"/>
        </w:rPr>
        <w:t xml:space="preserve">All participants were informed about the purpose of the study, the voluntary nature of participation, the right to withdraw at any time, and measures to ensure confidentiality. Written or verbal informed consent was obtained prior to interviews and surveys. Identifiers were removed from transcripts and datasets, and findings are reported in aggregate form or with anonymised quotations to protect participants’ identities, consistent with best practice in case study and qualitative research (Campbell et al., 2020; </w:t>
      </w:r>
      <w:proofErr w:type="spellStart"/>
      <w:r w:rsidRPr="00C866BA">
        <w:rPr>
          <w:rFonts w:ascii="Times New Roman" w:hAnsi="Times New Roman" w:cs="Times New Roman"/>
        </w:rPr>
        <w:t>Weale</w:t>
      </w:r>
      <w:proofErr w:type="spellEnd"/>
      <w:r w:rsidRPr="00C866BA">
        <w:rPr>
          <w:rFonts w:ascii="Times New Roman" w:hAnsi="Times New Roman" w:cs="Times New Roman"/>
        </w:rPr>
        <w:t>, 2003).</w:t>
      </w:r>
    </w:p>
    <w:p w14:paraId="5301FE93" w14:textId="77777777" w:rsidR="0023332E" w:rsidRPr="004E4815" w:rsidRDefault="0023332E" w:rsidP="00341AF8">
      <w:pPr>
        <w:spacing w:line="360" w:lineRule="auto"/>
        <w:jc w:val="both"/>
        <w:rPr>
          <w:rFonts w:ascii="Times New Roman" w:hAnsi="Times New Roman" w:cs="Times New Roman"/>
          <w:b/>
        </w:rPr>
      </w:pPr>
      <w:r w:rsidRPr="004E4815">
        <w:rPr>
          <w:rFonts w:ascii="Times New Roman" w:hAnsi="Times New Roman" w:cs="Times New Roman"/>
          <w:b/>
        </w:rPr>
        <w:t>3.6 Limitations</w:t>
      </w:r>
    </w:p>
    <w:p w14:paraId="0E9022D3" w14:textId="77777777" w:rsidR="0023332E" w:rsidRPr="00C866BA" w:rsidRDefault="0023332E" w:rsidP="00341AF8">
      <w:pPr>
        <w:spacing w:line="360" w:lineRule="auto"/>
        <w:jc w:val="both"/>
        <w:rPr>
          <w:rFonts w:ascii="Times New Roman" w:hAnsi="Times New Roman" w:cs="Times New Roman"/>
        </w:rPr>
      </w:pPr>
      <w:r w:rsidRPr="00C866BA">
        <w:rPr>
          <w:rFonts w:ascii="Times New Roman" w:hAnsi="Times New Roman" w:cs="Times New Roman"/>
        </w:rPr>
        <w:t>Although efforts were made to include diverse stakeholders, the qualitative sample size and the single‑community focus limit the generalisability of findings beyond Sanzule and similar offshore oil contexts.</w:t>
      </w:r>
    </w:p>
    <w:p w14:paraId="4A94AED3" w14:textId="77777777" w:rsidR="0023332E" w:rsidRPr="00C866BA" w:rsidRDefault="0023332E" w:rsidP="00341AF8">
      <w:pPr>
        <w:spacing w:line="360" w:lineRule="auto"/>
        <w:jc w:val="both"/>
        <w:rPr>
          <w:rFonts w:ascii="Times New Roman" w:hAnsi="Times New Roman" w:cs="Times New Roman"/>
        </w:rPr>
      </w:pPr>
      <w:r w:rsidRPr="00C866BA">
        <w:rPr>
          <w:rFonts w:ascii="Times New Roman" w:hAnsi="Times New Roman" w:cs="Times New Roman"/>
        </w:rPr>
        <w:t>The study does not employ experimental or quasi‑experimental designs; therefore, observed changes in social, economic, and environmental indicators cannot be attributed solely to Eni’s CSR interventions, as other public and private actors also operate in the area.</w:t>
      </w:r>
    </w:p>
    <w:p w14:paraId="4503BB01" w14:textId="77777777" w:rsidR="0023332E" w:rsidRDefault="0023332E" w:rsidP="00341AF8">
      <w:pPr>
        <w:spacing w:line="360" w:lineRule="auto"/>
        <w:jc w:val="both"/>
        <w:rPr>
          <w:rFonts w:ascii="Times New Roman" w:hAnsi="Times New Roman" w:cs="Times New Roman"/>
        </w:rPr>
      </w:pPr>
      <w:r w:rsidRPr="00C866BA">
        <w:rPr>
          <w:rFonts w:ascii="Times New Roman" w:hAnsi="Times New Roman" w:cs="Times New Roman"/>
        </w:rPr>
        <w:t xml:space="preserve">Perceptions of CSR performance and impacts may be affected by recall bias, social desirability, or expectations of future benefits, particularly among beneficiaries and local leaders, a concern noted in other CSR perception studies (Abel &amp; </w:t>
      </w:r>
      <w:proofErr w:type="spellStart"/>
      <w:r w:rsidRPr="00C866BA">
        <w:rPr>
          <w:rFonts w:ascii="Times New Roman" w:hAnsi="Times New Roman" w:cs="Times New Roman"/>
        </w:rPr>
        <w:t>Chibomba</w:t>
      </w:r>
      <w:proofErr w:type="spellEnd"/>
      <w:r w:rsidRPr="00C866BA">
        <w:rPr>
          <w:rFonts w:ascii="Times New Roman" w:hAnsi="Times New Roman" w:cs="Times New Roman"/>
        </w:rPr>
        <w:t xml:space="preserve">, 2025; </w:t>
      </w:r>
      <w:proofErr w:type="spellStart"/>
      <w:r w:rsidRPr="00C866BA">
        <w:rPr>
          <w:rFonts w:ascii="Times New Roman" w:hAnsi="Times New Roman" w:cs="Times New Roman"/>
        </w:rPr>
        <w:t>Blay</w:t>
      </w:r>
      <w:proofErr w:type="spellEnd"/>
      <w:r w:rsidRPr="00C866BA">
        <w:rPr>
          <w:rFonts w:ascii="Times New Roman" w:hAnsi="Times New Roman" w:cs="Times New Roman"/>
        </w:rPr>
        <w:t xml:space="preserve"> Jnr et al., 2021; A. Mohammed et al., 2022).</w:t>
      </w:r>
    </w:p>
    <w:p w14:paraId="02EC0431" w14:textId="5A1BEA83" w:rsidR="63A65A92" w:rsidRPr="006F697F" w:rsidRDefault="008776D4" w:rsidP="00341AF8">
      <w:pPr>
        <w:pStyle w:val="Heading1"/>
        <w:spacing w:before="322" w:after="322" w:line="360" w:lineRule="auto"/>
        <w:jc w:val="both"/>
        <w:rPr>
          <w:rFonts w:ascii="Times New Roman" w:eastAsia="Times New Roman" w:hAnsi="Times New Roman" w:cs="Times New Roman"/>
          <w:b/>
          <w:bCs/>
          <w:color w:val="000000" w:themeColor="text1"/>
          <w:sz w:val="24"/>
          <w:szCs w:val="24"/>
        </w:rPr>
      </w:pPr>
      <w:r w:rsidRPr="006F697F">
        <w:rPr>
          <w:rFonts w:ascii="Times New Roman" w:eastAsia="Times New Roman" w:hAnsi="Times New Roman" w:cs="Times New Roman"/>
          <w:b/>
          <w:bCs/>
          <w:color w:val="000000" w:themeColor="text1"/>
          <w:sz w:val="24"/>
          <w:szCs w:val="24"/>
        </w:rPr>
        <w:t xml:space="preserve">4.0 Data Analysis </w:t>
      </w:r>
      <w:r>
        <w:rPr>
          <w:rFonts w:ascii="Times New Roman" w:eastAsia="Times New Roman" w:hAnsi="Times New Roman" w:cs="Times New Roman"/>
          <w:b/>
          <w:bCs/>
          <w:color w:val="000000" w:themeColor="text1"/>
          <w:sz w:val="24"/>
          <w:szCs w:val="24"/>
        </w:rPr>
        <w:t>a</w:t>
      </w:r>
      <w:r w:rsidRPr="006F697F">
        <w:rPr>
          <w:rFonts w:ascii="Times New Roman" w:eastAsia="Times New Roman" w:hAnsi="Times New Roman" w:cs="Times New Roman"/>
          <w:b/>
          <w:bCs/>
          <w:color w:val="000000" w:themeColor="text1"/>
          <w:sz w:val="24"/>
          <w:szCs w:val="24"/>
        </w:rPr>
        <w:t xml:space="preserve">nd Presentation </w:t>
      </w:r>
      <w:r>
        <w:rPr>
          <w:rFonts w:ascii="Times New Roman" w:eastAsia="Times New Roman" w:hAnsi="Times New Roman" w:cs="Times New Roman"/>
          <w:b/>
          <w:bCs/>
          <w:color w:val="000000" w:themeColor="text1"/>
          <w:sz w:val="24"/>
          <w:szCs w:val="24"/>
        </w:rPr>
        <w:t>o</w:t>
      </w:r>
      <w:r w:rsidRPr="006F697F">
        <w:rPr>
          <w:rFonts w:ascii="Times New Roman" w:eastAsia="Times New Roman" w:hAnsi="Times New Roman" w:cs="Times New Roman"/>
          <w:b/>
          <w:bCs/>
          <w:color w:val="000000" w:themeColor="text1"/>
          <w:sz w:val="24"/>
          <w:szCs w:val="24"/>
        </w:rPr>
        <w:t>f Results</w:t>
      </w:r>
    </w:p>
    <w:p w14:paraId="1BBAC4EA" w14:textId="1F4866E1" w:rsidR="63A65A92" w:rsidRPr="006F697F" w:rsidRDefault="63A65A92" w:rsidP="00341AF8">
      <w:pPr>
        <w:pStyle w:val="Heading1"/>
        <w:spacing w:before="322" w:after="322" w:line="360" w:lineRule="auto"/>
        <w:jc w:val="both"/>
        <w:rPr>
          <w:rFonts w:ascii="Times New Roman" w:eastAsia="Times New Roman" w:hAnsi="Times New Roman" w:cs="Times New Roman"/>
          <w:b/>
          <w:bCs/>
          <w:color w:val="000000" w:themeColor="text1"/>
          <w:sz w:val="24"/>
          <w:szCs w:val="24"/>
        </w:rPr>
      </w:pPr>
      <w:r w:rsidRPr="006F697F">
        <w:rPr>
          <w:rFonts w:ascii="Times New Roman" w:eastAsia="Times New Roman" w:hAnsi="Times New Roman" w:cs="Times New Roman"/>
          <w:b/>
          <w:bCs/>
          <w:color w:val="000000" w:themeColor="text1"/>
          <w:sz w:val="24"/>
          <w:szCs w:val="24"/>
        </w:rPr>
        <w:t>4.1 ENI’s CSR Policy in Sanzule: Orientation Toward Transformative and Shared-Value Development</w:t>
      </w:r>
    </w:p>
    <w:p w14:paraId="1B7E5B77" w14:textId="4B26A79B" w:rsidR="006F697F" w:rsidRDefault="006F697F" w:rsidP="00341AF8">
      <w:pPr>
        <w:spacing w:line="360" w:lineRule="auto"/>
        <w:jc w:val="both"/>
        <w:rPr>
          <w:rStyle w:val="fontstyle01"/>
          <w:color w:val="auto"/>
        </w:rPr>
      </w:pPr>
      <w:r>
        <w:rPr>
          <w:rFonts w:ascii="Times New Roman" w:hAnsi="Times New Roman"/>
        </w:rPr>
        <w:t xml:space="preserve">The vision, mission, and value statements of companies are now reflecting their commitment to CSR </w:t>
      </w:r>
      <w:r w:rsidRPr="00751526">
        <w:rPr>
          <w:rFonts w:ascii="Times New Roman" w:hAnsi="Times New Roman"/>
        </w:rPr>
        <w:t xml:space="preserve">(BSR, 2000). </w:t>
      </w:r>
      <w:r>
        <w:rPr>
          <w:rFonts w:ascii="Times New Roman" w:hAnsi="Times New Roman"/>
        </w:rPr>
        <w:t xml:space="preserve">Some of the value statements of companies go further prioritizing profits to recognizing </w:t>
      </w:r>
      <w:r w:rsidRPr="00751526">
        <w:rPr>
          <w:rFonts w:ascii="Times New Roman" w:hAnsi="Times New Roman"/>
        </w:rPr>
        <w:t xml:space="preserve">the responsibilities of the company to a broad range of stakeholders made up of communities, environment, customers and employees. </w:t>
      </w:r>
      <w:r>
        <w:rPr>
          <w:rFonts w:ascii="Times New Roman" w:hAnsi="Times New Roman"/>
        </w:rPr>
        <w:t xml:space="preserve">Thus, as part of this study, the focus </w:t>
      </w:r>
      <w:r>
        <w:rPr>
          <w:rFonts w:ascii="Times New Roman" w:hAnsi="Times New Roman"/>
        </w:rPr>
        <w:lastRenderedPageBreak/>
        <w:t xml:space="preserve">areas of </w:t>
      </w:r>
      <w:r w:rsidRPr="00751526">
        <w:rPr>
          <w:rFonts w:ascii="Times New Roman" w:hAnsi="Times New Roman"/>
        </w:rPr>
        <w:t>the CSR engagement of Eni Exp</w:t>
      </w:r>
      <w:r>
        <w:rPr>
          <w:rFonts w:ascii="Times New Roman" w:hAnsi="Times New Roman"/>
        </w:rPr>
        <w:t xml:space="preserve">loration and Production Company were to be uncovered. </w:t>
      </w:r>
      <w:r>
        <w:rPr>
          <w:rStyle w:val="fontstyle01"/>
          <w:color w:val="auto"/>
        </w:rPr>
        <w:t xml:space="preserve">Eni claims to promote sustainability of nations in which it operates, providing opportunities such as employment and others to locals. </w:t>
      </w:r>
    </w:p>
    <w:p w14:paraId="686A42EC" w14:textId="0211FDFA" w:rsidR="006F697F" w:rsidRPr="006F697F" w:rsidRDefault="006F697F" w:rsidP="00341AF8">
      <w:pPr>
        <w:spacing w:line="360" w:lineRule="auto"/>
        <w:jc w:val="both"/>
        <w:rPr>
          <w:rFonts w:ascii="Times New Roman" w:hAnsi="Times New Roman" w:cs="Times New Roman"/>
        </w:rPr>
      </w:pPr>
      <w:r w:rsidRPr="00751526">
        <w:rPr>
          <w:rFonts w:ascii="Times New Roman" w:hAnsi="Times New Roman"/>
        </w:rPr>
        <w:t>Eni Exploration and production company operating in over 70 countries worldwide claims to have a high recognition for social and environmental sustainability. According to the compa</w:t>
      </w:r>
      <w:r>
        <w:rPr>
          <w:rFonts w:ascii="Times New Roman" w:hAnsi="Times New Roman"/>
        </w:rPr>
        <w:t xml:space="preserve">ny’s sustainability policy, its aim is </w:t>
      </w:r>
      <w:r w:rsidRPr="00751526">
        <w:rPr>
          <w:rFonts w:ascii="Times New Roman" w:hAnsi="Times New Roman"/>
        </w:rPr>
        <w:t>to</w:t>
      </w:r>
      <w:r>
        <w:rPr>
          <w:rFonts w:ascii="Times New Roman" w:hAnsi="Times New Roman"/>
        </w:rPr>
        <w:t xml:space="preserve"> create value for stakeholders and to be sustainable in their </w:t>
      </w:r>
      <w:proofErr w:type="spellStart"/>
      <w:r>
        <w:rPr>
          <w:rFonts w:ascii="Times New Roman" w:hAnsi="Times New Roman"/>
        </w:rPr>
        <w:t>endeavors</w:t>
      </w:r>
      <w:proofErr w:type="spellEnd"/>
      <w:r>
        <w:rPr>
          <w:rFonts w:ascii="Times New Roman" w:hAnsi="Times New Roman"/>
        </w:rPr>
        <w:t xml:space="preserve"> by being thought of the society, the environment and generations yet unborn.</w:t>
      </w:r>
      <w:r w:rsidR="00E3230C">
        <w:rPr>
          <w:rFonts w:ascii="Times New Roman" w:hAnsi="Times New Roman"/>
        </w:rPr>
        <w:t xml:space="preserve"> </w:t>
      </w:r>
      <w:r w:rsidR="00E3230C">
        <w:rPr>
          <w:rStyle w:val="fontstyle01"/>
          <w:color w:val="auto"/>
        </w:rPr>
        <w:t xml:space="preserve">It is also involved in innovating ways of ensuring risk prevention strategy and risk mitigation </w:t>
      </w:r>
      <w:r w:rsidR="00E3230C" w:rsidRPr="00751526">
        <w:rPr>
          <w:rStyle w:val="fontstyle01"/>
          <w:color w:val="auto"/>
        </w:rPr>
        <w:t>(Eni sustainability Policy 2011).</w:t>
      </w:r>
    </w:p>
    <w:p w14:paraId="6203636E" w14:textId="4A1A2780" w:rsidR="63A65A92" w:rsidRDefault="63A65A92" w:rsidP="00341AF8">
      <w:pPr>
        <w:spacing w:before="240" w:after="240" w:line="360" w:lineRule="auto"/>
        <w:jc w:val="both"/>
      </w:pPr>
      <w:r w:rsidRPr="44A109B2">
        <w:rPr>
          <w:rFonts w:ascii="Times New Roman" w:eastAsia="Times New Roman" w:hAnsi="Times New Roman" w:cs="Times New Roman"/>
          <w:color w:val="000000" w:themeColor="text1"/>
        </w:rPr>
        <w:t>An analysis of ENI’s CSR policy reveals a deliberate shift from traditional philanthropic activity to a transformative, impact-driven, and shared-value CSR model. Consistent with contemporary CSR thinking, ENI’s sustainability agenda is framed around inclusive development, climate-conscious operations, and value co-creation with host communities (Crane et al., 2021; Dembek et al., 2020).</w:t>
      </w:r>
    </w:p>
    <w:p w14:paraId="4C5D48D1" w14:textId="699117CD" w:rsidR="63A65A92" w:rsidRDefault="63A65A92" w:rsidP="00341AF8">
      <w:pPr>
        <w:spacing w:before="240" w:after="240" w:line="360" w:lineRule="auto"/>
        <w:jc w:val="both"/>
      </w:pPr>
      <w:r w:rsidRPr="44A109B2">
        <w:rPr>
          <w:rFonts w:ascii="Times New Roman" w:eastAsia="Times New Roman" w:hAnsi="Times New Roman" w:cs="Times New Roman"/>
          <w:color w:val="000000" w:themeColor="text1"/>
        </w:rPr>
        <w:t>ENI’s corporate strategy</w:t>
      </w:r>
      <w:r w:rsidR="6AE84761" w:rsidRPr="44A109B2">
        <w:rPr>
          <w:rFonts w:ascii="Times New Roman" w:eastAsia="Times New Roman" w:hAnsi="Times New Roman" w:cs="Times New Roman"/>
          <w:color w:val="000000" w:themeColor="text1"/>
        </w:rPr>
        <w:t xml:space="preserve"> —expressed</w:t>
      </w:r>
      <w:r w:rsidRPr="44A109B2">
        <w:rPr>
          <w:rFonts w:ascii="Times New Roman" w:eastAsia="Times New Roman" w:hAnsi="Times New Roman" w:cs="Times New Roman"/>
          <w:color w:val="000000" w:themeColor="text1"/>
        </w:rPr>
        <w:t xml:space="preserve"> through its “Eni for Human Development” framework</w:t>
      </w:r>
      <w:r w:rsidR="3A539B3C" w:rsidRPr="44A109B2">
        <w:rPr>
          <w:rFonts w:ascii="Times New Roman" w:eastAsia="Times New Roman" w:hAnsi="Times New Roman" w:cs="Times New Roman"/>
          <w:color w:val="000000" w:themeColor="text1"/>
        </w:rPr>
        <w:t xml:space="preserve"> —emphasizes</w:t>
      </w:r>
      <w:r w:rsidRPr="44A109B2">
        <w:rPr>
          <w:rFonts w:ascii="Times New Roman" w:eastAsia="Times New Roman" w:hAnsi="Times New Roman" w:cs="Times New Roman"/>
          <w:color w:val="000000" w:themeColor="text1"/>
        </w:rPr>
        <w:t xml:space="preserve"> long-term social investment, environmental stewardship, and stakeholder engagement. This aligns with shared-value theory, which asserts that firms can enhance competitiveness while addressing societal needs when local development becomes part of business strategy (Porter &amp; Kramer, 2021).</w:t>
      </w:r>
    </w:p>
    <w:p w14:paraId="13B3C035" w14:textId="36501DB8" w:rsidR="63A65A92" w:rsidRDefault="63A65A92" w:rsidP="00341AF8">
      <w:pPr>
        <w:spacing w:before="240" w:after="240" w:line="360" w:lineRule="auto"/>
        <w:jc w:val="both"/>
      </w:pPr>
      <w:r w:rsidRPr="44A109B2">
        <w:rPr>
          <w:rFonts w:ascii="Times New Roman" w:eastAsia="Times New Roman" w:hAnsi="Times New Roman" w:cs="Times New Roman"/>
          <w:color w:val="000000" w:themeColor="text1"/>
        </w:rPr>
        <w:t>From a stakeholder theory perspective, ENI recognizes community members, traditional authorities, regulators, and the natural environment as legitimate stakeholders whose expectations must shape operational choices (Freeman et al., 2022). The company’s emphasis on risk mitigation, continuous dialogue, and participatory decision-making reflects the transition toward transformative CSR, where companies internalize sustainability into governance systems (Winkler &amp; Kline, 2021).</w:t>
      </w:r>
    </w:p>
    <w:p w14:paraId="6BF38368" w14:textId="2663A242" w:rsidR="63A65A92" w:rsidRDefault="63A65A92" w:rsidP="00341AF8">
      <w:pPr>
        <w:spacing w:before="240" w:after="240" w:line="360" w:lineRule="auto"/>
        <w:jc w:val="both"/>
      </w:pPr>
      <w:r w:rsidRPr="44A109B2">
        <w:rPr>
          <w:rFonts w:ascii="Times New Roman" w:eastAsia="Times New Roman" w:hAnsi="Times New Roman" w:cs="Times New Roman"/>
          <w:color w:val="000000" w:themeColor="text1"/>
        </w:rPr>
        <w:t>Thus, ENI’s CSR policy provides a strong foundation for transformative development, aligning with the study’s objective of assessing the nature and strategic orientation of CSR initiatives in Sanzule.</w:t>
      </w:r>
    </w:p>
    <w:p w14:paraId="7C22BD12" w14:textId="77733F75" w:rsidR="63A65A92" w:rsidRPr="00E3230C" w:rsidRDefault="63A65A92" w:rsidP="00341AF8">
      <w:pPr>
        <w:pStyle w:val="Heading2"/>
        <w:spacing w:before="299" w:after="299" w:line="360" w:lineRule="auto"/>
        <w:jc w:val="both"/>
        <w:rPr>
          <w:rFonts w:ascii="Times New Roman" w:eastAsia="Times New Roman" w:hAnsi="Times New Roman" w:cs="Times New Roman"/>
          <w:b/>
          <w:bCs/>
          <w:color w:val="000000" w:themeColor="text1"/>
          <w:sz w:val="22"/>
          <w:szCs w:val="22"/>
        </w:rPr>
      </w:pPr>
      <w:r w:rsidRPr="00E3230C">
        <w:rPr>
          <w:rFonts w:ascii="Times New Roman" w:eastAsia="Times New Roman" w:hAnsi="Times New Roman" w:cs="Times New Roman"/>
          <w:b/>
          <w:bCs/>
          <w:color w:val="000000" w:themeColor="text1"/>
          <w:sz w:val="24"/>
          <w:szCs w:val="24"/>
        </w:rPr>
        <w:lastRenderedPageBreak/>
        <w:t>4.2 Scope and Focus of ENI’s CSR Initiatives: Innovations, Transformative Elements, and Quantitative Impact</w:t>
      </w:r>
    </w:p>
    <w:p w14:paraId="203DBE4C" w14:textId="6881CEBC" w:rsidR="63A65A92" w:rsidRDefault="63A65A92" w:rsidP="00341AF8">
      <w:pPr>
        <w:spacing w:before="240" w:after="240" w:line="360" w:lineRule="auto"/>
        <w:jc w:val="both"/>
      </w:pPr>
      <w:r w:rsidRPr="44A109B2">
        <w:rPr>
          <w:rFonts w:ascii="Times New Roman" w:eastAsia="Times New Roman" w:hAnsi="Times New Roman" w:cs="Times New Roman"/>
          <w:color w:val="000000" w:themeColor="text1"/>
        </w:rPr>
        <w:t>ENI’s CSR portfolio in Sanzule comprises interventions across water and sanitation, environmental management, healthcare, education, culture, and livelihood development. Analysis shows a progressive shift from ad-hoc philanthropic activities to structured programs aimed at strengthening long-term community resilience.</w:t>
      </w:r>
    </w:p>
    <w:p w14:paraId="47F6700D" w14:textId="16A64A99" w:rsidR="63A65A92" w:rsidRPr="001A1EA4" w:rsidRDefault="63A65A92" w:rsidP="00341AF8">
      <w:pPr>
        <w:pStyle w:val="Heading3"/>
        <w:spacing w:before="281" w:after="281" w:line="360" w:lineRule="auto"/>
        <w:jc w:val="both"/>
        <w:rPr>
          <w:i/>
          <w:iCs/>
          <w:sz w:val="24"/>
          <w:szCs w:val="24"/>
        </w:rPr>
      </w:pPr>
      <w:r w:rsidRPr="001A1EA4">
        <w:rPr>
          <w:rFonts w:ascii="Times New Roman" w:eastAsia="Times New Roman" w:hAnsi="Times New Roman" w:cs="Times New Roman"/>
          <w:b/>
          <w:bCs/>
          <w:i/>
          <w:iCs/>
          <w:color w:val="000000" w:themeColor="text1"/>
          <w:sz w:val="24"/>
          <w:szCs w:val="24"/>
        </w:rPr>
        <w:t>4.2.1 Solar-Powered Water System: A Transformative Innovation for Basic Services</w:t>
      </w:r>
    </w:p>
    <w:p w14:paraId="4837DCC9" w14:textId="77777777" w:rsidR="001A1EA4" w:rsidRPr="001A1EA4" w:rsidRDefault="001A1EA4" w:rsidP="00341AF8">
      <w:pPr>
        <w:spacing w:line="360" w:lineRule="auto"/>
        <w:jc w:val="both"/>
        <w:rPr>
          <w:rFonts w:ascii="Times New Roman" w:eastAsia="Times New Roman" w:hAnsi="Times New Roman" w:cs="Times New Roman"/>
          <w:color w:val="000000" w:themeColor="text1"/>
        </w:rPr>
      </w:pPr>
      <w:r w:rsidRPr="001A1EA4">
        <w:rPr>
          <w:rFonts w:ascii="Times New Roman" w:eastAsia="Times New Roman" w:hAnsi="Times New Roman" w:cs="Times New Roman"/>
          <w:color w:val="000000" w:themeColor="text1"/>
        </w:rPr>
        <w:t>ENI’s solar-powered water system in Sanzule represents one of the company’s most transformative CSR interventions, demonstrating a shift from short-term philanthropic gestures toward long-term shared-value creation. Commissioned on 2 December 2018, the water facility was constructed to address an urgent and long-standing challenge within the Sanzule, Bakanta and Krisan communities—access to clean and potable water. Prior to the project, residents relied heavily on hand-dug wells for domestic use, including cooking and drinking. These sources were often unsafe, exposing households to waterborne diseases and inconsistent supply.</w:t>
      </w:r>
    </w:p>
    <w:p w14:paraId="221DE1B7" w14:textId="77777777" w:rsidR="001A1EA4" w:rsidRPr="001A1EA4" w:rsidRDefault="001A1EA4" w:rsidP="00341AF8">
      <w:pPr>
        <w:spacing w:line="360" w:lineRule="auto"/>
        <w:jc w:val="both"/>
        <w:rPr>
          <w:rFonts w:ascii="Times New Roman" w:eastAsia="Times New Roman" w:hAnsi="Times New Roman" w:cs="Times New Roman"/>
          <w:color w:val="000000" w:themeColor="text1"/>
        </w:rPr>
      </w:pPr>
      <w:r w:rsidRPr="001A1EA4">
        <w:rPr>
          <w:rFonts w:ascii="Times New Roman" w:eastAsia="Times New Roman" w:hAnsi="Times New Roman" w:cs="Times New Roman"/>
          <w:color w:val="000000" w:themeColor="text1"/>
        </w:rPr>
        <w:t>According to ENI Ghana, the project was designed following a detailed needs assessment that identified potable water as one of the most pressing priorities for the communities. The water system consists of an advanced treatment plant equipped with reverse osmosis, chlorination, filtration and ultraviolet sterilization technologies, enabling the purification of underground water to meet World Health Organization (WHO) standards. The facility includes a central treatment plant located in Sanzule, with distribution pipelines extending 2–3 kilometres to fetching points in Bakanta and Krisan. Storage tanks and strategically placed fittings ensure a continuous supply across the three communities.</w:t>
      </w:r>
    </w:p>
    <w:p w14:paraId="6F68E306" w14:textId="77777777" w:rsidR="001A1EA4" w:rsidRPr="001A1EA4" w:rsidRDefault="001A1EA4" w:rsidP="00341AF8">
      <w:pPr>
        <w:spacing w:line="360" w:lineRule="auto"/>
        <w:jc w:val="both"/>
        <w:rPr>
          <w:rFonts w:ascii="Times New Roman" w:eastAsia="Times New Roman" w:hAnsi="Times New Roman" w:cs="Times New Roman"/>
          <w:color w:val="000000" w:themeColor="text1"/>
        </w:rPr>
      </w:pPr>
      <w:r w:rsidRPr="001A1EA4">
        <w:rPr>
          <w:rFonts w:ascii="Times New Roman" w:eastAsia="Times New Roman" w:hAnsi="Times New Roman" w:cs="Times New Roman"/>
          <w:color w:val="000000" w:themeColor="text1"/>
        </w:rPr>
        <w:t>A notable innovation within this intervention is the plant’s reliance on solar energy, supplemented by the national electricity grid as backup. This renewable-energy integration reduces carbon emissions, lowers operational costs and enhances the sustainability and reliability of the water system. The project therefore embodies an innovative blend of environmental stewardship and social investment—key attributes of transformative CSR and shared-value practice.</w:t>
      </w:r>
    </w:p>
    <w:p w14:paraId="25DA4A34" w14:textId="77777777" w:rsidR="001A1EA4" w:rsidRPr="001A1EA4" w:rsidRDefault="001A1EA4" w:rsidP="00341AF8">
      <w:pPr>
        <w:spacing w:line="360" w:lineRule="auto"/>
        <w:jc w:val="both"/>
        <w:rPr>
          <w:rFonts w:ascii="Times New Roman" w:eastAsia="Times New Roman" w:hAnsi="Times New Roman" w:cs="Times New Roman"/>
          <w:color w:val="000000" w:themeColor="text1"/>
        </w:rPr>
      </w:pPr>
      <w:r w:rsidRPr="001A1EA4">
        <w:rPr>
          <w:rFonts w:ascii="Times New Roman" w:eastAsia="Times New Roman" w:hAnsi="Times New Roman" w:cs="Times New Roman"/>
          <w:color w:val="000000" w:themeColor="text1"/>
        </w:rPr>
        <w:t xml:space="preserve">To enhance community ownership and awareness, ENI complemented the infrastructure with Water, Sanitation and Health (WASH) campaigns in schools, churches and homes. Five schools received hand-washing facilities, reinforcing hygiene and behavioural change. </w:t>
      </w:r>
      <w:r w:rsidRPr="001A1EA4">
        <w:rPr>
          <w:rFonts w:ascii="Times New Roman" w:eastAsia="Times New Roman" w:hAnsi="Times New Roman" w:cs="Times New Roman"/>
          <w:color w:val="000000" w:themeColor="text1"/>
        </w:rPr>
        <w:lastRenderedPageBreak/>
        <w:t>Community members consistently reported high satisfaction with both the quality and availability of the water. As one respondent expressed, “Eni has really brought us a great sigh of relief by providing us with this water. The water is cleaner and better than the bottled mineral water sold out there. We are actually enjoying water meant for the high class.”</w:t>
      </w:r>
    </w:p>
    <w:p w14:paraId="6DBA5793" w14:textId="263841E3" w:rsidR="44A109B2" w:rsidRPr="001A1EA4" w:rsidRDefault="001A1EA4" w:rsidP="00341AF8">
      <w:pPr>
        <w:spacing w:line="360" w:lineRule="auto"/>
        <w:jc w:val="both"/>
        <w:rPr>
          <w:rFonts w:ascii="Times New Roman" w:eastAsia="Times New Roman" w:hAnsi="Times New Roman" w:cs="Times New Roman"/>
          <w:color w:val="000000" w:themeColor="text1"/>
        </w:rPr>
      </w:pPr>
      <w:r w:rsidRPr="001A1EA4">
        <w:rPr>
          <w:rFonts w:ascii="Times New Roman" w:eastAsia="Times New Roman" w:hAnsi="Times New Roman" w:cs="Times New Roman"/>
          <w:color w:val="000000" w:themeColor="text1"/>
        </w:rPr>
        <w:t>By addressing a fundamental human need while incorporating renewable energy solutions and participatory engagement, the water system demonstrates ENI’s strategic approach to CSR—one that integrates innovation, sustainability and measurable community impact. This aligns closely with contemporary CSR scholarship emphasising technology-driven social solutions and shared-value outcomes in extractive industry contexts (Acheampong &amp; Sayer, 2022).</w:t>
      </w:r>
    </w:p>
    <w:p w14:paraId="1BBE796C" w14:textId="7D62657C" w:rsidR="63A65A92" w:rsidRPr="001A1EA4" w:rsidRDefault="63A65A92" w:rsidP="00341AF8">
      <w:pPr>
        <w:pStyle w:val="Heading3"/>
        <w:spacing w:before="281" w:after="281" w:line="360" w:lineRule="auto"/>
        <w:jc w:val="both"/>
        <w:rPr>
          <w:i/>
          <w:iCs/>
          <w:sz w:val="24"/>
          <w:szCs w:val="24"/>
        </w:rPr>
      </w:pPr>
      <w:r w:rsidRPr="001A1EA4">
        <w:rPr>
          <w:rFonts w:ascii="Times New Roman" w:eastAsia="Times New Roman" w:hAnsi="Times New Roman" w:cs="Times New Roman"/>
          <w:b/>
          <w:bCs/>
          <w:i/>
          <w:iCs/>
          <w:color w:val="000000" w:themeColor="text1"/>
          <w:sz w:val="24"/>
          <w:szCs w:val="24"/>
        </w:rPr>
        <w:t>4.2.2 Clean Beach Initiative: Participatory Environmental Stewardship</w:t>
      </w:r>
    </w:p>
    <w:p w14:paraId="7F64A51F" w14:textId="77777777" w:rsidR="001A1EA4" w:rsidRPr="001A1EA4" w:rsidRDefault="001A1EA4" w:rsidP="00341AF8">
      <w:pPr>
        <w:spacing w:line="360" w:lineRule="auto"/>
        <w:jc w:val="both"/>
        <w:rPr>
          <w:rFonts w:ascii="Times New Roman" w:eastAsia="Times New Roman" w:hAnsi="Times New Roman" w:cs="Times New Roman"/>
          <w:color w:val="000000" w:themeColor="text1"/>
        </w:rPr>
      </w:pPr>
      <w:r w:rsidRPr="001A1EA4">
        <w:rPr>
          <w:rFonts w:ascii="Times New Roman" w:eastAsia="Times New Roman" w:hAnsi="Times New Roman" w:cs="Times New Roman"/>
          <w:color w:val="000000" w:themeColor="text1"/>
        </w:rPr>
        <w:t>ENI Ghana’s “Clean Beach” initiative represents a significant example of participatory environmental stewardship designed to promote sanitation, enhance coastal cleanliness and improve waste management practices within the host communities of Sanzule, Krisan, Bakanta and Eikwe. Launched as a community-based intervention, the initiative sought to mobilise local stakeholders to collectively address the growing challenge of waste accumulation along the shoreline, while also fostering a culture of responsible environmental behaviour among residents.</w:t>
      </w:r>
    </w:p>
    <w:p w14:paraId="531F8169" w14:textId="77777777" w:rsidR="001A1EA4" w:rsidRPr="001A1EA4" w:rsidRDefault="001A1EA4" w:rsidP="00341AF8">
      <w:pPr>
        <w:spacing w:line="360" w:lineRule="auto"/>
        <w:jc w:val="both"/>
        <w:rPr>
          <w:rFonts w:ascii="Times New Roman" w:eastAsia="Times New Roman" w:hAnsi="Times New Roman" w:cs="Times New Roman"/>
          <w:color w:val="000000" w:themeColor="text1"/>
        </w:rPr>
      </w:pPr>
      <w:r w:rsidRPr="001A1EA4">
        <w:rPr>
          <w:rFonts w:ascii="Times New Roman" w:eastAsia="Times New Roman" w:hAnsi="Times New Roman" w:cs="Times New Roman"/>
          <w:color w:val="000000" w:themeColor="text1"/>
        </w:rPr>
        <w:t>According to the company’s community liaison officer, the inaugural “Clean Beach Day” took place on 31 January 2018 and recorded an impressive turnout from community members, ENI Ghana staff and the company’s major contractors. The event also drew the participation of the District Chief Executive, Mr. Kwasi Bonzoh, and officials from the District Assembly, highlighting strong local government endorsement. Representatives from the Ghana National Petroleum Corporation (GNPC), the Environmental Protection Agency (EPA) and the Petroleum Commission were also present, underscoring the initiative’s broader institutional support and its alignment with national environmental priorities.</w:t>
      </w:r>
    </w:p>
    <w:p w14:paraId="7AB46964" w14:textId="77777777" w:rsidR="001A1EA4" w:rsidRPr="001A1EA4" w:rsidRDefault="001A1EA4" w:rsidP="00341AF8">
      <w:pPr>
        <w:spacing w:line="360" w:lineRule="auto"/>
        <w:jc w:val="both"/>
        <w:rPr>
          <w:rFonts w:ascii="Times New Roman" w:eastAsia="Times New Roman" w:hAnsi="Times New Roman" w:cs="Times New Roman"/>
          <w:color w:val="000000" w:themeColor="text1"/>
        </w:rPr>
      </w:pPr>
      <w:r w:rsidRPr="001A1EA4">
        <w:rPr>
          <w:rFonts w:ascii="Times New Roman" w:eastAsia="Times New Roman" w:hAnsi="Times New Roman" w:cs="Times New Roman"/>
          <w:color w:val="000000" w:themeColor="text1"/>
        </w:rPr>
        <w:t xml:space="preserve">The cleaning exercise resulted in the collection of over 11,300 kilograms of waste, including more than 500 kilograms of plastic debris. Waste management specialists Zoomlion and Zoil subsequently transported the collected materials for proper treatment, ensuring compliance with both national environmental standards and ENI’s internal waste management requirements. The local content department manager noted that all cleaning tools and materials were freely donated to the communities. This gesture was intended to empower residents to </w:t>
      </w:r>
      <w:r w:rsidRPr="001A1EA4">
        <w:rPr>
          <w:rFonts w:ascii="Times New Roman" w:eastAsia="Times New Roman" w:hAnsi="Times New Roman" w:cs="Times New Roman"/>
          <w:color w:val="000000" w:themeColor="text1"/>
        </w:rPr>
        <w:lastRenderedPageBreak/>
        <w:t>sustain regular waste management activities—not only along the beaches but also within their settlements.</w:t>
      </w:r>
    </w:p>
    <w:p w14:paraId="763C0FC5" w14:textId="77777777" w:rsidR="001A1EA4" w:rsidRPr="001A1EA4" w:rsidRDefault="001A1EA4" w:rsidP="00341AF8">
      <w:pPr>
        <w:spacing w:line="360" w:lineRule="auto"/>
        <w:jc w:val="both"/>
        <w:rPr>
          <w:rFonts w:ascii="Times New Roman" w:eastAsia="Times New Roman" w:hAnsi="Times New Roman" w:cs="Times New Roman"/>
          <w:color w:val="000000" w:themeColor="text1"/>
        </w:rPr>
      </w:pPr>
      <w:r w:rsidRPr="001A1EA4">
        <w:rPr>
          <w:rFonts w:ascii="Times New Roman" w:eastAsia="Times New Roman" w:hAnsi="Times New Roman" w:cs="Times New Roman"/>
          <w:color w:val="000000" w:themeColor="text1"/>
        </w:rPr>
        <w:t>In addition to the physical cleanup exercise, the initiative incorporated educational activities aimed at strengthening community awareness of proper waste segregation, particularly the distinction between plastic and organic waste. The District Development and Planning Officer emphasized that this component was central to the programme’s long-term impact, as it encouraged behavioural change and enhanced the capacity of communities to maintain cleaner environments.</w:t>
      </w:r>
    </w:p>
    <w:p w14:paraId="2F84A6DB" w14:textId="688B6C2E" w:rsidR="44A109B2" w:rsidRPr="001A1EA4" w:rsidRDefault="001A1EA4" w:rsidP="00341AF8">
      <w:pPr>
        <w:spacing w:line="360" w:lineRule="auto"/>
        <w:jc w:val="both"/>
        <w:rPr>
          <w:rFonts w:ascii="Times New Roman" w:eastAsia="Times New Roman" w:hAnsi="Times New Roman" w:cs="Times New Roman"/>
          <w:color w:val="000000" w:themeColor="text1"/>
        </w:rPr>
      </w:pPr>
      <w:r w:rsidRPr="001A1EA4">
        <w:rPr>
          <w:rFonts w:ascii="Times New Roman" w:eastAsia="Times New Roman" w:hAnsi="Times New Roman" w:cs="Times New Roman"/>
          <w:color w:val="000000" w:themeColor="text1"/>
        </w:rPr>
        <w:t>Community interviews conducted as part of this study revealed overwhelmingly positive perceptions of ENI’s commitment to environmental responsibility. Respondents highlighted increased awareness of sanitation issues and expressed appreciation for the company’s collaborative approach. The Clean Beach initiative thus contributes meaningfully to the study’s broader objective of assessing community views on the relevance and effectiveness of ENI’s CSR interventions. It also demonstrates how participatory environmental programmes can enhance inclusiveness and build stronger relationships between extractive companies and their host communities.</w:t>
      </w:r>
    </w:p>
    <w:p w14:paraId="3F08635E" w14:textId="495A062A" w:rsidR="63A65A92" w:rsidRPr="001A1EA4" w:rsidRDefault="63A65A92" w:rsidP="00341AF8">
      <w:pPr>
        <w:pStyle w:val="Heading3"/>
        <w:spacing w:before="281" w:after="281" w:line="360" w:lineRule="auto"/>
        <w:jc w:val="both"/>
        <w:rPr>
          <w:i/>
          <w:iCs/>
          <w:sz w:val="24"/>
          <w:szCs w:val="24"/>
        </w:rPr>
      </w:pPr>
      <w:r w:rsidRPr="001A1EA4">
        <w:rPr>
          <w:rFonts w:ascii="Times New Roman" w:eastAsia="Times New Roman" w:hAnsi="Times New Roman" w:cs="Times New Roman"/>
          <w:b/>
          <w:bCs/>
          <w:i/>
          <w:iCs/>
          <w:color w:val="000000" w:themeColor="text1"/>
          <w:sz w:val="24"/>
          <w:szCs w:val="24"/>
        </w:rPr>
        <w:t>4.2.3 Health System Strengthening: Transformative CSR for Social Resilience</w:t>
      </w:r>
    </w:p>
    <w:p w14:paraId="6916839C" w14:textId="77777777" w:rsidR="00B66CF4" w:rsidRPr="00B66CF4" w:rsidRDefault="00B66CF4" w:rsidP="00341AF8">
      <w:pPr>
        <w:spacing w:line="360" w:lineRule="auto"/>
        <w:jc w:val="both"/>
        <w:rPr>
          <w:rFonts w:ascii="Times New Roman" w:eastAsia="Times New Roman" w:hAnsi="Times New Roman" w:cs="Times New Roman"/>
          <w:color w:val="000000" w:themeColor="text1"/>
        </w:rPr>
      </w:pPr>
      <w:r w:rsidRPr="00B66CF4">
        <w:rPr>
          <w:rFonts w:ascii="Times New Roman" w:eastAsia="Times New Roman" w:hAnsi="Times New Roman" w:cs="Times New Roman"/>
          <w:color w:val="000000" w:themeColor="text1"/>
        </w:rPr>
        <w:t>Health interventions constitute one of ENI Ghana’s most transformative and far-reaching CSR pillars, reflecting a deliberate strategy to improve maternal and child health outcomes, expand healthcare access, and strengthen the overall functioning of health systems within the Nzema area. Through the ENI Foundation, the company implemented a comprehensive five-year health programme across the Ellembele, Jomoro and Ahanta West districts—home to approximately 300,000 people, including an estimated 70,000 women of reproductive age and 80,000 children. The initiative, valued at €8 million, was specifically designed to address critical health needs in underserved and geographically remote communities.</w:t>
      </w:r>
    </w:p>
    <w:p w14:paraId="1FC3F421" w14:textId="77777777" w:rsidR="00B66CF4" w:rsidRPr="00B66CF4" w:rsidRDefault="00B66CF4" w:rsidP="00341AF8">
      <w:pPr>
        <w:spacing w:line="360" w:lineRule="auto"/>
        <w:jc w:val="both"/>
        <w:rPr>
          <w:rFonts w:ascii="Times New Roman" w:eastAsia="Times New Roman" w:hAnsi="Times New Roman" w:cs="Times New Roman"/>
          <w:color w:val="000000" w:themeColor="text1"/>
        </w:rPr>
      </w:pPr>
      <w:r w:rsidRPr="00B66CF4">
        <w:rPr>
          <w:rFonts w:ascii="Times New Roman" w:eastAsia="Times New Roman" w:hAnsi="Times New Roman" w:cs="Times New Roman"/>
          <w:color w:val="000000" w:themeColor="text1"/>
        </w:rPr>
        <w:t xml:space="preserve">Information from the Ellembele District Health Directorate indicates that one of the major contributions of the ENI Foundation was the construction of eight Community-Based Health Planning and Services (CHPS) compounds in Jaway Wharf, Sanzule, Nyamebekyere, Fawoman, Asomase, New Tewakor II and Abudrim. In addition, ten existing health centres—including Aido Suazo, Nkroful, Essiama, Aiyinasi, Agona Nkwanta, Samaye, Tikobo No. 1, New Town, Ekabeku and Asasetre—were renovated and equipped with modern medical devices. To ensure continuous service delivery, potable water systems and electricity </w:t>
      </w:r>
      <w:r w:rsidRPr="00B66CF4">
        <w:rPr>
          <w:rFonts w:ascii="Times New Roman" w:eastAsia="Times New Roman" w:hAnsi="Times New Roman" w:cs="Times New Roman"/>
          <w:color w:val="000000" w:themeColor="text1"/>
        </w:rPr>
        <w:lastRenderedPageBreak/>
        <w:t>connections were installed in these facilities, significantly improving their operational efficiency. The Jomoro District further benefitted from four new ambulances and an ambulance boat to support emergency transportation across lagoon-bordered communities. Motorcycles were also provided to frontline health workers to facilitate outreach activities in hard-to-reach areas.</w:t>
      </w:r>
    </w:p>
    <w:p w14:paraId="3B796484" w14:textId="77777777" w:rsidR="00B66CF4" w:rsidRPr="00B66CF4" w:rsidRDefault="00B66CF4" w:rsidP="00341AF8">
      <w:pPr>
        <w:spacing w:line="360" w:lineRule="auto"/>
        <w:jc w:val="both"/>
        <w:rPr>
          <w:rFonts w:ascii="Times New Roman" w:eastAsia="Times New Roman" w:hAnsi="Times New Roman" w:cs="Times New Roman"/>
          <w:color w:val="000000" w:themeColor="text1"/>
        </w:rPr>
      </w:pPr>
      <w:r w:rsidRPr="00B66CF4">
        <w:rPr>
          <w:rFonts w:ascii="Times New Roman" w:eastAsia="Times New Roman" w:hAnsi="Times New Roman" w:cs="Times New Roman"/>
          <w:color w:val="000000" w:themeColor="text1"/>
        </w:rPr>
        <w:t>At the district level, ENI supported major infrastructural upgrades, including the construction of a prenatal ward at the St. Martin de Porres Hospital in Eikwe and the expansion of maternity and patient wards at the Half Assini Hospital. A new fully equipped operating theatre was also established to enhance surgical capacity. To complement the infrastructural investments, ENI provided a 4x4 vehicle to the district health team to strengthen emergency response and mobile health services. A comprehensive training programme was rolled out to improve the competencies of healthcare staff across the district and regional levels, with a focus on maternal and child health, emergency care, and general service delivery.</w:t>
      </w:r>
    </w:p>
    <w:p w14:paraId="3B11DD37" w14:textId="77777777" w:rsidR="00B66CF4" w:rsidRPr="00B66CF4" w:rsidRDefault="00B66CF4" w:rsidP="00341AF8">
      <w:pPr>
        <w:spacing w:line="360" w:lineRule="auto"/>
        <w:jc w:val="both"/>
        <w:rPr>
          <w:rFonts w:ascii="Times New Roman" w:eastAsia="Times New Roman" w:hAnsi="Times New Roman" w:cs="Times New Roman"/>
          <w:color w:val="000000" w:themeColor="text1"/>
        </w:rPr>
      </w:pPr>
      <w:r w:rsidRPr="00B66CF4">
        <w:rPr>
          <w:rFonts w:ascii="Times New Roman" w:eastAsia="Times New Roman" w:hAnsi="Times New Roman" w:cs="Times New Roman"/>
          <w:color w:val="000000" w:themeColor="text1"/>
        </w:rPr>
        <w:t>In 2018, the ENI Foundation installed water purification systems in fifteen health facilities within the beneficiary districts. According to health staff at the Sanzule CHPS compound, the intervention addressed longstanding concerns over poor water quality in local health centres. The installation of purification machines, together with the provision of water storage tanks, significantly enhanced sanitation conditions and improved the delivery of clinical services.</w:t>
      </w:r>
    </w:p>
    <w:p w14:paraId="376068D6" w14:textId="77777777" w:rsidR="00B66CF4" w:rsidRPr="00B66CF4" w:rsidRDefault="00B66CF4" w:rsidP="00341AF8">
      <w:pPr>
        <w:spacing w:line="360" w:lineRule="auto"/>
        <w:jc w:val="both"/>
        <w:rPr>
          <w:rFonts w:ascii="Times New Roman" w:eastAsia="Times New Roman" w:hAnsi="Times New Roman" w:cs="Times New Roman"/>
          <w:color w:val="000000" w:themeColor="text1"/>
        </w:rPr>
      </w:pPr>
      <w:r w:rsidRPr="00B66CF4">
        <w:rPr>
          <w:rFonts w:ascii="Times New Roman" w:eastAsia="Times New Roman" w:hAnsi="Times New Roman" w:cs="Times New Roman"/>
          <w:color w:val="000000" w:themeColor="text1"/>
        </w:rPr>
        <w:t>As part of its community-centred health promotion strategy, ENI partnered with Prolink, a development organisation, to train health workers on non-communicable diseases, hygiene, nutrition, and reproductive health. These trained officers routinely delivered health education at community durbars, funerals, church gatherings, and other social events. To reduce the prevalence of malaria—a major health burden in the area—ENI also distributed mosquito nets, targeting pregnant women and children in particular. Interviews conducted with health personnel revealed that these combined efforts contributed to a noticeable decline in malaria and cholera incidence, and significantly reduced the frequency of illness-related visits to health facilities.</w:t>
      </w:r>
    </w:p>
    <w:p w14:paraId="08A2BC20" w14:textId="77777777" w:rsidR="00B66CF4" w:rsidRPr="00B66CF4" w:rsidRDefault="00B66CF4" w:rsidP="00341AF8">
      <w:pPr>
        <w:spacing w:line="360" w:lineRule="auto"/>
        <w:jc w:val="both"/>
        <w:rPr>
          <w:rFonts w:ascii="Times New Roman" w:eastAsia="Times New Roman" w:hAnsi="Times New Roman" w:cs="Times New Roman"/>
          <w:color w:val="000000" w:themeColor="text1"/>
        </w:rPr>
      </w:pPr>
      <w:r w:rsidRPr="00B66CF4">
        <w:rPr>
          <w:rFonts w:ascii="Times New Roman" w:eastAsia="Times New Roman" w:hAnsi="Times New Roman" w:cs="Times New Roman"/>
          <w:color w:val="000000" w:themeColor="text1"/>
        </w:rPr>
        <w:t>Overall, ENI’s health interventions demonstrate a transformative, shared-value CSR model that strengthens long-term human development while reducing health-related vulnerabilities that could otherwise heighten social tensions or disrupt company operations. The multi-level investments—in infrastructure, equipment, water systems, mobility, capacity-building, and preventive health—reflect a holistic approach that aligns corporate goals with community well-being.</w:t>
      </w:r>
    </w:p>
    <w:p w14:paraId="1EF43F19" w14:textId="5E824C85" w:rsidR="63A65A92" w:rsidRPr="008776D4" w:rsidRDefault="63A65A92" w:rsidP="00341AF8">
      <w:pPr>
        <w:pStyle w:val="Heading3"/>
        <w:spacing w:before="281" w:after="281" w:line="360" w:lineRule="auto"/>
        <w:jc w:val="both"/>
        <w:rPr>
          <w:i/>
          <w:iCs/>
          <w:sz w:val="24"/>
          <w:szCs w:val="24"/>
        </w:rPr>
      </w:pPr>
      <w:r w:rsidRPr="008776D4">
        <w:rPr>
          <w:rFonts w:ascii="Times New Roman" w:eastAsia="Times New Roman" w:hAnsi="Times New Roman" w:cs="Times New Roman"/>
          <w:b/>
          <w:bCs/>
          <w:i/>
          <w:iCs/>
          <w:color w:val="000000" w:themeColor="text1"/>
          <w:sz w:val="24"/>
          <w:szCs w:val="24"/>
        </w:rPr>
        <w:lastRenderedPageBreak/>
        <w:t>4.2.4 Education Enhancement Through Teach for Ghana: Investing in Long-Term Capacity</w:t>
      </w:r>
    </w:p>
    <w:p w14:paraId="2EE2C48B" w14:textId="77777777" w:rsidR="00236505" w:rsidRPr="00236505" w:rsidRDefault="00236505" w:rsidP="00341AF8">
      <w:pPr>
        <w:spacing w:line="360" w:lineRule="auto"/>
        <w:jc w:val="both"/>
        <w:rPr>
          <w:rFonts w:ascii="Times New Roman" w:eastAsia="Times New Roman" w:hAnsi="Times New Roman" w:cs="Times New Roman"/>
          <w:color w:val="000000" w:themeColor="text1"/>
        </w:rPr>
      </w:pPr>
      <w:r w:rsidRPr="00236505">
        <w:rPr>
          <w:rFonts w:ascii="Times New Roman" w:eastAsia="Times New Roman" w:hAnsi="Times New Roman" w:cs="Times New Roman"/>
          <w:color w:val="000000" w:themeColor="text1"/>
        </w:rPr>
        <w:t>ENI Ghana’s investment in education represents another significant dimension of its sustainability portfolio, aimed at strengthening long-term human capital development within Sanzule and surrounding communities. At the time of this research, the initiative—implemented in partnership with Teach For Ghana—was still in progress, yet already demonstrated strong potential for transformative impact. Teach For Ghana, an NGO committed to expanding educational opportunities across underserved communities, was engaged by ENI to deliver a structured programme designed to improve teaching quality, enhance learning outcomes, and build capacity within local schools.</w:t>
      </w:r>
    </w:p>
    <w:p w14:paraId="4C9AD24D" w14:textId="77777777" w:rsidR="00236505" w:rsidRPr="00236505" w:rsidRDefault="00236505" w:rsidP="00341AF8">
      <w:pPr>
        <w:spacing w:line="360" w:lineRule="auto"/>
        <w:jc w:val="both"/>
        <w:rPr>
          <w:rFonts w:ascii="Times New Roman" w:eastAsia="Times New Roman" w:hAnsi="Times New Roman" w:cs="Times New Roman"/>
          <w:color w:val="000000" w:themeColor="text1"/>
        </w:rPr>
      </w:pPr>
      <w:r w:rsidRPr="00236505">
        <w:rPr>
          <w:rFonts w:ascii="Times New Roman" w:eastAsia="Times New Roman" w:hAnsi="Times New Roman" w:cs="Times New Roman"/>
          <w:color w:val="000000" w:themeColor="text1"/>
        </w:rPr>
        <w:t>During interviews with the Local Content Department Manager, it was revealed that the programme was developed to support four public schools located in Sanzule, Krisan, Eikwe and Old Bakanta, reaching a total of 1,366 pupils and 24 teachers. As part of the initiative, Teach For Ghana recruited eight exceptional recent university graduates and young professionals with backgrounds in science, engineering, the arts, literacy and numeracy. These fellows underwent an intensive six-week pre-service training that equipped them with instructional skills, classroom leadership strategies, and professional ethics prior to placement.</w:t>
      </w:r>
    </w:p>
    <w:p w14:paraId="6A82AA96" w14:textId="77777777" w:rsidR="00236505" w:rsidRPr="00236505" w:rsidRDefault="00236505" w:rsidP="00341AF8">
      <w:pPr>
        <w:spacing w:line="360" w:lineRule="auto"/>
        <w:jc w:val="both"/>
        <w:rPr>
          <w:rFonts w:ascii="Times New Roman" w:eastAsia="Times New Roman" w:hAnsi="Times New Roman" w:cs="Times New Roman"/>
          <w:color w:val="000000" w:themeColor="text1"/>
        </w:rPr>
      </w:pPr>
      <w:r w:rsidRPr="00236505">
        <w:rPr>
          <w:rFonts w:ascii="Times New Roman" w:eastAsia="Times New Roman" w:hAnsi="Times New Roman" w:cs="Times New Roman"/>
          <w:color w:val="000000" w:themeColor="text1"/>
        </w:rPr>
        <w:t>The fellows were subsequently deployed to the four beneficiary schools for a two-year service period, where they worked alongside existing teachers to implement engaging, learner-centred teaching approaches. Their role extended beyond classroom delivery: they were expected to share specialized content knowledge, introduce innovative pedagogical techniques, and serve as role models capable of inspiring heightened motivation and academic ambition among pupils. Furthermore, the programme incorporated capacity-building for existing teachers and headteachers. Teach For Ghana facilitated training in pedagogy, classroom management and leadership, complemented by termly professional development sessions to reinforce teacher growth and sustain improvements in instructional quality.</w:t>
      </w:r>
    </w:p>
    <w:p w14:paraId="5B425057" w14:textId="55F5C8D1" w:rsidR="44A109B2" w:rsidRPr="00236505" w:rsidRDefault="00236505" w:rsidP="00341AF8">
      <w:pPr>
        <w:spacing w:line="360" w:lineRule="auto"/>
        <w:jc w:val="both"/>
        <w:rPr>
          <w:rFonts w:ascii="Times New Roman" w:eastAsia="Times New Roman" w:hAnsi="Times New Roman" w:cs="Times New Roman"/>
          <w:color w:val="000000" w:themeColor="text1"/>
        </w:rPr>
      </w:pPr>
      <w:r w:rsidRPr="00236505">
        <w:rPr>
          <w:rFonts w:ascii="Times New Roman" w:eastAsia="Times New Roman" w:hAnsi="Times New Roman" w:cs="Times New Roman"/>
          <w:color w:val="000000" w:themeColor="text1"/>
        </w:rPr>
        <w:t>Preliminary community feedback suggests that the initiative is already contributing to visible improvements in teaching effectiveness, student engagement and overall school performance. This aligns with the study’s objective of assessing community perceptions of CSR impact, and illustrates how corporate–civil society partnerships can generate lasting developmental benefits. ENI’s education initiative thus exemplifies a shift from short-term philanthropic support to a shared-value approach that builds durable educational capacity and strengthens community resilience.</w:t>
      </w:r>
    </w:p>
    <w:p w14:paraId="058285DA" w14:textId="3C476395" w:rsidR="63A65A92" w:rsidRPr="008776D4" w:rsidRDefault="63A65A92" w:rsidP="00341AF8">
      <w:pPr>
        <w:pStyle w:val="Heading3"/>
        <w:spacing w:before="281" w:after="281" w:line="360" w:lineRule="auto"/>
        <w:jc w:val="both"/>
        <w:rPr>
          <w:i/>
          <w:iCs/>
          <w:sz w:val="24"/>
          <w:szCs w:val="24"/>
        </w:rPr>
      </w:pPr>
      <w:r w:rsidRPr="008776D4">
        <w:rPr>
          <w:rFonts w:ascii="Times New Roman" w:eastAsia="Times New Roman" w:hAnsi="Times New Roman" w:cs="Times New Roman"/>
          <w:b/>
          <w:bCs/>
          <w:i/>
          <w:iCs/>
          <w:color w:val="000000" w:themeColor="text1"/>
          <w:sz w:val="24"/>
          <w:szCs w:val="24"/>
        </w:rPr>
        <w:lastRenderedPageBreak/>
        <w:t>4.2.5 Culture and Heritage Support: Strengthening Social Cohesion</w:t>
      </w:r>
    </w:p>
    <w:p w14:paraId="4735296B" w14:textId="77777777" w:rsidR="0083584A" w:rsidRPr="0083584A" w:rsidRDefault="0083584A" w:rsidP="00341AF8">
      <w:pPr>
        <w:spacing w:line="360" w:lineRule="auto"/>
        <w:jc w:val="both"/>
        <w:rPr>
          <w:rFonts w:ascii="Times New Roman" w:eastAsia="Times New Roman" w:hAnsi="Times New Roman" w:cs="Times New Roman"/>
          <w:color w:val="000000" w:themeColor="text1"/>
        </w:rPr>
      </w:pPr>
      <w:r w:rsidRPr="0083584A">
        <w:rPr>
          <w:rFonts w:ascii="Times New Roman" w:eastAsia="Times New Roman" w:hAnsi="Times New Roman" w:cs="Times New Roman"/>
          <w:color w:val="000000" w:themeColor="text1"/>
        </w:rPr>
        <w:t>ENI Ghana’s commitment to cultural preservation forms an important dimension of its broader CSR strategy in Sanzule, reflecting an understanding that sustainable development extends beyond physical infrastructure to include the protection and promotion of intangible cultural heritage. During interviews with the Local Content Department Manager, it became evident that ENI consistently provides material and financial support to the community during traditional festivals and cultural ceremonies. These contributions—often including livestock, beverages, and direct monetary donations—aim to sustain annual celebrations and strengthen the social fabric of the community. According to the manager, advancing the cultural heritage of the communities within the company’s operational area not only enhances local identity and pride but also promotes the tourism potential of the region while reinforcing the perception that the company values and respects its host communities.</w:t>
      </w:r>
    </w:p>
    <w:p w14:paraId="5D82DA5E" w14:textId="77777777" w:rsidR="0083584A" w:rsidRPr="0083584A" w:rsidRDefault="0083584A" w:rsidP="00341AF8">
      <w:pPr>
        <w:spacing w:line="360" w:lineRule="auto"/>
        <w:jc w:val="both"/>
        <w:rPr>
          <w:rFonts w:ascii="Times New Roman" w:eastAsia="Times New Roman" w:hAnsi="Times New Roman" w:cs="Times New Roman"/>
          <w:color w:val="000000" w:themeColor="text1"/>
        </w:rPr>
      </w:pPr>
      <w:r w:rsidRPr="0083584A">
        <w:rPr>
          <w:rFonts w:ascii="Times New Roman" w:eastAsia="Times New Roman" w:hAnsi="Times New Roman" w:cs="Times New Roman"/>
          <w:color w:val="000000" w:themeColor="text1"/>
        </w:rPr>
        <w:t>In addition to supporting cultural events, ENI made a significant contribution toward the construction of the Sanzule Chief’s Palace, a project that had long been beyond the financial reach of the community. Interviews with the secretary to the Sanzule Chief revealed that the community urgently needed a palace and durbar ground to host meetings, traditional gatherings, and engagements with external stakeholders. ENI responded to this request by providing financial resources that enabled the construction of what community leaders now describe as one of the most impressive palaces in the area. The palace has since become an important venue for communal decision-making, cultural expression, and official interactions between the community and various institutions.</w:t>
      </w:r>
    </w:p>
    <w:p w14:paraId="00002297" w14:textId="77777777" w:rsidR="0083584A" w:rsidRPr="0083584A" w:rsidRDefault="0083584A" w:rsidP="00341AF8">
      <w:pPr>
        <w:spacing w:line="360" w:lineRule="auto"/>
        <w:jc w:val="both"/>
        <w:rPr>
          <w:rFonts w:ascii="Times New Roman" w:eastAsia="Times New Roman" w:hAnsi="Times New Roman" w:cs="Times New Roman"/>
          <w:color w:val="000000" w:themeColor="text1"/>
        </w:rPr>
      </w:pPr>
      <w:r w:rsidRPr="0083584A">
        <w:rPr>
          <w:rFonts w:ascii="Times New Roman" w:eastAsia="Times New Roman" w:hAnsi="Times New Roman" w:cs="Times New Roman"/>
          <w:color w:val="000000" w:themeColor="text1"/>
        </w:rPr>
        <w:t>Through these interventions, ENI demonstrates recognition of the crucial role traditional authority structures play in local governance, conflict resolution, and community mobilization. By supporting cultural practices and strengthening communal infrastructure, the company contributes to social cohesion, reinforces local legitimacy, and promotes a stable and collaborative operating environment.</w:t>
      </w:r>
    </w:p>
    <w:p w14:paraId="14ABB62F" w14:textId="2D5C709F" w:rsidR="44A109B2" w:rsidRDefault="44A109B2" w:rsidP="00341AF8">
      <w:pPr>
        <w:spacing w:line="360" w:lineRule="auto"/>
        <w:jc w:val="both"/>
      </w:pPr>
    </w:p>
    <w:p w14:paraId="55AACD1F" w14:textId="64ED4405" w:rsidR="63A65A92" w:rsidRPr="0083584A" w:rsidRDefault="63A65A92" w:rsidP="00341AF8">
      <w:pPr>
        <w:pStyle w:val="Heading3"/>
        <w:spacing w:before="281" w:after="281" w:line="360" w:lineRule="auto"/>
        <w:jc w:val="both"/>
        <w:rPr>
          <w:i/>
          <w:iCs/>
          <w:sz w:val="24"/>
          <w:szCs w:val="24"/>
        </w:rPr>
      </w:pPr>
      <w:r w:rsidRPr="0083584A">
        <w:rPr>
          <w:rFonts w:ascii="Times New Roman" w:eastAsia="Times New Roman" w:hAnsi="Times New Roman" w:cs="Times New Roman"/>
          <w:b/>
          <w:bCs/>
          <w:i/>
          <w:iCs/>
          <w:color w:val="000000" w:themeColor="text1"/>
          <w:sz w:val="24"/>
          <w:szCs w:val="24"/>
        </w:rPr>
        <w:t>4.2.6 Livelihood Restoration Plan (LRP): A Flagship Shared-Value Intervention</w:t>
      </w:r>
    </w:p>
    <w:p w14:paraId="11358FBB" w14:textId="77777777" w:rsidR="0083584A" w:rsidRPr="0083584A" w:rsidRDefault="0083584A" w:rsidP="00341AF8">
      <w:pPr>
        <w:spacing w:line="360" w:lineRule="auto"/>
        <w:jc w:val="both"/>
        <w:rPr>
          <w:rFonts w:ascii="Times New Roman" w:eastAsia="Times New Roman" w:hAnsi="Times New Roman" w:cs="Times New Roman"/>
          <w:color w:val="000000" w:themeColor="text1"/>
        </w:rPr>
      </w:pPr>
      <w:r w:rsidRPr="0083584A">
        <w:rPr>
          <w:rFonts w:ascii="Times New Roman" w:eastAsia="Times New Roman" w:hAnsi="Times New Roman" w:cs="Times New Roman"/>
          <w:color w:val="000000" w:themeColor="text1"/>
        </w:rPr>
        <w:t xml:space="preserve">The Livelihood Restoration Plan (LRP) represents one of ENI Ghana’s most ambitious and comprehensive sustainability interventions in the Sanzule operational enclave. Developed as a joint initiative with Vitol Ghana and the Ghana National Petroleum Corporation (GNPC), the </w:t>
      </w:r>
      <w:r w:rsidRPr="0083584A">
        <w:rPr>
          <w:rFonts w:ascii="Times New Roman" w:eastAsia="Times New Roman" w:hAnsi="Times New Roman" w:cs="Times New Roman"/>
          <w:color w:val="000000" w:themeColor="text1"/>
        </w:rPr>
        <w:lastRenderedPageBreak/>
        <w:t>programme was designed to restore and enhance the livelihoods of households affected by the OCTP integrated deep-water project. The LRP covered 205 households—comprising approximately 1,412 individuals—across ten communities including Sanzule, Bakanta, Krisan, Eikwe, Anyinasi, Esiama, Azuleloanu, Azuleti, Baku, and Ampainu, with an overall investment of US$4.2 million. Implementation was managed by TechnoServe, an international development organisation known for working with rural and peri-urban populations to build sustainable agricultural and business systems.</w:t>
      </w:r>
    </w:p>
    <w:p w14:paraId="4ED7B52D" w14:textId="77777777" w:rsidR="0083584A" w:rsidRPr="0083584A" w:rsidRDefault="0083584A" w:rsidP="00341AF8">
      <w:pPr>
        <w:spacing w:line="360" w:lineRule="auto"/>
        <w:jc w:val="both"/>
        <w:rPr>
          <w:rFonts w:ascii="Times New Roman" w:eastAsia="Times New Roman" w:hAnsi="Times New Roman" w:cs="Times New Roman"/>
          <w:color w:val="000000" w:themeColor="text1"/>
        </w:rPr>
      </w:pPr>
      <w:r w:rsidRPr="0083584A">
        <w:rPr>
          <w:rFonts w:ascii="Times New Roman" w:eastAsia="Times New Roman" w:hAnsi="Times New Roman" w:cs="Times New Roman"/>
          <w:color w:val="000000" w:themeColor="text1"/>
        </w:rPr>
        <w:t>The primary objective of the LRP was to support affected households in restoring their livelihoods to at least pre-project levels while enabling them to pursue enhanced or alternative economic options. The plan was designed collaboratively with beneficiary households and complemented the compensation payments already made for loss of assets. Households were allowed to select one or two economic pathways aligned with their interests and skills, and the programme subsequently offered tailored capacity building, direct investments, and three years of technical support to strengthen these income-generating activities.</w:t>
      </w:r>
    </w:p>
    <w:p w14:paraId="444E5AAF" w14:textId="77777777" w:rsidR="0083584A" w:rsidRPr="0083584A" w:rsidRDefault="0083584A" w:rsidP="00341AF8">
      <w:pPr>
        <w:spacing w:line="360" w:lineRule="auto"/>
        <w:jc w:val="both"/>
        <w:rPr>
          <w:rFonts w:ascii="Times New Roman" w:eastAsia="Times New Roman" w:hAnsi="Times New Roman" w:cs="Times New Roman"/>
          <w:color w:val="000000" w:themeColor="text1"/>
        </w:rPr>
      </w:pPr>
      <w:r w:rsidRPr="0083584A">
        <w:rPr>
          <w:rFonts w:ascii="Times New Roman" w:eastAsia="Times New Roman" w:hAnsi="Times New Roman" w:cs="Times New Roman"/>
          <w:color w:val="000000" w:themeColor="text1"/>
        </w:rPr>
        <w:t>Livestock production emerged as the most preferred livelihood option, with 122 households selecting piggery, poultry, or sheep rearing. Beneficiaries received infrastructure such as pigsties, sheep pens, or poultry coops, alongside breeders, feed, veterinary drugs, and continuous technical monitoring. Aquaculture was also a major component, with 62 households opting for catfish farming. These households benefited from the construction of concrete fish ponds, supply of fingerlings and feed for an initial production cycle, and ongoing technical coaching to ensure successful harvests.</w:t>
      </w:r>
    </w:p>
    <w:p w14:paraId="0CF9D587" w14:textId="77777777" w:rsidR="0083584A" w:rsidRPr="0083584A" w:rsidRDefault="0083584A" w:rsidP="00341AF8">
      <w:pPr>
        <w:spacing w:line="360" w:lineRule="auto"/>
        <w:jc w:val="both"/>
        <w:rPr>
          <w:rFonts w:ascii="Times New Roman" w:eastAsia="Times New Roman" w:hAnsi="Times New Roman" w:cs="Times New Roman"/>
          <w:color w:val="000000" w:themeColor="text1"/>
        </w:rPr>
      </w:pPr>
      <w:r w:rsidRPr="0083584A">
        <w:rPr>
          <w:rFonts w:ascii="Times New Roman" w:eastAsia="Times New Roman" w:hAnsi="Times New Roman" w:cs="Times New Roman"/>
          <w:color w:val="000000" w:themeColor="text1"/>
        </w:rPr>
        <w:t>Continuous cropping was selected by 18 households, who were supported with land preparation services, seeds, fertilizers, agrochemicals, and equipment such as maize threshers. Demonstration farms were also established to train farmers in improved agricultural techniques. Additionally, 66 households chose value addition activities, including fish processing, cassava processing, bakery, cold storage, soap production, maize processing, and feed mill operations. To support these enterprises, the project constructed processing facilities such as feed mills and maize processing units.</w:t>
      </w:r>
    </w:p>
    <w:p w14:paraId="6781495F" w14:textId="77777777" w:rsidR="0083584A" w:rsidRPr="0083584A" w:rsidRDefault="0083584A" w:rsidP="00341AF8">
      <w:pPr>
        <w:spacing w:line="360" w:lineRule="auto"/>
        <w:jc w:val="both"/>
        <w:rPr>
          <w:rFonts w:ascii="Times New Roman" w:eastAsia="Times New Roman" w:hAnsi="Times New Roman" w:cs="Times New Roman"/>
          <w:color w:val="000000" w:themeColor="text1"/>
        </w:rPr>
      </w:pPr>
      <w:r w:rsidRPr="0083584A">
        <w:rPr>
          <w:rFonts w:ascii="Times New Roman" w:eastAsia="Times New Roman" w:hAnsi="Times New Roman" w:cs="Times New Roman"/>
          <w:color w:val="000000" w:themeColor="text1"/>
        </w:rPr>
        <w:t>A further 60 households opted for vocational and technical trades, such as auto mechanics, welding, masonry, carpentry, tailoring, vulcanizing, shoe making, and trading. To strengthen technical training, the LRP equipped the local professional school with the necessary tools and machinery to train these beneficiaries. The project intended to formally hand over the equipment to the school after training cycles were completed.</w:t>
      </w:r>
    </w:p>
    <w:p w14:paraId="65E8BD97" w14:textId="77777777" w:rsidR="0083584A" w:rsidRPr="0083584A" w:rsidRDefault="0083584A" w:rsidP="00341AF8">
      <w:pPr>
        <w:spacing w:line="360" w:lineRule="auto"/>
        <w:jc w:val="both"/>
        <w:rPr>
          <w:rFonts w:ascii="Times New Roman" w:eastAsia="Times New Roman" w:hAnsi="Times New Roman" w:cs="Times New Roman"/>
          <w:color w:val="000000" w:themeColor="text1"/>
        </w:rPr>
      </w:pPr>
      <w:r w:rsidRPr="0083584A">
        <w:rPr>
          <w:rFonts w:ascii="Times New Roman" w:eastAsia="Times New Roman" w:hAnsi="Times New Roman" w:cs="Times New Roman"/>
          <w:color w:val="000000" w:themeColor="text1"/>
        </w:rPr>
        <w:lastRenderedPageBreak/>
        <w:t>In addition to the sector-specific support, the LRP provided starter packs for households engaged in trades requiring initial capital inputs, such as carpentry, masonry, and cold storage operations. Beneficiaries also received comprehensive training in entrepreneurship, financial management, recordkeeping, business planning, marketing, contract management, and regulatory compliance. The programme further incorporated training on child labour prevention, welfare, and community-level business ethics to ensure holistic capacity development.</w:t>
      </w:r>
    </w:p>
    <w:p w14:paraId="2CBE4244" w14:textId="77777777" w:rsidR="0083584A" w:rsidRPr="0083584A" w:rsidRDefault="0083584A" w:rsidP="00341AF8">
      <w:pPr>
        <w:spacing w:line="360" w:lineRule="auto"/>
        <w:jc w:val="both"/>
        <w:rPr>
          <w:rFonts w:ascii="Times New Roman" w:eastAsia="Times New Roman" w:hAnsi="Times New Roman" w:cs="Times New Roman"/>
          <w:color w:val="000000" w:themeColor="text1"/>
        </w:rPr>
      </w:pPr>
      <w:r w:rsidRPr="0083584A">
        <w:rPr>
          <w:rFonts w:ascii="Times New Roman" w:eastAsia="Times New Roman" w:hAnsi="Times New Roman" w:cs="Times New Roman"/>
          <w:color w:val="000000" w:themeColor="text1"/>
        </w:rPr>
        <w:t>A transitional food aid programme was also included as part of the LRP to cushion affected households during the early stages of livelihood re-establishment. From April 2016 to January 2017, food baskets consisting of basic staples—such as rice, maize, gari, beans, oil, sugar, and salt—were distributed to all 412 households in Sanzule. The food aid continued beyond this period for the 205 affected households until they were deemed capable of sustaining their income levels.</w:t>
      </w:r>
    </w:p>
    <w:p w14:paraId="023A6288" w14:textId="3411B50A" w:rsidR="44A109B2" w:rsidRPr="0083584A" w:rsidRDefault="0083584A" w:rsidP="00341AF8">
      <w:pPr>
        <w:spacing w:line="360" w:lineRule="auto"/>
        <w:jc w:val="both"/>
        <w:rPr>
          <w:rFonts w:ascii="Times New Roman" w:eastAsia="Times New Roman" w:hAnsi="Times New Roman" w:cs="Times New Roman"/>
          <w:color w:val="000000" w:themeColor="text1"/>
        </w:rPr>
      </w:pPr>
      <w:r w:rsidRPr="0083584A">
        <w:rPr>
          <w:rFonts w:ascii="Times New Roman" w:eastAsia="Times New Roman" w:hAnsi="Times New Roman" w:cs="Times New Roman"/>
          <w:color w:val="000000" w:themeColor="text1"/>
        </w:rPr>
        <w:t>The LRP was developed and implemented in accordance with International Finance Corporation (IFC) performance standards and was closely monitored by both the World Bank and the IFC. Its design embodies a shared-value approach, using direct investments, capacity building, and skills development to promote long-term economic resilience rather than short-term relief. Through these integrated interventions, the LRP demonstrates a transformative CSR model that enhances household-level productivity, diversifies income sources, and supports sustainable socio-economic development across the project-affected communities.</w:t>
      </w:r>
    </w:p>
    <w:p w14:paraId="668580C0" w14:textId="6BCABFC9" w:rsidR="63A65A92" w:rsidRPr="0083584A" w:rsidRDefault="63A65A92" w:rsidP="00341AF8">
      <w:pPr>
        <w:pStyle w:val="Heading2"/>
        <w:spacing w:before="299" w:after="299" w:line="360" w:lineRule="auto"/>
        <w:jc w:val="both"/>
        <w:rPr>
          <w:sz w:val="22"/>
          <w:szCs w:val="22"/>
        </w:rPr>
      </w:pPr>
      <w:r w:rsidRPr="0083584A">
        <w:rPr>
          <w:rFonts w:ascii="Times New Roman" w:eastAsia="Times New Roman" w:hAnsi="Times New Roman" w:cs="Times New Roman"/>
          <w:b/>
          <w:bCs/>
          <w:color w:val="000000" w:themeColor="text1"/>
          <w:sz w:val="24"/>
          <w:szCs w:val="24"/>
        </w:rPr>
        <w:t>4.3 Community Perceptions, Challenges, and Sustainability Gaps</w:t>
      </w:r>
    </w:p>
    <w:p w14:paraId="506D68A2" w14:textId="77777777" w:rsidR="0083584A" w:rsidRPr="0083584A" w:rsidRDefault="0083584A" w:rsidP="00341AF8">
      <w:pPr>
        <w:spacing w:line="360" w:lineRule="auto"/>
        <w:jc w:val="both"/>
        <w:rPr>
          <w:rFonts w:ascii="Times New Roman" w:eastAsia="Times New Roman" w:hAnsi="Times New Roman" w:cs="Times New Roman"/>
          <w:color w:val="000000" w:themeColor="text1"/>
        </w:rPr>
      </w:pPr>
      <w:r w:rsidRPr="0083584A">
        <w:rPr>
          <w:rFonts w:ascii="Times New Roman" w:eastAsia="Times New Roman" w:hAnsi="Times New Roman" w:cs="Times New Roman"/>
          <w:color w:val="000000" w:themeColor="text1"/>
        </w:rPr>
        <w:t>Although the Livelihood Restoration Plan (LRP) was designed to restore the economic conditions of households affected by the OCTP project, its implementation in Sanzule has encountered several structural and operational challenges that undermine long-term sustainability. The programme was initially developed through participatory consultations, allowing households to select livelihood activities of their choice. However, evidence from field interviews indicates that many beneficiaries were unable to sustain their chosen enterprises. This has resulted in widespread abandonment of projects, particularly among those who opted for livestock and poultry rearing.</w:t>
      </w:r>
    </w:p>
    <w:p w14:paraId="1053E9D1" w14:textId="77777777" w:rsidR="0083584A" w:rsidRPr="0083584A" w:rsidRDefault="0083584A" w:rsidP="00341AF8">
      <w:pPr>
        <w:spacing w:line="360" w:lineRule="auto"/>
        <w:jc w:val="both"/>
        <w:rPr>
          <w:rFonts w:ascii="Times New Roman" w:eastAsia="Times New Roman" w:hAnsi="Times New Roman" w:cs="Times New Roman"/>
          <w:color w:val="000000" w:themeColor="text1"/>
        </w:rPr>
      </w:pPr>
      <w:r w:rsidRPr="0083584A">
        <w:rPr>
          <w:rFonts w:ascii="Times New Roman" w:eastAsia="Times New Roman" w:hAnsi="Times New Roman" w:cs="Times New Roman"/>
          <w:color w:val="000000" w:themeColor="text1"/>
        </w:rPr>
        <w:t xml:space="preserve">For example, some beneficiaries who chose poultry farming reported that the daily revenue from egg sales was insufficient to cover the high cost of feed, leading them to sell their birds and discontinue the venture. Similarly, individuals who selected sheep rearing ended up selling </w:t>
      </w:r>
      <w:r w:rsidRPr="0083584A">
        <w:rPr>
          <w:rFonts w:ascii="Times New Roman" w:eastAsia="Times New Roman" w:hAnsi="Times New Roman" w:cs="Times New Roman"/>
          <w:color w:val="000000" w:themeColor="text1"/>
        </w:rPr>
        <w:lastRenderedPageBreak/>
        <w:t>the animals due to financial pressures and limited capacity to manage the pens effectively. In another case, a woman who selected the cold-storage option explained that although she received a freezer and a small amount of seed capital, the entire amount was spent on connecting electricity to her shop, leaving no funds to purchase fish and initiate the business. Such experiences highlight a broader design challenge: the start-up capital provided under the LRP was often inadequate relative to the real cost of establishing new enterprises.</w:t>
      </w:r>
    </w:p>
    <w:p w14:paraId="7E3DBE07" w14:textId="77777777" w:rsidR="0083584A" w:rsidRPr="0083584A" w:rsidRDefault="0083584A" w:rsidP="00341AF8">
      <w:pPr>
        <w:spacing w:line="360" w:lineRule="auto"/>
        <w:jc w:val="both"/>
        <w:rPr>
          <w:rFonts w:ascii="Times New Roman" w:eastAsia="Times New Roman" w:hAnsi="Times New Roman" w:cs="Times New Roman"/>
          <w:color w:val="000000" w:themeColor="text1"/>
        </w:rPr>
      </w:pPr>
      <w:r w:rsidRPr="0083584A">
        <w:rPr>
          <w:rFonts w:ascii="Times New Roman" w:eastAsia="Times New Roman" w:hAnsi="Times New Roman" w:cs="Times New Roman"/>
          <w:color w:val="000000" w:themeColor="text1"/>
        </w:rPr>
        <w:t>A deeper issue emerged from the mismatch between beneficiaries’ backgrounds and the new livelihood activities promoted by the LRP. Many affected persons previously relied on traditional crop farming and therefore lacked the technical knowledge required to manage non-traditional ventures such as poultry, aquaculture, or cold storage operations. Despite the training delivered under the programme, several beneficiaries struggled to adapt to the managerial, financial, and operational demands of their new enterprises. The lack of continuous mentoring and follow-up support contributed to poor business decisions, mismanagement of resources, and eventual collapse of the interventions for many households.</w:t>
      </w:r>
    </w:p>
    <w:p w14:paraId="3896C567" w14:textId="12D4446B" w:rsidR="008C20CB" w:rsidRDefault="0083584A" w:rsidP="00341AF8">
      <w:pPr>
        <w:spacing w:line="360" w:lineRule="auto"/>
        <w:jc w:val="both"/>
        <w:rPr>
          <w:rFonts w:ascii="Times New Roman" w:eastAsia="Times New Roman" w:hAnsi="Times New Roman" w:cs="Times New Roman"/>
          <w:color w:val="000000" w:themeColor="text1"/>
        </w:rPr>
      </w:pPr>
      <w:r w:rsidRPr="0083584A">
        <w:rPr>
          <w:rFonts w:ascii="Times New Roman" w:eastAsia="Times New Roman" w:hAnsi="Times New Roman" w:cs="Times New Roman"/>
          <w:color w:val="000000" w:themeColor="text1"/>
        </w:rPr>
        <w:t>These challenges reflect broader concerns raised in contemporary literature, which cautions that shared-value and livelihood restoration programmes frequently fail when planners underestimate the importance of community capacity, market volatility, and long-term financial resilience (Crane &amp; Matten, 2021; Mensah &amp; Odoi, 2022; Ahsan &amp; Rahman, 2023). Sustainable livelihood interventions require not only financial inputs but also consistent technical guidance, realistic market assessments, and adequate working capital. In the case of the Sanzule LRP, the gaps in entrepreneurial preparedness, insufficient capitalisation, and limited post-implementation support have collectively constrained the intended goal of restoring and strengthening the economic wellbeing of affected households.</w:t>
      </w:r>
    </w:p>
    <w:p w14:paraId="74516794" w14:textId="71FF8722" w:rsidR="00F410E5" w:rsidRDefault="00F410E5" w:rsidP="00341AF8">
      <w:pPr>
        <w:spacing w:line="360" w:lineRule="auto"/>
        <w:jc w:val="both"/>
        <w:rPr>
          <w:rFonts w:ascii="Times New Roman" w:eastAsia="Times New Roman" w:hAnsi="Times New Roman" w:cs="Times New Roman"/>
          <w:color w:val="000000" w:themeColor="text1"/>
        </w:rPr>
      </w:pPr>
    </w:p>
    <w:p w14:paraId="72F0129E" w14:textId="7F072D8F" w:rsidR="00F410E5" w:rsidRDefault="00F410E5" w:rsidP="00341AF8">
      <w:pPr>
        <w:spacing w:line="360" w:lineRule="auto"/>
        <w:jc w:val="both"/>
        <w:rPr>
          <w:rFonts w:ascii="Times New Roman" w:eastAsia="Times New Roman" w:hAnsi="Times New Roman" w:cs="Times New Roman"/>
          <w:color w:val="000000" w:themeColor="text1"/>
        </w:rPr>
      </w:pPr>
    </w:p>
    <w:p w14:paraId="516BB205" w14:textId="2B995963" w:rsidR="00F410E5" w:rsidRDefault="00F410E5" w:rsidP="00341AF8">
      <w:pPr>
        <w:spacing w:line="360" w:lineRule="auto"/>
        <w:jc w:val="both"/>
        <w:rPr>
          <w:rFonts w:ascii="Times New Roman" w:eastAsia="Times New Roman" w:hAnsi="Times New Roman" w:cs="Times New Roman"/>
          <w:color w:val="000000" w:themeColor="text1"/>
        </w:rPr>
      </w:pPr>
    </w:p>
    <w:p w14:paraId="3506F033" w14:textId="6639A812" w:rsidR="00F410E5" w:rsidRDefault="00F410E5" w:rsidP="00341AF8">
      <w:pPr>
        <w:spacing w:line="360" w:lineRule="auto"/>
        <w:jc w:val="both"/>
        <w:rPr>
          <w:rFonts w:ascii="Times New Roman" w:eastAsia="Times New Roman" w:hAnsi="Times New Roman" w:cs="Times New Roman"/>
          <w:color w:val="000000" w:themeColor="text1"/>
        </w:rPr>
      </w:pPr>
    </w:p>
    <w:p w14:paraId="4CF1A8AF" w14:textId="6DE11BDC" w:rsidR="00F410E5" w:rsidRDefault="00F410E5" w:rsidP="00341AF8">
      <w:pPr>
        <w:spacing w:line="360" w:lineRule="auto"/>
        <w:jc w:val="both"/>
        <w:rPr>
          <w:rFonts w:ascii="Times New Roman" w:eastAsia="Times New Roman" w:hAnsi="Times New Roman" w:cs="Times New Roman"/>
          <w:color w:val="000000" w:themeColor="text1"/>
        </w:rPr>
      </w:pPr>
    </w:p>
    <w:p w14:paraId="6FF6C267" w14:textId="688CD071" w:rsidR="00F410E5" w:rsidRDefault="00F410E5" w:rsidP="00341AF8">
      <w:pPr>
        <w:spacing w:line="360" w:lineRule="auto"/>
        <w:jc w:val="both"/>
        <w:rPr>
          <w:rFonts w:ascii="Times New Roman" w:eastAsia="Times New Roman" w:hAnsi="Times New Roman" w:cs="Times New Roman"/>
          <w:color w:val="000000" w:themeColor="text1"/>
        </w:rPr>
      </w:pPr>
    </w:p>
    <w:p w14:paraId="139C299F" w14:textId="77777777" w:rsidR="00F410E5" w:rsidRDefault="00F410E5" w:rsidP="00341AF8">
      <w:pPr>
        <w:spacing w:line="360" w:lineRule="auto"/>
        <w:jc w:val="both"/>
        <w:rPr>
          <w:rFonts w:ascii="Times New Roman" w:eastAsia="Times New Roman" w:hAnsi="Times New Roman" w:cs="Times New Roman"/>
          <w:color w:val="000000" w:themeColor="text1"/>
        </w:rPr>
      </w:pPr>
    </w:p>
    <w:p w14:paraId="5DE7B6D6" w14:textId="21724A3D" w:rsidR="51ED0DAC" w:rsidRPr="008C20CB" w:rsidRDefault="51ED0DAC" w:rsidP="00341AF8">
      <w:pPr>
        <w:spacing w:line="360" w:lineRule="auto"/>
        <w:jc w:val="both"/>
        <w:rPr>
          <w:rFonts w:ascii="Times New Roman" w:eastAsia="Times New Roman" w:hAnsi="Times New Roman" w:cs="Times New Roman"/>
          <w:color w:val="000000" w:themeColor="text1"/>
          <w:sz w:val="18"/>
          <w:szCs w:val="18"/>
        </w:rPr>
      </w:pPr>
      <w:r w:rsidRPr="008C20CB">
        <w:rPr>
          <w:rFonts w:ascii="Times New Roman" w:eastAsia="Times New Roman" w:hAnsi="Times New Roman" w:cs="Times New Roman"/>
          <w:b/>
          <w:bCs/>
          <w:color w:val="000000" w:themeColor="text1"/>
        </w:rPr>
        <w:lastRenderedPageBreak/>
        <w:t>4.5 Summary of Results</w:t>
      </w:r>
    </w:p>
    <w:tbl>
      <w:tblPr>
        <w:tblStyle w:val="GridTable5Dark-Accent4"/>
        <w:tblW w:w="10368" w:type="dxa"/>
        <w:tblInd w:w="-672" w:type="dxa"/>
        <w:tblLayout w:type="fixed"/>
        <w:tblLook w:val="06A0" w:firstRow="1" w:lastRow="0" w:firstColumn="1" w:lastColumn="0" w:noHBand="1" w:noVBand="1"/>
      </w:tblPr>
      <w:tblGrid>
        <w:gridCol w:w="1696"/>
        <w:gridCol w:w="3119"/>
        <w:gridCol w:w="2678"/>
        <w:gridCol w:w="2875"/>
      </w:tblGrid>
      <w:tr w:rsidR="44A109B2" w14:paraId="4C6ACB38" w14:textId="77777777" w:rsidTr="008C20C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6" w:type="dxa"/>
          </w:tcPr>
          <w:p w14:paraId="0161B446" w14:textId="60A6DAAE" w:rsidR="44A109B2" w:rsidRDefault="44A109B2" w:rsidP="00341AF8">
            <w:pPr>
              <w:spacing w:line="360" w:lineRule="auto"/>
              <w:jc w:val="center"/>
            </w:pPr>
            <w:r w:rsidRPr="44A109B2">
              <w:t>CSR Area</w:t>
            </w:r>
          </w:p>
        </w:tc>
        <w:tc>
          <w:tcPr>
            <w:tcW w:w="3119" w:type="dxa"/>
          </w:tcPr>
          <w:p w14:paraId="6A4E390C" w14:textId="39559C05" w:rsidR="44A109B2" w:rsidRDefault="44A109B2" w:rsidP="00341AF8">
            <w:pPr>
              <w:spacing w:line="360" w:lineRule="auto"/>
              <w:jc w:val="center"/>
              <w:cnfStyle w:val="100000000000" w:firstRow="1" w:lastRow="0" w:firstColumn="0" w:lastColumn="0" w:oddVBand="0" w:evenVBand="0" w:oddHBand="0" w:evenHBand="0" w:firstRowFirstColumn="0" w:firstRowLastColumn="0" w:lastRowFirstColumn="0" w:lastRowLastColumn="0"/>
            </w:pPr>
            <w:r w:rsidRPr="44A109B2">
              <w:t>Innovation &amp; Focus</w:t>
            </w:r>
          </w:p>
        </w:tc>
        <w:tc>
          <w:tcPr>
            <w:tcW w:w="2678" w:type="dxa"/>
          </w:tcPr>
          <w:p w14:paraId="68FA6696" w14:textId="3B17D643" w:rsidR="44A109B2" w:rsidRDefault="44A109B2" w:rsidP="00341AF8">
            <w:pPr>
              <w:spacing w:line="360" w:lineRule="auto"/>
              <w:jc w:val="center"/>
              <w:cnfStyle w:val="100000000000" w:firstRow="1" w:lastRow="0" w:firstColumn="0" w:lastColumn="0" w:oddVBand="0" w:evenVBand="0" w:oddHBand="0" w:evenHBand="0" w:firstRowFirstColumn="0" w:firstRowLastColumn="0" w:lastRowFirstColumn="0" w:lastRowLastColumn="0"/>
            </w:pPr>
            <w:r w:rsidRPr="44A109B2">
              <w:t>Quantitative Impact</w:t>
            </w:r>
          </w:p>
        </w:tc>
        <w:tc>
          <w:tcPr>
            <w:tcW w:w="2875" w:type="dxa"/>
          </w:tcPr>
          <w:p w14:paraId="2BF6F26C" w14:textId="6E8A3A2C" w:rsidR="44A109B2" w:rsidRDefault="44A109B2" w:rsidP="00341AF8">
            <w:pPr>
              <w:spacing w:line="360" w:lineRule="auto"/>
              <w:jc w:val="center"/>
              <w:cnfStyle w:val="100000000000" w:firstRow="1" w:lastRow="0" w:firstColumn="0" w:lastColumn="0" w:oddVBand="0" w:evenVBand="0" w:oddHBand="0" w:evenHBand="0" w:firstRowFirstColumn="0" w:firstRowLastColumn="0" w:lastRowFirstColumn="0" w:lastRowLastColumn="0"/>
            </w:pPr>
            <w:r w:rsidRPr="44A109B2">
              <w:t>Alignment with Research Aim</w:t>
            </w:r>
          </w:p>
        </w:tc>
      </w:tr>
      <w:tr w:rsidR="44A109B2" w14:paraId="4C037ED7" w14:textId="77777777" w:rsidTr="008C20CB">
        <w:trPr>
          <w:trHeight w:val="300"/>
        </w:trPr>
        <w:tc>
          <w:tcPr>
            <w:cnfStyle w:val="001000000000" w:firstRow="0" w:lastRow="0" w:firstColumn="1" w:lastColumn="0" w:oddVBand="0" w:evenVBand="0" w:oddHBand="0" w:evenHBand="0" w:firstRowFirstColumn="0" w:firstRowLastColumn="0" w:lastRowFirstColumn="0" w:lastRowLastColumn="0"/>
            <w:tcW w:w="1696" w:type="dxa"/>
          </w:tcPr>
          <w:p w14:paraId="1806E631" w14:textId="48463479" w:rsidR="44A109B2" w:rsidRDefault="44A109B2" w:rsidP="00341AF8">
            <w:pPr>
              <w:spacing w:line="360" w:lineRule="auto"/>
            </w:pPr>
            <w:r>
              <w:t>Water</w:t>
            </w:r>
          </w:p>
        </w:tc>
        <w:tc>
          <w:tcPr>
            <w:tcW w:w="3119" w:type="dxa"/>
          </w:tcPr>
          <w:p w14:paraId="3BCFB94E" w14:textId="39AB6E28" w:rsidR="44A109B2" w:rsidRDefault="44A109B2" w:rsidP="00341AF8">
            <w:pPr>
              <w:spacing w:line="360" w:lineRule="auto"/>
              <w:cnfStyle w:val="000000000000" w:firstRow="0" w:lastRow="0" w:firstColumn="0" w:lastColumn="0" w:oddVBand="0" w:evenVBand="0" w:oddHBand="0" w:evenHBand="0" w:firstRowFirstColumn="0" w:firstRowLastColumn="0" w:lastRowFirstColumn="0" w:lastRowLastColumn="0"/>
            </w:pPr>
            <w:r>
              <w:t>Solar-powered water system</w:t>
            </w:r>
          </w:p>
        </w:tc>
        <w:tc>
          <w:tcPr>
            <w:tcW w:w="2678" w:type="dxa"/>
          </w:tcPr>
          <w:p w14:paraId="29FF57DD" w14:textId="2E6A2CFE" w:rsidR="44A109B2" w:rsidRDefault="44A109B2" w:rsidP="00341AF8">
            <w:pPr>
              <w:spacing w:line="360" w:lineRule="auto"/>
              <w:cnfStyle w:val="000000000000" w:firstRow="0" w:lastRow="0" w:firstColumn="0" w:lastColumn="0" w:oddVBand="0" w:evenVBand="0" w:oddHBand="0" w:evenHBand="0" w:firstRowFirstColumn="0" w:firstRowLastColumn="0" w:lastRowFirstColumn="0" w:lastRowLastColumn="0"/>
            </w:pPr>
            <w:r>
              <w:t>5,000+ beneficiaries</w:t>
            </w:r>
          </w:p>
        </w:tc>
        <w:tc>
          <w:tcPr>
            <w:tcW w:w="2875" w:type="dxa"/>
          </w:tcPr>
          <w:p w14:paraId="3CE2E9C9" w14:textId="2F37B4B2" w:rsidR="44A109B2" w:rsidRDefault="44A109B2" w:rsidP="00341AF8">
            <w:pPr>
              <w:spacing w:line="360" w:lineRule="auto"/>
              <w:cnfStyle w:val="000000000000" w:firstRow="0" w:lastRow="0" w:firstColumn="0" w:lastColumn="0" w:oddVBand="0" w:evenVBand="0" w:oddHBand="0" w:evenHBand="0" w:firstRowFirstColumn="0" w:firstRowLastColumn="0" w:lastRowFirstColumn="0" w:lastRowLastColumn="0"/>
            </w:pPr>
            <w:r>
              <w:t>Transformative CSR &amp; shared value</w:t>
            </w:r>
          </w:p>
        </w:tc>
      </w:tr>
      <w:tr w:rsidR="44A109B2" w14:paraId="6509ED05" w14:textId="77777777" w:rsidTr="008C20CB">
        <w:trPr>
          <w:trHeight w:val="300"/>
        </w:trPr>
        <w:tc>
          <w:tcPr>
            <w:cnfStyle w:val="001000000000" w:firstRow="0" w:lastRow="0" w:firstColumn="1" w:lastColumn="0" w:oddVBand="0" w:evenVBand="0" w:oddHBand="0" w:evenHBand="0" w:firstRowFirstColumn="0" w:firstRowLastColumn="0" w:lastRowFirstColumn="0" w:lastRowLastColumn="0"/>
            <w:tcW w:w="1696" w:type="dxa"/>
          </w:tcPr>
          <w:p w14:paraId="3A593574" w14:textId="1CB704E8" w:rsidR="44A109B2" w:rsidRDefault="44A109B2" w:rsidP="00341AF8">
            <w:pPr>
              <w:spacing w:line="360" w:lineRule="auto"/>
            </w:pPr>
            <w:r>
              <w:t>Environment</w:t>
            </w:r>
          </w:p>
        </w:tc>
        <w:tc>
          <w:tcPr>
            <w:tcW w:w="3119" w:type="dxa"/>
          </w:tcPr>
          <w:p w14:paraId="64B2C23C" w14:textId="682BDE19" w:rsidR="44A109B2" w:rsidRDefault="44A109B2" w:rsidP="00341AF8">
            <w:pPr>
              <w:spacing w:line="360" w:lineRule="auto"/>
              <w:cnfStyle w:val="000000000000" w:firstRow="0" w:lastRow="0" w:firstColumn="0" w:lastColumn="0" w:oddVBand="0" w:evenVBand="0" w:oddHBand="0" w:evenHBand="0" w:firstRowFirstColumn="0" w:firstRowLastColumn="0" w:lastRowFirstColumn="0" w:lastRowLastColumn="0"/>
            </w:pPr>
            <w:r>
              <w:t>Clean Beach Initiative</w:t>
            </w:r>
          </w:p>
        </w:tc>
        <w:tc>
          <w:tcPr>
            <w:tcW w:w="2678" w:type="dxa"/>
          </w:tcPr>
          <w:p w14:paraId="58A59063" w14:textId="2EE65235" w:rsidR="44A109B2" w:rsidRDefault="44A109B2" w:rsidP="00341AF8">
            <w:pPr>
              <w:spacing w:line="360" w:lineRule="auto"/>
              <w:cnfStyle w:val="000000000000" w:firstRow="0" w:lastRow="0" w:firstColumn="0" w:lastColumn="0" w:oddVBand="0" w:evenVBand="0" w:oddHBand="0" w:evenHBand="0" w:firstRowFirstColumn="0" w:firstRowLastColumn="0" w:lastRowFirstColumn="0" w:lastRowLastColumn="0"/>
            </w:pPr>
            <w:r>
              <w:t>11.3 tonnes waste removed</w:t>
            </w:r>
          </w:p>
        </w:tc>
        <w:tc>
          <w:tcPr>
            <w:tcW w:w="2875" w:type="dxa"/>
          </w:tcPr>
          <w:p w14:paraId="2A18E059" w14:textId="5149F2A9" w:rsidR="44A109B2" w:rsidRDefault="44A109B2" w:rsidP="00341AF8">
            <w:pPr>
              <w:spacing w:line="360" w:lineRule="auto"/>
              <w:cnfStyle w:val="000000000000" w:firstRow="0" w:lastRow="0" w:firstColumn="0" w:lastColumn="0" w:oddVBand="0" w:evenVBand="0" w:oddHBand="0" w:evenHBand="0" w:firstRowFirstColumn="0" w:firstRowLastColumn="0" w:lastRowFirstColumn="0" w:lastRowLastColumn="0"/>
            </w:pPr>
            <w:r>
              <w:t>Participatory CSR &amp; stakeholder theory</w:t>
            </w:r>
          </w:p>
        </w:tc>
      </w:tr>
      <w:tr w:rsidR="44A109B2" w14:paraId="0D97C2DB" w14:textId="77777777" w:rsidTr="008C20CB">
        <w:trPr>
          <w:trHeight w:val="300"/>
        </w:trPr>
        <w:tc>
          <w:tcPr>
            <w:cnfStyle w:val="001000000000" w:firstRow="0" w:lastRow="0" w:firstColumn="1" w:lastColumn="0" w:oddVBand="0" w:evenVBand="0" w:oddHBand="0" w:evenHBand="0" w:firstRowFirstColumn="0" w:firstRowLastColumn="0" w:lastRowFirstColumn="0" w:lastRowLastColumn="0"/>
            <w:tcW w:w="1696" w:type="dxa"/>
          </w:tcPr>
          <w:p w14:paraId="00511272" w14:textId="6B6A065F" w:rsidR="44A109B2" w:rsidRDefault="44A109B2" w:rsidP="00341AF8">
            <w:pPr>
              <w:spacing w:line="360" w:lineRule="auto"/>
            </w:pPr>
            <w:r>
              <w:t>Health</w:t>
            </w:r>
          </w:p>
        </w:tc>
        <w:tc>
          <w:tcPr>
            <w:tcW w:w="3119" w:type="dxa"/>
          </w:tcPr>
          <w:p w14:paraId="05672AFA" w14:textId="78E27E26" w:rsidR="44A109B2" w:rsidRDefault="44A109B2" w:rsidP="00341AF8">
            <w:pPr>
              <w:spacing w:line="360" w:lineRule="auto"/>
              <w:cnfStyle w:val="000000000000" w:firstRow="0" w:lastRow="0" w:firstColumn="0" w:lastColumn="0" w:oddVBand="0" w:evenVBand="0" w:oddHBand="0" w:evenHBand="0" w:firstRowFirstColumn="0" w:firstRowLastColumn="0" w:lastRowFirstColumn="0" w:lastRowLastColumn="0"/>
            </w:pPr>
            <w:r>
              <w:t>CHPS, equipment, water systems</w:t>
            </w:r>
          </w:p>
        </w:tc>
        <w:tc>
          <w:tcPr>
            <w:tcW w:w="2678" w:type="dxa"/>
          </w:tcPr>
          <w:p w14:paraId="1F8E2A8B" w14:textId="376EEFBB" w:rsidR="44A109B2" w:rsidRDefault="44A109B2" w:rsidP="00341AF8">
            <w:pPr>
              <w:spacing w:line="360" w:lineRule="auto"/>
              <w:cnfStyle w:val="000000000000" w:firstRow="0" w:lastRow="0" w:firstColumn="0" w:lastColumn="0" w:oddVBand="0" w:evenVBand="0" w:oddHBand="0" w:evenHBand="0" w:firstRowFirstColumn="0" w:firstRowLastColumn="0" w:lastRowFirstColumn="0" w:lastRowLastColumn="0"/>
            </w:pPr>
            <w:r>
              <w:t>15+ facilities supported</w:t>
            </w:r>
          </w:p>
        </w:tc>
        <w:tc>
          <w:tcPr>
            <w:tcW w:w="2875" w:type="dxa"/>
          </w:tcPr>
          <w:p w14:paraId="622B596C" w14:textId="50C3DDF0" w:rsidR="44A109B2" w:rsidRDefault="44A109B2" w:rsidP="00341AF8">
            <w:pPr>
              <w:spacing w:line="360" w:lineRule="auto"/>
              <w:cnfStyle w:val="000000000000" w:firstRow="0" w:lastRow="0" w:firstColumn="0" w:lastColumn="0" w:oddVBand="0" w:evenVBand="0" w:oddHBand="0" w:evenHBand="0" w:firstRowFirstColumn="0" w:firstRowLastColumn="0" w:lastRowFirstColumn="0" w:lastRowLastColumn="0"/>
            </w:pPr>
            <w:r>
              <w:t>Long-term resilience &amp; shared value</w:t>
            </w:r>
          </w:p>
        </w:tc>
      </w:tr>
      <w:tr w:rsidR="44A109B2" w14:paraId="7A478F44" w14:textId="77777777" w:rsidTr="008C20CB">
        <w:trPr>
          <w:trHeight w:val="300"/>
        </w:trPr>
        <w:tc>
          <w:tcPr>
            <w:cnfStyle w:val="001000000000" w:firstRow="0" w:lastRow="0" w:firstColumn="1" w:lastColumn="0" w:oddVBand="0" w:evenVBand="0" w:oddHBand="0" w:evenHBand="0" w:firstRowFirstColumn="0" w:firstRowLastColumn="0" w:lastRowFirstColumn="0" w:lastRowLastColumn="0"/>
            <w:tcW w:w="1696" w:type="dxa"/>
          </w:tcPr>
          <w:p w14:paraId="4C92932A" w14:textId="558A92C8" w:rsidR="44A109B2" w:rsidRDefault="44A109B2" w:rsidP="00341AF8">
            <w:pPr>
              <w:spacing w:line="360" w:lineRule="auto"/>
            </w:pPr>
            <w:r>
              <w:t>Education</w:t>
            </w:r>
          </w:p>
        </w:tc>
        <w:tc>
          <w:tcPr>
            <w:tcW w:w="3119" w:type="dxa"/>
          </w:tcPr>
          <w:p w14:paraId="777ADBFD" w14:textId="353CFBB9" w:rsidR="44A109B2" w:rsidRDefault="44A109B2" w:rsidP="00341AF8">
            <w:pPr>
              <w:spacing w:line="360" w:lineRule="auto"/>
              <w:cnfStyle w:val="000000000000" w:firstRow="0" w:lastRow="0" w:firstColumn="0" w:lastColumn="0" w:oddVBand="0" w:evenVBand="0" w:oddHBand="0" w:evenHBand="0" w:firstRowFirstColumn="0" w:firstRowLastColumn="0" w:lastRowFirstColumn="0" w:lastRowLastColumn="0"/>
            </w:pPr>
            <w:r>
              <w:t>Teach for Ghana partnership</w:t>
            </w:r>
          </w:p>
        </w:tc>
        <w:tc>
          <w:tcPr>
            <w:tcW w:w="2678" w:type="dxa"/>
          </w:tcPr>
          <w:p w14:paraId="38004D7F" w14:textId="67FAF5C8" w:rsidR="44A109B2" w:rsidRDefault="44A109B2" w:rsidP="00341AF8">
            <w:pPr>
              <w:spacing w:line="360" w:lineRule="auto"/>
              <w:cnfStyle w:val="000000000000" w:firstRow="0" w:lastRow="0" w:firstColumn="0" w:lastColumn="0" w:oddVBand="0" w:evenVBand="0" w:oddHBand="0" w:evenHBand="0" w:firstRowFirstColumn="0" w:firstRowLastColumn="0" w:lastRowFirstColumn="0" w:lastRowLastColumn="0"/>
            </w:pPr>
            <w:r>
              <w:t>1,366 students, 24 teachers</w:t>
            </w:r>
          </w:p>
        </w:tc>
        <w:tc>
          <w:tcPr>
            <w:tcW w:w="2875" w:type="dxa"/>
          </w:tcPr>
          <w:p w14:paraId="190E05F7" w14:textId="2DC888E3" w:rsidR="44A109B2" w:rsidRDefault="44A109B2" w:rsidP="00341AF8">
            <w:pPr>
              <w:spacing w:line="360" w:lineRule="auto"/>
              <w:cnfStyle w:val="000000000000" w:firstRow="0" w:lastRow="0" w:firstColumn="0" w:lastColumn="0" w:oddVBand="0" w:evenVBand="0" w:oddHBand="0" w:evenHBand="0" w:firstRowFirstColumn="0" w:firstRowLastColumn="0" w:lastRowFirstColumn="0" w:lastRowLastColumn="0"/>
            </w:pPr>
            <w:r>
              <w:t>Human capital development</w:t>
            </w:r>
          </w:p>
        </w:tc>
      </w:tr>
      <w:tr w:rsidR="44A109B2" w14:paraId="38F191DA" w14:textId="77777777" w:rsidTr="008C20CB">
        <w:trPr>
          <w:trHeight w:val="300"/>
        </w:trPr>
        <w:tc>
          <w:tcPr>
            <w:cnfStyle w:val="001000000000" w:firstRow="0" w:lastRow="0" w:firstColumn="1" w:lastColumn="0" w:oddVBand="0" w:evenVBand="0" w:oddHBand="0" w:evenHBand="0" w:firstRowFirstColumn="0" w:firstRowLastColumn="0" w:lastRowFirstColumn="0" w:lastRowLastColumn="0"/>
            <w:tcW w:w="1696" w:type="dxa"/>
          </w:tcPr>
          <w:p w14:paraId="2CD368A8" w14:textId="0F1F91CA" w:rsidR="44A109B2" w:rsidRDefault="44A109B2" w:rsidP="00341AF8">
            <w:pPr>
              <w:spacing w:line="360" w:lineRule="auto"/>
            </w:pPr>
            <w:r>
              <w:t>Culture</w:t>
            </w:r>
          </w:p>
        </w:tc>
        <w:tc>
          <w:tcPr>
            <w:tcW w:w="3119" w:type="dxa"/>
          </w:tcPr>
          <w:p w14:paraId="22170592" w14:textId="62F34F19" w:rsidR="44A109B2" w:rsidRDefault="44A109B2" w:rsidP="00341AF8">
            <w:pPr>
              <w:spacing w:line="360" w:lineRule="auto"/>
              <w:cnfStyle w:val="000000000000" w:firstRow="0" w:lastRow="0" w:firstColumn="0" w:lastColumn="0" w:oddVBand="0" w:evenVBand="0" w:oddHBand="0" w:evenHBand="0" w:firstRowFirstColumn="0" w:firstRowLastColumn="0" w:lastRowFirstColumn="0" w:lastRowLastColumn="0"/>
            </w:pPr>
            <w:r>
              <w:t>Festivals &amp; palace construction</w:t>
            </w:r>
          </w:p>
        </w:tc>
        <w:tc>
          <w:tcPr>
            <w:tcW w:w="2678" w:type="dxa"/>
          </w:tcPr>
          <w:p w14:paraId="005E5CB9" w14:textId="24C85598" w:rsidR="44A109B2" w:rsidRDefault="44A109B2" w:rsidP="00341AF8">
            <w:pPr>
              <w:spacing w:line="360" w:lineRule="auto"/>
              <w:cnfStyle w:val="000000000000" w:firstRow="0" w:lastRow="0" w:firstColumn="0" w:lastColumn="0" w:oddVBand="0" w:evenVBand="0" w:oddHBand="0" w:evenHBand="0" w:firstRowFirstColumn="0" w:firstRowLastColumn="0" w:lastRowFirstColumn="0" w:lastRowLastColumn="0"/>
            </w:pPr>
            <w:r>
              <w:t>Infrastructure + social cohesion</w:t>
            </w:r>
          </w:p>
        </w:tc>
        <w:tc>
          <w:tcPr>
            <w:tcW w:w="2875" w:type="dxa"/>
          </w:tcPr>
          <w:p w14:paraId="3248D02E" w14:textId="4E6880D2" w:rsidR="44A109B2" w:rsidRDefault="44A109B2" w:rsidP="00341AF8">
            <w:pPr>
              <w:spacing w:line="360" w:lineRule="auto"/>
              <w:cnfStyle w:val="000000000000" w:firstRow="0" w:lastRow="0" w:firstColumn="0" w:lastColumn="0" w:oddVBand="0" w:evenVBand="0" w:oddHBand="0" w:evenHBand="0" w:firstRowFirstColumn="0" w:firstRowLastColumn="0" w:lastRowFirstColumn="0" w:lastRowLastColumn="0"/>
            </w:pPr>
            <w:r>
              <w:t>Social sustainability</w:t>
            </w:r>
          </w:p>
        </w:tc>
      </w:tr>
      <w:tr w:rsidR="44A109B2" w14:paraId="3823A7F7" w14:textId="77777777" w:rsidTr="008C20CB">
        <w:trPr>
          <w:trHeight w:val="300"/>
        </w:trPr>
        <w:tc>
          <w:tcPr>
            <w:cnfStyle w:val="001000000000" w:firstRow="0" w:lastRow="0" w:firstColumn="1" w:lastColumn="0" w:oddVBand="0" w:evenVBand="0" w:oddHBand="0" w:evenHBand="0" w:firstRowFirstColumn="0" w:firstRowLastColumn="0" w:lastRowFirstColumn="0" w:lastRowLastColumn="0"/>
            <w:tcW w:w="1696" w:type="dxa"/>
          </w:tcPr>
          <w:p w14:paraId="3A699B08" w14:textId="25C0AFB2" w:rsidR="44A109B2" w:rsidRDefault="44A109B2" w:rsidP="00341AF8">
            <w:pPr>
              <w:spacing w:line="360" w:lineRule="auto"/>
            </w:pPr>
            <w:r>
              <w:t>Livelihoods</w:t>
            </w:r>
          </w:p>
        </w:tc>
        <w:tc>
          <w:tcPr>
            <w:tcW w:w="3119" w:type="dxa"/>
          </w:tcPr>
          <w:p w14:paraId="164F3A86" w14:textId="7C7D8522" w:rsidR="44A109B2" w:rsidRDefault="44A109B2" w:rsidP="00341AF8">
            <w:pPr>
              <w:spacing w:line="360" w:lineRule="auto"/>
              <w:cnfStyle w:val="000000000000" w:firstRow="0" w:lastRow="0" w:firstColumn="0" w:lastColumn="0" w:oddVBand="0" w:evenVBand="0" w:oddHBand="0" w:evenHBand="0" w:firstRowFirstColumn="0" w:firstRowLastColumn="0" w:lastRowFirstColumn="0" w:lastRowLastColumn="0"/>
            </w:pPr>
            <w:r>
              <w:t>LRP (multi-sector)</w:t>
            </w:r>
          </w:p>
        </w:tc>
        <w:tc>
          <w:tcPr>
            <w:tcW w:w="2678" w:type="dxa"/>
          </w:tcPr>
          <w:p w14:paraId="4724A7DF" w14:textId="4035896A" w:rsidR="44A109B2" w:rsidRDefault="44A109B2" w:rsidP="00341AF8">
            <w:pPr>
              <w:spacing w:line="360" w:lineRule="auto"/>
              <w:cnfStyle w:val="000000000000" w:firstRow="0" w:lastRow="0" w:firstColumn="0" w:lastColumn="0" w:oddVBand="0" w:evenVBand="0" w:oddHBand="0" w:evenHBand="0" w:firstRowFirstColumn="0" w:firstRowLastColumn="0" w:lastRowFirstColumn="0" w:lastRowLastColumn="0"/>
            </w:pPr>
            <w:r>
              <w:t>205 households; US$4.2m</w:t>
            </w:r>
          </w:p>
        </w:tc>
        <w:tc>
          <w:tcPr>
            <w:tcW w:w="2875" w:type="dxa"/>
          </w:tcPr>
          <w:p w14:paraId="36D52ADB" w14:textId="6D0F0D0A" w:rsidR="44A109B2" w:rsidRDefault="44A109B2" w:rsidP="00341AF8">
            <w:pPr>
              <w:spacing w:line="360" w:lineRule="auto"/>
              <w:cnfStyle w:val="000000000000" w:firstRow="0" w:lastRow="0" w:firstColumn="0" w:lastColumn="0" w:oddVBand="0" w:evenVBand="0" w:oddHBand="0" w:evenHBand="0" w:firstRowFirstColumn="0" w:firstRowLastColumn="0" w:lastRowFirstColumn="0" w:lastRowLastColumn="0"/>
            </w:pPr>
            <w:r>
              <w:t>Transformative, economic resilience</w:t>
            </w:r>
          </w:p>
        </w:tc>
      </w:tr>
    </w:tbl>
    <w:p w14:paraId="33DAE12E" w14:textId="1B4BF031" w:rsidR="00F410E5" w:rsidRPr="00F410E5" w:rsidRDefault="00F410E5" w:rsidP="00F410E5">
      <w:pPr>
        <w:pStyle w:val="Heading1"/>
        <w:spacing w:before="322" w:after="322" w:line="276" w:lineRule="auto"/>
        <w:jc w:val="both"/>
        <w:rPr>
          <w:rFonts w:ascii="Times New Roman" w:eastAsia="Times New Roman" w:hAnsi="Times New Roman" w:cs="Times New Roman"/>
          <w:bCs/>
          <w:i/>
          <w:color w:val="000000" w:themeColor="text1"/>
          <w:sz w:val="24"/>
          <w:szCs w:val="24"/>
        </w:rPr>
      </w:pPr>
      <w:r w:rsidRPr="00F410E5">
        <w:rPr>
          <w:rFonts w:ascii="Times New Roman" w:eastAsia="Times New Roman" w:hAnsi="Times New Roman" w:cs="Times New Roman"/>
          <w:bCs/>
          <w:i/>
          <w:color w:val="000000" w:themeColor="text1"/>
          <w:sz w:val="24"/>
          <w:szCs w:val="24"/>
        </w:rPr>
        <w:t>Table 1: results of Key findings</w:t>
      </w:r>
    </w:p>
    <w:p w14:paraId="1636C298" w14:textId="36C4B830" w:rsidR="587E0B56" w:rsidRDefault="587E0B56" w:rsidP="00341AF8">
      <w:pPr>
        <w:pStyle w:val="Heading1"/>
        <w:spacing w:before="322" w:after="322" w:line="360" w:lineRule="auto"/>
        <w:jc w:val="both"/>
      </w:pPr>
      <w:r w:rsidRPr="008C20CB">
        <w:rPr>
          <w:rFonts w:ascii="Times New Roman" w:eastAsia="Times New Roman" w:hAnsi="Times New Roman" w:cs="Times New Roman"/>
          <w:b/>
          <w:bCs/>
          <w:color w:val="000000" w:themeColor="text1"/>
          <w:sz w:val="24"/>
          <w:szCs w:val="24"/>
        </w:rPr>
        <w:t>5.0 Discussion</w:t>
      </w:r>
      <w:r w:rsidR="006F697F" w:rsidRPr="008C20CB">
        <w:rPr>
          <w:rFonts w:ascii="Times New Roman" w:eastAsia="Times New Roman" w:hAnsi="Times New Roman" w:cs="Times New Roman"/>
          <w:b/>
          <w:bCs/>
          <w:color w:val="000000" w:themeColor="text1"/>
          <w:sz w:val="24"/>
          <w:szCs w:val="24"/>
        </w:rPr>
        <w:t xml:space="preserve"> of findings</w:t>
      </w:r>
    </w:p>
    <w:p w14:paraId="0F64BD28" w14:textId="0C370290" w:rsidR="587E0B56" w:rsidRDefault="587E0B56" w:rsidP="00341AF8">
      <w:pPr>
        <w:spacing w:before="240" w:after="240" w:line="360" w:lineRule="auto"/>
        <w:jc w:val="both"/>
      </w:pPr>
      <w:r w:rsidRPr="44A109B2">
        <w:rPr>
          <w:rFonts w:ascii="Times New Roman" w:eastAsia="Times New Roman" w:hAnsi="Times New Roman" w:cs="Times New Roman"/>
          <w:color w:val="000000" w:themeColor="text1"/>
        </w:rPr>
        <w:t>The findings highlight a clear transition from traditional philanthropic CSR toward more strategic, shared-value–oriented initiatives in Sanzule. This aligns with contemporary scholarship arguing that CSR in extractive regions is evolving from community donations toward models that integrate corporate interests with sustainable local development outcomes (Darko et al., 2021; Ayentimi &amp; Burgess, 2023). The evidence from the respondents shows strong community appreciation for ENI Ghana’s interventions—particularly in education, health, skills development, and infrastructure—indicating that CSR investments are perceived as relevant and impactful.</w:t>
      </w:r>
    </w:p>
    <w:p w14:paraId="39C1AB29" w14:textId="1E07695D" w:rsidR="587E0B56" w:rsidRDefault="587E0B56" w:rsidP="00341AF8">
      <w:pPr>
        <w:spacing w:before="240" w:after="240" w:line="360" w:lineRule="auto"/>
        <w:jc w:val="both"/>
      </w:pPr>
      <w:r w:rsidRPr="44A109B2">
        <w:rPr>
          <w:rFonts w:ascii="Times New Roman" w:eastAsia="Times New Roman" w:hAnsi="Times New Roman" w:cs="Times New Roman"/>
          <w:color w:val="000000" w:themeColor="text1"/>
        </w:rPr>
        <w:t>First, the high satisfaction levels reported in the survey resonate with studies that emphasize the importance of CSR legitimacy within host communities. Local acceptance is essential for maintaining a company’s social license to operate (Mensah et al., 2022). The data suggest that ENI’s programs—especially those focused on livelihoods, youth empowerment, and environmental management—have contributed to building trust and strengthening company–</w:t>
      </w:r>
      <w:r w:rsidRPr="44A109B2">
        <w:rPr>
          <w:rFonts w:ascii="Times New Roman" w:eastAsia="Times New Roman" w:hAnsi="Times New Roman" w:cs="Times New Roman"/>
          <w:color w:val="000000" w:themeColor="text1"/>
        </w:rPr>
        <w:lastRenderedPageBreak/>
        <w:t>community relations. This supports the view that shared-value CSR enhances both community wellbeing and corporate reputation (Porter et al., 2021).</w:t>
      </w:r>
    </w:p>
    <w:p w14:paraId="0FC4B61C" w14:textId="5972DE39" w:rsidR="587E0B56" w:rsidRDefault="587E0B56" w:rsidP="00341AF8">
      <w:pPr>
        <w:spacing w:before="240" w:after="240" w:line="360" w:lineRule="auto"/>
        <w:jc w:val="both"/>
      </w:pPr>
      <w:r w:rsidRPr="44A109B2">
        <w:rPr>
          <w:rFonts w:ascii="Times New Roman" w:eastAsia="Times New Roman" w:hAnsi="Times New Roman" w:cs="Times New Roman"/>
          <w:color w:val="000000" w:themeColor="text1"/>
        </w:rPr>
        <w:t>Second, respondents consistently identified gaps in long-term sustainability, participation, and communication. This is consistent with literature noting that while CSR initiatives in African extractive regions often generate visible benefits, they sometimes fail to embed strong community ownership or co-creation mechanisms (Ameyaw &amp; Parnell, 2020; Abubakar et al., 2024). The limited involvement of the Sanzule community in planning CSR projects reflects a broader challenge where communities are beneficiaries rather than partners. A shared-value approach requires deeper collaboration, capacity building, and participatory development frameworks.</w:t>
      </w:r>
    </w:p>
    <w:p w14:paraId="3525590A" w14:textId="72C66033" w:rsidR="587E0B56" w:rsidRDefault="587E0B56" w:rsidP="00341AF8">
      <w:pPr>
        <w:spacing w:before="240" w:after="240" w:line="360" w:lineRule="auto"/>
        <w:jc w:val="both"/>
      </w:pPr>
      <w:r w:rsidRPr="44A109B2">
        <w:rPr>
          <w:rFonts w:ascii="Times New Roman" w:eastAsia="Times New Roman" w:hAnsi="Times New Roman" w:cs="Times New Roman"/>
          <w:color w:val="000000" w:themeColor="text1"/>
        </w:rPr>
        <w:t>Third, concerns about environmental risks and the adequacy of mitigation measures reflect the growing demand for environmentally responsible energy production. Recent studies emphasize that host communities expect CSR initiatives not only to offset negative environmental impacts but also to integrate climate resilience and green development strategies (Quartey &amp; Afful-Dadzie, 2022; Bawakyillenuo et al., 2024). ENI’s environmental programs—though acknowledged—appear to require greater visibility and transparency to strengthen public confidence.</w:t>
      </w:r>
    </w:p>
    <w:p w14:paraId="39472BD2" w14:textId="2B22F94E" w:rsidR="587E0B56" w:rsidRDefault="587E0B56" w:rsidP="00341AF8">
      <w:pPr>
        <w:spacing w:before="240" w:after="240" w:line="360" w:lineRule="auto"/>
        <w:jc w:val="both"/>
      </w:pPr>
      <w:r w:rsidRPr="44A109B2">
        <w:rPr>
          <w:rFonts w:ascii="Times New Roman" w:eastAsia="Times New Roman" w:hAnsi="Times New Roman" w:cs="Times New Roman"/>
          <w:color w:val="000000" w:themeColor="text1"/>
        </w:rPr>
        <w:t>Fourth, the findings underscore the need for CSR alignment with national development frameworks, including Ghana’s Medium-Term Development Policy Framework and SDG commitments. Between 2020 and 2025, research has emphasized the strategic importance of aligning corporate initiatives with government priorities to ensure policy coherence and avoid project fragmentation (Osei-Tutu et al., 2021; Aglobitse, 2023). The Sanzule case illustrates positive contributions in education and health but also reveals opportunities for deeper alignment with decentralized development planning.</w:t>
      </w:r>
    </w:p>
    <w:p w14:paraId="7416C947" w14:textId="0FE9D646" w:rsidR="587E0B56" w:rsidRDefault="587E0B56" w:rsidP="00341AF8">
      <w:pPr>
        <w:spacing w:before="240" w:after="240" w:line="360" w:lineRule="auto"/>
        <w:jc w:val="both"/>
      </w:pPr>
      <w:r w:rsidRPr="44A109B2">
        <w:rPr>
          <w:rFonts w:ascii="Times New Roman" w:eastAsia="Times New Roman" w:hAnsi="Times New Roman" w:cs="Times New Roman"/>
          <w:color w:val="000000" w:themeColor="text1"/>
        </w:rPr>
        <w:t>Finally, the strong community preference for livelihood support, youth empowerment, and infrastructure investment reflects global post-2020 CSR priorities, where corporations are expected to promote resilience, reduce inequalities, and enhance community self-reliance (UNDP, 2021; OECD, 2022). ENI’s ongoing efforts in these areas demonstrate progress, yet the data suggests that scaling up these interventions—particularly through public–private–community partnerships—would enhance long-term value creation for Sanzule.</w:t>
      </w:r>
    </w:p>
    <w:p w14:paraId="283C2922" w14:textId="70CEA6E3" w:rsidR="46125EC3" w:rsidRPr="006F697F" w:rsidRDefault="34640BF0" w:rsidP="00341AF8">
      <w:pPr>
        <w:spacing w:before="240" w:after="240" w:line="360" w:lineRule="auto"/>
        <w:jc w:val="both"/>
      </w:pPr>
      <w:r w:rsidRPr="46125EC3">
        <w:rPr>
          <w:rFonts w:ascii="Times New Roman" w:eastAsia="Times New Roman" w:hAnsi="Times New Roman" w:cs="Times New Roman"/>
          <w:color w:val="000000" w:themeColor="text1"/>
        </w:rPr>
        <w:lastRenderedPageBreak/>
        <w:t>Overall, the discussion reveals that ENI Ghana’s CSR strategy is broadly consistent with contemporary shared-value principles, but must deepen participation, strengthen sustainability mechanisms, and integrate more robust environmental and livelihood-focused components to maximize developmental impact.</w:t>
      </w:r>
    </w:p>
    <w:p w14:paraId="21839B29" w14:textId="731F1A82" w:rsidR="35D4DA91" w:rsidRPr="008C20CB" w:rsidRDefault="35D4DA91" w:rsidP="00341AF8">
      <w:pPr>
        <w:pStyle w:val="Heading1"/>
        <w:spacing w:before="322" w:after="322" w:line="360" w:lineRule="auto"/>
        <w:jc w:val="both"/>
        <w:rPr>
          <w:sz w:val="22"/>
          <w:szCs w:val="22"/>
        </w:rPr>
      </w:pPr>
      <w:r w:rsidRPr="008C20CB">
        <w:rPr>
          <w:rFonts w:ascii="Times New Roman" w:eastAsia="Times New Roman" w:hAnsi="Times New Roman" w:cs="Times New Roman"/>
          <w:b/>
          <w:bCs/>
          <w:color w:val="000000" w:themeColor="text1"/>
          <w:sz w:val="28"/>
          <w:szCs w:val="28"/>
        </w:rPr>
        <w:t xml:space="preserve">6.0 Conclusion </w:t>
      </w:r>
    </w:p>
    <w:p w14:paraId="5A066A16" w14:textId="3414DA8A" w:rsidR="35D4DA91" w:rsidRDefault="35D4DA91" w:rsidP="00341AF8">
      <w:pPr>
        <w:spacing w:before="240" w:after="240" w:line="360" w:lineRule="auto"/>
        <w:jc w:val="both"/>
      </w:pPr>
      <w:r w:rsidRPr="44A109B2">
        <w:rPr>
          <w:rFonts w:ascii="Times New Roman" w:eastAsia="Times New Roman" w:hAnsi="Times New Roman" w:cs="Times New Roman"/>
          <w:color w:val="000000" w:themeColor="text1"/>
        </w:rPr>
        <w:t>This study examined the transformation of corporate social responsibility (CSR) from traditional philanthropic models to shared-value approaches in Sanzule, Ghana, with a specific focus on ENI Ghana’s interventions. The findings demonstrate that while philanthropic initiatives such as community donations and infrastructure support remain relevant, communities increasingly value CSR initiatives that promote long-term development, livelihood enhancement, skill-building, and environmental sustainability. This aligns with recent scholarship arguing that CSR in extractive regions must evolve to incorporate co-creation, participatory governance, and measurable development outcomes (Ayentimi &amp; Burgess, 2023; Mensah et al., 2022).</w:t>
      </w:r>
    </w:p>
    <w:p w14:paraId="6EE3C10F" w14:textId="69B2EEB1" w:rsidR="35D4DA91" w:rsidRDefault="35D4DA91" w:rsidP="00341AF8">
      <w:pPr>
        <w:spacing w:before="240" w:after="240" w:line="360" w:lineRule="auto"/>
        <w:jc w:val="both"/>
      </w:pPr>
      <w:r w:rsidRPr="44A109B2">
        <w:rPr>
          <w:rFonts w:ascii="Times New Roman" w:eastAsia="Times New Roman" w:hAnsi="Times New Roman" w:cs="Times New Roman"/>
          <w:color w:val="000000" w:themeColor="text1"/>
        </w:rPr>
        <w:t xml:space="preserve">Community responses indicated strong appreciation for ENI’s health, education, water, and youth empowerment initiatives, reaffirming that strategic CSR can enhance both social </w:t>
      </w:r>
      <w:proofErr w:type="gramStart"/>
      <w:r w:rsidRPr="44A109B2">
        <w:rPr>
          <w:rFonts w:ascii="Times New Roman" w:eastAsia="Times New Roman" w:hAnsi="Times New Roman" w:cs="Times New Roman"/>
          <w:color w:val="000000" w:themeColor="text1"/>
        </w:rPr>
        <w:t>licence</w:t>
      </w:r>
      <w:proofErr w:type="gramEnd"/>
      <w:r w:rsidRPr="44A109B2">
        <w:rPr>
          <w:rFonts w:ascii="Times New Roman" w:eastAsia="Times New Roman" w:hAnsi="Times New Roman" w:cs="Times New Roman"/>
          <w:color w:val="000000" w:themeColor="text1"/>
        </w:rPr>
        <w:t xml:space="preserve"> to operate and community wellbeing (Porter et al., 2021). However, gaps in community participation, sustainability planning, and transparency were evident. These findings mirror broader concerns that CSR in African extractive contexts often remains top-down and insufficiently integrated into local development frameworks (Ameyaw &amp; Parnell, 2020; Aglobitse, 2023).</w:t>
      </w:r>
    </w:p>
    <w:p w14:paraId="764A374C" w14:textId="00C84C7E" w:rsidR="35D4DA91" w:rsidRDefault="35D4DA91" w:rsidP="00341AF8">
      <w:pPr>
        <w:spacing w:before="240" w:after="240" w:line="360" w:lineRule="auto"/>
        <w:jc w:val="both"/>
      </w:pPr>
      <w:r w:rsidRPr="44A109B2">
        <w:rPr>
          <w:rFonts w:ascii="Times New Roman" w:eastAsia="Times New Roman" w:hAnsi="Times New Roman" w:cs="Times New Roman"/>
          <w:color w:val="000000" w:themeColor="text1"/>
        </w:rPr>
        <w:t>Furthermore, the study showed that environmental concerns—particularly pollution and ecosystem disruption—remain central to community perceptions of energy-sector CSR. The need for stronger environmental accountability resonates with contemporary global priorities emphasizing climate resilience and green development (Bawakyillenuo et al., 2024; Quartey &amp; Afful-Dadzie, 2022).</w:t>
      </w:r>
    </w:p>
    <w:p w14:paraId="3E44B189" w14:textId="0044FC66" w:rsidR="35D4DA91" w:rsidRDefault="35D4DA91" w:rsidP="00341AF8">
      <w:pPr>
        <w:spacing w:before="240" w:after="240" w:line="360" w:lineRule="auto"/>
        <w:jc w:val="both"/>
      </w:pPr>
      <w:r w:rsidRPr="44A109B2">
        <w:rPr>
          <w:rFonts w:ascii="Times New Roman" w:eastAsia="Times New Roman" w:hAnsi="Times New Roman" w:cs="Times New Roman"/>
          <w:color w:val="000000" w:themeColor="text1"/>
        </w:rPr>
        <w:t>Overall, the evidence suggests that ENI Ghana has made significant progress in shifting toward shared-value CSR, but deeper community involvement, stronger environmental safeguards, and alignment with national SDG frameworks are essential for maximizing long-term benefits. Transformative CSR in Sanzule requires moving beyond episodic philanthropy toward participatory, inclusive, and impact-driven approaches.</w:t>
      </w:r>
    </w:p>
    <w:p w14:paraId="1D985804" w14:textId="0BB8F082" w:rsidR="44A109B2" w:rsidRDefault="44A109B2" w:rsidP="00341AF8">
      <w:pPr>
        <w:spacing w:line="360" w:lineRule="auto"/>
        <w:jc w:val="both"/>
      </w:pPr>
    </w:p>
    <w:p w14:paraId="36100399" w14:textId="77777777" w:rsidR="008C20CB" w:rsidRDefault="008C20CB" w:rsidP="00341AF8">
      <w:pPr>
        <w:spacing w:before="240" w:after="240" w:line="360" w:lineRule="auto"/>
        <w:jc w:val="both"/>
        <w:rPr>
          <w:rFonts w:ascii="Times New Roman" w:eastAsia="Times New Roman" w:hAnsi="Times New Roman" w:cs="Times New Roman"/>
          <w:color w:val="000000" w:themeColor="text1"/>
        </w:rPr>
      </w:pPr>
    </w:p>
    <w:p w14:paraId="45FD0319" w14:textId="77777777" w:rsidR="008C20CB" w:rsidRDefault="008C20CB" w:rsidP="00341AF8">
      <w:pPr>
        <w:spacing w:before="240" w:after="240" w:line="360" w:lineRule="auto"/>
        <w:jc w:val="both"/>
        <w:rPr>
          <w:rFonts w:ascii="Times New Roman" w:eastAsia="Times New Roman" w:hAnsi="Times New Roman" w:cs="Times New Roman"/>
          <w:color w:val="000000" w:themeColor="text1"/>
        </w:rPr>
      </w:pPr>
    </w:p>
    <w:p w14:paraId="64FBA781" w14:textId="77777777" w:rsidR="008C20CB" w:rsidRDefault="008C20CB" w:rsidP="00341AF8">
      <w:pPr>
        <w:spacing w:before="240" w:after="240" w:line="360" w:lineRule="auto"/>
        <w:jc w:val="both"/>
        <w:rPr>
          <w:rFonts w:ascii="Times New Roman" w:eastAsia="Times New Roman" w:hAnsi="Times New Roman" w:cs="Times New Roman"/>
          <w:color w:val="000000" w:themeColor="text1"/>
        </w:rPr>
      </w:pPr>
    </w:p>
    <w:p w14:paraId="6D423562" w14:textId="77777777" w:rsidR="008C20CB" w:rsidRDefault="008C20CB" w:rsidP="00341AF8">
      <w:pPr>
        <w:spacing w:before="240" w:after="240" w:line="360" w:lineRule="auto"/>
        <w:jc w:val="both"/>
        <w:rPr>
          <w:rFonts w:ascii="Times New Roman" w:eastAsia="Times New Roman" w:hAnsi="Times New Roman" w:cs="Times New Roman"/>
          <w:color w:val="000000" w:themeColor="text1"/>
        </w:rPr>
      </w:pPr>
    </w:p>
    <w:p w14:paraId="7AD7EE5A" w14:textId="077722AF" w:rsidR="002542CD" w:rsidRDefault="002F3099" w:rsidP="00341AF8">
      <w:pPr>
        <w:spacing w:before="240" w:after="240" w:line="360" w:lineRule="auto"/>
        <w:jc w:val="both"/>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LIST OF REFERENCE</w:t>
      </w:r>
    </w:p>
    <w:p w14:paraId="23CFC327" w14:textId="77777777" w:rsidR="00B0019D" w:rsidRDefault="00B0019D" w:rsidP="00341AF8">
      <w:pPr>
        <w:pStyle w:val="NormalWeb"/>
        <w:spacing w:line="360" w:lineRule="auto"/>
        <w:ind w:left="993" w:hanging="993"/>
        <w:rPr>
          <w:color w:val="000000"/>
        </w:rPr>
      </w:pPr>
      <w:r>
        <w:rPr>
          <w:color w:val="000000"/>
        </w:rPr>
        <w:t xml:space="preserve">Abel, K., &amp; </w:t>
      </w:r>
      <w:proofErr w:type="spellStart"/>
      <w:r>
        <w:rPr>
          <w:color w:val="000000"/>
        </w:rPr>
        <w:t>Chibomba</w:t>
      </w:r>
      <w:proofErr w:type="spellEnd"/>
      <w:r>
        <w:rPr>
          <w:color w:val="000000"/>
        </w:rPr>
        <w:t xml:space="preserve">, D. (2025). Examining the effectiveness of corporate social responsibility on community development by mining companies: A case study of </w:t>
      </w:r>
      <w:proofErr w:type="spellStart"/>
      <w:r>
        <w:rPr>
          <w:color w:val="000000"/>
        </w:rPr>
        <w:t>Kansanshi</w:t>
      </w:r>
      <w:proofErr w:type="spellEnd"/>
      <w:r>
        <w:rPr>
          <w:color w:val="000000"/>
        </w:rPr>
        <w:t xml:space="preserve"> Mine on community health in </w:t>
      </w:r>
      <w:proofErr w:type="spellStart"/>
      <w:r>
        <w:rPr>
          <w:color w:val="000000"/>
        </w:rPr>
        <w:t>Solwezi</w:t>
      </w:r>
      <w:proofErr w:type="spellEnd"/>
      <w:r>
        <w:rPr>
          <w:color w:val="000000"/>
        </w:rPr>
        <w:t xml:space="preserve"> District.</w:t>
      </w:r>
      <w:r>
        <w:rPr>
          <w:rStyle w:val="apple-converted-space"/>
          <w:rFonts w:eastAsiaTheme="majorEastAsia"/>
          <w:color w:val="000000"/>
        </w:rPr>
        <w:t> </w:t>
      </w:r>
      <w:r>
        <w:rPr>
          <w:rStyle w:val="Emphasis"/>
          <w:rFonts w:eastAsiaTheme="majorEastAsia"/>
          <w:color w:val="000000"/>
        </w:rPr>
        <w:t>International Journal of Advanced Multidisciplinary Research and Studies, 5</w:t>
      </w:r>
      <w:r>
        <w:rPr>
          <w:color w:val="000000"/>
        </w:rPr>
        <w:t>(3), 1–12.</w:t>
      </w:r>
    </w:p>
    <w:p w14:paraId="603220B3" w14:textId="77777777" w:rsidR="00B0019D" w:rsidRDefault="00B0019D" w:rsidP="00341AF8">
      <w:pPr>
        <w:pStyle w:val="NormalWeb"/>
        <w:spacing w:line="360" w:lineRule="auto"/>
        <w:ind w:left="993" w:hanging="993"/>
        <w:rPr>
          <w:color w:val="000000"/>
        </w:rPr>
      </w:pPr>
      <w:proofErr w:type="spellStart"/>
      <w:r>
        <w:rPr>
          <w:color w:val="000000"/>
        </w:rPr>
        <w:t>Abidin</w:t>
      </w:r>
      <w:proofErr w:type="spellEnd"/>
      <w:r>
        <w:rPr>
          <w:color w:val="000000"/>
        </w:rPr>
        <w:t xml:space="preserve">, Z., Jalal, J., &amp; </w:t>
      </w:r>
      <w:proofErr w:type="spellStart"/>
      <w:r>
        <w:rPr>
          <w:color w:val="000000"/>
        </w:rPr>
        <w:t>Sodiq</w:t>
      </w:r>
      <w:proofErr w:type="spellEnd"/>
      <w:r>
        <w:rPr>
          <w:color w:val="000000"/>
        </w:rPr>
        <w:t>, A. (2025). The five tiers of corporate social responsibility (CSR): From risk management to social business.</w:t>
      </w:r>
      <w:r>
        <w:rPr>
          <w:rStyle w:val="apple-converted-space"/>
          <w:rFonts w:eastAsiaTheme="majorEastAsia"/>
          <w:color w:val="000000"/>
        </w:rPr>
        <w:t> </w:t>
      </w:r>
      <w:r>
        <w:rPr>
          <w:rStyle w:val="Emphasis"/>
          <w:rFonts w:eastAsiaTheme="majorEastAsia"/>
          <w:color w:val="000000"/>
        </w:rPr>
        <w:t>Social Responsibility Journal</w:t>
      </w:r>
      <w:r>
        <w:rPr>
          <w:color w:val="000000"/>
        </w:rPr>
        <w:t>. Advance online publication.</w:t>
      </w:r>
    </w:p>
    <w:p w14:paraId="41BF2B7E" w14:textId="77777777" w:rsidR="00B0019D" w:rsidRDefault="00B0019D" w:rsidP="00341AF8">
      <w:pPr>
        <w:pStyle w:val="NormalWeb"/>
        <w:spacing w:line="360" w:lineRule="auto"/>
        <w:ind w:left="993" w:hanging="993"/>
        <w:rPr>
          <w:color w:val="000000"/>
        </w:rPr>
      </w:pPr>
      <w:r>
        <w:rPr>
          <w:color w:val="000000"/>
        </w:rPr>
        <w:t>Abubakar, I., Yakubu, K., &amp; Abdul-Rahman, M. (2024). Corporate–community relations and sustainable development in oil-producing areas of West Africa.</w:t>
      </w:r>
      <w:r>
        <w:rPr>
          <w:rStyle w:val="apple-converted-space"/>
          <w:rFonts w:eastAsiaTheme="majorEastAsia"/>
          <w:color w:val="000000"/>
        </w:rPr>
        <w:t> </w:t>
      </w:r>
      <w:r>
        <w:rPr>
          <w:rStyle w:val="Emphasis"/>
          <w:rFonts w:eastAsiaTheme="majorEastAsia"/>
          <w:color w:val="000000"/>
        </w:rPr>
        <w:t>Journal of Sustainable Development in Africa, 26</w:t>
      </w:r>
      <w:r>
        <w:rPr>
          <w:color w:val="000000"/>
        </w:rPr>
        <w:t>(1), 45–62.</w:t>
      </w:r>
    </w:p>
    <w:p w14:paraId="577C0516" w14:textId="77777777" w:rsidR="00B0019D" w:rsidRDefault="00B0019D" w:rsidP="00341AF8">
      <w:pPr>
        <w:pStyle w:val="NormalWeb"/>
        <w:spacing w:line="360" w:lineRule="auto"/>
        <w:ind w:left="993" w:hanging="993"/>
        <w:rPr>
          <w:color w:val="000000"/>
        </w:rPr>
      </w:pPr>
      <w:r>
        <w:rPr>
          <w:color w:val="000000"/>
        </w:rPr>
        <w:t xml:space="preserve">Aboagye, A., Mensah, J., &amp; </w:t>
      </w:r>
      <w:proofErr w:type="spellStart"/>
      <w:r>
        <w:rPr>
          <w:color w:val="000000"/>
        </w:rPr>
        <w:t>Asare</w:t>
      </w:r>
      <w:proofErr w:type="spellEnd"/>
      <w:r>
        <w:rPr>
          <w:color w:val="000000"/>
        </w:rPr>
        <w:t>, K. (2022). Oil and gas operations and community livelihoods in Ghana: Environmental risks and corporate responsibilities.</w:t>
      </w:r>
      <w:r>
        <w:rPr>
          <w:rStyle w:val="apple-converted-space"/>
          <w:rFonts w:eastAsiaTheme="majorEastAsia"/>
          <w:color w:val="000000"/>
        </w:rPr>
        <w:t> </w:t>
      </w:r>
      <w:r>
        <w:rPr>
          <w:rStyle w:val="Emphasis"/>
          <w:rFonts w:eastAsiaTheme="majorEastAsia"/>
          <w:color w:val="000000"/>
        </w:rPr>
        <w:t>Energy Policy, 167</w:t>
      </w:r>
      <w:r>
        <w:rPr>
          <w:color w:val="000000"/>
        </w:rPr>
        <w:t>, 113052.</w:t>
      </w:r>
    </w:p>
    <w:p w14:paraId="2BE6BBA0" w14:textId="77777777" w:rsidR="00B0019D" w:rsidRDefault="00B0019D" w:rsidP="00341AF8">
      <w:pPr>
        <w:pStyle w:val="NormalWeb"/>
        <w:spacing w:line="360" w:lineRule="auto"/>
        <w:ind w:left="993" w:hanging="993"/>
        <w:rPr>
          <w:color w:val="000000"/>
        </w:rPr>
      </w:pPr>
      <w:r>
        <w:rPr>
          <w:color w:val="000000"/>
        </w:rPr>
        <w:t>Acheampong, E., &amp; Sayer, J. (2022). Corporate social responsibility in extractive communities: Emerging trends and long-term implications.</w:t>
      </w:r>
      <w:r>
        <w:rPr>
          <w:rStyle w:val="apple-converted-space"/>
          <w:rFonts w:eastAsiaTheme="majorEastAsia"/>
          <w:color w:val="000000"/>
        </w:rPr>
        <w:t> </w:t>
      </w:r>
      <w:r>
        <w:rPr>
          <w:rStyle w:val="Emphasis"/>
          <w:rFonts w:eastAsiaTheme="majorEastAsia"/>
          <w:color w:val="000000"/>
        </w:rPr>
        <w:t>Journal of Sustainable Development in Africa, 24</w:t>
      </w:r>
      <w:r>
        <w:rPr>
          <w:color w:val="000000"/>
        </w:rPr>
        <w:t>(3), 45–62.</w:t>
      </w:r>
    </w:p>
    <w:p w14:paraId="6E152940" w14:textId="77777777" w:rsidR="00B0019D" w:rsidRDefault="00B0019D" w:rsidP="00341AF8">
      <w:pPr>
        <w:pStyle w:val="NormalWeb"/>
        <w:spacing w:line="360" w:lineRule="auto"/>
        <w:ind w:left="993" w:hanging="993"/>
        <w:rPr>
          <w:color w:val="000000"/>
        </w:rPr>
      </w:pPr>
      <w:r>
        <w:rPr>
          <w:color w:val="000000"/>
        </w:rPr>
        <w:t>Acheampong, M., &amp; Sayer, J. (2022). Transformative corporate responsibility in Africa’s extractive sector.</w:t>
      </w:r>
      <w:r>
        <w:rPr>
          <w:rStyle w:val="apple-converted-space"/>
          <w:rFonts w:eastAsiaTheme="majorEastAsia"/>
          <w:color w:val="000000"/>
        </w:rPr>
        <w:t> </w:t>
      </w:r>
      <w:r>
        <w:rPr>
          <w:rStyle w:val="Emphasis"/>
          <w:rFonts w:eastAsiaTheme="majorEastAsia"/>
          <w:color w:val="000000"/>
        </w:rPr>
        <w:t>Sustainability, 14</w:t>
      </w:r>
      <w:r>
        <w:rPr>
          <w:color w:val="000000"/>
        </w:rPr>
        <w:t>(6), 3452.</w:t>
      </w:r>
    </w:p>
    <w:p w14:paraId="3F371E07" w14:textId="77777777" w:rsidR="00B0019D" w:rsidRDefault="00B0019D" w:rsidP="00341AF8">
      <w:pPr>
        <w:pStyle w:val="NormalWeb"/>
        <w:spacing w:line="360" w:lineRule="auto"/>
        <w:ind w:left="993" w:hanging="993"/>
        <w:rPr>
          <w:color w:val="000000"/>
        </w:rPr>
      </w:pPr>
      <w:proofErr w:type="spellStart"/>
      <w:r>
        <w:rPr>
          <w:color w:val="000000"/>
        </w:rPr>
        <w:t>Achyemang</w:t>
      </w:r>
      <w:proofErr w:type="spellEnd"/>
      <w:r>
        <w:rPr>
          <w:color w:val="000000"/>
        </w:rPr>
        <w:t xml:space="preserve">, F., &amp; </w:t>
      </w:r>
      <w:proofErr w:type="spellStart"/>
      <w:r>
        <w:rPr>
          <w:color w:val="000000"/>
        </w:rPr>
        <w:t>Ackah</w:t>
      </w:r>
      <w:proofErr w:type="spellEnd"/>
      <w:r>
        <w:rPr>
          <w:color w:val="000000"/>
        </w:rPr>
        <w:t>-Baidoo, P. (2023). Local expectations and the evolving nature of CSR in Ghana’s extractive sector.</w:t>
      </w:r>
      <w:r>
        <w:rPr>
          <w:rStyle w:val="apple-converted-space"/>
          <w:rFonts w:eastAsiaTheme="majorEastAsia"/>
          <w:color w:val="000000"/>
        </w:rPr>
        <w:t> </w:t>
      </w:r>
      <w:r>
        <w:rPr>
          <w:rStyle w:val="Emphasis"/>
          <w:rFonts w:eastAsiaTheme="majorEastAsia"/>
          <w:color w:val="000000"/>
        </w:rPr>
        <w:t>Resources Policy, 82</w:t>
      </w:r>
      <w:r>
        <w:rPr>
          <w:color w:val="000000"/>
        </w:rPr>
        <w:t>, 103121.</w:t>
      </w:r>
    </w:p>
    <w:p w14:paraId="082851E2" w14:textId="77777777" w:rsidR="00B0019D" w:rsidRDefault="00B0019D" w:rsidP="00341AF8">
      <w:pPr>
        <w:pStyle w:val="NormalWeb"/>
        <w:spacing w:line="360" w:lineRule="auto"/>
        <w:ind w:left="993" w:hanging="993"/>
        <w:rPr>
          <w:color w:val="000000"/>
        </w:rPr>
      </w:pPr>
      <w:r>
        <w:rPr>
          <w:color w:val="000000"/>
        </w:rPr>
        <w:lastRenderedPageBreak/>
        <w:t xml:space="preserve">Adebayo, Y. A., </w:t>
      </w:r>
      <w:proofErr w:type="spellStart"/>
      <w:r>
        <w:rPr>
          <w:color w:val="000000"/>
        </w:rPr>
        <w:t>Ikevuje</w:t>
      </w:r>
      <w:proofErr w:type="spellEnd"/>
      <w:r>
        <w:rPr>
          <w:color w:val="000000"/>
        </w:rPr>
        <w:t xml:space="preserve">, A. H., Kwakye, J. M., &amp; </w:t>
      </w:r>
      <w:proofErr w:type="spellStart"/>
      <w:r>
        <w:rPr>
          <w:color w:val="000000"/>
        </w:rPr>
        <w:t>Esiri</w:t>
      </w:r>
      <w:proofErr w:type="spellEnd"/>
      <w:r>
        <w:rPr>
          <w:color w:val="000000"/>
        </w:rPr>
        <w:t>, A. E. (2024). Corporate social responsibility in oil and gas: Balancing business growth and environmental sustainability.</w:t>
      </w:r>
      <w:r>
        <w:rPr>
          <w:rStyle w:val="apple-converted-space"/>
          <w:rFonts w:eastAsiaTheme="majorEastAsia"/>
          <w:color w:val="000000"/>
        </w:rPr>
        <w:t> </w:t>
      </w:r>
      <w:r>
        <w:rPr>
          <w:rStyle w:val="Emphasis"/>
          <w:rFonts w:eastAsiaTheme="majorEastAsia"/>
          <w:color w:val="000000"/>
        </w:rPr>
        <w:t>GSC Advanced Research and Reviews, 20</w:t>
      </w:r>
      <w:r>
        <w:rPr>
          <w:color w:val="000000"/>
        </w:rPr>
        <w:t>(3), 246–266.</w:t>
      </w:r>
    </w:p>
    <w:p w14:paraId="1D081857" w14:textId="77777777" w:rsidR="00B0019D" w:rsidRDefault="00B0019D" w:rsidP="00341AF8">
      <w:pPr>
        <w:pStyle w:val="NormalWeb"/>
        <w:spacing w:line="360" w:lineRule="auto"/>
        <w:ind w:left="993" w:hanging="993"/>
        <w:rPr>
          <w:color w:val="000000"/>
        </w:rPr>
      </w:pPr>
      <w:proofErr w:type="spellStart"/>
      <w:r>
        <w:rPr>
          <w:color w:val="000000"/>
        </w:rPr>
        <w:t>Aglobitse</w:t>
      </w:r>
      <w:proofErr w:type="spellEnd"/>
      <w:r>
        <w:rPr>
          <w:color w:val="000000"/>
        </w:rPr>
        <w:t>, P. (2023). Aligning CSR with national development frameworks: Evidence from Ghana’s extractive sector.</w:t>
      </w:r>
      <w:r>
        <w:rPr>
          <w:rStyle w:val="apple-converted-space"/>
          <w:rFonts w:eastAsiaTheme="majorEastAsia"/>
          <w:color w:val="000000"/>
        </w:rPr>
        <w:t> </w:t>
      </w:r>
      <w:r>
        <w:rPr>
          <w:rStyle w:val="Emphasis"/>
          <w:rFonts w:eastAsiaTheme="majorEastAsia"/>
          <w:color w:val="000000"/>
        </w:rPr>
        <w:t>Development Policy Review, 41</w:t>
      </w:r>
      <w:r>
        <w:rPr>
          <w:color w:val="000000"/>
        </w:rPr>
        <w:t>(3), e12623.</w:t>
      </w:r>
    </w:p>
    <w:p w14:paraId="1F213C71" w14:textId="77777777" w:rsidR="00B0019D" w:rsidRDefault="00B0019D" w:rsidP="00341AF8">
      <w:pPr>
        <w:pStyle w:val="NormalWeb"/>
        <w:spacing w:line="360" w:lineRule="auto"/>
        <w:ind w:left="993" w:hanging="993"/>
        <w:rPr>
          <w:color w:val="000000"/>
        </w:rPr>
      </w:pPr>
      <w:r>
        <w:rPr>
          <w:color w:val="000000"/>
        </w:rPr>
        <w:t xml:space="preserve">Agyapong, D., Owusu, R., &amp; </w:t>
      </w:r>
      <w:proofErr w:type="spellStart"/>
      <w:r>
        <w:rPr>
          <w:color w:val="000000"/>
        </w:rPr>
        <w:t>Kusi</w:t>
      </w:r>
      <w:proofErr w:type="spellEnd"/>
      <w:r>
        <w:rPr>
          <w:color w:val="000000"/>
        </w:rPr>
        <w:t>, K. (2022a). CSR and community resilience in oil-producing areas of Ghana.</w:t>
      </w:r>
      <w:r>
        <w:rPr>
          <w:rStyle w:val="apple-converted-space"/>
          <w:rFonts w:eastAsiaTheme="majorEastAsia"/>
          <w:color w:val="000000"/>
        </w:rPr>
        <w:t> </w:t>
      </w:r>
      <w:r>
        <w:rPr>
          <w:rStyle w:val="Emphasis"/>
          <w:rFonts w:eastAsiaTheme="majorEastAsia"/>
          <w:color w:val="000000"/>
        </w:rPr>
        <w:t>Journal of Cleaner Production, 330</w:t>
      </w:r>
      <w:r>
        <w:rPr>
          <w:color w:val="000000"/>
        </w:rPr>
        <w:t>, 129775.</w:t>
      </w:r>
    </w:p>
    <w:p w14:paraId="32173A08" w14:textId="77777777" w:rsidR="00B0019D" w:rsidRDefault="00B0019D" w:rsidP="00341AF8">
      <w:pPr>
        <w:pStyle w:val="NormalWeb"/>
        <w:spacing w:line="360" w:lineRule="auto"/>
        <w:ind w:left="993" w:hanging="993"/>
        <w:rPr>
          <w:color w:val="000000"/>
        </w:rPr>
      </w:pPr>
      <w:r>
        <w:rPr>
          <w:color w:val="000000"/>
        </w:rPr>
        <w:t xml:space="preserve">Agyapong, D., Owusu, R., &amp; </w:t>
      </w:r>
      <w:proofErr w:type="spellStart"/>
      <w:r>
        <w:rPr>
          <w:color w:val="000000"/>
        </w:rPr>
        <w:t>Kusi</w:t>
      </w:r>
      <w:proofErr w:type="spellEnd"/>
      <w:r>
        <w:rPr>
          <w:color w:val="000000"/>
        </w:rPr>
        <w:t>, K. (2022b). Transformative CSR in extractive industries: Shared value creation in Ghanaian oil-producing communities.</w:t>
      </w:r>
      <w:r>
        <w:rPr>
          <w:rStyle w:val="apple-converted-space"/>
          <w:rFonts w:eastAsiaTheme="majorEastAsia"/>
          <w:color w:val="000000"/>
        </w:rPr>
        <w:t> </w:t>
      </w:r>
      <w:r>
        <w:rPr>
          <w:rStyle w:val="Emphasis"/>
          <w:rFonts w:eastAsiaTheme="majorEastAsia"/>
          <w:color w:val="000000"/>
        </w:rPr>
        <w:t>Sustainability, 14</w:t>
      </w:r>
      <w:r>
        <w:rPr>
          <w:color w:val="000000"/>
        </w:rPr>
        <w:t>(5), 2803.</w:t>
      </w:r>
    </w:p>
    <w:p w14:paraId="24DAF191" w14:textId="77777777" w:rsidR="00B0019D" w:rsidRDefault="00B0019D" w:rsidP="00341AF8">
      <w:pPr>
        <w:pStyle w:val="NormalWeb"/>
        <w:spacing w:line="360" w:lineRule="auto"/>
        <w:ind w:left="993" w:hanging="993"/>
        <w:rPr>
          <w:color w:val="000000"/>
        </w:rPr>
      </w:pPr>
      <w:r>
        <w:rPr>
          <w:color w:val="000000"/>
        </w:rPr>
        <w:t>Agyeman, K. (2022). Coastal environmental management and community participation in Ghana.</w:t>
      </w:r>
      <w:r>
        <w:rPr>
          <w:rStyle w:val="apple-converted-space"/>
          <w:rFonts w:eastAsiaTheme="majorEastAsia"/>
          <w:color w:val="000000"/>
        </w:rPr>
        <w:t> </w:t>
      </w:r>
      <w:r>
        <w:rPr>
          <w:rStyle w:val="Emphasis"/>
          <w:rFonts w:eastAsiaTheme="majorEastAsia"/>
          <w:color w:val="000000"/>
        </w:rPr>
        <w:t>Environment, Development and Sustainability, 24</w:t>
      </w:r>
      <w:r>
        <w:rPr>
          <w:color w:val="000000"/>
        </w:rPr>
        <w:t>(1), 112–129.</w:t>
      </w:r>
    </w:p>
    <w:p w14:paraId="6A41F947" w14:textId="77777777" w:rsidR="00B0019D" w:rsidRDefault="00B0019D" w:rsidP="00341AF8">
      <w:pPr>
        <w:pStyle w:val="NormalWeb"/>
        <w:spacing w:line="360" w:lineRule="auto"/>
        <w:ind w:left="993" w:hanging="993"/>
        <w:rPr>
          <w:color w:val="000000"/>
        </w:rPr>
      </w:pPr>
      <w:r>
        <w:rPr>
          <w:color w:val="000000"/>
        </w:rPr>
        <w:t>Agyemang, G., Ofori, D., &amp; Agyapong, A. (2024). Participatory CSR and community co-creation in African extractive regions.</w:t>
      </w:r>
      <w:r>
        <w:rPr>
          <w:rStyle w:val="apple-converted-space"/>
          <w:rFonts w:eastAsiaTheme="majorEastAsia"/>
          <w:color w:val="000000"/>
        </w:rPr>
        <w:t> </w:t>
      </w:r>
      <w:r>
        <w:rPr>
          <w:rStyle w:val="Emphasis"/>
          <w:rFonts w:eastAsiaTheme="majorEastAsia"/>
          <w:color w:val="000000"/>
        </w:rPr>
        <w:t>Journal of Business Ethics, 190</w:t>
      </w:r>
      <w:r>
        <w:rPr>
          <w:color w:val="000000"/>
        </w:rPr>
        <w:t>(2), 455–472.</w:t>
      </w:r>
    </w:p>
    <w:p w14:paraId="67F082B6" w14:textId="77777777" w:rsidR="00B0019D" w:rsidRDefault="00B0019D" w:rsidP="00341AF8">
      <w:pPr>
        <w:pStyle w:val="NormalWeb"/>
        <w:spacing w:line="360" w:lineRule="auto"/>
        <w:ind w:left="993" w:hanging="993"/>
        <w:rPr>
          <w:color w:val="000000"/>
        </w:rPr>
      </w:pPr>
      <w:r>
        <w:rPr>
          <w:color w:val="000000"/>
        </w:rPr>
        <w:t>Ahmad, M., &amp; Wilkins, S. (2024). Purposive sampling in qualitative research: A framework for the entire journey.</w:t>
      </w:r>
      <w:r>
        <w:rPr>
          <w:rStyle w:val="apple-converted-space"/>
          <w:rFonts w:eastAsiaTheme="majorEastAsia"/>
          <w:color w:val="000000"/>
        </w:rPr>
        <w:t> </w:t>
      </w:r>
      <w:r>
        <w:rPr>
          <w:rStyle w:val="Emphasis"/>
          <w:rFonts w:eastAsiaTheme="majorEastAsia"/>
          <w:color w:val="000000"/>
        </w:rPr>
        <w:t>Quality &amp; Quantity</w:t>
      </w:r>
      <w:r>
        <w:rPr>
          <w:color w:val="000000"/>
        </w:rPr>
        <w:t>. Advance online publication.</w:t>
      </w:r>
    </w:p>
    <w:p w14:paraId="440D9D19" w14:textId="77777777" w:rsidR="00B0019D" w:rsidRDefault="00B0019D" w:rsidP="00341AF8">
      <w:pPr>
        <w:pStyle w:val="NormalWeb"/>
        <w:spacing w:line="360" w:lineRule="auto"/>
        <w:ind w:left="993" w:hanging="993"/>
        <w:rPr>
          <w:color w:val="000000"/>
        </w:rPr>
      </w:pPr>
      <w:proofErr w:type="spellStart"/>
      <w:r>
        <w:rPr>
          <w:color w:val="000000"/>
        </w:rPr>
        <w:t>Ameyaw</w:t>
      </w:r>
      <w:proofErr w:type="spellEnd"/>
      <w:r>
        <w:rPr>
          <w:color w:val="000000"/>
        </w:rPr>
        <w:t>, C., &amp; Parnell, J. (2020). Community participation in CSR implementation within Ghana’s petroleum sector.</w:t>
      </w:r>
      <w:r>
        <w:rPr>
          <w:rStyle w:val="apple-converted-space"/>
          <w:rFonts w:eastAsiaTheme="majorEastAsia"/>
          <w:color w:val="000000"/>
        </w:rPr>
        <w:t> </w:t>
      </w:r>
      <w:r>
        <w:rPr>
          <w:rStyle w:val="Emphasis"/>
          <w:rFonts w:eastAsiaTheme="majorEastAsia"/>
          <w:color w:val="000000"/>
        </w:rPr>
        <w:t>Resources Policy, 68</w:t>
      </w:r>
      <w:r>
        <w:rPr>
          <w:color w:val="000000"/>
        </w:rPr>
        <w:t>, 101788.</w:t>
      </w:r>
    </w:p>
    <w:p w14:paraId="592E7356" w14:textId="77777777" w:rsidR="00B0019D" w:rsidRDefault="00B0019D" w:rsidP="00341AF8">
      <w:pPr>
        <w:pStyle w:val="NormalWeb"/>
        <w:spacing w:line="360" w:lineRule="auto"/>
        <w:ind w:left="993" w:hanging="993"/>
        <w:rPr>
          <w:color w:val="000000"/>
        </w:rPr>
      </w:pPr>
      <w:r>
        <w:rPr>
          <w:color w:val="000000"/>
        </w:rPr>
        <w:t>Amoah, L., Boateng, S., &amp; Osei, R. (2022). CSR interventions and community well-being in Ghana’s oil-producing regions.</w:t>
      </w:r>
      <w:r>
        <w:rPr>
          <w:rStyle w:val="apple-converted-space"/>
          <w:rFonts w:eastAsiaTheme="majorEastAsia"/>
          <w:color w:val="000000"/>
        </w:rPr>
        <w:t> </w:t>
      </w:r>
      <w:r>
        <w:rPr>
          <w:rStyle w:val="Emphasis"/>
          <w:rFonts w:eastAsiaTheme="majorEastAsia"/>
          <w:color w:val="000000"/>
        </w:rPr>
        <w:t>Development in Practice, 32</w:t>
      </w:r>
      <w:r>
        <w:rPr>
          <w:color w:val="000000"/>
        </w:rPr>
        <w:t>(6), 871–884.</w:t>
      </w:r>
    </w:p>
    <w:p w14:paraId="712CDE30" w14:textId="77777777" w:rsidR="00B0019D" w:rsidRDefault="00B0019D" w:rsidP="00341AF8">
      <w:pPr>
        <w:pStyle w:val="NormalWeb"/>
        <w:spacing w:line="360" w:lineRule="auto"/>
        <w:ind w:left="993" w:hanging="993"/>
        <w:rPr>
          <w:color w:val="000000"/>
        </w:rPr>
      </w:pPr>
      <w:r>
        <w:rPr>
          <w:color w:val="000000"/>
        </w:rPr>
        <w:t>Amoako, K., &amp; Lyon, F. (2023). Transformative CSR and sustainability transitions in Africa.</w:t>
      </w:r>
      <w:r>
        <w:rPr>
          <w:rStyle w:val="apple-converted-space"/>
          <w:rFonts w:eastAsiaTheme="majorEastAsia"/>
          <w:color w:val="000000"/>
        </w:rPr>
        <w:t> </w:t>
      </w:r>
      <w:r>
        <w:rPr>
          <w:rStyle w:val="Emphasis"/>
          <w:rFonts w:eastAsiaTheme="majorEastAsia"/>
          <w:color w:val="000000"/>
        </w:rPr>
        <w:t>Business Strategy and the Environment, 32</w:t>
      </w:r>
      <w:r>
        <w:rPr>
          <w:color w:val="000000"/>
        </w:rPr>
        <w:t>(1), 254–268.</w:t>
      </w:r>
    </w:p>
    <w:p w14:paraId="27AC3EA6" w14:textId="77777777" w:rsidR="00B0019D" w:rsidRDefault="00B0019D" w:rsidP="00341AF8">
      <w:pPr>
        <w:pStyle w:val="NormalWeb"/>
        <w:spacing w:line="360" w:lineRule="auto"/>
        <w:ind w:left="993" w:hanging="993"/>
        <w:rPr>
          <w:color w:val="000000"/>
        </w:rPr>
      </w:pPr>
      <w:proofErr w:type="spellStart"/>
      <w:r>
        <w:rPr>
          <w:color w:val="000000"/>
        </w:rPr>
        <w:t>Ansu</w:t>
      </w:r>
      <w:proofErr w:type="spellEnd"/>
      <w:r>
        <w:rPr>
          <w:color w:val="000000"/>
        </w:rPr>
        <w:t xml:space="preserve">-Mensah, P., </w:t>
      </w:r>
      <w:proofErr w:type="spellStart"/>
      <w:r>
        <w:rPr>
          <w:color w:val="000000"/>
        </w:rPr>
        <w:t>Marfo</w:t>
      </w:r>
      <w:proofErr w:type="spellEnd"/>
      <w:r>
        <w:rPr>
          <w:color w:val="000000"/>
        </w:rPr>
        <w:t xml:space="preserve">, E., </w:t>
      </w:r>
      <w:proofErr w:type="spellStart"/>
      <w:r>
        <w:rPr>
          <w:color w:val="000000"/>
        </w:rPr>
        <w:t>Awuah</w:t>
      </w:r>
      <w:proofErr w:type="spellEnd"/>
      <w:r>
        <w:rPr>
          <w:color w:val="000000"/>
        </w:rPr>
        <w:t>, L. S., &amp; Amoako, K. O. (2021). Corporate social responsibility and stakeholder engagement in Ghana’s mining sector.</w:t>
      </w:r>
      <w:r>
        <w:rPr>
          <w:rStyle w:val="apple-converted-space"/>
          <w:rFonts w:eastAsiaTheme="majorEastAsia"/>
          <w:color w:val="000000"/>
        </w:rPr>
        <w:t> </w:t>
      </w:r>
      <w:r>
        <w:rPr>
          <w:rStyle w:val="Emphasis"/>
          <w:rFonts w:eastAsiaTheme="majorEastAsia"/>
          <w:color w:val="000000"/>
        </w:rPr>
        <w:t>International Journal of Corporate Social Responsibility, 6</w:t>
      </w:r>
      <w:r>
        <w:rPr>
          <w:color w:val="000000"/>
        </w:rPr>
        <w:t>(1), 1–17.</w:t>
      </w:r>
    </w:p>
    <w:p w14:paraId="3BA233F4" w14:textId="77777777" w:rsidR="00B0019D" w:rsidRDefault="00B0019D" w:rsidP="00341AF8">
      <w:pPr>
        <w:pStyle w:val="NormalWeb"/>
        <w:spacing w:line="360" w:lineRule="auto"/>
        <w:ind w:left="993" w:hanging="993"/>
        <w:rPr>
          <w:color w:val="000000"/>
        </w:rPr>
      </w:pPr>
      <w:r>
        <w:rPr>
          <w:color w:val="000000"/>
        </w:rPr>
        <w:lastRenderedPageBreak/>
        <w:t>Armah, P., &amp; Ofori, F. (2021). Human capital and CSR investments in education: Evidence from sub-Saharan Africa.</w:t>
      </w:r>
      <w:r>
        <w:rPr>
          <w:rStyle w:val="apple-converted-space"/>
          <w:rFonts w:eastAsiaTheme="majorEastAsia"/>
          <w:color w:val="000000"/>
        </w:rPr>
        <w:t> </w:t>
      </w:r>
      <w:r>
        <w:rPr>
          <w:rStyle w:val="Emphasis"/>
          <w:rFonts w:eastAsiaTheme="majorEastAsia"/>
          <w:color w:val="000000"/>
        </w:rPr>
        <w:t>African Education Review, 18</w:t>
      </w:r>
      <w:r>
        <w:rPr>
          <w:color w:val="000000"/>
        </w:rPr>
        <w:t>(4), 23–39.</w:t>
      </w:r>
    </w:p>
    <w:p w14:paraId="23F47D90" w14:textId="77777777" w:rsidR="00B0019D" w:rsidRDefault="00B0019D" w:rsidP="00341AF8">
      <w:pPr>
        <w:pStyle w:val="NormalWeb"/>
        <w:spacing w:line="360" w:lineRule="auto"/>
        <w:ind w:left="993" w:hanging="993"/>
        <w:rPr>
          <w:color w:val="000000"/>
        </w:rPr>
      </w:pPr>
      <w:proofErr w:type="spellStart"/>
      <w:r>
        <w:rPr>
          <w:color w:val="000000"/>
        </w:rPr>
        <w:t>Asare</w:t>
      </w:r>
      <w:proofErr w:type="spellEnd"/>
      <w:r>
        <w:rPr>
          <w:color w:val="000000"/>
        </w:rPr>
        <w:t xml:space="preserve">, J., &amp; </w:t>
      </w:r>
      <w:proofErr w:type="spellStart"/>
      <w:r>
        <w:rPr>
          <w:color w:val="000000"/>
        </w:rPr>
        <w:t>Drah</w:t>
      </w:r>
      <w:proofErr w:type="spellEnd"/>
      <w:r>
        <w:rPr>
          <w:color w:val="000000"/>
        </w:rPr>
        <w:t>, B. (2022). Health systems strengthening through CSR in Ghana’s oil regions.</w:t>
      </w:r>
      <w:r>
        <w:rPr>
          <w:rStyle w:val="apple-converted-space"/>
          <w:rFonts w:eastAsiaTheme="majorEastAsia"/>
          <w:color w:val="000000"/>
        </w:rPr>
        <w:t> </w:t>
      </w:r>
      <w:r>
        <w:rPr>
          <w:rStyle w:val="Emphasis"/>
          <w:rFonts w:eastAsiaTheme="majorEastAsia"/>
          <w:color w:val="000000"/>
        </w:rPr>
        <w:t>Global Health Research Journal, 9</w:t>
      </w:r>
      <w:r>
        <w:rPr>
          <w:color w:val="000000"/>
        </w:rPr>
        <w:t>(3), 1–15.</w:t>
      </w:r>
    </w:p>
    <w:p w14:paraId="74EA0924" w14:textId="77777777" w:rsidR="00B0019D" w:rsidRDefault="00B0019D" w:rsidP="00341AF8">
      <w:pPr>
        <w:pStyle w:val="NormalWeb"/>
        <w:spacing w:line="360" w:lineRule="auto"/>
        <w:ind w:left="993" w:hanging="993"/>
        <w:rPr>
          <w:color w:val="000000"/>
        </w:rPr>
      </w:pPr>
      <w:proofErr w:type="spellStart"/>
      <w:r>
        <w:rPr>
          <w:color w:val="000000"/>
        </w:rPr>
        <w:t>Ayentimi</w:t>
      </w:r>
      <w:proofErr w:type="spellEnd"/>
      <w:r>
        <w:rPr>
          <w:color w:val="000000"/>
        </w:rPr>
        <w:t>, D. T., &amp; Burgess, J. (2023). CSR and shared value creation in developing economies.</w:t>
      </w:r>
      <w:r>
        <w:rPr>
          <w:rStyle w:val="apple-converted-space"/>
          <w:rFonts w:eastAsiaTheme="majorEastAsia"/>
          <w:color w:val="000000"/>
        </w:rPr>
        <w:t> </w:t>
      </w:r>
      <w:r>
        <w:rPr>
          <w:rStyle w:val="Emphasis"/>
          <w:rFonts w:eastAsiaTheme="majorEastAsia"/>
          <w:color w:val="000000"/>
        </w:rPr>
        <w:t>International Journal of Human Resource Management, 34</w:t>
      </w:r>
      <w:r>
        <w:rPr>
          <w:color w:val="000000"/>
        </w:rPr>
        <w:t>(7), 1421–1440.</w:t>
      </w:r>
    </w:p>
    <w:p w14:paraId="1DE8CB41" w14:textId="77777777" w:rsidR="00B0019D" w:rsidRDefault="00B0019D" w:rsidP="00341AF8">
      <w:pPr>
        <w:pStyle w:val="NormalWeb"/>
        <w:spacing w:line="360" w:lineRule="auto"/>
        <w:ind w:left="993" w:hanging="993"/>
        <w:rPr>
          <w:color w:val="000000"/>
        </w:rPr>
      </w:pPr>
      <w:proofErr w:type="spellStart"/>
      <w:r>
        <w:rPr>
          <w:color w:val="000000"/>
        </w:rPr>
        <w:t>Basiru</w:t>
      </w:r>
      <w:proofErr w:type="spellEnd"/>
      <w:r>
        <w:rPr>
          <w:color w:val="000000"/>
        </w:rPr>
        <w:t xml:space="preserve">, I., </w:t>
      </w:r>
      <w:proofErr w:type="spellStart"/>
      <w:r>
        <w:rPr>
          <w:color w:val="000000"/>
        </w:rPr>
        <w:t>Arkorful</w:t>
      </w:r>
      <w:proofErr w:type="spellEnd"/>
      <w:r>
        <w:rPr>
          <w:color w:val="000000"/>
        </w:rPr>
        <w:t xml:space="preserve">, V., Xu, Y., </w:t>
      </w:r>
      <w:proofErr w:type="spellStart"/>
      <w:r>
        <w:rPr>
          <w:color w:val="000000"/>
        </w:rPr>
        <w:t>Gyekye</w:t>
      </w:r>
      <w:proofErr w:type="spellEnd"/>
      <w:r>
        <w:rPr>
          <w:color w:val="000000"/>
        </w:rPr>
        <w:t>, E. K., &amp; Ibrahim, A. (2020). Health sustainability of sanitation in Ghana.</w:t>
      </w:r>
      <w:r>
        <w:rPr>
          <w:rStyle w:val="apple-converted-space"/>
          <w:rFonts w:eastAsiaTheme="majorEastAsia"/>
          <w:color w:val="000000"/>
        </w:rPr>
        <w:t> </w:t>
      </w:r>
      <w:r>
        <w:rPr>
          <w:rStyle w:val="Emphasis"/>
          <w:rFonts w:eastAsiaTheme="majorEastAsia"/>
          <w:color w:val="000000"/>
        </w:rPr>
        <w:t>Journal of Public Affairs, 20</w:t>
      </w:r>
      <w:r>
        <w:rPr>
          <w:color w:val="000000"/>
        </w:rPr>
        <w:t>(4), e2153.</w:t>
      </w:r>
    </w:p>
    <w:p w14:paraId="3C264540" w14:textId="77777777" w:rsidR="00B0019D" w:rsidRDefault="00B0019D" w:rsidP="00341AF8">
      <w:pPr>
        <w:pStyle w:val="NormalWeb"/>
        <w:spacing w:line="360" w:lineRule="auto"/>
        <w:ind w:left="993" w:hanging="993"/>
        <w:rPr>
          <w:color w:val="000000"/>
        </w:rPr>
      </w:pPr>
      <w:r>
        <w:rPr>
          <w:color w:val="000000"/>
        </w:rPr>
        <w:t xml:space="preserve">Boateng, P., &amp; </w:t>
      </w:r>
      <w:proofErr w:type="spellStart"/>
      <w:r>
        <w:rPr>
          <w:color w:val="000000"/>
        </w:rPr>
        <w:t>Adu-Gyamfi</w:t>
      </w:r>
      <w:proofErr w:type="spellEnd"/>
      <w:r>
        <w:rPr>
          <w:color w:val="000000"/>
        </w:rPr>
        <w:t>, G. (2023). CSR and SDG alignment in Ghana’s oil and gas sector.</w:t>
      </w:r>
      <w:r>
        <w:rPr>
          <w:rStyle w:val="apple-converted-space"/>
          <w:rFonts w:eastAsiaTheme="majorEastAsia"/>
          <w:color w:val="000000"/>
        </w:rPr>
        <w:t> </w:t>
      </w:r>
      <w:r>
        <w:rPr>
          <w:rStyle w:val="Emphasis"/>
          <w:rFonts w:eastAsiaTheme="majorEastAsia"/>
          <w:color w:val="000000"/>
        </w:rPr>
        <w:t>The Extractive Industries and Society, 10</w:t>
      </w:r>
      <w:r>
        <w:rPr>
          <w:color w:val="000000"/>
        </w:rPr>
        <w:t>(3), 101–115.</w:t>
      </w:r>
    </w:p>
    <w:p w14:paraId="76D3AF71" w14:textId="77777777" w:rsidR="00B0019D" w:rsidRDefault="00B0019D" w:rsidP="00341AF8">
      <w:pPr>
        <w:pStyle w:val="NormalWeb"/>
        <w:spacing w:line="360" w:lineRule="auto"/>
        <w:ind w:left="993" w:hanging="993"/>
        <w:rPr>
          <w:color w:val="000000"/>
        </w:rPr>
      </w:pPr>
      <w:r>
        <w:rPr>
          <w:color w:val="000000"/>
        </w:rPr>
        <w:t>Boateng, R., &amp; Oppong, N. (2023). Renewable energy technologies and CSR innovation in Ghana’s extractive industry.</w:t>
      </w:r>
      <w:r>
        <w:rPr>
          <w:rStyle w:val="apple-converted-space"/>
          <w:rFonts w:eastAsiaTheme="majorEastAsia"/>
          <w:color w:val="000000"/>
        </w:rPr>
        <w:t> </w:t>
      </w:r>
      <w:r>
        <w:rPr>
          <w:rStyle w:val="Emphasis"/>
          <w:rFonts w:eastAsiaTheme="majorEastAsia"/>
          <w:color w:val="000000"/>
        </w:rPr>
        <w:t>Energy Policy Review, 17</w:t>
      </w:r>
      <w:r>
        <w:rPr>
          <w:color w:val="000000"/>
        </w:rPr>
        <w:t>(2), 54–72.</w:t>
      </w:r>
    </w:p>
    <w:p w14:paraId="56E06B4F" w14:textId="77777777" w:rsidR="00B0019D" w:rsidRDefault="00B0019D" w:rsidP="00341AF8">
      <w:pPr>
        <w:pStyle w:val="NormalWeb"/>
        <w:spacing w:line="360" w:lineRule="auto"/>
        <w:ind w:left="993" w:hanging="993"/>
        <w:rPr>
          <w:color w:val="000000"/>
        </w:rPr>
      </w:pPr>
      <w:proofErr w:type="spellStart"/>
      <w:r>
        <w:rPr>
          <w:color w:val="000000"/>
        </w:rPr>
        <w:t>Buddu</w:t>
      </w:r>
      <w:proofErr w:type="spellEnd"/>
      <w:r>
        <w:rPr>
          <w:color w:val="000000"/>
        </w:rPr>
        <w:t>, A., &amp; Scheepers, C. (2022). CSR and shared value in multi-stakeholder relationships.</w:t>
      </w:r>
      <w:r>
        <w:rPr>
          <w:rStyle w:val="apple-converted-space"/>
          <w:rFonts w:eastAsiaTheme="majorEastAsia"/>
          <w:color w:val="000000"/>
        </w:rPr>
        <w:t> </w:t>
      </w:r>
      <w:r>
        <w:rPr>
          <w:rStyle w:val="Emphasis"/>
          <w:rFonts w:eastAsiaTheme="majorEastAsia"/>
          <w:color w:val="000000"/>
        </w:rPr>
        <w:t>Social Responsibility Journal, 18</w:t>
      </w:r>
      <w:r>
        <w:rPr>
          <w:color w:val="000000"/>
        </w:rPr>
        <w:t>(8), 1473–1490.</w:t>
      </w:r>
    </w:p>
    <w:p w14:paraId="0E48BC00" w14:textId="77777777" w:rsidR="00B0019D" w:rsidRDefault="00B0019D" w:rsidP="00341AF8">
      <w:pPr>
        <w:pStyle w:val="NormalWeb"/>
        <w:spacing w:line="360" w:lineRule="auto"/>
        <w:ind w:left="993" w:hanging="993"/>
        <w:rPr>
          <w:color w:val="000000"/>
        </w:rPr>
      </w:pPr>
      <w:r>
        <w:rPr>
          <w:color w:val="000000"/>
        </w:rPr>
        <w:t>Campbell, S., et al. (2020). Purposive sampling: Complex or simple?</w:t>
      </w:r>
      <w:r>
        <w:rPr>
          <w:rStyle w:val="apple-converted-space"/>
          <w:rFonts w:eastAsiaTheme="majorEastAsia"/>
          <w:color w:val="000000"/>
        </w:rPr>
        <w:t> </w:t>
      </w:r>
      <w:r>
        <w:rPr>
          <w:rStyle w:val="Emphasis"/>
          <w:rFonts w:eastAsiaTheme="majorEastAsia"/>
          <w:color w:val="000000"/>
        </w:rPr>
        <w:t>Journal of Research in Nursing, 25</w:t>
      </w:r>
      <w:r>
        <w:rPr>
          <w:color w:val="000000"/>
        </w:rPr>
        <w:t>(8), 652–661.</w:t>
      </w:r>
    </w:p>
    <w:p w14:paraId="29F4D067" w14:textId="77777777" w:rsidR="00B0019D" w:rsidRDefault="00B0019D" w:rsidP="00341AF8">
      <w:pPr>
        <w:pStyle w:val="NormalWeb"/>
        <w:spacing w:line="360" w:lineRule="auto"/>
        <w:ind w:left="993" w:hanging="993"/>
        <w:rPr>
          <w:color w:val="000000"/>
        </w:rPr>
      </w:pPr>
      <w:r>
        <w:rPr>
          <w:color w:val="000000"/>
        </w:rPr>
        <w:t>Crane, A., &amp; Matten, D. (2021). Evolving CSR in extractive industries.</w:t>
      </w:r>
      <w:r>
        <w:rPr>
          <w:rStyle w:val="apple-converted-space"/>
          <w:rFonts w:eastAsiaTheme="majorEastAsia"/>
          <w:color w:val="000000"/>
        </w:rPr>
        <w:t> </w:t>
      </w:r>
      <w:r>
        <w:rPr>
          <w:rStyle w:val="Emphasis"/>
          <w:rFonts w:eastAsiaTheme="majorEastAsia"/>
          <w:color w:val="000000"/>
        </w:rPr>
        <w:t>Business &amp; Society Review, 126</w:t>
      </w:r>
      <w:r>
        <w:rPr>
          <w:color w:val="000000"/>
        </w:rPr>
        <w:t>(2), 123–148.</w:t>
      </w:r>
    </w:p>
    <w:p w14:paraId="7FFEE37B" w14:textId="77777777" w:rsidR="00B0019D" w:rsidRDefault="00B0019D" w:rsidP="00341AF8">
      <w:pPr>
        <w:pStyle w:val="NormalWeb"/>
        <w:spacing w:line="360" w:lineRule="auto"/>
        <w:ind w:left="993" w:hanging="993"/>
        <w:rPr>
          <w:color w:val="000000"/>
        </w:rPr>
      </w:pPr>
      <w:r>
        <w:rPr>
          <w:color w:val="000000"/>
        </w:rPr>
        <w:t>Crane, A., Palazzo, G., Spence, L. J., &amp; Matten, D. (2021). Contesting the value of shared value.</w:t>
      </w:r>
      <w:r>
        <w:rPr>
          <w:rStyle w:val="apple-converted-space"/>
          <w:rFonts w:eastAsiaTheme="majorEastAsia"/>
          <w:color w:val="000000"/>
        </w:rPr>
        <w:t> </w:t>
      </w:r>
      <w:r>
        <w:rPr>
          <w:rStyle w:val="Emphasis"/>
          <w:rFonts w:eastAsiaTheme="majorEastAsia"/>
          <w:color w:val="000000"/>
        </w:rPr>
        <w:t>Academy of Management Perspectives, 35</w:t>
      </w:r>
      <w:r>
        <w:rPr>
          <w:color w:val="000000"/>
        </w:rPr>
        <w:t>(2), 180–197.</w:t>
      </w:r>
    </w:p>
    <w:p w14:paraId="57065C40" w14:textId="77777777" w:rsidR="00B0019D" w:rsidRDefault="00B0019D" w:rsidP="00341AF8">
      <w:pPr>
        <w:pStyle w:val="NormalWeb"/>
        <w:spacing w:line="360" w:lineRule="auto"/>
        <w:ind w:left="993" w:hanging="993"/>
        <w:rPr>
          <w:color w:val="000000"/>
        </w:rPr>
      </w:pPr>
      <w:proofErr w:type="spellStart"/>
      <w:r>
        <w:rPr>
          <w:color w:val="000000"/>
        </w:rPr>
        <w:t>Dembek</w:t>
      </w:r>
      <w:proofErr w:type="spellEnd"/>
      <w:r>
        <w:rPr>
          <w:color w:val="000000"/>
        </w:rPr>
        <w:t xml:space="preserve">, K., Singh, P., &amp; </w:t>
      </w:r>
      <w:proofErr w:type="spellStart"/>
      <w:r>
        <w:rPr>
          <w:color w:val="000000"/>
        </w:rPr>
        <w:t>Bhakoo</w:t>
      </w:r>
      <w:proofErr w:type="spellEnd"/>
      <w:r>
        <w:rPr>
          <w:color w:val="000000"/>
        </w:rPr>
        <w:t>, V. (2020). Evolution of CSR.</w:t>
      </w:r>
      <w:r>
        <w:rPr>
          <w:rStyle w:val="apple-converted-space"/>
          <w:rFonts w:eastAsiaTheme="majorEastAsia"/>
          <w:color w:val="000000"/>
        </w:rPr>
        <w:t> </w:t>
      </w:r>
      <w:r>
        <w:rPr>
          <w:rStyle w:val="Emphasis"/>
          <w:rFonts w:eastAsiaTheme="majorEastAsia"/>
          <w:color w:val="000000"/>
        </w:rPr>
        <w:t>Business &amp; Society, 59</w:t>
      </w:r>
      <w:r>
        <w:rPr>
          <w:color w:val="000000"/>
        </w:rPr>
        <w:t>(7), 1341–1375.</w:t>
      </w:r>
    </w:p>
    <w:p w14:paraId="6E85A719" w14:textId="77777777" w:rsidR="00B0019D" w:rsidRDefault="00B0019D" w:rsidP="00341AF8">
      <w:pPr>
        <w:pStyle w:val="NormalWeb"/>
        <w:spacing w:line="360" w:lineRule="auto"/>
        <w:ind w:left="993" w:hanging="993"/>
        <w:rPr>
          <w:color w:val="000000"/>
        </w:rPr>
      </w:pPr>
      <w:r>
        <w:rPr>
          <w:color w:val="000000"/>
        </w:rPr>
        <w:t>Eni. (2004).</w:t>
      </w:r>
      <w:r>
        <w:rPr>
          <w:rStyle w:val="apple-converted-space"/>
          <w:rFonts w:eastAsiaTheme="majorEastAsia"/>
          <w:color w:val="000000"/>
        </w:rPr>
        <w:t> </w:t>
      </w:r>
      <w:r>
        <w:rPr>
          <w:rStyle w:val="Emphasis"/>
          <w:rFonts w:eastAsiaTheme="majorEastAsia"/>
          <w:color w:val="000000"/>
        </w:rPr>
        <w:t>Corporate responsibility: Values and practices</w:t>
      </w:r>
      <w:r>
        <w:rPr>
          <w:color w:val="000000"/>
        </w:rPr>
        <w:t>. UN Global Compact.</w:t>
      </w:r>
      <w:r>
        <w:rPr>
          <w:rStyle w:val="apple-converted-space"/>
          <w:rFonts w:eastAsiaTheme="majorEastAsia"/>
          <w:color w:val="000000"/>
        </w:rPr>
        <w:t> </w:t>
      </w:r>
      <w:hyperlink r:id="rId8" w:tgtFrame="_new" w:history="1">
        <w:r>
          <w:rPr>
            <w:rStyle w:val="Hyperlink"/>
            <w:rFonts w:eastAsiaTheme="majorEastAsia"/>
          </w:rPr>
          <w:t>https://unglobalcompact.org/participation/report/cop/detail/6130</w:t>
        </w:r>
      </w:hyperlink>
    </w:p>
    <w:p w14:paraId="4A0D18DE" w14:textId="77777777" w:rsidR="00B0019D" w:rsidRDefault="00B0019D" w:rsidP="00341AF8">
      <w:pPr>
        <w:pStyle w:val="NormalWeb"/>
        <w:spacing w:line="360" w:lineRule="auto"/>
        <w:ind w:left="993" w:hanging="993"/>
        <w:rPr>
          <w:color w:val="000000"/>
        </w:rPr>
      </w:pPr>
      <w:r>
        <w:rPr>
          <w:color w:val="000000"/>
        </w:rPr>
        <w:lastRenderedPageBreak/>
        <w:t>Eni. (2011).</w:t>
      </w:r>
      <w:r>
        <w:rPr>
          <w:rStyle w:val="apple-converted-space"/>
          <w:rFonts w:eastAsiaTheme="majorEastAsia"/>
          <w:color w:val="000000"/>
        </w:rPr>
        <w:t> </w:t>
      </w:r>
      <w:r>
        <w:rPr>
          <w:rStyle w:val="Emphasis"/>
          <w:rFonts w:eastAsiaTheme="majorEastAsia"/>
          <w:color w:val="000000"/>
        </w:rPr>
        <w:t>Sustainability policy</w:t>
      </w:r>
      <w:r>
        <w:rPr>
          <w:color w:val="000000"/>
        </w:rPr>
        <w:t>. Eni S.p.A.</w:t>
      </w:r>
      <w:r>
        <w:rPr>
          <w:rStyle w:val="apple-converted-space"/>
          <w:rFonts w:eastAsiaTheme="majorEastAsia"/>
          <w:color w:val="000000"/>
        </w:rPr>
        <w:t> </w:t>
      </w:r>
      <w:hyperlink r:id="rId9" w:tgtFrame="_new" w:history="1">
        <w:r>
          <w:rPr>
            <w:rStyle w:val="Hyperlink"/>
            <w:rFonts w:eastAsiaTheme="majorEastAsia"/>
          </w:rPr>
          <w:t>https://www.eni.com/assets/documents/policy_sustainability.pdf</w:t>
        </w:r>
      </w:hyperlink>
    </w:p>
    <w:p w14:paraId="42BB67FE" w14:textId="77777777" w:rsidR="00B0019D" w:rsidRDefault="00B0019D" w:rsidP="00341AF8">
      <w:pPr>
        <w:pStyle w:val="NormalWeb"/>
        <w:spacing w:line="360" w:lineRule="auto"/>
        <w:ind w:left="993" w:hanging="993"/>
        <w:rPr>
          <w:color w:val="000000"/>
        </w:rPr>
      </w:pPr>
      <w:r>
        <w:rPr>
          <w:color w:val="000000"/>
        </w:rPr>
        <w:t>Eni. (2018, December 2). Solar powered water project – Ghana.</w:t>
      </w:r>
      <w:r>
        <w:rPr>
          <w:rStyle w:val="apple-converted-space"/>
          <w:rFonts w:eastAsiaTheme="majorEastAsia"/>
          <w:color w:val="000000"/>
        </w:rPr>
        <w:t> </w:t>
      </w:r>
      <w:hyperlink r:id="rId10" w:tgtFrame="_new" w:history="1">
        <w:r>
          <w:rPr>
            <w:rStyle w:val="Hyperlink"/>
            <w:rFonts w:eastAsiaTheme="majorEastAsia"/>
          </w:rPr>
          <w:t>https://www.eniday.com/en/human_en/eni-local-economy-project-sanzule/</w:t>
        </w:r>
      </w:hyperlink>
    </w:p>
    <w:p w14:paraId="4708154F" w14:textId="77777777" w:rsidR="00B0019D" w:rsidRDefault="00B0019D" w:rsidP="00341AF8">
      <w:pPr>
        <w:pStyle w:val="NormalWeb"/>
        <w:spacing w:line="360" w:lineRule="auto"/>
        <w:ind w:left="993" w:hanging="993"/>
        <w:rPr>
          <w:color w:val="000000"/>
        </w:rPr>
      </w:pPr>
      <w:r>
        <w:rPr>
          <w:color w:val="000000"/>
        </w:rPr>
        <w:t>Eni. (2020).</w:t>
      </w:r>
      <w:r>
        <w:rPr>
          <w:rStyle w:val="apple-converted-space"/>
          <w:rFonts w:eastAsiaTheme="majorEastAsia"/>
          <w:color w:val="000000"/>
        </w:rPr>
        <w:t> </w:t>
      </w:r>
      <w:r>
        <w:rPr>
          <w:rStyle w:val="Emphasis"/>
          <w:rFonts w:eastAsiaTheme="majorEastAsia"/>
          <w:color w:val="000000"/>
        </w:rPr>
        <w:t>Eni in 2020: Annual report &amp; sustainability report</w:t>
      </w:r>
      <w:r>
        <w:rPr>
          <w:color w:val="000000"/>
        </w:rPr>
        <w:t>.</w:t>
      </w:r>
      <w:r>
        <w:rPr>
          <w:rStyle w:val="apple-converted-space"/>
          <w:rFonts w:eastAsiaTheme="majorEastAsia"/>
          <w:color w:val="000000"/>
        </w:rPr>
        <w:t> </w:t>
      </w:r>
      <w:hyperlink r:id="rId11" w:tgtFrame="_new" w:history="1">
        <w:r>
          <w:rPr>
            <w:rStyle w:val="Hyperlink"/>
            <w:rFonts w:eastAsiaTheme="majorEastAsia"/>
          </w:rPr>
          <w:t>https://www.eni.com/assets/documents/eng/reports/2020/Eni-in-2020.pdf</w:t>
        </w:r>
      </w:hyperlink>
    </w:p>
    <w:p w14:paraId="5D30618C" w14:textId="77777777" w:rsidR="00B0019D" w:rsidRDefault="00B0019D" w:rsidP="00341AF8">
      <w:pPr>
        <w:pStyle w:val="NormalWeb"/>
        <w:spacing w:line="360" w:lineRule="auto"/>
        <w:ind w:left="993" w:hanging="993"/>
        <w:rPr>
          <w:color w:val="000000"/>
        </w:rPr>
      </w:pPr>
      <w:r>
        <w:rPr>
          <w:color w:val="000000"/>
        </w:rPr>
        <w:t>Freeman, R. E., Phillips, R., &amp; Sisodia, R. (2022). Stakeholder theory.</w:t>
      </w:r>
      <w:r>
        <w:rPr>
          <w:rStyle w:val="apple-converted-space"/>
          <w:rFonts w:eastAsiaTheme="majorEastAsia"/>
          <w:color w:val="000000"/>
        </w:rPr>
        <w:t> </w:t>
      </w:r>
      <w:r>
        <w:rPr>
          <w:rStyle w:val="Emphasis"/>
          <w:rFonts w:eastAsiaTheme="majorEastAsia"/>
          <w:color w:val="000000"/>
        </w:rPr>
        <w:t>Academy of Management Review, 47</w:t>
      </w:r>
      <w:r>
        <w:rPr>
          <w:color w:val="000000"/>
        </w:rPr>
        <w:t>(1), 1–16.</w:t>
      </w:r>
    </w:p>
    <w:p w14:paraId="07FA8EF0" w14:textId="77777777" w:rsidR="00B0019D" w:rsidRDefault="00B0019D" w:rsidP="00341AF8">
      <w:pPr>
        <w:pStyle w:val="NormalWeb"/>
        <w:spacing w:line="360" w:lineRule="auto"/>
        <w:ind w:left="993" w:hanging="993"/>
        <w:rPr>
          <w:color w:val="000000"/>
        </w:rPr>
      </w:pPr>
      <w:proofErr w:type="spellStart"/>
      <w:r>
        <w:rPr>
          <w:color w:val="000000"/>
        </w:rPr>
        <w:t>Idemudia</w:t>
      </w:r>
      <w:proofErr w:type="spellEnd"/>
      <w:r>
        <w:rPr>
          <w:color w:val="000000"/>
        </w:rPr>
        <w:t>, U., &amp; Mohan, G. (2020). CSR and development in Africa revisited.</w:t>
      </w:r>
      <w:r>
        <w:rPr>
          <w:rStyle w:val="apple-converted-space"/>
          <w:rFonts w:eastAsiaTheme="majorEastAsia"/>
          <w:color w:val="000000"/>
        </w:rPr>
        <w:t> </w:t>
      </w:r>
      <w:r>
        <w:rPr>
          <w:rStyle w:val="Emphasis"/>
          <w:rFonts w:eastAsiaTheme="majorEastAsia"/>
          <w:color w:val="000000"/>
        </w:rPr>
        <w:t>Journal of Modern African Studies, 58</w:t>
      </w:r>
      <w:r>
        <w:rPr>
          <w:color w:val="000000"/>
        </w:rPr>
        <w:t>(4), 529–552.</w:t>
      </w:r>
    </w:p>
    <w:p w14:paraId="3E7582E2" w14:textId="77777777" w:rsidR="00B0019D" w:rsidRDefault="00B0019D" w:rsidP="00341AF8">
      <w:pPr>
        <w:pStyle w:val="NormalWeb"/>
        <w:spacing w:line="360" w:lineRule="auto"/>
        <w:ind w:left="993" w:hanging="993"/>
        <w:rPr>
          <w:color w:val="000000"/>
        </w:rPr>
      </w:pPr>
      <w:r>
        <w:rPr>
          <w:color w:val="000000"/>
        </w:rPr>
        <w:t>Lozano, R., &amp; Barreiro-Gen, M. (2022). Evolution of CSR.</w:t>
      </w:r>
      <w:r>
        <w:rPr>
          <w:rStyle w:val="apple-converted-space"/>
          <w:rFonts w:eastAsiaTheme="majorEastAsia"/>
          <w:color w:val="000000"/>
        </w:rPr>
        <w:t> </w:t>
      </w:r>
      <w:r>
        <w:rPr>
          <w:rStyle w:val="Emphasis"/>
          <w:rFonts w:eastAsiaTheme="majorEastAsia"/>
          <w:color w:val="000000"/>
        </w:rPr>
        <w:t>Corporate Social Responsibility and Environmental Management, 29</w:t>
      </w:r>
      <w:r>
        <w:rPr>
          <w:color w:val="000000"/>
        </w:rPr>
        <w:t>(5), 1344–1357.</w:t>
      </w:r>
    </w:p>
    <w:p w14:paraId="351BBBB6" w14:textId="77777777" w:rsidR="00B0019D" w:rsidRDefault="00B0019D" w:rsidP="00341AF8">
      <w:pPr>
        <w:pStyle w:val="NormalWeb"/>
        <w:spacing w:line="360" w:lineRule="auto"/>
        <w:ind w:left="993" w:hanging="993"/>
        <w:rPr>
          <w:color w:val="000000"/>
        </w:rPr>
      </w:pPr>
      <w:proofErr w:type="spellStart"/>
      <w:r>
        <w:rPr>
          <w:color w:val="000000"/>
        </w:rPr>
        <w:t>Markard</w:t>
      </w:r>
      <w:proofErr w:type="spellEnd"/>
      <w:r>
        <w:rPr>
          <w:color w:val="000000"/>
        </w:rPr>
        <w:t>, J. (2020). Sustainability transitions.</w:t>
      </w:r>
      <w:r>
        <w:rPr>
          <w:rStyle w:val="apple-converted-space"/>
          <w:rFonts w:eastAsiaTheme="majorEastAsia"/>
          <w:color w:val="000000"/>
        </w:rPr>
        <w:t> </w:t>
      </w:r>
      <w:r>
        <w:rPr>
          <w:rStyle w:val="Emphasis"/>
          <w:rFonts w:eastAsiaTheme="majorEastAsia"/>
          <w:color w:val="000000"/>
        </w:rPr>
        <w:t>Environmental Innovation and Societal Transitions, 36</w:t>
      </w:r>
      <w:r>
        <w:rPr>
          <w:color w:val="000000"/>
        </w:rPr>
        <w:t>, 1–16.</w:t>
      </w:r>
    </w:p>
    <w:p w14:paraId="29FF52B3" w14:textId="77777777" w:rsidR="001A606C" w:rsidRDefault="00B0019D" w:rsidP="00341AF8">
      <w:pPr>
        <w:pStyle w:val="NormalWeb"/>
        <w:spacing w:line="360" w:lineRule="auto"/>
        <w:ind w:left="993" w:hanging="993"/>
        <w:rPr>
          <w:color w:val="000000"/>
        </w:rPr>
      </w:pPr>
      <w:r>
        <w:rPr>
          <w:color w:val="000000"/>
        </w:rPr>
        <w:t xml:space="preserve">Mensah, J. V., </w:t>
      </w:r>
      <w:proofErr w:type="spellStart"/>
      <w:r>
        <w:rPr>
          <w:color w:val="000000"/>
        </w:rPr>
        <w:t>Kumi</w:t>
      </w:r>
      <w:proofErr w:type="spellEnd"/>
      <w:r>
        <w:rPr>
          <w:color w:val="000000"/>
        </w:rPr>
        <w:t xml:space="preserve">, E., &amp; Sarpong, D. (2022). Social </w:t>
      </w:r>
      <w:proofErr w:type="spellStart"/>
      <w:r>
        <w:rPr>
          <w:color w:val="000000"/>
        </w:rPr>
        <w:t>licence</w:t>
      </w:r>
      <w:proofErr w:type="spellEnd"/>
      <w:r>
        <w:rPr>
          <w:color w:val="000000"/>
        </w:rPr>
        <w:t xml:space="preserve"> to operate.</w:t>
      </w:r>
      <w:r>
        <w:rPr>
          <w:rStyle w:val="apple-converted-space"/>
          <w:rFonts w:eastAsiaTheme="majorEastAsia"/>
          <w:color w:val="000000"/>
        </w:rPr>
        <w:t> </w:t>
      </w:r>
      <w:r>
        <w:rPr>
          <w:rStyle w:val="Emphasis"/>
          <w:rFonts w:eastAsiaTheme="majorEastAsia"/>
          <w:color w:val="000000"/>
        </w:rPr>
        <w:t>Energy Policy, 168</w:t>
      </w:r>
      <w:r>
        <w:rPr>
          <w:color w:val="000000"/>
        </w:rPr>
        <w:t>, 113123.</w:t>
      </w:r>
    </w:p>
    <w:p w14:paraId="57B4C3B8" w14:textId="77777777" w:rsidR="001A606C" w:rsidRDefault="00B0019D" w:rsidP="00341AF8">
      <w:pPr>
        <w:pStyle w:val="NormalWeb"/>
        <w:spacing w:line="360" w:lineRule="auto"/>
        <w:ind w:left="993" w:hanging="993"/>
        <w:rPr>
          <w:color w:val="000000"/>
        </w:rPr>
      </w:pPr>
      <w:r>
        <w:rPr>
          <w:color w:val="000000"/>
        </w:rPr>
        <w:t>OECD. (2022).</w:t>
      </w:r>
      <w:r>
        <w:rPr>
          <w:rStyle w:val="apple-converted-space"/>
          <w:rFonts w:eastAsiaTheme="majorEastAsia"/>
          <w:color w:val="000000"/>
        </w:rPr>
        <w:t> </w:t>
      </w:r>
      <w:r>
        <w:rPr>
          <w:rStyle w:val="Emphasis"/>
          <w:rFonts w:eastAsiaTheme="majorEastAsia"/>
          <w:color w:val="000000"/>
        </w:rPr>
        <w:t>Corporate responsibility in a changing world</w:t>
      </w:r>
      <w:r>
        <w:rPr>
          <w:color w:val="000000"/>
        </w:rPr>
        <w:t>. OECD Publishing.</w:t>
      </w:r>
    </w:p>
    <w:p w14:paraId="0C141230" w14:textId="77777777" w:rsidR="001A606C" w:rsidRDefault="00B0019D" w:rsidP="00341AF8">
      <w:pPr>
        <w:pStyle w:val="NormalWeb"/>
        <w:spacing w:line="360" w:lineRule="auto"/>
        <w:ind w:left="993" w:hanging="993"/>
        <w:rPr>
          <w:color w:val="000000"/>
        </w:rPr>
      </w:pPr>
      <w:r>
        <w:rPr>
          <w:color w:val="000000"/>
        </w:rPr>
        <w:t>Osei-Tutu, E., Boateng, K., &amp; Agyemang, F. (2022). Strategic CSR.</w:t>
      </w:r>
      <w:r>
        <w:rPr>
          <w:rStyle w:val="apple-converted-space"/>
          <w:rFonts w:eastAsiaTheme="majorEastAsia"/>
          <w:color w:val="000000"/>
        </w:rPr>
        <w:t> </w:t>
      </w:r>
      <w:r>
        <w:rPr>
          <w:rStyle w:val="Emphasis"/>
          <w:rFonts w:eastAsiaTheme="majorEastAsia"/>
          <w:color w:val="000000"/>
        </w:rPr>
        <w:t>Journal of African Business, 23</w:t>
      </w:r>
      <w:r>
        <w:rPr>
          <w:color w:val="000000"/>
        </w:rPr>
        <w:t>(4), 456–476.</w:t>
      </w:r>
    </w:p>
    <w:p w14:paraId="65402A62" w14:textId="77777777" w:rsidR="001A606C" w:rsidRDefault="00B0019D" w:rsidP="00341AF8">
      <w:pPr>
        <w:pStyle w:val="NormalWeb"/>
        <w:spacing w:line="360" w:lineRule="auto"/>
        <w:ind w:left="993" w:hanging="993"/>
        <w:rPr>
          <w:color w:val="000000"/>
        </w:rPr>
      </w:pPr>
      <w:r>
        <w:rPr>
          <w:color w:val="000000"/>
        </w:rPr>
        <w:t>Porter, M. E., &amp; Kramer, M. R. (2011). Creating shared value.</w:t>
      </w:r>
      <w:r>
        <w:rPr>
          <w:rStyle w:val="apple-converted-space"/>
          <w:rFonts w:eastAsiaTheme="majorEastAsia"/>
          <w:color w:val="000000"/>
        </w:rPr>
        <w:t> </w:t>
      </w:r>
      <w:r>
        <w:rPr>
          <w:rStyle w:val="Emphasis"/>
          <w:rFonts w:eastAsiaTheme="majorEastAsia"/>
          <w:color w:val="000000"/>
        </w:rPr>
        <w:t>Harvard Business Review, 89</w:t>
      </w:r>
      <w:r>
        <w:rPr>
          <w:color w:val="000000"/>
        </w:rPr>
        <w:t>(1–2), 62–77.</w:t>
      </w:r>
    </w:p>
    <w:p w14:paraId="2672757A" w14:textId="77777777" w:rsidR="001A606C" w:rsidRDefault="00B0019D" w:rsidP="00341AF8">
      <w:pPr>
        <w:pStyle w:val="NormalWeb"/>
        <w:spacing w:line="360" w:lineRule="auto"/>
        <w:ind w:left="993" w:hanging="993"/>
        <w:rPr>
          <w:color w:val="000000"/>
        </w:rPr>
      </w:pPr>
      <w:r>
        <w:rPr>
          <w:color w:val="000000"/>
        </w:rPr>
        <w:t xml:space="preserve">Porter, M. E., Kramer, M. R., &amp; </w:t>
      </w:r>
      <w:proofErr w:type="spellStart"/>
      <w:r>
        <w:rPr>
          <w:color w:val="000000"/>
        </w:rPr>
        <w:t>Serafeim</w:t>
      </w:r>
      <w:proofErr w:type="spellEnd"/>
      <w:r>
        <w:rPr>
          <w:color w:val="000000"/>
        </w:rPr>
        <w:t>, G. (2021). The new logic of shared value.</w:t>
      </w:r>
      <w:r>
        <w:rPr>
          <w:rStyle w:val="apple-converted-space"/>
          <w:rFonts w:eastAsiaTheme="majorEastAsia"/>
          <w:color w:val="000000"/>
        </w:rPr>
        <w:t> </w:t>
      </w:r>
      <w:r>
        <w:rPr>
          <w:rStyle w:val="Emphasis"/>
          <w:rFonts w:eastAsiaTheme="majorEastAsia"/>
          <w:color w:val="000000"/>
        </w:rPr>
        <w:t>Harvard Business Review, 99</w:t>
      </w:r>
      <w:r>
        <w:rPr>
          <w:color w:val="000000"/>
        </w:rPr>
        <w:t>(2), 34–47.</w:t>
      </w:r>
    </w:p>
    <w:p w14:paraId="1FB6A74F" w14:textId="77777777" w:rsidR="001A606C" w:rsidRDefault="00B0019D" w:rsidP="00341AF8">
      <w:pPr>
        <w:pStyle w:val="NormalWeb"/>
        <w:spacing w:line="360" w:lineRule="auto"/>
        <w:ind w:left="993" w:hanging="993"/>
        <w:rPr>
          <w:color w:val="000000"/>
        </w:rPr>
      </w:pPr>
      <w:r>
        <w:rPr>
          <w:color w:val="000000"/>
        </w:rPr>
        <w:t>Turcotte, M., &amp; Lachance, A. (2023). CSR practices in extractive industries.</w:t>
      </w:r>
      <w:r>
        <w:rPr>
          <w:rStyle w:val="apple-converted-space"/>
          <w:rFonts w:eastAsiaTheme="majorEastAsia"/>
          <w:color w:val="000000"/>
        </w:rPr>
        <w:t> </w:t>
      </w:r>
      <w:r>
        <w:rPr>
          <w:rStyle w:val="Emphasis"/>
          <w:rFonts w:eastAsiaTheme="majorEastAsia"/>
          <w:color w:val="000000"/>
        </w:rPr>
        <w:t>The Extractive Industries and Society, 13</w:t>
      </w:r>
      <w:r>
        <w:rPr>
          <w:color w:val="000000"/>
        </w:rPr>
        <w:t>, 101312.</w:t>
      </w:r>
    </w:p>
    <w:p w14:paraId="2081646B" w14:textId="77777777" w:rsidR="001A606C" w:rsidRDefault="00B0019D" w:rsidP="00341AF8">
      <w:pPr>
        <w:pStyle w:val="NormalWeb"/>
        <w:spacing w:line="360" w:lineRule="auto"/>
        <w:ind w:left="993" w:hanging="993"/>
        <w:rPr>
          <w:color w:val="000000"/>
        </w:rPr>
      </w:pPr>
      <w:r>
        <w:rPr>
          <w:color w:val="000000"/>
        </w:rPr>
        <w:lastRenderedPageBreak/>
        <w:t>UNDP. (2021).</w:t>
      </w:r>
      <w:r>
        <w:rPr>
          <w:rStyle w:val="apple-converted-space"/>
          <w:rFonts w:eastAsiaTheme="majorEastAsia"/>
          <w:color w:val="000000"/>
        </w:rPr>
        <w:t> </w:t>
      </w:r>
      <w:r>
        <w:rPr>
          <w:rStyle w:val="Emphasis"/>
          <w:rFonts w:eastAsiaTheme="majorEastAsia"/>
          <w:color w:val="000000"/>
        </w:rPr>
        <w:t>Reimagining corporate responsibility for sustainable development</w:t>
      </w:r>
      <w:r>
        <w:rPr>
          <w:color w:val="000000"/>
        </w:rPr>
        <w:t xml:space="preserve">. United Nations Development </w:t>
      </w:r>
      <w:proofErr w:type="spellStart"/>
      <w:r>
        <w:rPr>
          <w:color w:val="000000"/>
        </w:rPr>
        <w:t>Programme</w:t>
      </w:r>
      <w:proofErr w:type="spellEnd"/>
      <w:r>
        <w:rPr>
          <w:color w:val="000000"/>
        </w:rPr>
        <w:t>.</w:t>
      </w:r>
    </w:p>
    <w:p w14:paraId="20835D84" w14:textId="77777777" w:rsidR="001A606C" w:rsidRDefault="00B0019D" w:rsidP="00341AF8">
      <w:pPr>
        <w:pStyle w:val="NormalWeb"/>
        <w:spacing w:line="360" w:lineRule="auto"/>
        <w:ind w:left="993" w:hanging="993"/>
        <w:rPr>
          <w:color w:val="000000"/>
        </w:rPr>
      </w:pPr>
      <w:r>
        <w:rPr>
          <w:color w:val="000000"/>
        </w:rPr>
        <w:t>Winkler, I., &amp; Kline, R. (2021). Transformative CSR.</w:t>
      </w:r>
      <w:r>
        <w:rPr>
          <w:rStyle w:val="apple-converted-space"/>
          <w:rFonts w:eastAsiaTheme="majorEastAsia"/>
          <w:color w:val="000000"/>
        </w:rPr>
        <w:t> </w:t>
      </w:r>
      <w:r>
        <w:rPr>
          <w:rStyle w:val="Emphasis"/>
          <w:rFonts w:eastAsiaTheme="majorEastAsia"/>
          <w:color w:val="000000"/>
        </w:rPr>
        <w:t>Business Horizons, 64</w:t>
      </w:r>
      <w:r>
        <w:rPr>
          <w:color w:val="000000"/>
        </w:rPr>
        <w:t>(6), 729–739.</w:t>
      </w:r>
    </w:p>
    <w:p w14:paraId="50872CF2" w14:textId="77777777" w:rsidR="001A606C" w:rsidRDefault="00B0019D" w:rsidP="00341AF8">
      <w:pPr>
        <w:pStyle w:val="NormalWeb"/>
        <w:spacing w:line="360" w:lineRule="auto"/>
        <w:ind w:left="993" w:hanging="993"/>
        <w:rPr>
          <w:color w:val="000000"/>
        </w:rPr>
      </w:pPr>
      <w:r>
        <w:rPr>
          <w:color w:val="000000"/>
        </w:rPr>
        <w:t>Yang, T.-K., &amp; Yan, M.-R. (2020). Corporate shared value.</w:t>
      </w:r>
      <w:r>
        <w:rPr>
          <w:rStyle w:val="apple-converted-space"/>
          <w:rFonts w:eastAsiaTheme="majorEastAsia"/>
          <w:color w:val="000000"/>
        </w:rPr>
        <w:t> </w:t>
      </w:r>
      <w:r>
        <w:rPr>
          <w:rStyle w:val="Emphasis"/>
          <w:rFonts w:eastAsiaTheme="majorEastAsia"/>
          <w:color w:val="000000"/>
        </w:rPr>
        <w:t>Sustainability, 12</w:t>
      </w:r>
      <w:r>
        <w:rPr>
          <w:color w:val="000000"/>
        </w:rPr>
        <w:t>(7), 2795.</w:t>
      </w:r>
    </w:p>
    <w:p w14:paraId="664E78E4" w14:textId="3A3C38FC" w:rsidR="44A109B2" w:rsidRDefault="00B0019D" w:rsidP="00341AF8">
      <w:pPr>
        <w:pStyle w:val="NormalWeb"/>
        <w:spacing w:line="360" w:lineRule="auto"/>
        <w:ind w:left="993" w:hanging="993"/>
        <w:rPr>
          <w:color w:val="000000"/>
        </w:rPr>
      </w:pPr>
      <w:r>
        <w:rPr>
          <w:color w:val="000000"/>
        </w:rPr>
        <w:t>Ye, N., et al. (2020). Bibliometric analysis of CSR.</w:t>
      </w:r>
      <w:r>
        <w:rPr>
          <w:rStyle w:val="apple-converted-space"/>
          <w:rFonts w:eastAsiaTheme="majorEastAsia"/>
          <w:color w:val="000000"/>
        </w:rPr>
        <w:t> </w:t>
      </w:r>
      <w:r>
        <w:rPr>
          <w:rStyle w:val="Emphasis"/>
          <w:rFonts w:eastAsiaTheme="majorEastAsia"/>
          <w:color w:val="000000"/>
        </w:rPr>
        <w:t>Journal of Cleaner Production, 272</w:t>
      </w:r>
      <w:r>
        <w:rPr>
          <w:color w:val="000000"/>
        </w:rPr>
        <w:t>, 122679.</w:t>
      </w:r>
    </w:p>
    <w:p w14:paraId="3362E0C8" w14:textId="56D37433" w:rsidR="00D70ECB" w:rsidRPr="00D70ECB" w:rsidRDefault="00D70ECB" w:rsidP="00D70ECB">
      <w:pPr>
        <w:pStyle w:val="NormalWeb"/>
        <w:spacing w:line="360" w:lineRule="auto"/>
        <w:ind w:left="993" w:hanging="993"/>
        <w:rPr>
          <w:b/>
          <w:color w:val="000000"/>
        </w:rPr>
      </w:pPr>
      <w:r w:rsidRPr="00D70ECB">
        <w:rPr>
          <w:b/>
          <w:color w:val="000000"/>
        </w:rPr>
        <w:t>LIST OF TABLES</w:t>
      </w:r>
    </w:p>
    <w:p w14:paraId="5229D377" w14:textId="77777777" w:rsidR="00D70ECB" w:rsidRPr="00D70ECB" w:rsidRDefault="00D70ECB" w:rsidP="00D70ECB">
      <w:pPr>
        <w:pStyle w:val="Heading1"/>
        <w:spacing w:before="322" w:after="322" w:line="360" w:lineRule="auto"/>
        <w:jc w:val="both"/>
        <w:rPr>
          <w:rFonts w:ascii="Times New Roman" w:eastAsia="Times New Roman" w:hAnsi="Times New Roman" w:cs="Times New Roman"/>
          <w:bCs/>
          <w:color w:val="000000" w:themeColor="text1"/>
          <w:sz w:val="24"/>
          <w:szCs w:val="24"/>
        </w:rPr>
      </w:pPr>
      <w:r w:rsidRPr="00D70ECB">
        <w:rPr>
          <w:rFonts w:ascii="Times New Roman" w:eastAsia="Times New Roman" w:hAnsi="Times New Roman" w:cs="Times New Roman"/>
          <w:bCs/>
          <w:color w:val="000000" w:themeColor="text1"/>
          <w:sz w:val="24"/>
          <w:szCs w:val="24"/>
        </w:rPr>
        <w:t>Table 1: results of Key findings</w:t>
      </w:r>
    </w:p>
    <w:p w14:paraId="091DAAB0" w14:textId="77777777" w:rsidR="00D70ECB" w:rsidRPr="001A606C" w:rsidRDefault="00D70ECB" w:rsidP="00341AF8">
      <w:pPr>
        <w:pStyle w:val="NormalWeb"/>
        <w:spacing w:line="360" w:lineRule="auto"/>
        <w:ind w:left="993" w:hanging="993"/>
        <w:rPr>
          <w:color w:val="000000"/>
        </w:rPr>
      </w:pPr>
    </w:p>
    <w:sectPr w:rsidR="00D70ECB" w:rsidRPr="001A606C" w:rsidSect="00443445">
      <w:footerReference w:type="default" r:id="rId12"/>
      <w:pgSz w:w="11906" w:h="16838"/>
      <w:pgMar w:top="113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533FE" w14:textId="77777777" w:rsidR="00EB2F01" w:rsidRDefault="00EB2F01" w:rsidP="00443445">
      <w:pPr>
        <w:spacing w:after="0" w:line="240" w:lineRule="auto"/>
      </w:pPr>
      <w:r>
        <w:separator/>
      </w:r>
    </w:p>
  </w:endnote>
  <w:endnote w:type="continuationSeparator" w:id="0">
    <w:p w14:paraId="4805376D" w14:textId="77777777" w:rsidR="00EB2F01" w:rsidRDefault="00EB2F01" w:rsidP="00443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altName w:val="Calibri"/>
    <w:panose1 w:val="020B0004020202020204"/>
    <w:charset w:val="00"/>
    <w:family w:val="swiss"/>
    <w:pitch w:val="variable"/>
    <w:sig w:usb0="20000287" w:usb1="00000003" w:usb2="00000000" w:usb3="00000000" w:csb0="0000019F" w:csb1="00000000"/>
  </w:font>
  <w:font w:name="Aptos Display">
    <w:altName w:val="Calibri"/>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5573042"/>
      <w:docPartObj>
        <w:docPartGallery w:val="Page Numbers (Bottom of Page)"/>
        <w:docPartUnique/>
      </w:docPartObj>
    </w:sdtPr>
    <w:sdtEndPr>
      <w:rPr>
        <w:noProof/>
      </w:rPr>
    </w:sdtEndPr>
    <w:sdtContent>
      <w:p w14:paraId="67F71992" w14:textId="038C86B0" w:rsidR="00443445" w:rsidRDefault="004434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A5892D" w14:textId="77777777" w:rsidR="00443445" w:rsidRDefault="00443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D6A70" w14:textId="77777777" w:rsidR="00EB2F01" w:rsidRDefault="00EB2F01" w:rsidP="00443445">
      <w:pPr>
        <w:spacing w:after="0" w:line="240" w:lineRule="auto"/>
      </w:pPr>
      <w:r>
        <w:separator/>
      </w:r>
    </w:p>
  </w:footnote>
  <w:footnote w:type="continuationSeparator" w:id="0">
    <w:p w14:paraId="02A8304B" w14:textId="77777777" w:rsidR="00EB2F01" w:rsidRDefault="00EB2F01" w:rsidP="004434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E6D3C"/>
    <w:multiLevelType w:val="hybridMultilevel"/>
    <w:tmpl w:val="32181C02"/>
    <w:lvl w:ilvl="0" w:tplc="C72EAD50">
      <w:start w:val="1"/>
      <w:numFmt w:val="decimal"/>
      <w:lvlText w:val="%1."/>
      <w:lvlJc w:val="left"/>
      <w:pPr>
        <w:ind w:left="720" w:hanging="360"/>
      </w:pPr>
    </w:lvl>
    <w:lvl w:ilvl="1" w:tplc="7B8C438A">
      <w:start w:val="1"/>
      <w:numFmt w:val="lowerLetter"/>
      <w:lvlText w:val="%2."/>
      <w:lvlJc w:val="left"/>
      <w:pPr>
        <w:ind w:left="1440" w:hanging="360"/>
      </w:pPr>
    </w:lvl>
    <w:lvl w:ilvl="2" w:tplc="869C752C">
      <w:start w:val="1"/>
      <w:numFmt w:val="lowerRoman"/>
      <w:lvlText w:val="%3."/>
      <w:lvlJc w:val="right"/>
      <w:pPr>
        <w:ind w:left="2160" w:hanging="180"/>
      </w:pPr>
    </w:lvl>
    <w:lvl w:ilvl="3" w:tplc="9B826818">
      <w:start w:val="1"/>
      <w:numFmt w:val="decimal"/>
      <w:lvlText w:val="%4."/>
      <w:lvlJc w:val="left"/>
      <w:pPr>
        <w:ind w:left="2880" w:hanging="360"/>
      </w:pPr>
    </w:lvl>
    <w:lvl w:ilvl="4" w:tplc="F4341F26">
      <w:start w:val="1"/>
      <w:numFmt w:val="lowerLetter"/>
      <w:lvlText w:val="%5."/>
      <w:lvlJc w:val="left"/>
      <w:pPr>
        <w:ind w:left="3600" w:hanging="360"/>
      </w:pPr>
    </w:lvl>
    <w:lvl w:ilvl="5" w:tplc="4AF62D6A">
      <w:start w:val="1"/>
      <w:numFmt w:val="lowerRoman"/>
      <w:lvlText w:val="%6."/>
      <w:lvlJc w:val="right"/>
      <w:pPr>
        <w:ind w:left="4320" w:hanging="180"/>
      </w:pPr>
    </w:lvl>
    <w:lvl w:ilvl="6" w:tplc="9F4A7824">
      <w:start w:val="1"/>
      <w:numFmt w:val="decimal"/>
      <w:lvlText w:val="%7."/>
      <w:lvlJc w:val="left"/>
      <w:pPr>
        <w:ind w:left="5040" w:hanging="360"/>
      </w:pPr>
    </w:lvl>
    <w:lvl w:ilvl="7" w:tplc="897E2F78">
      <w:start w:val="1"/>
      <w:numFmt w:val="lowerLetter"/>
      <w:lvlText w:val="%8."/>
      <w:lvlJc w:val="left"/>
      <w:pPr>
        <w:ind w:left="5760" w:hanging="360"/>
      </w:pPr>
    </w:lvl>
    <w:lvl w:ilvl="8" w:tplc="67E06A04">
      <w:start w:val="1"/>
      <w:numFmt w:val="lowerRoman"/>
      <w:lvlText w:val="%9."/>
      <w:lvlJc w:val="right"/>
      <w:pPr>
        <w:ind w:left="6480" w:hanging="180"/>
      </w:pPr>
    </w:lvl>
  </w:abstractNum>
  <w:abstractNum w:abstractNumId="1" w15:restartNumberingAfterBreak="0">
    <w:nsid w:val="06285825"/>
    <w:multiLevelType w:val="hybridMultilevel"/>
    <w:tmpl w:val="4AF04E2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79DAF"/>
    <w:multiLevelType w:val="hybridMultilevel"/>
    <w:tmpl w:val="1F5A431E"/>
    <w:lvl w:ilvl="0" w:tplc="3C5E4FCC">
      <w:start w:val="1"/>
      <w:numFmt w:val="decimal"/>
      <w:lvlText w:val="%1."/>
      <w:lvlJc w:val="left"/>
      <w:pPr>
        <w:ind w:left="720" w:hanging="360"/>
      </w:pPr>
    </w:lvl>
    <w:lvl w:ilvl="1" w:tplc="D946123E">
      <w:start w:val="1"/>
      <w:numFmt w:val="lowerLetter"/>
      <w:lvlText w:val="%2."/>
      <w:lvlJc w:val="left"/>
      <w:pPr>
        <w:ind w:left="1440" w:hanging="360"/>
      </w:pPr>
    </w:lvl>
    <w:lvl w:ilvl="2" w:tplc="469086AA">
      <w:start w:val="1"/>
      <w:numFmt w:val="lowerRoman"/>
      <w:lvlText w:val="%3."/>
      <w:lvlJc w:val="right"/>
      <w:pPr>
        <w:ind w:left="2160" w:hanging="180"/>
      </w:pPr>
    </w:lvl>
    <w:lvl w:ilvl="3" w:tplc="ABD6AD00">
      <w:start w:val="1"/>
      <w:numFmt w:val="decimal"/>
      <w:lvlText w:val="%4."/>
      <w:lvlJc w:val="left"/>
      <w:pPr>
        <w:ind w:left="2880" w:hanging="360"/>
      </w:pPr>
    </w:lvl>
    <w:lvl w:ilvl="4" w:tplc="8BCA33A2">
      <w:start w:val="1"/>
      <w:numFmt w:val="lowerLetter"/>
      <w:lvlText w:val="%5."/>
      <w:lvlJc w:val="left"/>
      <w:pPr>
        <w:ind w:left="3600" w:hanging="360"/>
      </w:pPr>
    </w:lvl>
    <w:lvl w:ilvl="5" w:tplc="4C385976">
      <w:start w:val="1"/>
      <w:numFmt w:val="lowerRoman"/>
      <w:lvlText w:val="%6."/>
      <w:lvlJc w:val="right"/>
      <w:pPr>
        <w:ind w:left="4320" w:hanging="180"/>
      </w:pPr>
    </w:lvl>
    <w:lvl w:ilvl="6" w:tplc="696A64B2">
      <w:start w:val="1"/>
      <w:numFmt w:val="decimal"/>
      <w:lvlText w:val="%7."/>
      <w:lvlJc w:val="left"/>
      <w:pPr>
        <w:ind w:left="5040" w:hanging="360"/>
      </w:pPr>
    </w:lvl>
    <w:lvl w:ilvl="7" w:tplc="7160E0A4">
      <w:start w:val="1"/>
      <w:numFmt w:val="lowerLetter"/>
      <w:lvlText w:val="%8."/>
      <w:lvlJc w:val="left"/>
      <w:pPr>
        <w:ind w:left="5760" w:hanging="360"/>
      </w:pPr>
    </w:lvl>
    <w:lvl w:ilvl="8" w:tplc="A6708126">
      <w:start w:val="1"/>
      <w:numFmt w:val="lowerRoman"/>
      <w:lvlText w:val="%9."/>
      <w:lvlJc w:val="right"/>
      <w:pPr>
        <w:ind w:left="6480" w:hanging="180"/>
      </w:pPr>
    </w:lvl>
  </w:abstractNum>
  <w:abstractNum w:abstractNumId="3" w15:restartNumberingAfterBreak="0">
    <w:nsid w:val="0E0D389E"/>
    <w:multiLevelType w:val="hybridMultilevel"/>
    <w:tmpl w:val="1440257A"/>
    <w:lvl w:ilvl="0" w:tplc="18560D12">
      <w:start w:val="1"/>
      <w:numFmt w:val="bullet"/>
      <w:lvlText w:val=""/>
      <w:lvlJc w:val="left"/>
      <w:pPr>
        <w:ind w:left="720" w:hanging="360"/>
      </w:pPr>
      <w:rPr>
        <w:rFonts w:ascii="Symbol" w:hAnsi="Symbol" w:hint="default"/>
      </w:rPr>
    </w:lvl>
    <w:lvl w:ilvl="1" w:tplc="A9D4BBBE">
      <w:start w:val="1"/>
      <w:numFmt w:val="bullet"/>
      <w:lvlText w:val="o"/>
      <w:lvlJc w:val="left"/>
      <w:pPr>
        <w:ind w:left="1440" w:hanging="360"/>
      </w:pPr>
      <w:rPr>
        <w:rFonts w:ascii="Courier New" w:hAnsi="Courier New" w:hint="default"/>
      </w:rPr>
    </w:lvl>
    <w:lvl w:ilvl="2" w:tplc="046E5332">
      <w:start w:val="1"/>
      <w:numFmt w:val="bullet"/>
      <w:lvlText w:val=""/>
      <w:lvlJc w:val="left"/>
      <w:pPr>
        <w:ind w:left="2160" w:hanging="360"/>
      </w:pPr>
      <w:rPr>
        <w:rFonts w:ascii="Wingdings" w:hAnsi="Wingdings" w:hint="default"/>
      </w:rPr>
    </w:lvl>
    <w:lvl w:ilvl="3" w:tplc="2CE21FB0">
      <w:start w:val="1"/>
      <w:numFmt w:val="bullet"/>
      <w:lvlText w:val=""/>
      <w:lvlJc w:val="left"/>
      <w:pPr>
        <w:ind w:left="2880" w:hanging="360"/>
      </w:pPr>
      <w:rPr>
        <w:rFonts w:ascii="Symbol" w:hAnsi="Symbol" w:hint="default"/>
      </w:rPr>
    </w:lvl>
    <w:lvl w:ilvl="4" w:tplc="263C4176">
      <w:start w:val="1"/>
      <w:numFmt w:val="bullet"/>
      <w:lvlText w:val="o"/>
      <w:lvlJc w:val="left"/>
      <w:pPr>
        <w:ind w:left="3600" w:hanging="360"/>
      </w:pPr>
      <w:rPr>
        <w:rFonts w:ascii="Courier New" w:hAnsi="Courier New" w:hint="default"/>
      </w:rPr>
    </w:lvl>
    <w:lvl w:ilvl="5" w:tplc="B1C69F60">
      <w:start w:val="1"/>
      <w:numFmt w:val="bullet"/>
      <w:lvlText w:val=""/>
      <w:lvlJc w:val="left"/>
      <w:pPr>
        <w:ind w:left="4320" w:hanging="360"/>
      </w:pPr>
      <w:rPr>
        <w:rFonts w:ascii="Wingdings" w:hAnsi="Wingdings" w:hint="default"/>
      </w:rPr>
    </w:lvl>
    <w:lvl w:ilvl="6" w:tplc="CCC2E23C">
      <w:start w:val="1"/>
      <w:numFmt w:val="bullet"/>
      <w:lvlText w:val=""/>
      <w:lvlJc w:val="left"/>
      <w:pPr>
        <w:ind w:left="5040" w:hanging="360"/>
      </w:pPr>
      <w:rPr>
        <w:rFonts w:ascii="Symbol" w:hAnsi="Symbol" w:hint="default"/>
      </w:rPr>
    </w:lvl>
    <w:lvl w:ilvl="7" w:tplc="D956702C">
      <w:start w:val="1"/>
      <w:numFmt w:val="bullet"/>
      <w:lvlText w:val="o"/>
      <w:lvlJc w:val="left"/>
      <w:pPr>
        <w:ind w:left="5760" w:hanging="360"/>
      </w:pPr>
      <w:rPr>
        <w:rFonts w:ascii="Courier New" w:hAnsi="Courier New" w:hint="default"/>
      </w:rPr>
    </w:lvl>
    <w:lvl w:ilvl="8" w:tplc="E7CE6AEE">
      <w:start w:val="1"/>
      <w:numFmt w:val="bullet"/>
      <w:lvlText w:val=""/>
      <w:lvlJc w:val="left"/>
      <w:pPr>
        <w:ind w:left="6480" w:hanging="360"/>
      </w:pPr>
      <w:rPr>
        <w:rFonts w:ascii="Wingdings" w:hAnsi="Wingdings" w:hint="default"/>
      </w:rPr>
    </w:lvl>
  </w:abstractNum>
  <w:abstractNum w:abstractNumId="4" w15:restartNumberingAfterBreak="0">
    <w:nsid w:val="19CC1B2C"/>
    <w:multiLevelType w:val="hybridMultilevel"/>
    <w:tmpl w:val="2A56869C"/>
    <w:lvl w:ilvl="0" w:tplc="8058262E">
      <w:start w:val="1"/>
      <w:numFmt w:val="bullet"/>
      <w:lvlText w:val=""/>
      <w:lvlJc w:val="left"/>
      <w:pPr>
        <w:ind w:left="720" w:hanging="360"/>
      </w:pPr>
      <w:rPr>
        <w:rFonts w:ascii="Symbol" w:hAnsi="Symbol" w:hint="default"/>
      </w:rPr>
    </w:lvl>
    <w:lvl w:ilvl="1" w:tplc="1F00B2BC">
      <w:start w:val="1"/>
      <w:numFmt w:val="bullet"/>
      <w:lvlText w:val="o"/>
      <w:lvlJc w:val="left"/>
      <w:pPr>
        <w:ind w:left="1440" w:hanging="360"/>
      </w:pPr>
      <w:rPr>
        <w:rFonts w:ascii="Courier New" w:hAnsi="Courier New" w:hint="default"/>
      </w:rPr>
    </w:lvl>
    <w:lvl w:ilvl="2" w:tplc="4AC0376E">
      <w:start w:val="1"/>
      <w:numFmt w:val="bullet"/>
      <w:lvlText w:val=""/>
      <w:lvlJc w:val="left"/>
      <w:pPr>
        <w:ind w:left="2160" w:hanging="360"/>
      </w:pPr>
      <w:rPr>
        <w:rFonts w:ascii="Wingdings" w:hAnsi="Wingdings" w:hint="default"/>
      </w:rPr>
    </w:lvl>
    <w:lvl w:ilvl="3" w:tplc="0784BE0A">
      <w:start w:val="1"/>
      <w:numFmt w:val="bullet"/>
      <w:lvlText w:val=""/>
      <w:lvlJc w:val="left"/>
      <w:pPr>
        <w:ind w:left="2880" w:hanging="360"/>
      </w:pPr>
      <w:rPr>
        <w:rFonts w:ascii="Symbol" w:hAnsi="Symbol" w:hint="default"/>
      </w:rPr>
    </w:lvl>
    <w:lvl w:ilvl="4" w:tplc="2314230E">
      <w:start w:val="1"/>
      <w:numFmt w:val="bullet"/>
      <w:lvlText w:val="o"/>
      <w:lvlJc w:val="left"/>
      <w:pPr>
        <w:ind w:left="3600" w:hanging="360"/>
      </w:pPr>
      <w:rPr>
        <w:rFonts w:ascii="Courier New" w:hAnsi="Courier New" w:hint="default"/>
      </w:rPr>
    </w:lvl>
    <w:lvl w:ilvl="5" w:tplc="12F8FC12">
      <w:start w:val="1"/>
      <w:numFmt w:val="bullet"/>
      <w:lvlText w:val=""/>
      <w:lvlJc w:val="left"/>
      <w:pPr>
        <w:ind w:left="4320" w:hanging="360"/>
      </w:pPr>
      <w:rPr>
        <w:rFonts w:ascii="Wingdings" w:hAnsi="Wingdings" w:hint="default"/>
      </w:rPr>
    </w:lvl>
    <w:lvl w:ilvl="6" w:tplc="E65ABBBC">
      <w:start w:val="1"/>
      <w:numFmt w:val="bullet"/>
      <w:lvlText w:val=""/>
      <w:lvlJc w:val="left"/>
      <w:pPr>
        <w:ind w:left="5040" w:hanging="360"/>
      </w:pPr>
      <w:rPr>
        <w:rFonts w:ascii="Symbol" w:hAnsi="Symbol" w:hint="default"/>
      </w:rPr>
    </w:lvl>
    <w:lvl w:ilvl="7" w:tplc="89D672F8">
      <w:start w:val="1"/>
      <w:numFmt w:val="bullet"/>
      <w:lvlText w:val="o"/>
      <w:lvlJc w:val="left"/>
      <w:pPr>
        <w:ind w:left="5760" w:hanging="360"/>
      </w:pPr>
      <w:rPr>
        <w:rFonts w:ascii="Courier New" w:hAnsi="Courier New" w:hint="default"/>
      </w:rPr>
    </w:lvl>
    <w:lvl w:ilvl="8" w:tplc="EEA8228A">
      <w:start w:val="1"/>
      <w:numFmt w:val="bullet"/>
      <w:lvlText w:val=""/>
      <w:lvlJc w:val="left"/>
      <w:pPr>
        <w:ind w:left="6480" w:hanging="360"/>
      </w:pPr>
      <w:rPr>
        <w:rFonts w:ascii="Wingdings" w:hAnsi="Wingdings" w:hint="default"/>
      </w:rPr>
    </w:lvl>
  </w:abstractNum>
  <w:abstractNum w:abstractNumId="5" w15:restartNumberingAfterBreak="0">
    <w:nsid w:val="212A8862"/>
    <w:multiLevelType w:val="hybridMultilevel"/>
    <w:tmpl w:val="1B640DB0"/>
    <w:lvl w:ilvl="0" w:tplc="9A0E8186">
      <w:start w:val="1"/>
      <w:numFmt w:val="bullet"/>
      <w:lvlText w:val=""/>
      <w:lvlJc w:val="left"/>
      <w:pPr>
        <w:ind w:left="720" w:hanging="360"/>
      </w:pPr>
      <w:rPr>
        <w:rFonts w:ascii="Symbol" w:hAnsi="Symbol" w:hint="default"/>
      </w:rPr>
    </w:lvl>
    <w:lvl w:ilvl="1" w:tplc="63E4799E">
      <w:start w:val="1"/>
      <w:numFmt w:val="bullet"/>
      <w:lvlText w:val="o"/>
      <w:lvlJc w:val="left"/>
      <w:pPr>
        <w:ind w:left="1440" w:hanging="360"/>
      </w:pPr>
      <w:rPr>
        <w:rFonts w:ascii="Courier New" w:hAnsi="Courier New" w:hint="default"/>
      </w:rPr>
    </w:lvl>
    <w:lvl w:ilvl="2" w:tplc="45961B20">
      <w:start w:val="1"/>
      <w:numFmt w:val="bullet"/>
      <w:lvlText w:val=""/>
      <w:lvlJc w:val="left"/>
      <w:pPr>
        <w:ind w:left="2160" w:hanging="360"/>
      </w:pPr>
      <w:rPr>
        <w:rFonts w:ascii="Wingdings" w:hAnsi="Wingdings" w:hint="default"/>
      </w:rPr>
    </w:lvl>
    <w:lvl w:ilvl="3" w:tplc="02AE4332">
      <w:start w:val="1"/>
      <w:numFmt w:val="bullet"/>
      <w:lvlText w:val=""/>
      <w:lvlJc w:val="left"/>
      <w:pPr>
        <w:ind w:left="2880" w:hanging="360"/>
      </w:pPr>
      <w:rPr>
        <w:rFonts w:ascii="Symbol" w:hAnsi="Symbol" w:hint="default"/>
      </w:rPr>
    </w:lvl>
    <w:lvl w:ilvl="4" w:tplc="5ACC95D4">
      <w:start w:val="1"/>
      <w:numFmt w:val="bullet"/>
      <w:lvlText w:val="o"/>
      <w:lvlJc w:val="left"/>
      <w:pPr>
        <w:ind w:left="3600" w:hanging="360"/>
      </w:pPr>
      <w:rPr>
        <w:rFonts w:ascii="Courier New" w:hAnsi="Courier New" w:hint="default"/>
      </w:rPr>
    </w:lvl>
    <w:lvl w:ilvl="5" w:tplc="6B12EE70">
      <w:start w:val="1"/>
      <w:numFmt w:val="bullet"/>
      <w:lvlText w:val=""/>
      <w:lvlJc w:val="left"/>
      <w:pPr>
        <w:ind w:left="4320" w:hanging="360"/>
      </w:pPr>
      <w:rPr>
        <w:rFonts w:ascii="Wingdings" w:hAnsi="Wingdings" w:hint="default"/>
      </w:rPr>
    </w:lvl>
    <w:lvl w:ilvl="6" w:tplc="D61EC024">
      <w:start w:val="1"/>
      <w:numFmt w:val="bullet"/>
      <w:lvlText w:val=""/>
      <w:lvlJc w:val="left"/>
      <w:pPr>
        <w:ind w:left="5040" w:hanging="360"/>
      </w:pPr>
      <w:rPr>
        <w:rFonts w:ascii="Symbol" w:hAnsi="Symbol" w:hint="default"/>
      </w:rPr>
    </w:lvl>
    <w:lvl w:ilvl="7" w:tplc="C8BC6438">
      <w:start w:val="1"/>
      <w:numFmt w:val="bullet"/>
      <w:lvlText w:val="o"/>
      <w:lvlJc w:val="left"/>
      <w:pPr>
        <w:ind w:left="5760" w:hanging="360"/>
      </w:pPr>
      <w:rPr>
        <w:rFonts w:ascii="Courier New" w:hAnsi="Courier New" w:hint="default"/>
      </w:rPr>
    </w:lvl>
    <w:lvl w:ilvl="8" w:tplc="38161878">
      <w:start w:val="1"/>
      <w:numFmt w:val="bullet"/>
      <w:lvlText w:val=""/>
      <w:lvlJc w:val="left"/>
      <w:pPr>
        <w:ind w:left="6480" w:hanging="360"/>
      </w:pPr>
      <w:rPr>
        <w:rFonts w:ascii="Wingdings" w:hAnsi="Wingdings" w:hint="default"/>
      </w:rPr>
    </w:lvl>
  </w:abstractNum>
  <w:abstractNum w:abstractNumId="6" w15:restartNumberingAfterBreak="0">
    <w:nsid w:val="27375C04"/>
    <w:multiLevelType w:val="hybridMultilevel"/>
    <w:tmpl w:val="25B2664A"/>
    <w:lvl w:ilvl="0" w:tplc="B97A2896">
      <w:start w:val="1"/>
      <w:numFmt w:val="bullet"/>
      <w:lvlText w:val=""/>
      <w:lvlJc w:val="left"/>
      <w:pPr>
        <w:ind w:left="720" w:hanging="360"/>
      </w:pPr>
      <w:rPr>
        <w:rFonts w:ascii="Symbol" w:hAnsi="Symbol" w:hint="default"/>
      </w:rPr>
    </w:lvl>
    <w:lvl w:ilvl="1" w:tplc="63D8D94A">
      <w:start w:val="1"/>
      <w:numFmt w:val="bullet"/>
      <w:lvlText w:val="o"/>
      <w:lvlJc w:val="left"/>
      <w:pPr>
        <w:ind w:left="1440" w:hanging="360"/>
      </w:pPr>
      <w:rPr>
        <w:rFonts w:ascii="Courier New" w:hAnsi="Courier New" w:hint="default"/>
      </w:rPr>
    </w:lvl>
    <w:lvl w:ilvl="2" w:tplc="6F0A3328">
      <w:start w:val="1"/>
      <w:numFmt w:val="bullet"/>
      <w:lvlText w:val=""/>
      <w:lvlJc w:val="left"/>
      <w:pPr>
        <w:ind w:left="2160" w:hanging="360"/>
      </w:pPr>
      <w:rPr>
        <w:rFonts w:ascii="Wingdings" w:hAnsi="Wingdings" w:hint="default"/>
      </w:rPr>
    </w:lvl>
    <w:lvl w:ilvl="3" w:tplc="15281E14">
      <w:start w:val="1"/>
      <w:numFmt w:val="bullet"/>
      <w:lvlText w:val=""/>
      <w:lvlJc w:val="left"/>
      <w:pPr>
        <w:ind w:left="2880" w:hanging="360"/>
      </w:pPr>
      <w:rPr>
        <w:rFonts w:ascii="Symbol" w:hAnsi="Symbol" w:hint="default"/>
      </w:rPr>
    </w:lvl>
    <w:lvl w:ilvl="4" w:tplc="628AD32A">
      <w:start w:val="1"/>
      <w:numFmt w:val="bullet"/>
      <w:lvlText w:val="o"/>
      <w:lvlJc w:val="left"/>
      <w:pPr>
        <w:ind w:left="3600" w:hanging="360"/>
      </w:pPr>
      <w:rPr>
        <w:rFonts w:ascii="Courier New" w:hAnsi="Courier New" w:hint="default"/>
      </w:rPr>
    </w:lvl>
    <w:lvl w:ilvl="5" w:tplc="AF5E417E">
      <w:start w:val="1"/>
      <w:numFmt w:val="bullet"/>
      <w:lvlText w:val=""/>
      <w:lvlJc w:val="left"/>
      <w:pPr>
        <w:ind w:left="4320" w:hanging="360"/>
      </w:pPr>
      <w:rPr>
        <w:rFonts w:ascii="Wingdings" w:hAnsi="Wingdings" w:hint="default"/>
      </w:rPr>
    </w:lvl>
    <w:lvl w:ilvl="6" w:tplc="097AC8AE">
      <w:start w:val="1"/>
      <w:numFmt w:val="bullet"/>
      <w:lvlText w:val=""/>
      <w:lvlJc w:val="left"/>
      <w:pPr>
        <w:ind w:left="5040" w:hanging="360"/>
      </w:pPr>
      <w:rPr>
        <w:rFonts w:ascii="Symbol" w:hAnsi="Symbol" w:hint="default"/>
      </w:rPr>
    </w:lvl>
    <w:lvl w:ilvl="7" w:tplc="431CF346">
      <w:start w:val="1"/>
      <w:numFmt w:val="bullet"/>
      <w:lvlText w:val="o"/>
      <w:lvlJc w:val="left"/>
      <w:pPr>
        <w:ind w:left="5760" w:hanging="360"/>
      </w:pPr>
      <w:rPr>
        <w:rFonts w:ascii="Courier New" w:hAnsi="Courier New" w:hint="default"/>
      </w:rPr>
    </w:lvl>
    <w:lvl w:ilvl="8" w:tplc="65B43EA0">
      <w:start w:val="1"/>
      <w:numFmt w:val="bullet"/>
      <w:lvlText w:val=""/>
      <w:lvlJc w:val="left"/>
      <w:pPr>
        <w:ind w:left="6480" w:hanging="360"/>
      </w:pPr>
      <w:rPr>
        <w:rFonts w:ascii="Wingdings" w:hAnsi="Wingdings" w:hint="default"/>
      </w:rPr>
    </w:lvl>
  </w:abstractNum>
  <w:abstractNum w:abstractNumId="7" w15:restartNumberingAfterBreak="0">
    <w:nsid w:val="2BA2E85A"/>
    <w:multiLevelType w:val="hybridMultilevel"/>
    <w:tmpl w:val="FD3EE342"/>
    <w:lvl w:ilvl="0" w:tplc="0C74F95A">
      <w:start w:val="1"/>
      <w:numFmt w:val="decimal"/>
      <w:lvlText w:val="%1."/>
      <w:lvlJc w:val="left"/>
      <w:pPr>
        <w:ind w:left="720" w:hanging="360"/>
      </w:pPr>
    </w:lvl>
    <w:lvl w:ilvl="1" w:tplc="8DD6BBA4">
      <w:start w:val="1"/>
      <w:numFmt w:val="lowerLetter"/>
      <w:lvlText w:val="%2."/>
      <w:lvlJc w:val="left"/>
      <w:pPr>
        <w:ind w:left="1440" w:hanging="360"/>
      </w:pPr>
    </w:lvl>
    <w:lvl w:ilvl="2" w:tplc="00D2B9D6">
      <w:start w:val="1"/>
      <w:numFmt w:val="lowerRoman"/>
      <w:lvlText w:val="%3."/>
      <w:lvlJc w:val="right"/>
      <w:pPr>
        <w:ind w:left="2160" w:hanging="180"/>
      </w:pPr>
    </w:lvl>
    <w:lvl w:ilvl="3" w:tplc="D442A92E">
      <w:start w:val="1"/>
      <w:numFmt w:val="decimal"/>
      <w:lvlText w:val="%4."/>
      <w:lvlJc w:val="left"/>
      <w:pPr>
        <w:ind w:left="2880" w:hanging="360"/>
      </w:pPr>
    </w:lvl>
    <w:lvl w:ilvl="4" w:tplc="B998A2D0">
      <w:start w:val="1"/>
      <w:numFmt w:val="lowerLetter"/>
      <w:lvlText w:val="%5."/>
      <w:lvlJc w:val="left"/>
      <w:pPr>
        <w:ind w:left="3600" w:hanging="360"/>
      </w:pPr>
    </w:lvl>
    <w:lvl w:ilvl="5" w:tplc="74E2828C">
      <w:start w:val="1"/>
      <w:numFmt w:val="lowerRoman"/>
      <w:lvlText w:val="%6."/>
      <w:lvlJc w:val="right"/>
      <w:pPr>
        <w:ind w:left="4320" w:hanging="180"/>
      </w:pPr>
    </w:lvl>
    <w:lvl w:ilvl="6" w:tplc="9AF64F3C">
      <w:start w:val="1"/>
      <w:numFmt w:val="decimal"/>
      <w:lvlText w:val="%7."/>
      <w:lvlJc w:val="left"/>
      <w:pPr>
        <w:ind w:left="5040" w:hanging="360"/>
      </w:pPr>
    </w:lvl>
    <w:lvl w:ilvl="7" w:tplc="38767126">
      <w:start w:val="1"/>
      <w:numFmt w:val="lowerLetter"/>
      <w:lvlText w:val="%8."/>
      <w:lvlJc w:val="left"/>
      <w:pPr>
        <w:ind w:left="5760" w:hanging="360"/>
      </w:pPr>
    </w:lvl>
    <w:lvl w:ilvl="8" w:tplc="62106E44">
      <w:start w:val="1"/>
      <w:numFmt w:val="lowerRoman"/>
      <w:lvlText w:val="%9."/>
      <w:lvlJc w:val="right"/>
      <w:pPr>
        <w:ind w:left="6480" w:hanging="180"/>
      </w:pPr>
    </w:lvl>
  </w:abstractNum>
  <w:abstractNum w:abstractNumId="8" w15:restartNumberingAfterBreak="0">
    <w:nsid w:val="32E77206"/>
    <w:multiLevelType w:val="hybridMultilevel"/>
    <w:tmpl w:val="F18888B6"/>
    <w:lvl w:ilvl="0" w:tplc="3D7E8320">
      <w:start w:val="1"/>
      <w:numFmt w:val="bullet"/>
      <w:lvlText w:val=""/>
      <w:lvlJc w:val="left"/>
      <w:pPr>
        <w:ind w:left="720" w:hanging="360"/>
      </w:pPr>
      <w:rPr>
        <w:rFonts w:ascii="Symbol" w:hAnsi="Symbol" w:hint="default"/>
      </w:rPr>
    </w:lvl>
    <w:lvl w:ilvl="1" w:tplc="F2C8A0AC">
      <w:start w:val="1"/>
      <w:numFmt w:val="bullet"/>
      <w:lvlText w:val="o"/>
      <w:lvlJc w:val="left"/>
      <w:pPr>
        <w:ind w:left="1440" w:hanging="360"/>
      </w:pPr>
      <w:rPr>
        <w:rFonts w:ascii="Courier New" w:hAnsi="Courier New" w:hint="default"/>
      </w:rPr>
    </w:lvl>
    <w:lvl w:ilvl="2" w:tplc="56B0FD7A">
      <w:start w:val="1"/>
      <w:numFmt w:val="bullet"/>
      <w:lvlText w:val=""/>
      <w:lvlJc w:val="left"/>
      <w:pPr>
        <w:ind w:left="2160" w:hanging="360"/>
      </w:pPr>
      <w:rPr>
        <w:rFonts w:ascii="Wingdings" w:hAnsi="Wingdings" w:hint="default"/>
      </w:rPr>
    </w:lvl>
    <w:lvl w:ilvl="3" w:tplc="FD461E00">
      <w:start w:val="1"/>
      <w:numFmt w:val="bullet"/>
      <w:lvlText w:val=""/>
      <w:lvlJc w:val="left"/>
      <w:pPr>
        <w:ind w:left="2880" w:hanging="360"/>
      </w:pPr>
      <w:rPr>
        <w:rFonts w:ascii="Symbol" w:hAnsi="Symbol" w:hint="default"/>
      </w:rPr>
    </w:lvl>
    <w:lvl w:ilvl="4" w:tplc="4CC6D068">
      <w:start w:val="1"/>
      <w:numFmt w:val="bullet"/>
      <w:lvlText w:val="o"/>
      <w:lvlJc w:val="left"/>
      <w:pPr>
        <w:ind w:left="3600" w:hanging="360"/>
      </w:pPr>
      <w:rPr>
        <w:rFonts w:ascii="Courier New" w:hAnsi="Courier New" w:hint="default"/>
      </w:rPr>
    </w:lvl>
    <w:lvl w:ilvl="5" w:tplc="AD1EC8BE">
      <w:start w:val="1"/>
      <w:numFmt w:val="bullet"/>
      <w:lvlText w:val=""/>
      <w:lvlJc w:val="left"/>
      <w:pPr>
        <w:ind w:left="4320" w:hanging="360"/>
      </w:pPr>
      <w:rPr>
        <w:rFonts w:ascii="Wingdings" w:hAnsi="Wingdings" w:hint="default"/>
      </w:rPr>
    </w:lvl>
    <w:lvl w:ilvl="6" w:tplc="C1EAB6B6">
      <w:start w:val="1"/>
      <w:numFmt w:val="bullet"/>
      <w:lvlText w:val=""/>
      <w:lvlJc w:val="left"/>
      <w:pPr>
        <w:ind w:left="5040" w:hanging="360"/>
      </w:pPr>
      <w:rPr>
        <w:rFonts w:ascii="Symbol" w:hAnsi="Symbol" w:hint="default"/>
      </w:rPr>
    </w:lvl>
    <w:lvl w:ilvl="7" w:tplc="DD50F188">
      <w:start w:val="1"/>
      <w:numFmt w:val="bullet"/>
      <w:lvlText w:val="o"/>
      <w:lvlJc w:val="left"/>
      <w:pPr>
        <w:ind w:left="5760" w:hanging="360"/>
      </w:pPr>
      <w:rPr>
        <w:rFonts w:ascii="Courier New" w:hAnsi="Courier New" w:hint="default"/>
      </w:rPr>
    </w:lvl>
    <w:lvl w:ilvl="8" w:tplc="A126C92A">
      <w:start w:val="1"/>
      <w:numFmt w:val="bullet"/>
      <w:lvlText w:val=""/>
      <w:lvlJc w:val="left"/>
      <w:pPr>
        <w:ind w:left="6480" w:hanging="360"/>
      </w:pPr>
      <w:rPr>
        <w:rFonts w:ascii="Wingdings" w:hAnsi="Wingdings" w:hint="default"/>
      </w:rPr>
    </w:lvl>
  </w:abstractNum>
  <w:abstractNum w:abstractNumId="9" w15:restartNumberingAfterBreak="0">
    <w:nsid w:val="33D3FCBD"/>
    <w:multiLevelType w:val="hybridMultilevel"/>
    <w:tmpl w:val="4B56A438"/>
    <w:lvl w:ilvl="0" w:tplc="69D0F2E4">
      <w:start w:val="1"/>
      <w:numFmt w:val="bullet"/>
      <w:lvlText w:val=""/>
      <w:lvlJc w:val="left"/>
      <w:pPr>
        <w:ind w:left="720" w:hanging="360"/>
      </w:pPr>
      <w:rPr>
        <w:rFonts w:ascii="Symbol" w:hAnsi="Symbol" w:hint="default"/>
      </w:rPr>
    </w:lvl>
    <w:lvl w:ilvl="1" w:tplc="94F06332">
      <w:start w:val="1"/>
      <w:numFmt w:val="bullet"/>
      <w:lvlText w:val="o"/>
      <w:lvlJc w:val="left"/>
      <w:pPr>
        <w:ind w:left="1440" w:hanging="360"/>
      </w:pPr>
      <w:rPr>
        <w:rFonts w:ascii="Courier New" w:hAnsi="Courier New" w:hint="default"/>
      </w:rPr>
    </w:lvl>
    <w:lvl w:ilvl="2" w:tplc="FD7C142A">
      <w:start w:val="1"/>
      <w:numFmt w:val="bullet"/>
      <w:lvlText w:val=""/>
      <w:lvlJc w:val="left"/>
      <w:pPr>
        <w:ind w:left="2160" w:hanging="360"/>
      </w:pPr>
      <w:rPr>
        <w:rFonts w:ascii="Wingdings" w:hAnsi="Wingdings" w:hint="default"/>
      </w:rPr>
    </w:lvl>
    <w:lvl w:ilvl="3" w:tplc="D4F2CD08">
      <w:start w:val="1"/>
      <w:numFmt w:val="bullet"/>
      <w:lvlText w:val=""/>
      <w:lvlJc w:val="left"/>
      <w:pPr>
        <w:ind w:left="2880" w:hanging="360"/>
      </w:pPr>
      <w:rPr>
        <w:rFonts w:ascii="Symbol" w:hAnsi="Symbol" w:hint="default"/>
      </w:rPr>
    </w:lvl>
    <w:lvl w:ilvl="4" w:tplc="3FF40292">
      <w:start w:val="1"/>
      <w:numFmt w:val="bullet"/>
      <w:lvlText w:val="o"/>
      <w:lvlJc w:val="left"/>
      <w:pPr>
        <w:ind w:left="3600" w:hanging="360"/>
      </w:pPr>
      <w:rPr>
        <w:rFonts w:ascii="Courier New" w:hAnsi="Courier New" w:hint="default"/>
      </w:rPr>
    </w:lvl>
    <w:lvl w:ilvl="5" w:tplc="D2BE5032">
      <w:start w:val="1"/>
      <w:numFmt w:val="bullet"/>
      <w:lvlText w:val=""/>
      <w:lvlJc w:val="left"/>
      <w:pPr>
        <w:ind w:left="4320" w:hanging="360"/>
      </w:pPr>
      <w:rPr>
        <w:rFonts w:ascii="Wingdings" w:hAnsi="Wingdings" w:hint="default"/>
      </w:rPr>
    </w:lvl>
    <w:lvl w:ilvl="6" w:tplc="16BED05E">
      <w:start w:val="1"/>
      <w:numFmt w:val="bullet"/>
      <w:lvlText w:val=""/>
      <w:lvlJc w:val="left"/>
      <w:pPr>
        <w:ind w:left="5040" w:hanging="360"/>
      </w:pPr>
      <w:rPr>
        <w:rFonts w:ascii="Symbol" w:hAnsi="Symbol" w:hint="default"/>
      </w:rPr>
    </w:lvl>
    <w:lvl w:ilvl="7" w:tplc="44C6ACC8">
      <w:start w:val="1"/>
      <w:numFmt w:val="bullet"/>
      <w:lvlText w:val="o"/>
      <w:lvlJc w:val="left"/>
      <w:pPr>
        <w:ind w:left="5760" w:hanging="360"/>
      </w:pPr>
      <w:rPr>
        <w:rFonts w:ascii="Courier New" w:hAnsi="Courier New" w:hint="default"/>
      </w:rPr>
    </w:lvl>
    <w:lvl w:ilvl="8" w:tplc="282A2B60">
      <w:start w:val="1"/>
      <w:numFmt w:val="bullet"/>
      <w:lvlText w:val=""/>
      <w:lvlJc w:val="left"/>
      <w:pPr>
        <w:ind w:left="6480" w:hanging="360"/>
      </w:pPr>
      <w:rPr>
        <w:rFonts w:ascii="Wingdings" w:hAnsi="Wingdings" w:hint="default"/>
      </w:rPr>
    </w:lvl>
  </w:abstractNum>
  <w:abstractNum w:abstractNumId="10" w15:restartNumberingAfterBreak="0">
    <w:nsid w:val="35AB8746"/>
    <w:multiLevelType w:val="hybridMultilevel"/>
    <w:tmpl w:val="B1F82978"/>
    <w:lvl w:ilvl="0" w:tplc="60A4D33E">
      <w:start w:val="1"/>
      <w:numFmt w:val="decimal"/>
      <w:lvlText w:val="%1."/>
      <w:lvlJc w:val="left"/>
      <w:pPr>
        <w:ind w:left="720" w:hanging="360"/>
      </w:pPr>
    </w:lvl>
    <w:lvl w:ilvl="1" w:tplc="AE6CEAC2">
      <w:start w:val="1"/>
      <w:numFmt w:val="lowerLetter"/>
      <w:lvlText w:val="%2."/>
      <w:lvlJc w:val="left"/>
      <w:pPr>
        <w:ind w:left="1440" w:hanging="360"/>
      </w:pPr>
    </w:lvl>
    <w:lvl w:ilvl="2" w:tplc="DAA4675C">
      <w:start w:val="1"/>
      <w:numFmt w:val="lowerRoman"/>
      <w:lvlText w:val="%3."/>
      <w:lvlJc w:val="right"/>
      <w:pPr>
        <w:ind w:left="2160" w:hanging="180"/>
      </w:pPr>
    </w:lvl>
    <w:lvl w:ilvl="3" w:tplc="B45A8E62">
      <w:start w:val="1"/>
      <w:numFmt w:val="decimal"/>
      <w:lvlText w:val="%4."/>
      <w:lvlJc w:val="left"/>
      <w:pPr>
        <w:ind w:left="2880" w:hanging="360"/>
      </w:pPr>
    </w:lvl>
    <w:lvl w:ilvl="4" w:tplc="B6883092">
      <w:start w:val="1"/>
      <w:numFmt w:val="lowerLetter"/>
      <w:lvlText w:val="%5."/>
      <w:lvlJc w:val="left"/>
      <w:pPr>
        <w:ind w:left="3600" w:hanging="360"/>
      </w:pPr>
    </w:lvl>
    <w:lvl w:ilvl="5" w:tplc="A1F82A60">
      <w:start w:val="1"/>
      <w:numFmt w:val="lowerRoman"/>
      <w:lvlText w:val="%6."/>
      <w:lvlJc w:val="right"/>
      <w:pPr>
        <w:ind w:left="4320" w:hanging="180"/>
      </w:pPr>
    </w:lvl>
    <w:lvl w:ilvl="6" w:tplc="19041CE6">
      <w:start w:val="1"/>
      <w:numFmt w:val="decimal"/>
      <w:lvlText w:val="%7."/>
      <w:lvlJc w:val="left"/>
      <w:pPr>
        <w:ind w:left="5040" w:hanging="360"/>
      </w:pPr>
    </w:lvl>
    <w:lvl w:ilvl="7" w:tplc="23CEEDD0">
      <w:start w:val="1"/>
      <w:numFmt w:val="lowerLetter"/>
      <w:lvlText w:val="%8."/>
      <w:lvlJc w:val="left"/>
      <w:pPr>
        <w:ind w:left="5760" w:hanging="360"/>
      </w:pPr>
    </w:lvl>
    <w:lvl w:ilvl="8" w:tplc="C1F2F47E">
      <w:start w:val="1"/>
      <w:numFmt w:val="lowerRoman"/>
      <w:lvlText w:val="%9."/>
      <w:lvlJc w:val="right"/>
      <w:pPr>
        <w:ind w:left="6480" w:hanging="180"/>
      </w:pPr>
    </w:lvl>
  </w:abstractNum>
  <w:abstractNum w:abstractNumId="11" w15:restartNumberingAfterBreak="0">
    <w:nsid w:val="3A8C815F"/>
    <w:multiLevelType w:val="hybridMultilevel"/>
    <w:tmpl w:val="01CC66F4"/>
    <w:lvl w:ilvl="0" w:tplc="28E099DC">
      <w:start w:val="1"/>
      <w:numFmt w:val="bullet"/>
      <w:lvlText w:val=""/>
      <w:lvlJc w:val="left"/>
      <w:pPr>
        <w:ind w:left="720" w:hanging="360"/>
      </w:pPr>
      <w:rPr>
        <w:rFonts w:ascii="Symbol" w:hAnsi="Symbol" w:hint="default"/>
      </w:rPr>
    </w:lvl>
    <w:lvl w:ilvl="1" w:tplc="05748E08">
      <w:start w:val="1"/>
      <w:numFmt w:val="bullet"/>
      <w:lvlText w:val="o"/>
      <w:lvlJc w:val="left"/>
      <w:pPr>
        <w:ind w:left="1440" w:hanging="360"/>
      </w:pPr>
      <w:rPr>
        <w:rFonts w:ascii="Courier New" w:hAnsi="Courier New" w:hint="default"/>
      </w:rPr>
    </w:lvl>
    <w:lvl w:ilvl="2" w:tplc="2BD84812">
      <w:start w:val="1"/>
      <w:numFmt w:val="bullet"/>
      <w:lvlText w:val=""/>
      <w:lvlJc w:val="left"/>
      <w:pPr>
        <w:ind w:left="2160" w:hanging="360"/>
      </w:pPr>
      <w:rPr>
        <w:rFonts w:ascii="Wingdings" w:hAnsi="Wingdings" w:hint="default"/>
      </w:rPr>
    </w:lvl>
    <w:lvl w:ilvl="3" w:tplc="70DE85C4">
      <w:start w:val="1"/>
      <w:numFmt w:val="bullet"/>
      <w:lvlText w:val=""/>
      <w:lvlJc w:val="left"/>
      <w:pPr>
        <w:ind w:left="2880" w:hanging="360"/>
      </w:pPr>
      <w:rPr>
        <w:rFonts w:ascii="Symbol" w:hAnsi="Symbol" w:hint="default"/>
      </w:rPr>
    </w:lvl>
    <w:lvl w:ilvl="4" w:tplc="27FA1488">
      <w:start w:val="1"/>
      <w:numFmt w:val="bullet"/>
      <w:lvlText w:val="o"/>
      <w:lvlJc w:val="left"/>
      <w:pPr>
        <w:ind w:left="3600" w:hanging="360"/>
      </w:pPr>
      <w:rPr>
        <w:rFonts w:ascii="Courier New" w:hAnsi="Courier New" w:hint="default"/>
      </w:rPr>
    </w:lvl>
    <w:lvl w:ilvl="5" w:tplc="0DF83C2E">
      <w:start w:val="1"/>
      <w:numFmt w:val="bullet"/>
      <w:lvlText w:val=""/>
      <w:lvlJc w:val="left"/>
      <w:pPr>
        <w:ind w:left="4320" w:hanging="360"/>
      </w:pPr>
      <w:rPr>
        <w:rFonts w:ascii="Wingdings" w:hAnsi="Wingdings" w:hint="default"/>
      </w:rPr>
    </w:lvl>
    <w:lvl w:ilvl="6" w:tplc="0CF20F66">
      <w:start w:val="1"/>
      <w:numFmt w:val="bullet"/>
      <w:lvlText w:val=""/>
      <w:lvlJc w:val="left"/>
      <w:pPr>
        <w:ind w:left="5040" w:hanging="360"/>
      </w:pPr>
      <w:rPr>
        <w:rFonts w:ascii="Symbol" w:hAnsi="Symbol" w:hint="default"/>
      </w:rPr>
    </w:lvl>
    <w:lvl w:ilvl="7" w:tplc="0E12159A">
      <w:start w:val="1"/>
      <w:numFmt w:val="bullet"/>
      <w:lvlText w:val="o"/>
      <w:lvlJc w:val="left"/>
      <w:pPr>
        <w:ind w:left="5760" w:hanging="360"/>
      </w:pPr>
      <w:rPr>
        <w:rFonts w:ascii="Courier New" w:hAnsi="Courier New" w:hint="default"/>
      </w:rPr>
    </w:lvl>
    <w:lvl w:ilvl="8" w:tplc="10A4C52A">
      <w:start w:val="1"/>
      <w:numFmt w:val="bullet"/>
      <w:lvlText w:val=""/>
      <w:lvlJc w:val="left"/>
      <w:pPr>
        <w:ind w:left="6480" w:hanging="360"/>
      </w:pPr>
      <w:rPr>
        <w:rFonts w:ascii="Wingdings" w:hAnsi="Wingdings" w:hint="default"/>
      </w:rPr>
    </w:lvl>
  </w:abstractNum>
  <w:abstractNum w:abstractNumId="12" w15:restartNumberingAfterBreak="0">
    <w:nsid w:val="3DD3F88D"/>
    <w:multiLevelType w:val="hybridMultilevel"/>
    <w:tmpl w:val="3376A2A2"/>
    <w:lvl w:ilvl="0" w:tplc="C4F6A55C">
      <w:start w:val="1"/>
      <w:numFmt w:val="bullet"/>
      <w:lvlText w:val=""/>
      <w:lvlJc w:val="left"/>
      <w:pPr>
        <w:ind w:left="720" w:hanging="360"/>
      </w:pPr>
      <w:rPr>
        <w:rFonts w:ascii="Symbol" w:hAnsi="Symbol" w:hint="default"/>
      </w:rPr>
    </w:lvl>
    <w:lvl w:ilvl="1" w:tplc="2AE04F8E">
      <w:start w:val="1"/>
      <w:numFmt w:val="bullet"/>
      <w:lvlText w:val="o"/>
      <w:lvlJc w:val="left"/>
      <w:pPr>
        <w:ind w:left="1440" w:hanging="360"/>
      </w:pPr>
      <w:rPr>
        <w:rFonts w:ascii="Courier New" w:hAnsi="Courier New" w:hint="default"/>
      </w:rPr>
    </w:lvl>
    <w:lvl w:ilvl="2" w:tplc="49CCACB6">
      <w:start w:val="1"/>
      <w:numFmt w:val="bullet"/>
      <w:lvlText w:val=""/>
      <w:lvlJc w:val="left"/>
      <w:pPr>
        <w:ind w:left="2160" w:hanging="360"/>
      </w:pPr>
      <w:rPr>
        <w:rFonts w:ascii="Wingdings" w:hAnsi="Wingdings" w:hint="default"/>
      </w:rPr>
    </w:lvl>
    <w:lvl w:ilvl="3" w:tplc="74267604">
      <w:start w:val="1"/>
      <w:numFmt w:val="bullet"/>
      <w:lvlText w:val=""/>
      <w:lvlJc w:val="left"/>
      <w:pPr>
        <w:ind w:left="2880" w:hanging="360"/>
      </w:pPr>
      <w:rPr>
        <w:rFonts w:ascii="Symbol" w:hAnsi="Symbol" w:hint="default"/>
      </w:rPr>
    </w:lvl>
    <w:lvl w:ilvl="4" w:tplc="FB3244EA">
      <w:start w:val="1"/>
      <w:numFmt w:val="bullet"/>
      <w:lvlText w:val="o"/>
      <w:lvlJc w:val="left"/>
      <w:pPr>
        <w:ind w:left="3600" w:hanging="360"/>
      </w:pPr>
      <w:rPr>
        <w:rFonts w:ascii="Courier New" w:hAnsi="Courier New" w:hint="default"/>
      </w:rPr>
    </w:lvl>
    <w:lvl w:ilvl="5" w:tplc="1F88EA20">
      <w:start w:val="1"/>
      <w:numFmt w:val="bullet"/>
      <w:lvlText w:val=""/>
      <w:lvlJc w:val="left"/>
      <w:pPr>
        <w:ind w:left="4320" w:hanging="360"/>
      </w:pPr>
      <w:rPr>
        <w:rFonts w:ascii="Wingdings" w:hAnsi="Wingdings" w:hint="default"/>
      </w:rPr>
    </w:lvl>
    <w:lvl w:ilvl="6" w:tplc="5D969C40">
      <w:start w:val="1"/>
      <w:numFmt w:val="bullet"/>
      <w:lvlText w:val=""/>
      <w:lvlJc w:val="left"/>
      <w:pPr>
        <w:ind w:left="5040" w:hanging="360"/>
      </w:pPr>
      <w:rPr>
        <w:rFonts w:ascii="Symbol" w:hAnsi="Symbol" w:hint="default"/>
      </w:rPr>
    </w:lvl>
    <w:lvl w:ilvl="7" w:tplc="ADECEC8E">
      <w:start w:val="1"/>
      <w:numFmt w:val="bullet"/>
      <w:lvlText w:val="o"/>
      <w:lvlJc w:val="left"/>
      <w:pPr>
        <w:ind w:left="5760" w:hanging="360"/>
      </w:pPr>
      <w:rPr>
        <w:rFonts w:ascii="Courier New" w:hAnsi="Courier New" w:hint="default"/>
      </w:rPr>
    </w:lvl>
    <w:lvl w:ilvl="8" w:tplc="CAD85876">
      <w:start w:val="1"/>
      <w:numFmt w:val="bullet"/>
      <w:lvlText w:val=""/>
      <w:lvlJc w:val="left"/>
      <w:pPr>
        <w:ind w:left="6480" w:hanging="360"/>
      </w:pPr>
      <w:rPr>
        <w:rFonts w:ascii="Wingdings" w:hAnsi="Wingdings" w:hint="default"/>
      </w:rPr>
    </w:lvl>
  </w:abstractNum>
  <w:abstractNum w:abstractNumId="13" w15:restartNumberingAfterBreak="0">
    <w:nsid w:val="3F2B1281"/>
    <w:multiLevelType w:val="hybridMultilevel"/>
    <w:tmpl w:val="487E839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3D30B2"/>
    <w:multiLevelType w:val="hybridMultilevel"/>
    <w:tmpl w:val="C64CCAD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B885FC"/>
    <w:multiLevelType w:val="hybridMultilevel"/>
    <w:tmpl w:val="E91C5D8A"/>
    <w:lvl w:ilvl="0" w:tplc="E7B80DD2">
      <w:start w:val="1"/>
      <w:numFmt w:val="bullet"/>
      <w:lvlText w:val=""/>
      <w:lvlJc w:val="left"/>
      <w:pPr>
        <w:ind w:left="720" w:hanging="360"/>
      </w:pPr>
      <w:rPr>
        <w:rFonts w:ascii="Symbol" w:hAnsi="Symbol" w:hint="default"/>
      </w:rPr>
    </w:lvl>
    <w:lvl w:ilvl="1" w:tplc="B72ED676">
      <w:start w:val="1"/>
      <w:numFmt w:val="bullet"/>
      <w:lvlText w:val="o"/>
      <w:lvlJc w:val="left"/>
      <w:pPr>
        <w:ind w:left="1440" w:hanging="360"/>
      </w:pPr>
      <w:rPr>
        <w:rFonts w:ascii="Courier New" w:hAnsi="Courier New" w:hint="default"/>
      </w:rPr>
    </w:lvl>
    <w:lvl w:ilvl="2" w:tplc="1B4815D8">
      <w:start w:val="1"/>
      <w:numFmt w:val="bullet"/>
      <w:lvlText w:val=""/>
      <w:lvlJc w:val="left"/>
      <w:pPr>
        <w:ind w:left="2160" w:hanging="360"/>
      </w:pPr>
      <w:rPr>
        <w:rFonts w:ascii="Wingdings" w:hAnsi="Wingdings" w:hint="default"/>
      </w:rPr>
    </w:lvl>
    <w:lvl w:ilvl="3" w:tplc="57E43366">
      <w:start w:val="1"/>
      <w:numFmt w:val="bullet"/>
      <w:lvlText w:val=""/>
      <w:lvlJc w:val="left"/>
      <w:pPr>
        <w:ind w:left="2880" w:hanging="360"/>
      </w:pPr>
      <w:rPr>
        <w:rFonts w:ascii="Symbol" w:hAnsi="Symbol" w:hint="default"/>
      </w:rPr>
    </w:lvl>
    <w:lvl w:ilvl="4" w:tplc="4E78A7DE">
      <w:start w:val="1"/>
      <w:numFmt w:val="bullet"/>
      <w:lvlText w:val="o"/>
      <w:lvlJc w:val="left"/>
      <w:pPr>
        <w:ind w:left="3600" w:hanging="360"/>
      </w:pPr>
      <w:rPr>
        <w:rFonts w:ascii="Courier New" w:hAnsi="Courier New" w:hint="default"/>
      </w:rPr>
    </w:lvl>
    <w:lvl w:ilvl="5" w:tplc="5B90000C">
      <w:start w:val="1"/>
      <w:numFmt w:val="bullet"/>
      <w:lvlText w:val=""/>
      <w:lvlJc w:val="left"/>
      <w:pPr>
        <w:ind w:left="4320" w:hanging="360"/>
      </w:pPr>
      <w:rPr>
        <w:rFonts w:ascii="Wingdings" w:hAnsi="Wingdings" w:hint="default"/>
      </w:rPr>
    </w:lvl>
    <w:lvl w:ilvl="6" w:tplc="25FC7F1E">
      <w:start w:val="1"/>
      <w:numFmt w:val="bullet"/>
      <w:lvlText w:val=""/>
      <w:lvlJc w:val="left"/>
      <w:pPr>
        <w:ind w:left="5040" w:hanging="360"/>
      </w:pPr>
      <w:rPr>
        <w:rFonts w:ascii="Symbol" w:hAnsi="Symbol" w:hint="default"/>
      </w:rPr>
    </w:lvl>
    <w:lvl w:ilvl="7" w:tplc="3244CC7A">
      <w:start w:val="1"/>
      <w:numFmt w:val="bullet"/>
      <w:lvlText w:val="o"/>
      <w:lvlJc w:val="left"/>
      <w:pPr>
        <w:ind w:left="5760" w:hanging="360"/>
      </w:pPr>
      <w:rPr>
        <w:rFonts w:ascii="Courier New" w:hAnsi="Courier New" w:hint="default"/>
      </w:rPr>
    </w:lvl>
    <w:lvl w:ilvl="8" w:tplc="E464604E">
      <w:start w:val="1"/>
      <w:numFmt w:val="bullet"/>
      <w:lvlText w:val=""/>
      <w:lvlJc w:val="left"/>
      <w:pPr>
        <w:ind w:left="6480" w:hanging="360"/>
      </w:pPr>
      <w:rPr>
        <w:rFonts w:ascii="Wingdings" w:hAnsi="Wingdings" w:hint="default"/>
      </w:rPr>
    </w:lvl>
  </w:abstractNum>
  <w:abstractNum w:abstractNumId="16" w15:restartNumberingAfterBreak="0">
    <w:nsid w:val="45E7F169"/>
    <w:multiLevelType w:val="hybridMultilevel"/>
    <w:tmpl w:val="946ECBEA"/>
    <w:lvl w:ilvl="0" w:tplc="548E45A0">
      <w:start w:val="1"/>
      <w:numFmt w:val="bullet"/>
      <w:lvlText w:val=""/>
      <w:lvlJc w:val="left"/>
      <w:pPr>
        <w:ind w:left="720" w:hanging="360"/>
      </w:pPr>
      <w:rPr>
        <w:rFonts w:ascii="Symbol" w:hAnsi="Symbol" w:hint="default"/>
      </w:rPr>
    </w:lvl>
    <w:lvl w:ilvl="1" w:tplc="8D36F1FA">
      <w:start w:val="1"/>
      <w:numFmt w:val="bullet"/>
      <w:lvlText w:val="o"/>
      <w:lvlJc w:val="left"/>
      <w:pPr>
        <w:ind w:left="1440" w:hanging="360"/>
      </w:pPr>
      <w:rPr>
        <w:rFonts w:ascii="Courier New" w:hAnsi="Courier New" w:hint="default"/>
      </w:rPr>
    </w:lvl>
    <w:lvl w:ilvl="2" w:tplc="B0681C60">
      <w:start w:val="1"/>
      <w:numFmt w:val="bullet"/>
      <w:lvlText w:val=""/>
      <w:lvlJc w:val="left"/>
      <w:pPr>
        <w:ind w:left="2160" w:hanging="360"/>
      </w:pPr>
      <w:rPr>
        <w:rFonts w:ascii="Wingdings" w:hAnsi="Wingdings" w:hint="default"/>
      </w:rPr>
    </w:lvl>
    <w:lvl w:ilvl="3" w:tplc="CE6485B2">
      <w:start w:val="1"/>
      <w:numFmt w:val="bullet"/>
      <w:lvlText w:val=""/>
      <w:lvlJc w:val="left"/>
      <w:pPr>
        <w:ind w:left="2880" w:hanging="360"/>
      </w:pPr>
      <w:rPr>
        <w:rFonts w:ascii="Symbol" w:hAnsi="Symbol" w:hint="default"/>
      </w:rPr>
    </w:lvl>
    <w:lvl w:ilvl="4" w:tplc="61740CF4">
      <w:start w:val="1"/>
      <w:numFmt w:val="bullet"/>
      <w:lvlText w:val="o"/>
      <w:lvlJc w:val="left"/>
      <w:pPr>
        <w:ind w:left="3600" w:hanging="360"/>
      </w:pPr>
      <w:rPr>
        <w:rFonts w:ascii="Courier New" w:hAnsi="Courier New" w:hint="default"/>
      </w:rPr>
    </w:lvl>
    <w:lvl w:ilvl="5" w:tplc="2B7CAADC">
      <w:start w:val="1"/>
      <w:numFmt w:val="bullet"/>
      <w:lvlText w:val=""/>
      <w:lvlJc w:val="left"/>
      <w:pPr>
        <w:ind w:left="4320" w:hanging="360"/>
      </w:pPr>
      <w:rPr>
        <w:rFonts w:ascii="Wingdings" w:hAnsi="Wingdings" w:hint="default"/>
      </w:rPr>
    </w:lvl>
    <w:lvl w:ilvl="6" w:tplc="348EA6E0">
      <w:start w:val="1"/>
      <w:numFmt w:val="bullet"/>
      <w:lvlText w:val=""/>
      <w:lvlJc w:val="left"/>
      <w:pPr>
        <w:ind w:left="5040" w:hanging="360"/>
      </w:pPr>
      <w:rPr>
        <w:rFonts w:ascii="Symbol" w:hAnsi="Symbol" w:hint="default"/>
      </w:rPr>
    </w:lvl>
    <w:lvl w:ilvl="7" w:tplc="8896474E">
      <w:start w:val="1"/>
      <w:numFmt w:val="bullet"/>
      <w:lvlText w:val="o"/>
      <w:lvlJc w:val="left"/>
      <w:pPr>
        <w:ind w:left="5760" w:hanging="360"/>
      </w:pPr>
      <w:rPr>
        <w:rFonts w:ascii="Courier New" w:hAnsi="Courier New" w:hint="default"/>
      </w:rPr>
    </w:lvl>
    <w:lvl w:ilvl="8" w:tplc="CDFA723C">
      <w:start w:val="1"/>
      <w:numFmt w:val="bullet"/>
      <w:lvlText w:val=""/>
      <w:lvlJc w:val="left"/>
      <w:pPr>
        <w:ind w:left="6480" w:hanging="360"/>
      </w:pPr>
      <w:rPr>
        <w:rFonts w:ascii="Wingdings" w:hAnsi="Wingdings" w:hint="default"/>
      </w:rPr>
    </w:lvl>
  </w:abstractNum>
  <w:abstractNum w:abstractNumId="17" w15:restartNumberingAfterBreak="0">
    <w:nsid w:val="49F185DB"/>
    <w:multiLevelType w:val="hybridMultilevel"/>
    <w:tmpl w:val="2D28D414"/>
    <w:lvl w:ilvl="0" w:tplc="9A6CCAC4">
      <w:start w:val="1"/>
      <w:numFmt w:val="bullet"/>
      <w:lvlText w:val=""/>
      <w:lvlJc w:val="left"/>
      <w:pPr>
        <w:ind w:left="720" w:hanging="360"/>
      </w:pPr>
      <w:rPr>
        <w:rFonts w:ascii="Symbol" w:hAnsi="Symbol" w:hint="default"/>
      </w:rPr>
    </w:lvl>
    <w:lvl w:ilvl="1" w:tplc="6890C126">
      <w:start w:val="1"/>
      <w:numFmt w:val="bullet"/>
      <w:lvlText w:val="o"/>
      <w:lvlJc w:val="left"/>
      <w:pPr>
        <w:ind w:left="1440" w:hanging="360"/>
      </w:pPr>
      <w:rPr>
        <w:rFonts w:ascii="Courier New" w:hAnsi="Courier New" w:hint="default"/>
      </w:rPr>
    </w:lvl>
    <w:lvl w:ilvl="2" w:tplc="56069482">
      <w:start w:val="1"/>
      <w:numFmt w:val="bullet"/>
      <w:lvlText w:val=""/>
      <w:lvlJc w:val="left"/>
      <w:pPr>
        <w:ind w:left="2160" w:hanging="360"/>
      </w:pPr>
      <w:rPr>
        <w:rFonts w:ascii="Wingdings" w:hAnsi="Wingdings" w:hint="default"/>
      </w:rPr>
    </w:lvl>
    <w:lvl w:ilvl="3" w:tplc="D8909B96">
      <w:start w:val="1"/>
      <w:numFmt w:val="bullet"/>
      <w:lvlText w:val=""/>
      <w:lvlJc w:val="left"/>
      <w:pPr>
        <w:ind w:left="2880" w:hanging="360"/>
      </w:pPr>
      <w:rPr>
        <w:rFonts w:ascii="Symbol" w:hAnsi="Symbol" w:hint="default"/>
      </w:rPr>
    </w:lvl>
    <w:lvl w:ilvl="4" w:tplc="3A3A5208">
      <w:start w:val="1"/>
      <w:numFmt w:val="bullet"/>
      <w:lvlText w:val="o"/>
      <w:lvlJc w:val="left"/>
      <w:pPr>
        <w:ind w:left="3600" w:hanging="360"/>
      </w:pPr>
      <w:rPr>
        <w:rFonts w:ascii="Courier New" w:hAnsi="Courier New" w:hint="default"/>
      </w:rPr>
    </w:lvl>
    <w:lvl w:ilvl="5" w:tplc="5AD4C99A">
      <w:start w:val="1"/>
      <w:numFmt w:val="bullet"/>
      <w:lvlText w:val=""/>
      <w:lvlJc w:val="left"/>
      <w:pPr>
        <w:ind w:left="4320" w:hanging="360"/>
      </w:pPr>
      <w:rPr>
        <w:rFonts w:ascii="Wingdings" w:hAnsi="Wingdings" w:hint="default"/>
      </w:rPr>
    </w:lvl>
    <w:lvl w:ilvl="6" w:tplc="8E40B6BE">
      <w:start w:val="1"/>
      <w:numFmt w:val="bullet"/>
      <w:lvlText w:val=""/>
      <w:lvlJc w:val="left"/>
      <w:pPr>
        <w:ind w:left="5040" w:hanging="360"/>
      </w:pPr>
      <w:rPr>
        <w:rFonts w:ascii="Symbol" w:hAnsi="Symbol" w:hint="default"/>
      </w:rPr>
    </w:lvl>
    <w:lvl w:ilvl="7" w:tplc="3B3248AE">
      <w:start w:val="1"/>
      <w:numFmt w:val="bullet"/>
      <w:lvlText w:val="o"/>
      <w:lvlJc w:val="left"/>
      <w:pPr>
        <w:ind w:left="5760" w:hanging="360"/>
      </w:pPr>
      <w:rPr>
        <w:rFonts w:ascii="Courier New" w:hAnsi="Courier New" w:hint="default"/>
      </w:rPr>
    </w:lvl>
    <w:lvl w:ilvl="8" w:tplc="BBF676D8">
      <w:start w:val="1"/>
      <w:numFmt w:val="bullet"/>
      <w:lvlText w:val=""/>
      <w:lvlJc w:val="left"/>
      <w:pPr>
        <w:ind w:left="6480" w:hanging="360"/>
      </w:pPr>
      <w:rPr>
        <w:rFonts w:ascii="Wingdings" w:hAnsi="Wingdings" w:hint="default"/>
      </w:rPr>
    </w:lvl>
  </w:abstractNum>
  <w:abstractNum w:abstractNumId="18" w15:restartNumberingAfterBreak="0">
    <w:nsid w:val="4ACE0287"/>
    <w:multiLevelType w:val="hybridMultilevel"/>
    <w:tmpl w:val="CEEE3C4A"/>
    <w:lvl w:ilvl="0" w:tplc="48CE53F8">
      <w:start w:val="1"/>
      <w:numFmt w:val="bullet"/>
      <w:lvlText w:val=""/>
      <w:lvlJc w:val="left"/>
      <w:pPr>
        <w:ind w:left="720" w:hanging="360"/>
      </w:pPr>
      <w:rPr>
        <w:rFonts w:ascii="Symbol" w:hAnsi="Symbol" w:hint="default"/>
      </w:rPr>
    </w:lvl>
    <w:lvl w:ilvl="1" w:tplc="D6028C10">
      <w:start w:val="1"/>
      <w:numFmt w:val="bullet"/>
      <w:lvlText w:val="o"/>
      <w:lvlJc w:val="left"/>
      <w:pPr>
        <w:ind w:left="1440" w:hanging="360"/>
      </w:pPr>
      <w:rPr>
        <w:rFonts w:ascii="Courier New" w:hAnsi="Courier New" w:hint="default"/>
      </w:rPr>
    </w:lvl>
    <w:lvl w:ilvl="2" w:tplc="A46098A0">
      <w:start w:val="1"/>
      <w:numFmt w:val="bullet"/>
      <w:lvlText w:val=""/>
      <w:lvlJc w:val="left"/>
      <w:pPr>
        <w:ind w:left="2160" w:hanging="360"/>
      </w:pPr>
      <w:rPr>
        <w:rFonts w:ascii="Wingdings" w:hAnsi="Wingdings" w:hint="default"/>
      </w:rPr>
    </w:lvl>
    <w:lvl w:ilvl="3" w:tplc="DF4608A4">
      <w:start w:val="1"/>
      <w:numFmt w:val="bullet"/>
      <w:lvlText w:val=""/>
      <w:lvlJc w:val="left"/>
      <w:pPr>
        <w:ind w:left="2880" w:hanging="360"/>
      </w:pPr>
      <w:rPr>
        <w:rFonts w:ascii="Symbol" w:hAnsi="Symbol" w:hint="default"/>
      </w:rPr>
    </w:lvl>
    <w:lvl w:ilvl="4" w:tplc="EEFA8E2C">
      <w:start w:val="1"/>
      <w:numFmt w:val="bullet"/>
      <w:lvlText w:val="o"/>
      <w:lvlJc w:val="left"/>
      <w:pPr>
        <w:ind w:left="3600" w:hanging="360"/>
      </w:pPr>
      <w:rPr>
        <w:rFonts w:ascii="Courier New" w:hAnsi="Courier New" w:hint="default"/>
      </w:rPr>
    </w:lvl>
    <w:lvl w:ilvl="5" w:tplc="DA4AFAEC">
      <w:start w:val="1"/>
      <w:numFmt w:val="bullet"/>
      <w:lvlText w:val=""/>
      <w:lvlJc w:val="left"/>
      <w:pPr>
        <w:ind w:left="4320" w:hanging="360"/>
      </w:pPr>
      <w:rPr>
        <w:rFonts w:ascii="Wingdings" w:hAnsi="Wingdings" w:hint="default"/>
      </w:rPr>
    </w:lvl>
    <w:lvl w:ilvl="6" w:tplc="DA1ABB7E">
      <w:start w:val="1"/>
      <w:numFmt w:val="bullet"/>
      <w:lvlText w:val=""/>
      <w:lvlJc w:val="left"/>
      <w:pPr>
        <w:ind w:left="5040" w:hanging="360"/>
      </w:pPr>
      <w:rPr>
        <w:rFonts w:ascii="Symbol" w:hAnsi="Symbol" w:hint="default"/>
      </w:rPr>
    </w:lvl>
    <w:lvl w:ilvl="7" w:tplc="708C44FC">
      <w:start w:val="1"/>
      <w:numFmt w:val="bullet"/>
      <w:lvlText w:val="o"/>
      <w:lvlJc w:val="left"/>
      <w:pPr>
        <w:ind w:left="5760" w:hanging="360"/>
      </w:pPr>
      <w:rPr>
        <w:rFonts w:ascii="Courier New" w:hAnsi="Courier New" w:hint="default"/>
      </w:rPr>
    </w:lvl>
    <w:lvl w:ilvl="8" w:tplc="FE34944A">
      <w:start w:val="1"/>
      <w:numFmt w:val="bullet"/>
      <w:lvlText w:val=""/>
      <w:lvlJc w:val="left"/>
      <w:pPr>
        <w:ind w:left="6480" w:hanging="360"/>
      </w:pPr>
      <w:rPr>
        <w:rFonts w:ascii="Wingdings" w:hAnsi="Wingdings" w:hint="default"/>
      </w:rPr>
    </w:lvl>
  </w:abstractNum>
  <w:abstractNum w:abstractNumId="19" w15:restartNumberingAfterBreak="0">
    <w:nsid w:val="4D9AA5A6"/>
    <w:multiLevelType w:val="hybridMultilevel"/>
    <w:tmpl w:val="B984701A"/>
    <w:lvl w:ilvl="0" w:tplc="3348C89A">
      <w:start w:val="1"/>
      <w:numFmt w:val="bullet"/>
      <w:lvlText w:val=""/>
      <w:lvlJc w:val="left"/>
      <w:pPr>
        <w:ind w:left="720" w:hanging="360"/>
      </w:pPr>
      <w:rPr>
        <w:rFonts w:ascii="Symbol" w:hAnsi="Symbol" w:hint="default"/>
      </w:rPr>
    </w:lvl>
    <w:lvl w:ilvl="1" w:tplc="6546B4C4">
      <w:start w:val="1"/>
      <w:numFmt w:val="bullet"/>
      <w:lvlText w:val="o"/>
      <w:lvlJc w:val="left"/>
      <w:pPr>
        <w:ind w:left="1440" w:hanging="360"/>
      </w:pPr>
      <w:rPr>
        <w:rFonts w:ascii="Courier New" w:hAnsi="Courier New" w:hint="default"/>
      </w:rPr>
    </w:lvl>
    <w:lvl w:ilvl="2" w:tplc="4454C9BE">
      <w:start w:val="1"/>
      <w:numFmt w:val="bullet"/>
      <w:lvlText w:val=""/>
      <w:lvlJc w:val="left"/>
      <w:pPr>
        <w:ind w:left="2160" w:hanging="360"/>
      </w:pPr>
      <w:rPr>
        <w:rFonts w:ascii="Wingdings" w:hAnsi="Wingdings" w:hint="default"/>
      </w:rPr>
    </w:lvl>
    <w:lvl w:ilvl="3" w:tplc="F6140B46">
      <w:start w:val="1"/>
      <w:numFmt w:val="bullet"/>
      <w:lvlText w:val=""/>
      <w:lvlJc w:val="left"/>
      <w:pPr>
        <w:ind w:left="2880" w:hanging="360"/>
      </w:pPr>
      <w:rPr>
        <w:rFonts w:ascii="Symbol" w:hAnsi="Symbol" w:hint="default"/>
      </w:rPr>
    </w:lvl>
    <w:lvl w:ilvl="4" w:tplc="D4208E60">
      <w:start w:val="1"/>
      <w:numFmt w:val="bullet"/>
      <w:lvlText w:val="o"/>
      <w:lvlJc w:val="left"/>
      <w:pPr>
        <w:ind w:left="3600" w:hanging="360"/>
      </w:pPr>
      <w:rPr>
        <w:rFonts w:ascii="Courier New" w:hAnsi="Courier New" w:hint="default"/>
      </w:rPr>
    </w:lvl>
    <w:lvl w:ilvl="5" w:tplc="69344FB8">
      <w:start w:val="1"/>
      <w:numFmt w:val="bullet"/>
      <w:lvlText w:val=""/>
      <w:lvlJc w:val="left"/>
      <w:pPr>
        <w:ind w:left="4320" w:hanging="360"/>
      </w:pPr>
      <w:rPr>
        <w:rFonts w:ascii="Wingdings" w:hAnsi="Wingdings" w:hint="default"/>
      </w:rPr>
    </w:lvl>
    <w:lvl w:ilvl="6" w:tplc="A88474D8">
      <w:start w:val="1"/>
      <w:numFmt w:val="bullet"/>
      <w:lvlText w:val=""/>
      <w:lvlJc w:val="left"/>
      <w:pPr>
        <w:ind w:left="5040" w:hanging="360"/>
      </w:pPr>
      <w:rPr>
        <w:rFonts w:ascii="Symbol" w:hAnsi="Symbol" w:hint="default"/>
      </w:rPr>
    </w:lvl>
    <w:lvl w:ilvl="7" w:tplc="F7446D96">
      <w:start w:val="1"/>
      <w:numFmt w:val="bullet"/>
      <w:lvlText w:val="o"/>
      <w:lvlJc w:val="left"/>
      <w:pPr>
        <w:ind w:left="5760" w:hanging="360"/>
      </w:pPr>
      <w:rPr>
        <w:rFonts w:ascii="Courier New" w:hAnsi="Courier New" w:hint="default"/>
      </w:rPr>
    </w:lvl>
    <w:lvl w:ilvl="8" w:tplc="99CE1F3A">
      <w:start w:val="1"/>
      <w:numFmt w:val="bullet"/>
      <w:lvlText w:val=""/>
      <w:lvlJc w:val="left"/>
      <w:pPr>
        <w:ind w:left="6480" w:hanging="360"/>
      </w:pPr>
      <w:rPr>
        <w:rFonts w:ascii="Wingdings" w:hAnsi="Wingdings" w:hint="default"/>
      </w:rPr>
    </w:lvl>
  </w:abstractNum>
  <w:abstractNum w:abstractNumId="20" w15:restartNumberingAfterBreak="0">
    <w:nsid w:val="566DDBF2"/>
    <w:multiLevelType w:val="hybridMultilevel"/>
    <w:tmpl w:val="9ECC675C"/>
    <w:lvl w:ilvl="0" w:tplc="9D4014F2">
      <w:start w:val="1"/>
      <w:numFmt w:val="bullet"/>
      <w:lvlText w:val=""/>
      <w:lvlJc w:val="left"/>
      <w:pPr>
        <w:ind w:left="720" w:hanging="360"/>
      </w:pPr>
      <w:rPr>
        <w:rFonts w:ascii="Symbol" w:hAnsi="Symbol" w:hint="default"/>
      </w:rPr>
    </w:lvl>
    <w:lvl w:ilvl="1" w:tplc="064CCC7E">
      <w:start w:val="1"/>
      <w:numFmt w:val="bullet"/>
      <w:lvlText w:val="o"/>
      <w:lvlJc w:val="left"/>
      <w:pPr>
        <w:ind w:left="1440" w:hanging="360"/>
      </w:pPr>
      <w:rPr>
        <w:rFonts w:ascii="Courier New" w:hAnsi="Courier New" w:hint="default"/>
      </w:rPr>
    </w:lvl>
    <w:lvl w:ilvl="2" w:tplc="7E68E856">
      <w:start w:val="1"/>
      <w:numFmt w:val="bullet"/>
      <w:lvlText w:val=""/>
      <w:lvlJc w:val="left"/>
      <w:pPr>
        <w:ind w:left="2160" w:hanging="360"/>
      </w:pPr>
      <w:rPr>
        <w:rFonts w:ascii="Wingdings" w:hAnsi="Wingdings" w:hint="default"/>
      </w:rPr>
    </w:lvl>
    <w:lvl w:ilvl="3" w:tplc="F224EDFE">
      <w:start w:val="1"/>
      <w:numFmt w:val="bullet"/>
      <w:lvlText w:val=""/>
      <w:lvlJc w:val="left"/>
      <w:pPr>
        <w:ind w:left="2880" w:hanging="360"/>
      </w:pPr>
      <w:rPr>
        <w:rFonts w:ascii="Symbol" w:hAnsi="Symbol" w:hint="default"/>
      </w:rPr>
    </w:lvl>
    <w:lvl w:ilvl="4" w:tplc="DE9220C4">
      <w:start w:val="1"/>
      <w:numFmt w:val="bullet"/>
      <w:lvlText w:val="o"/>
      <w:lvlJc w:val="left"/>
      <w:pPr>
        <w:ind w:left="3600" w:hanging="360"/>
      </w:pPr>
      <w:rPr>
        <w:rFonts w:ascii="Courier New" w:hAnsi="Courier New" w:hint="default"/>
      </w:rPr>
    </w:lvl>
    <w:lvl w:ilvl="5" w:tplc="573CF1FE">
      <w:start w:val="1"/>
      <w:numFmt w:val="bullet"/>
      <w:lvlText w:val=""/>
      <w:lvlJc w:val="left"/>
      <w:pPr>
        <w:ind w:left="4320" w:hanging="360"/>
      </w:pPr>
      <w:rPr>
        <w:rFonts w:ascii="Wingdings" w:hAnsi="Wingdings" w:hint="default"/>
      </w:rPr>
    </w:lvl>
    <w:lvl w:ilvl="6" w:tplc="5F6E7B5A">
      <w:start w:val="1"/>
      <w:numFmt w:val="bullet"/>
      <w:lvlText w:val=""/>
      <w:lvlJc w:val="left"/>
      <w:pPr>
        <w:ind w:left="5040" w:hanging="360"/>
      </w:pPr>
      <w:rPr>
        <w:rFonts w:ascii="Symbol" w:hAnsi="Symbol" w:hint="default"/>
      </w:rPr>
    </w:lvl>
    <w:lvl w:ilvl="7" w:tplc="A410AA10">
      <w:start w:val="1"/>
      <w:numFmt w:val="bullet"/>
      <w:lvlText w:val="o"/>
      <w:lvlJc w:val="left"/>
      <w:pPr>
        <w:ind w:left="5760" w:hanging="360"/>
      </w:pPr>
      <w:rPr>
        <w:rFonts w:ascii="Courier New" w:hAnsi="Courier New" w:hint="default"/>
      </w:rPr>
    </w:lvl>
    <w:lvl w:ilvl="8" w:tplc="9EF23D14">
      <w:start w:val="1"/>
      <w:numFmt w:val="bullet"/>
      <w:lvlText w:val=""/>
      <w:lvlJc w:val="left"/>
      <w:pPr>
        <w:ind w:left="6480" w:hanging="360"/>
      </w:pPr>
      <w:rPr>
        <w:rFonts w:ascii="Wingdings" w:hAnsi="Wingdings" w:hint="default"/>
      </w:rPr>
    </w:lvl>
  </w:abstractNum>
  <w:abstractNum w:abstractNumId="21" w15:restartNumberingAfterBreak="0">
    <w:nsid w:val="577021FB"/>
    <w:multiLevelType w:val="multilevel"/>
    <w:tmpl w:val="825CA49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145DE94"/>
    <w:multiLevelType w:val="hybridMultilevel"/>
    <w:tmpl w:val="EB9C66AA"/>
    <w:lvl w:ilvl="0" w:tplc="FBC0C174">
      <w:start w:val="1"/>
      <w:numFmt w:val="bullet"/>
      <w:lvlText w:val=""/>
      <w:lvlJc w:val="left"/>
      <w:pPr>
        <w:ind w:left="720" w:hanging="360"/>
      </w:pPr>
      <w:rPr>
        <w:rFonts w:ascii="Symbol" w:hAnsi="Symbol" w:hint="default"/>
      </w:rPr>
    </w:lvl>
    <w:lvl w:ilvl="1" w:tplc="1FE27058">
      <w:start w:val="1"/>
      <w:numFmt w:val="bullet"/>
      <w:lvlText w:val="o"/>
      <w:lvlJc w:val="left"/>
      <w:pPr>
        <w:ind w:left="1440" w:hanging="360"/>
      </w:pPr>
      <w:rPr>
        <w:rFonts w:ascii="Courier New" w:hAnsi="Courier New" w:hint="default"/>
      </w:rPr>
    </w:lvl>
    <w:lvl w:ilvl="2" w:tplc="72FCA848">
      <w:start w:val="1"/>
      <w:numFmt w:val="bullet"/>
      <w:lvlText w:val=""/>
      <w:lvlJc w:val="left"/>
      <w:pPr>
        <w:ind w:left="2160" w:hanging="360"/>
      </w:pPr>
      <w:rPr>
        <w:rFonts w:ascii="Wingdings" w:hAnsi="Wingdings" w:hint="default"/>
      </w:rPr>
    </w:lvl>
    <w:lvl w:ilvl="3" w:tplc="7FAA40C8">
      <w:start w:val="1"/>
      <w:numFmt w:val="bullet"/>
      <w:lvlText w:val=""/>
      <w:lvlJc w:val="left"/>
      <w:pPr>
        <w:ind w:left="2880" w:hanging="360"/>
      </w:pPr>
      <w:rPr>
        <w:rFonts w:ascii="Symbol" w:hAnsi="Symbol" w:hint="default"/>
      </w:rPr>
    </w:lvl>
    <w:lvl w:ilvl="4" w:tplc="973C613A">
      <w:start w:val="1"/>
      <w:numFmt w:val="bullet"/>
      <w:lvlText w:val="o"/>
      <w:lvlJc w:val="left"/>
      <w:pPr>
        <w:ind w:left="3600" w:hanging="360"/>
      </w:pPr>
      <w:rPr>
        <w:rFonts w:ascii="Courier New" w:hAnsi="Courier New" w:hint="default"/>
      </w:rPr>
    </w:lvl>
    <w:lvl w:ilvl="5" w:tplc="546E7850">
      <w:start w:val="1"/>
      <w:numFmt w:val="bullet"/>
      <w:lvlText w:val=""/>
      <w:lvlJc w:val="left"/>
      <w:pPr>
        <w:ind w:left="4320" w:hanging="360"/>
      </w:pPr>
      <w:rPr>
        <w:rFonts w:ascii="Wingdings" w:hAnsi="Wingdings" w:hint="default"/>
      </w:rPr>
    </w:lvl>
    <w:lvl w:ilvl="6" w:tplc="FCFAB990">
      <w:start w:val="1"/>
      <w:numFmt w:val="bullet"/>
      <w:lvlText w:val=""/>
      <w:lvlJc w:val="left"/>
      <w:pPr>
        <w:ind w:left="5040" w:hanging="360"/>
      </w:pPr>
      <w:rPr>
        <w:rFonts w:ascii="Symbol" w:hAnsi="Symbol" w:hint="default"/>
      </w:rPr>
    </w:lvl>
    <w:lvl w:ilvl="7" w:tplc="743CADE4">
      <w:start w:val="1"/>
      <w:numFmt w:val="bullet"/>
      <w:lvlText w:val="o"/>
      <w:lvlJc w:val="left"/>
      <w:pPr>
        <w:ind w:left="5760" w:hanging="360"/>
      </w:pPr>
      <w:rPr>
        <w:rFonts w:ascii="Courier New" w:hAnsi="Courier New" w:hint="default"/>
      </w:rPr>
    </w:lvl>
    <w:lvl w:ilvl="8" w:tplc="A30EED2C">
      <w:start w:val="1"/>
      <w:numFmt w:val="bullet"/>
      <w:lvlText w:val=""/>
      <w:lvlJc w:val="left"/>
      <w:pPr>
        <w:ind w:left="6480" w:hanging="360"/>
      </w:pPr>
      <w:rPr>
        <w:rFonts w:ascii="Wingdings" w:hAnsi="Wingdings" w:hint="default"/>
      </w:rPr>
    </w:lvl>
  </w:abstractNum>
  <w:abstractNum w:abstractNumId="23" w15:restartNumberingAfterBreak="0">
    <w:nsid w:val="6D459BED"/>
    <w:multiLevelType w:val="hybridMultilevel"/>
    <w:tmpl w:val="7FA6A95C"/>
    <w:lvl w:ilvl="0" w:tplc="DB30810C">
      <w:start w:val="1"/>
      <w:numFmt w:val="decimal"/>
      <w:lvlText w:val="%1."/>
      <w:lvlJc w:val="left"/>
      <w:pPr>
        <w:ind w:left="720" w:hanging="360"/>
      </w:pPr>
    </w:lvl>
    <w:lvl w:ilvl="1" w:tplc="20FCED86">
      <w:start w:val="1"/>
      <w:numFmt w:val="lowerLetter"/>
      <w:lvlText w:val="%2."/>
      <w:lvlJc w:val="left"/>
      <w:pPr>
        <w:ind w:left="1440" w:hanging="360"/>
      </w:pPr>
    </w:lvl>
    <w:lvl w:ilvl="2" w:tplc="EE1C6B74">
      <w:start w:val="1"/>
      <w:numFmt w:val="lowerRoman"/>
      <w:lvlText w:val="%3."/>
      <w:lvlJc w:val="right"/>
      <w:pPr>
        <w:ind w:left="2160" w:hanging="180"/>
      </w:pPr>
    </w:lvl>
    <w:lvl w:ilvl="3" w:tplc="AE06ABFC">
      <w:start w:val="1"/>
      <w:numFmt w:val="decimal"/>
      <w:lvlText w:val="%4."/>
      <w:lvlJc w:val="left"/>
      <w:pPr>
        <w:ind w:left="2880" w:hanging="360"/>
      </w:pPr>
    </w:lvl>
    <w:lvl w:ilvl="4" w:tplc="986E48D0">
      <w:start w:val="1"/>
      <w:numFmt w:val="lowerLetter"/>
      <w:lvlText w:val="%5."/>
      <w:lvlJc w:val="left"/>
      <w:pPr>
        <w:ind w:left="3600" w:hanging="360"/>
      </w:pPr>
    </w:lvl>
    <w:lvl w:ilvl="5" w:tplc="B7D84F12">
      <w:start w:val="1"/>
      <w:numFmt w:val="lowerRoman"/>
      <w:lvlText w:val="%6."/>
      <w:lvlJc w:val="right"/>
      <w:pPr>
        <w:ind w:left="4320" w:hanging="180"/>
      </w:pPr>
    </w:lvl>
    <w:lvl w:ilvl="6" w:tplc="EE2E1662">
      <w:start w:val="1"/>
      <w:numFmt w:val="decimal"/>
      <w:lvlText w:val="%7."/>
      <w:lvlJc w:val="left"/>
      <w:pPr>
        <w:ind w:left="5040" w:hanging="360"/>
      </w:pPr>
    </w:lvl>
    <w:lvl w:ilvl="7" w:tplc="0794F5BA">
      <w:start w:val="1"/>
      <w:numFmt w:val="lowerLetter"/>
      <w:lvlText w:val="%8."/>
      <w:lvlJc w:val="left"/>
      <w:pPr>
        <w:ind w:left="5760" w:hanging="360"/>
      </w:pPr>
    </w:lvl>
    <w:lvl w:ilvl="8" w:tplc="71CE82E4">
      <w:start w:val="1"/>
      <w:numFmt w:val="lowerRoman"/>
      <w:lvlText w:val="%9."/>
      <w:lvlJc w:val="right"/>
      <w:pPr>
        <w:ind w:left="6480" w:hanging="180"/>
      </w:pPr>
    </w:lvl>
  </w:abstractNum>
  <w:abstractNum w:abstractNumId="24" w15:restartNumberingAfterBreak="0">
    <w:nsid w:val="76833E50"/>
    <w:multiLevelType w:val="hybridMultilevel"/>
    <w:tmpl w:val="08CA77A8"/>
    <w:lvl w:ilvl="0" w:tplc="D5B8742A">
      <w:start w:val="1"/>
      <w:numFmt w:val="bullet"/>
      <w:lvlText w:val=""/>
      <w:lvlJc w:val="left"/>
      <w:pPr>
        <w:ind w:left="720" w:hanging="360"/>
      </w:pPr>
      <w:rPr>
        <w:rFonts w:ascii="Symbol" w:hAnsi="Symbol" w:hint="default"/>
      </w:rPr>
    </w:lvl>
    <w:lvl w:ilvl="1" w:tplc="DDDCD7C8">
      <w:start w:val="1"/>
      <w:numFmt w:val="bullet"/>
      <w:lvlText w:val="o"/>
      <w:lvlJc w:val="left"/>
      <w:pPr>
        <w:ind w:left="1440" w:hanging="360"/>
      </w:pPr>
      <w:rPr>
        <w:rFonts w:ascii="Courier New" w:hAnsi="Courier New" w:hint="default"/>
      </w:rPr>
    </w:lvl>
    <w:lvl w:ilvl="2" w:tplc="996413C4">
      <w:start w:val="1"/>
      <w:numFmt w:val="bullet"/>
      <w:lvlText w:val=""/>
      <w:lvlJc w:val="left"/>
      <w:pPr>
        <w:ind w:left="2160" w:hanging="360"/>
      </w:pPr>
      <w:rPr>
        <w:rFonts w:ascii="Wingdings" w:hAnsi="Wingdings" w:hint="default"/>
      </w:rPr>
    </w:lvl>
    <w:lvl w:ilvl="3" w:tplc="954888E0">
      <w:start w:val="1"/>
      <w:numFmt w:val="bullet"/>
      <w:lvlText w:val=""/>
      <w:lvlJc w:val="left"/>
      <w:pPr>
        <w:ind w:left="2880" w:hanging="360"/>
      </w:pPr>
      <w:rPr>
        <w:rFonts w:ascii="Symbol" w:hAnsi="Symbol" w:hint="default"/>
      </w:rPr>
    </w:lvl>
    <w:lvl w:ilvl="4" w:tplc="74821CFC">
      <w:start w:val="1"/>
      <w:numFmt w:val="bullet"/>
      <w:lvlText w:val="o"/>
      <w:lvlJc w:val="left"/>
      <w:pPr>
        <w:ind w:left="3600" w:hanging="360"/>
      </w:pPr>
      <w:rPr>
        <w:rFonts w:ascii="Courier New" w:hAnsi="Courier New" w:hint="default"/>
      </w:rPr>
    </w:lvl>
    <w:lvl w:ilvl="5" w:tplc="4A921BE8">
      <w:start w:val="1"/>
      <w:numFmt w:val="bullet"/>
      <w:lvlText w:val=""/>
      <w:lvlJc w:val="left"/>
      <w:pPr>
        <w:ind w:left="4320" w:hanging="360"/>
      </w:pPr>
      <w:rPr>
        <w:rFonts w:ascii="Wingdings" w:hAnsi="Wingdings" w:hint="default"/>
      </w:rPr>
    </w:lvl>
    <w:lvl w:ilvl="6" w:tplc="0E925D42">
      <w:start w:val="1"/>
      <w:numFmt w:val="bullet"/>
      <w:lvlText w:val=""/>
      <w:lvlJc w:val="left"/>
      <w:pPr>
        <w:ind w:left="5040" w:hanging="360"/>
      </w:pPr>
      <w:rPr>
        <w:rFonts w:ascii="Symbol" w:hAnsi="Symbol" w:hint="default"/>
      </w:rPr>
    </w:lvl>
    <w:lvl w:ilvl="7" w:tplc="2F180800">
      <w:start w:val="1"/>
      <w:numFmt w:val="bullet"/>
      <w:lvlText w:val="o"/>
      <w:lvlJc w:val="left"/>
      <w:pPr>
        <w:ind w:left="5760" w:hanging="360"/>
      </w:pPr>
      <w:rPr>
        <w:rFonts w:ascii="Courier New" w:hAnsi="Courier New" w:hint="default"/>
      </w:rPr>
    </w:lvl>
    <w:lvl w:ilvl="8" w:tplc="4034735C">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24"/>
  </w:num>
  <w:num w:numId="4">
    <w:abstractNumId w:val="9"/>
  </w:num>
  <w:num w:numId="5">
    <w:abstractNumId w:val="10"/>
  </w:num>
  <w:num w:numId="6">
    <w:abstractNumId w:val="3"/>
  </w:num>
  <w:num w:numId="7">
    <w:abstractNumId w:val="6"/>
  </w:num>
  <w:num w:numId="8">
    <w:abstractNumId w:val="19"/>
  </w:num>
  <w:num w:numId="9">
    <w:abstractNumId w:val="4"/>
  </w:num>
  <w:num w:numId="10">
    <w:abstractNumId w:val="17"/>
  </w:num>
  <w:num w:numId="11">
    <w:abstractNumId w:val="11"/>
  </w:num>
  <w:num w:numId="12">
    <w:abstractNumId w:val="15"/>
  </w:num>
  <w:num w:numId="13">
    <w:abstractNumId w:val="2"/>
  </w:num>
  <w:num w:numId="14">
    <w:abstractNumId w:val="8"/>
  </w:num>
  <w:num w:numId="15">
    <w:abstractNumId w:val="20"/>
  </w:num>
  <w:num w:numId="16">
    <w:abstractNumId w:val="16"/>
  </w:num>
  <w:num w:numId="17">
    <w:abstractNumId w:val="23"/>
  </w:num>
  <w:num w:numId="18">
    <w:abstractNumId w:val="18"/>
  </w:num>
  <w:num w:numId="19">
    <w:abstractNumId w:val="22"/>
  </w:num>
  <w:num w:numId="20">
    <w:abstractNumId w:val="7"/>
  </w:num>
  <w:num w:numId="21">
    <w:abstractNumId w:val="0"/>
  </w:num>
  <w:num w:numId="22">
    <w:abstractNumId w:val="21"/>
  </w:num>
  <w:num w:numId="23">
    <w:abstractNumId w:val="13"/>
  </w:num>
  <w:num w:numId="24">
    <w:abstractNumId w:val="14"/>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1D135D"/>
    <w:rsid w:val="000E0A06"/>
    <w:rsid w:val="001A1EA4"/>
    <w:rsid w:val="001A606C"/>
    <w:rsid w:val="001B0C22"/>
    <w:rsid w:val="0023332E"/>
    <w:rsid w:val="00236505"/>
    <w:rsid w:val="002542CD"/>
    <w:rsid w:val="00267177"/>
    <w:rsid w:val="00271397"/>
    <w:rsid w:val="002B141C"/>
    <w:rsid w:val="002C641D"/>
    <w:rsid w:val="002F3099"/>
    <w:rsid w:val="00341AF8"/>
    <w:rsid w:val="00443445"/>
    <w:rsid w:val="0056515A"/>
    <w:rsid w:val="005893BF"/>
    <w:rsid w:val="005A0B80"/>
    <w:rsid w:val="00653845"/>
    <w:rsid w:val="006C5F1C"/>
    <w:rsid w:val="006F697F"/>
    <w:rsid w:val="0077376C"/>
    <w:rsid w:val="007C0684"/>
    <w:rsid w:val="0083584A"/>
    <w:rsid w:val="008776D4"/>
    <w:rsid w:val="008C20CB"/>
    <w:rsid w:val="008D7BE6"/>
    <w:rsid w:val="00900724"/>
    <w:rsid w:val="009B1015"/>
    <w:rsid w:val="00B0019D"/>
    <w:rsid w:val="00B66CF4"/>
    <w:rsid w:val="00CF2D94"/>
    <w:rsid w:val="00D114BF"/>
    <w:rsid w:val="00D651DD"/>
    <w:rsid w:val="00D70ECB"/>
    <w:rsid w:val="00E06675"/>
    <w:rsid w:val="00E3230C"/>
    <w:rsid w:val="00E70509"/>
    <w:rsid w:val="00E83D9B"/>
    <w:rsid w:val="00EB2F01"/>
    <w:rsid w:val="00F410E5"/>
    <w:rsid w:val="017213C3"/>
    <w:rsid w:val="027E8E82"/>
    <w:rsid w:val="02981FFD"/>
    <w:rsid w:val="03308FB0"/>
    <w:rsid w:val="03B72D0A"/>
    <w:rsid w:val="03DAD69D"/>
    <w:rsid w:val="050FECFD"/>
    <w:rsid w:val="0A4D7554"/>
    <w:rsid w:val="0AAE0337"/>
    <w:rsid w:val="0B55E61F"/>
    <w:rsid w:val="0CCD5B5C"/>
    <w:rsid w:val="0D698188"/>
    <w:rsid w:val="0EAD5681"/>
    <w:rsid w:val="0EB4F1FF"/>
    <w:rsid w:val="113F8C31"/>
    <w:rsid w:val="130C77D1"/>
    <w:rsid w:val="13303138"/>
    <w:rsid w:val="16472251"/>
    <w:rsid w:val="17D02255"/>
    <w:rsid w:val="17D5F6C4"/>
    <w:rsid w:val="1890B06F"/>
    <w:rsid w:val="190C1FF0"/>
    <w:rsid w:val="19E21DE2"/>
    <w:rsid w:val="1DC28C8D"/>
    <w:rsid w:val="1DF6A3CC"/>
    <w:rsid w:val="1E751EEE"/>
    <w:rsid w:val="1F20772B"/>
    <w:rsid w:val="206990DD"/>
    <w:rsid w:val="21554580"/>
    <w:rsid w:val="2207C97A"/>
    <w:rsid w:val="22852867"/>
    <w:rsid w:val="2344FAB9"/>
    <w:rsid w:val="23D417BC"/>
    <w:rsid w:val="243923E2"/>
    <w:rsid w:val="24CA730C"/>
    <w:rsid w:val="26B17522"/>
    <w:rsid w:val="26E68D3A"/>
    <w:rsid w:val="292AC573"/>
    <w:rsid w:val="2952F241"/>
    <w:rsid w:val="29716230"/>
    <w:rsid w:val="2AA4ED0C"/>
    <w:rsid w:val="2B4CFE2B"/>
    <w:rsid w:val="2BF95199"/>
    <w:rsid w:val="2E2AF4C0"/>
    <w:rsid w:val="2E8C4935"/>
    <w:rsid w:val="2F2AA5E8"/>
    <w:rsid w:val="302E4ACC"/>
    <w:rsid w:val="30B4552B"/>
    <w:rsid w:val="3211918B"/>
    <w:rsid w:val="32342D2B"/>
    <w:rsid w:val="326F625E"/>
    <w:rsid w:val="32AB3441"/>
    <w:rsid w:val="32C28A65"/>
    <w:rsid w:val="3319D8D1"/>
    <w:rsid w:val="333C487A"/>
    <w:rsid w:val="335CB011"/>
    <w:rsid w:val="34640BF0"/>
    <w:rsid w:val="3477A96A"/>
    <w:rsid w:val="35D4DA91"/>
    <w:rsid w:val="374ABE00"/>
    <w:rsid w:val="376C6968"/>
    <w:rsid w:val="37BB786A"/>
    <w:rsid w:val="3821EB97"/>
    <w:rsid w:val="3848D124"/>
    <w:rsid w:val="3A0B4605"/>
    <w:rsid w:val="3A539B3C"/>
    <w:rsid w:val="3A5FB473"/>
    <w:rsid w:val="3CBDD539"/>
    <w:rsid w:val="3D343B19"/>
    <w:rsid w:val="3DB7F516"/>
    <w:rsid w:val="3EC85D6E"/>
    <w:rsid w:val="3FE09151"/>
    <w:rsid w:val="40BB8700"/>
    <w:rsid w:val="4108B701"/>
    <w:rsid w:val="42590FCA"/>
    <w:rsid w:val="42ACD554"/>
    <w:rsid w:val="436FD161"/>
    <w:rsid w:val="43B94198"/>
    <w:rsid w:val="44A109B2"/>
    <w:rsid w:val="44C5D89E"/>
    <w:rsid w:val="450A8A43"/>
    <w:rsid w:val="46125EC3"/>
    <w:rsid w:val="461D135D"/>
    <w:rsid w:val="465BBBC6"/>
    <w:rsid w:val="469A5674"/>
    <w:rsid w:val="4864E0DC"/>
    <w:rsid w:val="4C500945"/>
    <w:rsid w:val="4D035509"/>
    <w:rsid w:val="4D240C60"/>
    <w:rsid w:val="4E134190"/>
    <w:rsid w:val="4E3BE6C3"/>
    <w:rsid w:val="4FCD2097"/>
    <w:rsid w:val="508575F4"/>
    <w:rsid w:val="51026A09"/>
    <w:rsid w:val="513E49E7"/>
    <w:rsid w:val="517F1829"/>
    <w:rsid w:val="51ED0DAC"/>
    <w:rsid w:val="5210C9AD"/>
    <w:rsid w:val="5404DF56"/>
    <w:rsid w:val="549627A0"/>
    <w:rsid w:val="55A049E9"/>
    <w:rsid w:val="56381F0C"/>
    <w:rsid w:val="566D2D2B"/>
    <w:rsid w:val="5722FB6F"/>
    <w:rsid w:val="573A8A55"/>
    <w:rsid w:val="57EE78BB"/>
    <w:rsid w:val="58105E4A"/>
    <w:rsid w:val="583D9443"/>
    <w:rsid w:val="587E0B56"/>
    <w:rsid w:val="58F1DF59"/>
    <w:rsid w:val="59279BF3"/>
    <w:rsid w:val="59D1C350"/>
    <w:rsid w:val="5B51D52F"/>
    <w:rsid w:val="5C906AAA"/>
    <w:rsid w:val="5CF4BDD7"/>
    <w:rsid w:val="5CFF66FE"/>
    <w:rsid w:val="5DEE5BA2"/>
    <w:rsid w:val="5F07FADA"/>
    <w:rsid w:val="6120643C"/>
    <w:rsid w:val="61C9B359"/>
    <w:rsid w:val="63280AFA"/>
    <w:rsid w:val="63A65A92"/>
    <w:rsid w:val="63BE625A"/>
    <w:rsid w:val="63D35544"/>
    <w:rsid w:val="652BC4CA"/>
    <w:rsid w:val="66524B5E"/>
    <w:rsid w:val="6695DA3C"/>
    <w:rsid w:val="68A3DB15"/>
    <w:rsid w:val="69673A5D"/>
    <w:rsid w:val="69BEBA6A"/>
    <w:rsid w:val="69D1CFEF"/>
    <w:rsid w:val="6AE84761"/>
    <w:rsid w:val="6BA64617"/>
    <w:rsid w:val="6C59D8F0"/>
    <w:rsid w:val="71C915B5"/>
    <w:rsid w:val="721F61B5"/>
    <w:rsid w:val="728938B5"/>
    <w:rsid w:val="735103E0"/>
    <w:rsid w:val="73693689"/>
    <w:rsid w:val="74317689"/>
    <w:rsid w:val="752F12BC"/>
    <w:rsid w:val="7580EF6B"/>
    <w:rsid w:val="76175B2A"/>
    <w:rsid w:val="7695537D"/>
    <w:rsid w:val="76BD6541"/>
    <w:rsid w:val="79B505FB"/>
    <w:rsid w:val="7CBB9012"/>
    <w:rsid w:val="7E3BAE2A"/>
    <w:rsid w:val="7F4BB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D135D"/>
  <w15:chartTrackingRefBased/>
  <w15:docId w15:val="{FB71F113-1FF5-466A-8F26-415E3CE30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4A109B2"/>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Table2-Accent1">
    <w:name w:val="List Table 2 Accent 1"/>
    <w:basedOn w:val="TableNormal"/>
    <w:uiPriority w:val="4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Header">
    <w:name w:val="header"/>
    <w:basedOn w:val="Normal"/>
    <w:link w:val="HeaderChar"/>
    <w:uiPriority w:val="99"/>
    <w:unhideWhenUsed/>
    <w:rsid w:val="004434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445"/>
  </w:style>
  <w:style w:type="paragraph" w:styleId="Footer">
    <w:name w:val="footer"/>
    <w:basedOn w:val="Normal"/>
    <w:link w:val="FooterChar"/>
    <w:uiPriority w:val="99"/>
    <w:unhideWhenUsed/>
    <w:rsid w:val="004434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445"/>
  </w:style>
  <w:style w:type="character" w:customStyle="1" w:styleId="fontstyle01">
    <w:name w:val="fontstyle01"/>
    <w:basedOn w:val="DefaultParagraphFont"/>
    <w:rsid w:val="006F697F"/>
    <w:rPr>
      <w:rFonts w:ascii="Times New Roman" w:hAnsi="Times New Roman" w:cs="Times New Roman" w:hint="default"/>
      <w:b w:val="0"/>
      <w:bCs w:val="0"/>
      <w:i w:val="0"/>
      <w:iCs w:val="0"/>
      <w:color w:val="000000"/>
      <w:sz w:val="24"/>
      <w:szCs w:val="24"/>
    </w:rPr>
  </w:style>
  <w:style w:type="table" w:styleId="GridTable3">
    <w:name w:val="Grid Table 3"/>
    <w:basedOn w:val="TableNormal"/>
    <w:uiPriority w:val="48"/>
    <w:rsid w:val="008C20C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5Dark-Accent4">
    <w:name w:val="Grid Table 5 Dark Accent 4"/>
    <w:basedOn w:val="TableNormal"/>
    <w:uiPriority w:val="50"/>
    <w:rsid w:val="008C20C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character" w:styleId="Hyperlink">
    <w:name w:val="Hyperlink"/>
    <w:basedOn w:val="DefaultParagraphFont"/>
    <w:uiPriority w:val="99"/>
    <w:unhideWhenUsed/>
    <w:rsid w:val="00D651DD"/>
    <w:rPr>
      <w:color w:val="467886" w:themeColor="hyperlink"/>
      <w:u w:val="single"/>
    </w:rPr>
  </w:style>
  <w:style w:type="character" w:styleId="UnresolvedMention">
    <w:name w:val="Unresolved Mention"/>
    <w:basedOn w:val="DefaultParagraphFont"/>
    <w:uiPriority w:val="99"/>
    <w:semiHidden/>
    <w:unhideWhenUsed/>
    <w:rsid w:val="00D651DD"/>
    <w:rPr>
      <w:color w:val="605E5C"/>
      <w:shd w:val="clear" w:color="auto" w:fill="E1DFDD"/>
    </w:rPr>
  </w:style>
  <w:style w:type="paragraph" w:styleId="NormalWeb">
    <w:name w:val="Normal (Web)"/>
    <w:basedOn w:val="Normal"/>
    <w:uiPriority w:val="99"/>
    <w:unhideWhenUsed/>
    <w:rsid w:val="002F3099"/>
    <w:pPr>
      <w:spacing w:before="100" w:beforeAutospacing="1" w:after="100" w:afterAutospacing="1" w:line="240" w:lineRule="auto"/>
    </w:pPr>
    <w:rPr>
      <w:rFonts w:ascii="Times New Roman" w:eastAsia="Times New Roman" w:hAnsi="Times New Roman" w:cs="Times New Roman"/>
      <w:lang w:val="en-US" w:eastAsia="en-US"/>
    </w:rPr>
  </w:style>
  <w:style w:type="character" w:customStyle="1" w:styleId="apple-converted-space">
    <w:name w:val="apple-converted-space"/>
    <w:basedOn w:val="DefaultParagraphFont"/>
    <w:rsid w:val="002F3099"/>
  </w:style>
  <w:style w:type="character" w:styleId="Emphasis">
    <w:name w:val="Emphasis"/>
    <w:basedOn w:val="DefaultParagraphFont"/>
    <w:uiPriority w:val="20"/>
    <w:qFormat/>
    <w:rsid w:val="002F30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34557">
      <w:bodyDiv w:val="1"/>
      <w:marLeft w:val="0"/>
      <w:marRight w:val="0"/>
      <w:marTop w:val="0"/>
      <w:marBottom w:val="0"/>
      <w:divBdr>
        <w:top w:val="none" w:sz="0" w:space="0" w:color="auto"/>
        <w:left w:val="none" w:sz="0" w:space="0" w:color="auto"/>
        <w:bottom w:val="none" w:sz="0" w:space="0" w:color="auto"/>
        <w:right w:val="none" w:sz="0" w:space="0" w:color="auto"/>
      </w:divBdr>
    </w:div>
    <w:div w:id="328748945">
      <w:bodyDiv w:val="1"/>
      <w:marLeft w:val="0"/>
      <w:marRight w:val="0"/>
      <w:marTop w:val="0"/>
      <w:marBottom w:val="0"/>
      <w:divBdr>
        <w:top w:val="none" w:sz="0" w:space="0" w:color="auto"/>
        <w:left w:val="none" w:sz="0" w:space="0" w:color="auto"/>
        <w:bottom w:val="none" w:sz="0" w:space="0" w:color="auto"/>
        <w:right w:val="none" w:sz="0" w:space="0" w:color="auto"/>
      </w:divBdr>
    </w:div>
    <w:div w:id="561670985">
      <w:bodyDiv w:val="1"/>
      <w:marLeft w:val="0"/>
      <w:marRight w:val="0"/>
      <w:marTop w:val="0"/>
      <w:marBottom w:val="0"/>
      <w:divBdr>
        <w:top w:val="none" w:sz="0" w:space="0" w:color="auto"/>
        <w:left w:val="none" w:sz="0" w:space="0" w:color="auto"/>
        <w:bottom w:val="none" w:sz="0" w:space="0" w:color="auto"/>
        <w:right w:val="none" w:sz="0" w:space="0" w:color="auto"/>
      </w:divBdr>
    </w:div>
    <w:div w:id="868833977">
      <w:bodyDiv w:val="1"/>
      <w:marLeft w:val="0"/>
      <w:marRight w:val="0"/>
      <w:marTop w:val="0"/>
      <w:marBottom w:val="0"/>
      <w:divBdr>
        <w:top w:val="none" w:sz="0" w:space="0" w:color="auto"/>
        <w:left w:val="none" w:sz="0" w:space="0" w:color="auto"/>
        <w:bottom w:val="none" w:sz="0" w:space="0" w:color="auto"/>
        <w:right w:val="none" w:sz="0" w:space="0" w:color="auto"/>
      </w:divBdr>
    </w:div>
    <w:div w:id="197448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globalcompact.org/participation/report/cop/detail/6130?utm_source=chatgp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fikingarthur@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ni.com/assets/documents/eng/reports/2020/Eni-in-2020.pdf?utm_source=chatgpt.com" TargetMode="External"/><Relationship Id="rId5" Type="http://schemas.openxmlformats.org/officeDocument/2006/relationships/footnotes" Target="footnotes.xml"/><Relationship Id="rId10" Type="http://schemas.openxmlformats.org/officeDocument/2006/relationships/hyperlink" Target="https://www.eniday.com/en/human_en/eni-local-economy-project-sanzule/" TargetMode="External"/><Relationship Id="rId4" Type="http://schemas.openxmlformats.org/officeDocument/2006/relationships/webSettings" Target="webSettings.xml"/><Relationship Id="rId9" Type="http://schemas.openxmlformats.org/officeDocument/2006/relationships/hyperlink" Target="https://www.eni.com/assets/documents/policy_sustainability.pdf?utm_source=chatgp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30</Pages>
  <Words>9951</Words>
  <Characters>56722</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WILFRED KING ARTHUR</dc:creator>
  <cp:keywords/>
  <dc:description/>
  <cp:lastModifiedBy>Microsoft Office User</cp:lastModifiedBy>
  <cp:revision>8</cp:revision>
  <dcterms:created xsi:type="dcterms:W3CDTF">2026-01-22T13:18:00Z</dcterms:created>
  <dcterms:modified xsi:type="dcterms:W3CDTF">2026-02-03T21:02:00Z</dcterms:modified>
</cp:coreProperties>
</file>