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61AB" w14:textId="77777777" w:rsidR="00544B6E" w:rsidRPr="003A4BDF" w:rsidRDefault="00544B6E" w:rsidP="00AC4EB1">
      <w:pPr>
        <w:spacing w:line="240" w:lineRule="auto"/>
        <w:jc w:val="center"/>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An Empirical Study on Digital Preservation Challenges in Bangladesh’s National Archives</w:t>
      </w:r>
    </w:p>
    <w:p w14:paraId="5E6D2A97" w14:textId="618A529D" w:rsidR="00AC4EB1" w:rsidRPr="003A4BDF" w:rsidRDefault="00AC4EB1" w:rsidP="00AC4EB1">
      <w:pPr>
        <w:spacing w:line="240" w:lineRule="auto"/>
        <w:jc w:val="center"/>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
      </w:r>
    </w:p>
    <w:p w14:paraId="1CFE3A72" w14:textId="7ED0681E" w:rsidR="00AC4EB1" w:rsidRPr="003A4BDF" w:rsidRDefault="00AC4EB1" w:rsidP="00AC4EB1">
      <w:pPr>
        <w:spacing w:line="240" w:lineRule="auto"/>
        <w:jc w:val="center"/>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
      </w:r>
    </w:p>
    <w:p w14:paraId="0FE33FDE" w14:textId="64BA99EB" w:rsidR="00AC4EB1" w:rsidRPr="003A4BDF" w:rsidRDefault="00AC4EB1" w:rsidP="00AC4EB1">
      <w:pPr>
        <w:spacing w:line="240" w:lineRule="auto"/>
        <w:jc w:val="center"/>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
      </w:r>
    </w:p>
    <w:p w14:paraId="7EB574C8" w14:textId="0A6F23BC" w:rsidR="00AC4EB1" w:rsidRPr="003A4BDF" w:rsidRDefault="00AC4EB1" w:rsidP="00AC4EB1">
      <w:pPr>
        <w:spacing w:line="240" w:lineRule="auto"/>
        <w:jc w:val="center"/>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
      </w:r>
    </w:p>
    <w:p w14:paraId="49F8CF03" w14:textId="77777777" w:rsidR="00544B6E" w:rsidRPr="003A4BDF" w:rsidRDefault="00544B6E" w:rsidP="00544B6E">
      <w:pPr>
        <w:shd w:val="clear" w:color="auto" w:fill="C1E4F5" w:themeFill="accent1" w:themeFillTint="33"/>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Abstract</w:t>
      </w:r>
    </w:p>
    <w:p w14:paraId="0EB34B5B" w14:textId="45767070" w:rsidR="00055C1C" w:rsidRPr="003A4BDF" w:rsidRDefault="00055C1C" w:rsidP="00055C1C">
      <w:pPr>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xml:space="preserve"> </w:t>
      </w:r>
      <w:r w:rsidRPr="003A4BDF">
        <w:rPr>
          <w:rFonts w:ascii="Times New Roman" w:hAnsi="Times New Roman" w:cs="Times New Roman"/>
          <w:b/>
          <w:bCs/>
          <w:color w:val="000000" w:themeColor="text1"/>
          <w:sz w:val="24"/>
          <w:szCs w:val="24"/>
        </w:rPr>
        <w:t>Introduction:</w:t>
      </w:r>
      <w:r w:rsidRPr="003A4BDF">
        <w:rPr>
          <w:rFonts w:ascii="Times New Roman" w:hAnsi="Times New Roman" w:cs="Times New Roman"/>
          <w:color w:val="000000" w:themeColor="text1"/>
          <w:sz w:val="24"/>
          <w:szCs w:val="24"/>
        </w:rPr>
        <w:br/>
        <w:t>Digital preservation has become a critical function of national archives to ensure long-term access to documentary heritage. The National Archives of Bangladesh (NAB), as a key custodial institution, faces multiple challenges in adapting to digital preservation practices.</w:t>
      </w:r>
    </w:p>
    <w:p w14:paraId="0F5E9FF4" w14:textId="77777777" w:rsidR="00055C1C" w:rsidRPr="003A4BDF" w:rsidRDefault="00055C1C" w:rsidP="00055C1C">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b/>
          <w:bCs/>
          <w:color w:val="000000" w:themeColor="text1"/>
          <w:sz w:val="24"/>
          <w:szCs w:val="24"/>
        </w:rPr>
        <w:t>Objectives:</w:t>
      </w:r>
      <w:r w:rsidRPr="003A4BDF">
        <w:rPr>
          <w:rFonts w:ascii="Times New Roman" w:hAnsi="Times New Roman" w:cs="Times New Roman"/>
          <w:color w:val="000000" w:themeColor="text1"/>
          <w:sz w:val="24"/>
          <w:szCs w:val="24"/>
        </w:rPr>
        <w:br/>
        <w:t>This study aims to identify and analyze the challenges of digital preservation at NAB, focusing on institutional readiness, infrastructure, staff capacity, and policy-related constraints.</w:t>
      </w:r>
    </w:p>
    <w:p w14:paraId="3C2B0877" w14:textId="77777777" w:rsidR="00055C1C" w:rsidRPr="003A4BDF" w:rsidRDefault="00055C1C" w:rsidP="00055C1C">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b/>
          <w:bCs/>
          <w:color w:val="000000" w:themeColor="text1"/>
          <w:sz w:val="24"/>
          <w:szCs w:val="24"/>
        </w:rPr>
        <w:t>Methods:</w:t>
      </w:r>
      <w:r w:rsidRPr="003A4BDF">
        <w:rPr>
          <w:rFonts w:ascii="Times New Roman" w:hAnsi="Times New Roman" w:cs="Times New Roman"/>
          <w:color w:val="000000" w:themeColor="text1"/>
          <w:sz w:val="24"/>
          <w:szCs w:val="24"/>
        </w:rPr>
        <w:br/>
        <w:t>A quantitative survey design was employed, collecting data from 20 archival professionals working at NAB. The data were analyzed using descriptive statistical techniques in SPSS to assess the current state of digital preservation practices.</w:t>
      </w:r>
    </w:p>
    <w:p w14:paraId="59F0993E" w14:textId="77777777" w:rsidR="00055C1C" w:rsidRPr="003A4BDF" w:rsidRDefault="00055C1C" w:rsidP="00055C1C">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b/>
          <w:bCs/>
          <w:color w:val="000000" w:themeColor="text1"/>
          <w:sz w:val="24"/>
          <w:szCs w:val="24"/>
        </w:rPr>
        <w:t>Findings:</w:t>
      </w:r>
      <w:r w:rsidRPr="003A4BDF">
        <w:rPr>
          <w:rFonts w:ascii="Times New Roman" w:hAnsi="Times New Roman" w:cs="Times New Roman"/>
          <w:color w:val="000000" w:themeColor="text1"/>
          <w:sz w:val="24"/>
          <w:szCs w:val="24"/>
        </w:rPr>
        <w:br/>
        <w:t>The findings reveal significant limitations across multiple dimensions. Approximately 75% of respondents lack formal training in digital preservation, while over 60% report serious infrastructure deficiencies. Although moderate administrative support exists, major barriers persist in technical capacity, legal frameworks, and human resources. Additionally, the absence of comprehensive national-level digital preservation policies further constrains effective implementation.</w:t>
      </w:r>
    </w:p>
    <w:p w14:paraId="6BE2D2A0" w14:textId="77777777" w:rsidR="007D4D03" w:rsidRDefault="00055C1C" w:rsidP="007D4D03">
      <w:pPr>
        <w:spacing w:after="0"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Social Implications:</w:t>
      </w:r>
    </w:p>
    <w:p w14:paraId="7E33BB75" w14:textId="77B74154" w:rsidR="00055C1C" w:rsidRPr="007D4D03" w:rsidRDefault="00055C1C" w:rsidP="00E82A6E">
      <w:pPr>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color w:val="000000" w:themeColor="text1"/>
          <w:sz w:val="24"/>
          <w:szCs w:val="24"/>
        </w:rPr>
        <w:t xml:space="preserve">The study highlights the broader implications for preserving national heritage in developing countries, emphasizing the risks of </w:t>
      </w:r>
      <w:r w:rsidR="003A4BDF" w:rsidRPr="003A4BDF">
        <w:rPr>
          <w:rFonts w:ascii="Times New Roman" w:hAnsi="Times New Roman" w:cs="Times New Roman"/>
          <w:color w:val="000000" w:themeColor="text1"/>
          <w:sz w:val="24"/>
          <w:szCs w:val="24"/>
        </w:rPr>
        <w:t>loss of information</w:t>
      </w:r>
      <w:r w:rsidRPr="003A4BDF">
        <w:rPr>
          <w:rFonts w:ascii="Times New Roman" w:hAnsi="Times New Roman" w:cs="Times New Roman"/>
          <w:color w:val="000000" w:themeColor="text1"/>
          <w:sz w:val="24"/>
          <w:szCs w:val="24"/>
        </w:rPr>
        <w:t xml:space="preserve"> and limited accessibility without proper digital preservation strategies.</w:t>
      </w:r>
    </w:p>
    <w:p w14:paraId="21AB72D7" w14:textId="4E0DAFF8" w:rsidR="00055C1C" w:rsidRPr="003A4BDF" w:rsidRDefault="00055C1C" w:rsidP="00E82A6E">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b/>
          <w:bCs/>
          <w:color w:val="000000" w:themeColor="text1"/>
          <w:sz w:val="24"/>
          <w:szCs w:val="24"/>
        </w:rPr>
        <w:t>Limitations:</w:t>
      </w:r>
      <w:r w:rsidRPr="003A4BDF">
        <w:rPr>
          <w:rFonts w:ascii="Times New Roman" w:hAnsi="Times New Roman" w:cs="Times New Roman"/>
          <w:color w:val="000000" w:themeColor="text1"/>
          <w:sz w:val="24"/>
          <w:szCs w:val="24"/>
        </w:rPr>
        <w:br/>
        <w:t xml:space="preserve">The study is limited by its small sample size </w:t>
      </w:r>
      <w:r w:rsidR="003A4BDF">
        <w:rPr>
          <w:rFonts w:ascii="Times New Roman" w:hAnsi="Times New Roman" w:cs="Times New Roman"/>
          <w:color w:val="000000" w:themeColor="text1"/>
          <w:sz w:val="24"/>
          <w:szCs w:val="24"/>
        </w:rPr>
        <w:t xml:space="preserve">and focuses on only one institution </w:t>
      </w:r>
      <w:r w:rsidRPr="003A4BDF">
        <w:rPr>
          <w:rFonts w:ascii="Times New Roman" w:hAnsi="Times New Roman" w:cs="Times New Roman"/>
          <w:color w:val="000000" w:themeColor="text1"/>
          <w:sz w:val="24"/>
          <w:szCs w:val="24"/>
        </w:rPr>
        <w:t>which may affect the generalizability of the findings.</w:t>
      </w:r>
    </w:p>
    <w:p w14:paraId="1661F69D" w14:textId="77777777" w:rsidR="007D4D03" w:rsidRDefault="00055C1C" w:rsidP="007D4D03">
      <w:pPr>
        <w:spacing w:after="0"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Practical Implications / Recommendations:</w:t>
      </w:r>
    </w:p>
    <w:p w14:paraId="496154FB" w14:textId="473E9A16" w:rsidR="00055C1C" w:rsidRPr="003A4BDF" w:rsidRDefault="00055C1C" w:rsidP="00E82A6E">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The study recommends targeted capacity-building initiatives, modernization of infrastructure</w:t>
      </w:r>
      <w:r w:rsidR="003A4BDF" w:rsidRPr="003A4BDF">
        <w:rPr>
          <w:rFonts w:ascii="Times New Roman" w:hAnsi="Times New Roman" w:cs="Times New Roman"/>
          <w:color w:val="000000" w:themeColor="text1"/>
          <w:sz w:val="24"/>
          <w:szCs w:val="24"/>
        </w:rPr>
        <w:t>, and development</w:t>
      </w:r>
      <w:r w:rsidRPr="003A4BDF">
        <w:rPr>
          <w:rFonts w:ascii="Times New Roman" w:hAnsi="Times New Roman" w:cs="Times New Roman"/>
          <w:color w:val="000000" w:themeColor="text1"/>
          <w:sz w:val="24"/>
          <w:szCs w:val="24"/>
        </w:rPr>
        <w:t xml:space="preserve"> of national digital preservation policies</w:t>
      </w:r>
      <w:r w:rsidR="003A4BDF">
        <w:rPr>
          <w:rFonts w:ascii="Times New Roman" w:hAnsi="Times New Roman" w:cs="Times New Roman"/>
          <w:color w:val="000000" w:themeColor="text1"/>
          <w:sz w:val="24"/>
          <w:szCs w:val="24"/>
        </w:rPr>
        <w:t xml:space="preserve">. </w:t>
      </w:r>
    </w:p>
    <w:p w14:paraId="360607D6" w14:textId="78223F32" w:rsidR="00055C1C" w:rsidRPr="003A4BDF" w:rsidRDefault="00055C1C" w:rsidP="00E82A6E">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b/>
          <w:bCs/>
          <w:color w:val="000000" w:themeColor="text1"/>
          <w:sz w:val="24"/>
          <w:szCs w:val="24"/>
        </w:rPr>
        <w:t>Keywords:</w:t>
      </w:r>
      <w:r w:rsidRPr="003A4BDF">
        <w:rPr>
          <w:rFonts w:ascii="Times New Roman" w:hAnsi="Times New Roman" w:cs="Times New Roman"/>
          <w:color w:val="000000" w:themeColor="text1"/>
          <w:sz w:val="24"/>
          <w:szCs w:val="24"/>
        </w:rPr>
        <w:br/>
        <w:t>Digital Preservation, National Archives of Bangladesh, Archival Challenges,</w:t>
      </w:r>
      <w:r w:rsidR="003A4BDF">
        <w:rPr>
          <w:rFonts w:ascii="Times New Roman" w:hAnsi="Times New Roman" w:cs="Times New Roman"/>
          <w:color w:val="000000" w:themeColor="text1"/>
          <w:sz w:val="24"/>
          <w:szCs w:val="24"/>
        </w:rPr>
        <w:t xml:space="preserve"> </w:t>
      </w:r>
      <w:r w:rsidRPr="003A4BDF">
        <w:rPr>
          <w:rFonts w:ascii="Times New Roman" w:hAnsi="Times New Roman" w:cs="Times New Roman"/>
          <w:color w:val="000000" w:themeColor="text1"/>
          <w:sz w:val="24"/>
          <w:szCs w:val="24"/>
        </w:rPr>
        <w:t>Developing Countries</w:t>
      </w:r>
      <w:r w:rsidR="003A4BDF">
        <w:rPr>
          <w:rFonts w:ascii="Times New Roman" w:hAnsi="Times New Roman" w:cs="Times New Roman"/>
          <w:color w:val="000000" w:themeColor="text1"/>
          <w:sz w:val="24"/>
          <w:szCs w:val="24"/>
        </w:rPr>
        <w:t xml:space="preserve">. </w:t>
      </w:r>
    </w:p>
    <w:p w14:paraId="692A8386" w14:textId="206770BD" w:rsidR="00544B6E" w:rsidRPr="003A4BDF" w:rsidRDefault="00544B6E" w:rsidP="00544B6E">
      <w:pPr>
        <w:spacing w:line="240" w:lineRule="auto"/>
        <w:jc w:val="both"/>
        <w:rPr>
          <w:rFonts w:ascii="Times New Roman" w:hAnsi="Times New Roman" w:cs="Times New Roman"/>
          <w:color w:val="000000" w:themeColor="text1"/>
          <w:sz w:val="24"/>
          <w:szCs w:val="24"/>
        </w:rPr>
      </w:pPr>
    </w:p>
    <w:p w14:paraId="1F0498ED" w14:textId="77777777" w:rsidR="00544B6E" w:rsidRPr="003A4BDF" w:rsidRDefault="00544B6E" w:rsidP="00544B6E">
      <w:pPr>
        <w:pStyle w:val="ListParagraph"/>
        <w:numPr>
          <w:ilvl w:val="0"/>
          <w:numId w:val="1"/>
        </w:numPr>
        <w:shd w:val="clear" w:color="auto" w:fill="C1E4F5" w:themeFill="accent1" w:themeFillTint="33"/>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lastRenderedPageBreak/>
        <w:t>Introduction</w:t>
      </w:r>
    </w:p>
    <w:p w14:paraId="1EDD3166" w14:textId="77777777" w:rsidR="007D4D03" w:rsidRDefault="00544B6E" w:rsidP="007D4D03">
      <w:pPr>
        <w:spacing w:after="0"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Archival record preservation has advanced well beyond traditional techniques in today's digital environment. In order to preserve the long-term accessibility, dependability, and integrity of information, it now requires sophisticated technology and strategic planning (Conway, 2010; Gracy &amp; Kahn, 2012). At the heart of this development are national archives, which preserve a country's historical and cultural documents. However, there are several major challenges associated with the shift to digital preservation. Limited infrastructure, ambiguous rules, and deficiencies in staff training are just a few of the difficulties that institutions encounter (</w:t>
      </w:r>
      <w:proofErr w:type="spellStart"/>
      <w:r w:rsidRPr="003A4BDF">
        <w:rPr>
          <w:rFonts w:ascii="Times New Roman" w:hAnsi="Times New Roman" w:cs="Times New Roman"/>
          <w:color w:val="000000" w:themeColor="text1"/>
          <w:sz w:val="24"/>
          <w:szCs w:val="24"/>
        </w:rPr>
        <w:t>Kalusopa</w:t>
      </w:r>
      <w:proofErr w:type="spellEnd"/>
      <w:r w:rsidRPr="003A4BDF">
        <w:rPr>
          <w:rFonts w:ascii="Times New Roman" w:hAnsi="Times New Roman" w:cs="Times New Roman"/>
          <w:color w:val="000000" w:themeColor="text1"/>
          <w:sz w:val="24"/>
          <w:szCs w:val="24"/>
        </w:rPr>
        <w:t xml:space="preserve">, 2018; </w:t>
      </w:r>
      <w:proofErr w:type="spellStart"/>
      <w:r w:rsidRPr="003A4BDF">
        <w:rPr>
          <w:rFonts w:ascii="Times New Roman" w:hAnsi="Times New Roman" w:cs="Times New Roman"/>
          <w:color w:val="000000" w:themeColor="text1"/>
          <w:sz w:val="24"/>
          <w:szCs w:val="24"/>
        </w:rPr>
        <w:t>Sanett</w:t>
      </w:r>
      <w:proofErr w:type="spellEnd"/>
      <w:r w:rsidRPr="003A4BDF">
        <w:rPr>
          <w:rFonts w:ascii="Times New Roman" w:hAnsi="Times New Roman" w:cs="Times New Roman"/>
          <w:color w:val="000000" w:themeColor="text1"/>
          <w:sz w:val="24"/>
          <w:szCs w:val="24"/>
        </w:rPr>
        <w:t xml:space="preserve">, 2013). </w:t>
      </w:r>
    </w:p>
    <w:p w14:paraId="629632D1" w14:textId="77777777" w:rsidR="007D4D03" w:rsidRDefault="00544B6E" w:rsidP="007D4D03">
      <w:pPr>
        <w:spacing w:after="0"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These issues are typically more serious in developing countries like Bangladesh (World Bank, 2023). The National Archives of Bangladesh (NAB) still has difficulty implementing and overseeing digital preservation mechanisms, despite increased awareness and some basic infrastructure in place. Major problems have been identified by research, including the absence of a national policy for digital preservation, technological and financial limitations, a lack of expertise, and unresolved legal difficulties pertaining to digital content (</w:t>
      </w:r>
      <w:proofErr w:type="spellStart"/>
      <w:r w:rsidRPr="003A4BDF">
        <w:rPr>
          <w:rFonts w:ascii="Times New Roman" w:hAnsi="Times New Roman" w:cs="Times New Roman"/>
          <w:color w:val="000000" w:themeColor="text1"/>
          <w:sz w:val="24"/>
          <w:szCs w:val="24"/>
        </w:rPr>
        <w:t>Shuva</w:t>
      </w:r>
      <w:proofErr w:type="spellEnd"/>
      <w:r w:rsidRPr="003A4BDF">
        <w:rPr>
          <w:rFonts w:ascii="Times New Roman" w:hAnsi="Times New Roman" w:cs="Times New Roman"/>
          <w:color w:val="000000" w:themeColor="text1"/>
          <w:sz w:val="24"/>
          <w:szCs w:val="24"/>
        </w:rPr>
        <w:t xml:space="preserve">, 2009; Akter, 2013; Mahmud &amp; Reza, 2020). </w:t>
      </w:r>
    </w:p>
    <w:p w14:paraId="13694AEE" w14:textId="77777777" w:rsidR="007D4D03" w:rsidRDefault="00544B6E" w:rsidP="007D4D03">
      <w:pPr>
        <w:spacing w:after="0"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xml:space="preserve">Few empirical studies have been conducted on the unique conditions within Bangladesh's archival institutions, despite the fact that international research have addressed common practices and challenges in digital preservation. Developing successful, long-term preservation solutions requires learning from experts who are actively involved in archive work (Masenya &amp; Ngulube, 2019; Sambo et al., 2017). </w:t>
      </w:r>
    </w:p>
    <w:p w14:paraId="0E6B8F7F" w14:textId="496C47A7" w:rsidR="00544B6E" w:rsidRPr="003A4BDF" w:rsidRDefault="00544B6E" w:rsidP="007D4D03">
      <w:pPr>
        <w:spacing w:after="0"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xml:space="preserve">The main obstacles to digital preservation at NAB are examined in this paper. It focuses on policy gaps, worker readiness, institutional capability, and technical and legal constraints. A structured questionnaire was used to gather data with the goal of offering workable, fact-based ways to improve digital preservation procedures in Bangladesh. </w:t>
      </w:r>
    </w:p>
    <w:p w14:paraId="4F6CB4FB" w14:textId="77777777" w:rsidR="00544B6E" w:rsidRPr="003A4BDF" w:rsidRDefault="00544B6E" w:rsidP="00544B6E">
      <w:pPr>
        <w:shd w:val="clear" w:color="auto" w:fill="C1E4F5" w:themeFill="accent1" w:themeFillTint="33"/>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2. Research Objectives</w:t>
      </w:r>
    </w:p>
    <w:p w14:paraId="1867E3B8" w14:textId="77777777" w:rsidR="00544B6E" w:rsidRPr="003A4BDF" w:rsidRDefault="00544B6E" w:rsidP="00544B6E">
      <w:pPr>
        <w:pStyle w:val="ListParagraph"/>
        <w:numPr>
          <w:ilvl w:val="0"/>
          <w:numId w:val="2"/>
        </w:num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To assess the institutional readiness and infrastructural capacity for digital preservation     in the National Archives of Bangladesh.</w:t>
      </w:r>
    </w:p>
    <w:p w14:paraId="6497B7D9" w14:textId="77777777" w:rsidR="00544B6E" w:rsidRPr="003A4BDF" w:rsidRDefault="00544B6E" w:rsidP="00544B6E">
      <w:pPr>
        <w:pStyle w:val="ListParagraph"/>
        <w:numPr>
          <w:ilvl w:val="0"/>
          <w:numId w:val="2"/>
        </w:num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To identify key technical, legal, and human resource challenges affecting digital preservation efforts.</w:t>
      </w:r>
    </w:p>
    <w:p w14:paraId="2B74EDE7" w14:textId="77777777" w:rsidR="00544B6E" w:rsidRPr="003A4BDF" w:rsidRDefault="00544B6E" w:rsidP="00544B6E">
      <w:pPr>
        <w:pStyle w:val="ListParagraph"/>
        <w:numPr>
          <w:ilvl w:val="0"/>
          <w:numId w:val="2"/>
        </w:num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To explore staff perceptions on policy needs, administrative support, and preferred strategies for effective digital preservation.</w:t>
      </w:r>
    </w:p>
    <w:p w14:paraId="3FD78A3D" w14:textId="77777777" w:rsidR="00544B6E" w:rsidRPr="003A4BDF" w:rsidRDefault="00544B6E" w:rsidP="00544B6E">
      <w:pPr>
        <w:shd w:val="clear" w:color="auto" w:fill="C1E4F5" w:themeFill="accent1" w:themeFillTint="33"/>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3. Research Questions</w:t>
      </w:r>
    </w:p>
    <w:p w14:paraId="4ADF1F66" w14:textId="77777777" w:rsidR="00544B6E" w:rsidRPr="003A4BDF" w:rsidRDefault="00544B6E" w:rsidP="00544B6E">
      <w:pPr>
        <w:pStyle w:val="ListParagraph"/>
        <w:numPr>
          <w:ilvl w:val="0"/>
          <w:numId w:val="3"/>
        </w:num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What is the current state of institutional readiness and infrastructure for digital preservation in the National Archives of Bangladesh?</w:t>
      </w:r>
    </w:p>
    <w:p w14:paraId="6CC472B4" w14:textId="77777777" w:rsidR="00544B6E" w:rsidRPr="003A4BDF" w:rsidRDefault="00544B6E" w:rsidP="00544B6E">
      <w:pPr>
        <w:pStyle w:val="ListParagraph"/>
        <w:numPr>
          <w:ilvl w:val="0"/>
          <w:numId w:val="3"/>
        </w:num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What are the major technical, legal, and human resource challenges faced by the staff of the National Archives in implementing digital preservation?</w:t>
      </w:r>
    </w:p>
    <w:p w14:paraId="47715DC0" w14:textId="77777777" w:rsidR="00544B6E" w:rsidRPr="003A4BDF" w:rsidRDefault="00544B6E" w:rsidP="00544B6E">
      <w:pPr>
        <w:pStyle w:val="ListParagraph"/>
        <w:numPr>
          <w:ilvl w:val="0"/>
          <w:numId w:val="3"/>
        </w:num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How do archival staff perceive the role of policy, training, and administrative support in enhancing digital preservation practices?</w:t>
      </w:r>
    </w:p>
    <w:p w14:paraId="63265A0D" w14:textId="77777777" w:rsidR="00544B6E" w:rsidRPr="003A4BDF" w:rsidRDefault="00544B6E" w:rsidP="00544B6E">
      <w:pPr>
        <w:shd w:val="clear" w:color="auto" w:fill="C1E4F5" w:themeFill="accent1" w:themeFillTint="33"/>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4. Literature Review</w:t>
      </w:r>
    </w:p>
    <w:p w14:paraId="31CDC704" w14:textId="4DB4DDC6" w:rsidR="00C232A5" w:rsidRPr="003A4BDF" w:rsidRDefault="00C232A5" w:rsidP="00C232A5">
      <w:pPr>
        <w:spacing w:line="276" w:lineRule="auto"/>
        <w:jc w:val="both"/>
        <w:rPr>
          <w:rFonts w:ascii="Times New Roman" w:hAnsi="Times New Roman" w:cs="Times New Roman"/>
          <w:color w:val="000000" w:themeColor="text1"/>
          <w:sz w:val="24"/>
          <w:szCs w:val="24"/>
        </w:rPr>
      </w:pPr>
      <w:bookmarkStart w:id="0" w:name="_Hlk204081369"/>
      <w:r w:rsidRPr="003A4BDF">
        <w:rPr>
          <w:rFonts w:ascii="Times New Roman" w:hAnsi="Times New Roman" w:cs="Times New Roman"/>
          <w:color w:val="000000" w:themeColor="text1"/>
          <w:sz w:val="24"/>
          <w:szCs w:val="24"/>
        </w:rPr>
        <w:t xml:space="preserve"> Digital preservation is mandatory in modern archival institutions as records are now created, stored, and accessed in digital formats (Conway, 2010). Unlike traditional preservation, digital records require continuous technological support, regular system updates, and proper policy frameworks to ensure long-term accessibility. However, institutions in developing countries continue to face significant difficulties in ensuring effective digital preservation due to limited resources, weak infrastructure, and lack of policy support (Masenya &amp; Ngulube, 2019).</w:t>
      </w:r>
    </w:p>
    <w:p w14:paraId="3E58C470" w14:textId="587235B8" w:rsidR="00C232A5" w:rsidRPr="003A4BDF" w:rsidRDefault="00C232A5" w:rsidP="00C232A5">
      <w:pPr>
        <w:spacing w:line="276"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Recent studies emphasize the potential of integrating advanced technologies—such as Artificial Intelligence (AI) and cloud computing—into digital preservation systems. There have also lack of digital policy globally including African countries (</w:t>
      </w:r>
      <w:proofErr w:type="spellStart"/>
      <w:r w:rsidRPr="003A4BDF">
        <w:rPr>
          <w:rFonts w:ascii="Times New Roman" w:hAnsi="Times New Roman" w:cs="Times New Roman"/>
          <w:color w:val="000000" w:themeColor="text1"/>
          <w:sz w:val="24"/>
          <w:szCs w:val="24"/>
        </w:rPr>
        <w:t>Kalusopa</w:t>
      </w:r>
      <w:proofErr w:type="spellEnd"/>
      <w:r w:rsidRPr="003A4BDF">
        <w:rPr>
          <w:rFonts w:ascii="Times New Roman" w:hAnsi="Times New Roman" w:cs="Times New Roman"/>
          <w:color w:val="000000" w:themeColor="text1"/>
          <w:sz w:val="24"/>
          <w:szCs w:val="24"/>
        </w:rPr>
        <w:t xml:space="preserve">, 2018).  According to </w:t>
      </w:r>
      <w:r w:rsidR="00CB4861">
        <w:rPr>
          <w:rFonts w:ascii="Times New Roman" w:hAnsi="Times New Roman" w:cs="Times New Roman"/>
          <w:color w:val="000000" w:themeColor="text1"/>
          <w:sz w:val="24"/>
          <w:szCs w:val="24"/>
        </w:rPr>
        <w:t>(</w:t>
      </w:r>
      <w:r w:rsidRPr="003A4BDF">
        <w:rPr>
          <w:rFonts w:ascii="Times New Roman" w:hAnsi="Times New Roman" w:cs="Times New Roman"/>
          <w:color w:val="000000" w:themeColor="text1"/>
          <w:sz w:val="24"/>
          <w:szCs w:val="24"/>
        </w:rPr>
        <w:t>Muthoka</w:t>
      </w:r>
      <w:r w:rsidR="00803E5E">
        <w:rPr>
          <w:rFonts w:ascii="Times New Roman" w:hAnsi="Times New Roman" w:cs="Times New Roman"/>
          <w:color w:val="000000" w:themeColor="text1"/>
          <w:sz w:val="24"/>
          <w:szCs w:val="24"/>
        </w:rPr>
        <w:t xml:space="preserve"> et al.</w:t>
      </w:r>
      <w:r w:rsidR="00CB4861">
        <w:rPr>
          <w:rFonts w:ascii="Times New Roman" w:hAnsi="Times New Roman" w:cs="Times New Roman"/>
          <w:color w:val="000000" w:themeColor="text1"/>
          <w:sz w:val="24"/>
          <w:szCs w:val="24"/>
        </w:rPr>
        <w:t xml:space="preserve">, </w:t>
      </w:r>
      <w:r w:rsidRPr="003A4BDF">
        <w:rPr>
          <w:rFonts w:ascii="Times New Roman" w:hAnsi="Times New Roman" w:cs="Times New Roman"/>
          <w:color w:val="000000" w:themeColor="text1"/>
          <w:sz w:val="24"/>
          <w:szCs w:val="24"/>
        </w:rPr>
        <w:t>2021</w:t>
      </w:r>
      <w:r w:rsidR="00F71F1B" w:rsidRPr="003A4BDF">
        <w:rPr>
          <w:rFonts w:ascii="Times New Roman" w:hAnsi="Times New Roman" w:cs="Times New Roman"/>
          <w:color w:val="000000" w:themeColor="text1"/>
          <w:sz w:val="24"/>
          <w:szCs w:val="24"/>
        </w:rPr>
        <w:t>), technological</w:t>
      </w:r>
      <w:r w:rsidRPr="003A4BDF">
        <w:rPr>
          <w:rFonts w:ascii="Times New Roman" w:hAnsi="Times New Roman" w:cs="Times New Roman"/>
          <w:color w:val="000000" w:themeColor="text1"/>
          <w:sz w:val="24"/>
          <w:szCs w:val="24"/>
        </w:rPr>
        <w:t xml:space="preserve"> obsolescence is the main threads for digital preservation in Kenya, they also </w:t>
      </w:r>
      <w:r w:rsidR="00F71F1B" w:rsidRPr="003A4BDF">
        <w:rPr>
          <w:rFonts w:ascii="Times New Roman" w:hAnsi="Times New Roman" w:cs="Times New Roman"/>
          <w:color w:val="000000" w:themeColor="text1"/>
          <w:sz w:val="24"/>
          <w:szCs w:val="24"/>
        </w:rPr>
        <w:t>identified policy</w:t>
      </w:r>
      <w:r w:rsidRPr="003A4BDF">
        <w:rPr>
          <w:rFonts w:ascii="Times New Roman" w:hAnsi="Times New Roman" w:cs="Times New Roman"/>
          <w:color w:val="000000" w:themeColor="text1"/>
          <w:sz w:val="24"/>
          <w:szCs w:val="24"/>
        </w:rPr>
        <w:t xml:space="preserve"> gaps, and unreliable infrastructure as threads of it. There </w:t>
      </w:r>
      <w:r w:rsidR="007D4D03" w:rsidRPr="003A4BDF">
        <w:rPr>
          <w:rFonts w:ascii="Times New Roman" w:hAnsi="Times New Roman" w:cs="Times New Roman"/>
          <w:color w:val="000000" w:themeColor="text1"/>
          <w:sz w:val="24"/>
          <w:szCs w:val="24"/>
        </w:rPr>
        <w:t>has</w:t>
      </w:r>
      <w:r w:rsidRPr="003A4BDF">
        <w:rPr>
          <w:rFonts w:ascii="Times New Roman" w:hAnsi="Times New Roman" w:cs="Times New Roman"/>
          <w:color w:val="000000" w:themeColor="text1"/>
          <w:sz w:val="24"/>
          <w:szCs w:val="24"/>
        </w:rPr>
        <w:t xml:space="preserve"> absence of secure data retention practices in South African university (Masenya &amp; Ngulube, 2019). </w:t>
      </w:r>
      <w:r w:rsidR="00803E5E">
        <w:rPr>
          <w:rFonts w:ascii="Times New Roman" w:hAnsi="Times New Roman" w:cs="Times New Roman"/>
          <w:color w:val="000000" w:themeColor="text1"/>
          <w:sz w:val="24"/>
          <w:szCs w:val="24"/>
        </w:rPr>
        <w:t>(</w:t>
      </w:r>
      <w:r w:rsidRPr="003A4BDF">
        <w:rPr>
          <w:rFonts w:ascii="Times New Roman" w:hAnsi="Times New Roman" w:cs="Times New Roman"/>
          <w:color w:val="000000" w:themeColor="text1"/>
          <w:sz w:val="24"/>
          <w:szCs w:val="24"/>
        </w:rPr>
        <w:t>Conway</w:t>
      </w:r>
      <w:r w:rsidR="00803E5E">
        <w:rPr>
          <w:rFonts w:ascii="Times New Roman" w:hAnsi="Times New Roman" w:cs="Times New Roman"/>
          <w:color w:val="000000" w:themeColor="text1"/>
          <w:sz w:val="24"/>
          <w:szCs w:val="24"/>
        </w:rPr>
        <w:t xml:space="preserve">, </w:t>
      </w:r>
      <w:r w:rsidRPr="003A4BDF">
        <w:rPr>
          <w:rFonts w:ascii="Times New Roman" w:hAnsi="Times New Roman" w:cs="Times New Roman"/>
          <w:color w:val="000000" w:themeColor="text1"/>
          <w:sz w:val="24"/>
          <w:szCs w:val="24"/>
        </w:rPr>
        <w:t xml:space="preserve">2011) identified the hardware and metadata deficiencies as challenges of digital preservation. Absence of policy to maintain born-digital records was found in the Southern African Development Community (SADC) (Ngoepe </w:t>
      </w:r>
      <w:r w:rsidR="00803E5E">
        <w:rPr>
          <w:rFonts w:ascii="Times New Roman" w:hAnsi="Times New Roman" w:cs="Times New Roman"/>
          <w:color w:val="000000" w:themeColor="text1"/>
          <w:sz w:val="24"/>
          <w:szCs w:val="24"/>
        </w:rPr>
        <w:t>&amp;</w:t>
      </w:r>
      <w:r w:rsidRPr="003A4BDF">
        <w:rPr>
          <w:rFonts w:ascii="Times New Roman" w:hAnsi="Times New Roman" w:cs="Times New Roman"/>
          <w:color w:val="000000" w:themeColor="text1"/>
          <w:sz w:val="24"/>
          <w:szCs w:val="24"/>
        </w:rPr>
        <w:t xml:space="preserve"> </w:t>
      </w:r>
      <w:proofErr w:type="spellStart"/>
      <w:r w:rsidRPr="003A4BDF">
        <w:rPr>
          <w:rFonts w:ascii="Times New Roman" w:hAnsi="Times New Roman" w:cs="Times New Roman"/>
          <w:color w:val="000000" w:themeColor="text1"/>
          <w:sz w:val="24"/>
          <w:szCs w:val="24"/>
        </w:rPr>
        <w:t>Saurombe</w:t>
      </w:r>
      <w:proofErr w:type="spellEnd"/>
      <w:r w:rsidRPr="003A4BDF">
        <w:rPr>
          <w:rFonts w:ascii="Times New Roman" w:hAnsi="Times New Roman" w:cs="Times New Roman"/>
          <w:color w:val="000000" w:themeColor="text1"/>
          <w:sz w:val="24"/>
          <w:szCs w:val="24"/>
        </w:rPr>
        <w:t xml:space="preserve">, 2016). </w:t>
      </w:r>
    </w:p>
    <w:p w14:paraId="6E74CA50" w14:textId="680960B5" w:rsidR="00C232A5" w:rsidRPr="003A4BDF" w:rsidRDefault="00C232A5" w:rsidP="00C232A5">
      <w:pPr>
        <w:spacing w:line="276"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National Archives and Documentation Centre (NADC) had a number of difficulties that was not possible to overcome over nights, major barriers are lack of legal and IT policy, budget issue, and unskilled personnel (</w:t>
      </w:r>
      <w:proofErr w:type="spellStart"/>
      <w:r w:rsidRPr="003A4BDF">
        <w:rPr>
          <w:rFonts w:ascii="Times New Roman" w:hAnsi="Times New Roman" w:cs="Times New Roman"/>
          <w:color w:val="000000" w:themeColor="text1"/>
          <w:sz w:val="24"/>
          <w:szCs w:val="24"/>
        </w:rPr>
        <w:t>Shuva</w:t>
      </w:r>
      <w:proofErr w:type="spellEnd"/>
      <w:r w:rsidRPr="003A4BDF">
        <w:rPr>
          <w:rFonts w:ascii="Times New Roman" w:hAnsi="Times New Roman" w:cs="Times New Roman"/>
          <w:color w:val="000000" w:themeColor="text1"/>
          <w:sz w:val="24"/>
          <w:szCs w:val="24"/>
        </w:rPr>
        <w:t>,</w:t>
      </w:r>
      <w:r w:rsidR="00803E5E">
        <w:rPr>
          <w:rFonts w:ascii="Times New Roman" w:hAnsi="Times New Roman" w:cs="Times New Roman"/>
          <w:color w:val="000000" w:themeColor="text1"/>
          <w:sz w:val="24"/>
          <w:szCs w:val="24"/>
        </w:rPr>
        <w:t xml:space="preserve"> </w:t>
      </w:r>
      <w:r w:rsidRPr="003A4BDF">
        <w:rPr>
          <w:rFonts w:ascii="Times New Roman" w:hAnsi="Times New Roman" w:cs="Times New Roman"/>
          <w:color w:val="000000" w:themeColor="text1"/>
          <w:sz w:val="24"/>
          <w:szCs w:val="24"/>
        </w:rPr>
        <w:t xml:space="preserve">2009). </w:t>
      </w:r>
      <w:r w:rsidR="00803E5E">
        <w:rPr>
          <w:rFonts w:ascii="Times New Roman" w:hAnsi="Times New Roman" w:cs="Times New Roman"/>
          <w:color w:val="000000" w:themeColor="text1"/>
          <w:sz w:val="24"/>
          <w:szCs w:val="24"/>
        </w:rPr>
        <w:t>(</w:t>
      </w:r>
      <w:r w:rsidRPr="003A4BDF">
        <w:rPr>
          <w:rFonts w:ascii="Times New Roman" w:hAnsi="Times New Roman" w:cs="Times New Roman"/>
          <w:color w:val="000000" w:themeColor="text1"/>
          <w:sz w:val="24"/>
          <w:szCs w:val="24"/>
        </w:rPr>
        <w:t xml:space="preserve">Islam </w:t>
      </w:r>
      <w:r w:rsidR="00F71F1B" w:rsidRPr="003A4BDF">
        <w:rPr>
          <w:rFonts w:ascii="Times New Roman" w:hAnsi="Times New Roman" w:cs="Times New Roman"/>
          <w:color w:val="000000" w:themeColor="text1"/>
          <w:sz w:val="24"/>
          <w:szCs w:val="24"/>
        </w:rPr>
        <w:t>&amp; Akter</w:t>
      </w:r>
      <w:r w:rsidR="00803E5E">
        <w:rPr>
          <w:rFonts w:ascii="Times New Roman" w:hAnsi="Times New Roman" w:cs="Times New Roman"/>
          <w:color w:val="000000" w:themeColor="text1"/>
          <w:sz w:val="24"/>
          <w:szCs w:val="24"/>
        </w:rPr>
        <w:t xml:space="preserve">, </w:t>
      </w:r>
      <w:r w:rsidRPr="003A4BDF">
        <w:rPr>
          <w:rFonts w:ascii="Times New Roman" w:hAnsi="Times New Roman" w:cs="Times New Roman"/>
          <w:color w:val="000000" w:themeColor="text1"/>
          <w:sz w:val="24"/>
          <w:szCs w:val="24"/>
        </w:rPr>
        <w:t xml:space="preserve">2008), pointed that both physical and digital preservation of archives were in thread.  </w:t>
      </w:r>
      <w:r w:rsidR="00803E5E">
        <w:rPr>
          <w:rFonts w:ascii="Times New Roman" w:hAnsi="Times New Roman" w:cs="Times New Roman"/>
          <w:color w:val="000000" w:themeColor="text1"/>
          <w:sz w:val="24"/>
          <w:szCs w:val="24"/>
        </w:rPr>
        <w:t>(</w:t>
      </w:r>
      <w:r w:rsidRPr="003A4BDF">
        <w:rPr>
          <w:rFonts w:ascii="Times New Roman" w:hAnsi="Times New Roman" w:cs="Times New Roman"/>
          <w:color w:val="000000" w:themeColor="text1"/>
          <w:sz w:val="24"/>
          <w:szCs w:val="24"/>
        </w:rPr>
        <w:t>Akter</w:t>
      </w:r>
      <w:r w:rsidR="00803E5E">
        <w:rPr>
          <w:rFonts w:ascii="Times New Roman" w:hAnsi="Times New Roman" w:cs="Times New Roman"/>
          <w:color w:val="000000" w:themeColor="text1"/>
          <w:sz w:val="24"/>
          <w:szCs w:val="24"/>
        </w:rPr>
        <w:t xml:space="preserve">, </w:t>
      </w:r>
      <w:r w:rsidRPr="003A4BDF">
        <w:rPr>
          <w:rFonts w:ascii="Times New Roman" w:hAnsi="Times New Roman" w:cs="Times New Roman"/>
          <w:color w:val="000000" w:themeColor="text1"/>
          <w:sz w:val="24"/>
          <w:szCs w:val="24"/>
        </w:rPr>
        <w:t xml:space="preserve">2013), highlighted the difficulties of Archives mentioning it lack of policy, funds, poor infrastructure etc.  More recent studies by (Rifat, 2021) </w:t>
      </w:r>
      <w:r w:rsidR="00F71F1B" w:rsidRPr="003A4BDF">
        <w:rPr>
          <w:rFonts w:ascii="Times New Roman" w:hAnsi="Times New Roman" w:cs="Times New Roman"/>
          <w:color w:val="000000" w:themeColor="text1"/>
          <w:sz w:val="24"/>
          <w:szCs w:val="24"/>
        </w:rPr>
        <w:t>found that</w:t>
      </w:r>
      <w:r w:rsidRPr="003A4BDF">
        <w:rPr>
          <w:rFonts w:ascii="Times New Roman" w:hAnsi="Times New Roman" w:cs="Times New Roman"/>
          <w:color w:val="000000" w:themeColor="text1"/>
          <w:sz w:val="24"/>
          <w:szCs w:val="24"/>
        </w:rPr>
        <w:t xml:space="preserve"> there have lack of collaboration and positive motive of authority in digitization. In addition to addressing regional challenges, it is essential to acknowledge the role of global frameworks that underpin best practices in digital preservation. International standards such as the Open Archival Information System (OAIS) Reference Model (ISO 14721), UNESCO’s </w:t>
      </w:r>
      <w:r w:rsidRPr="003A4BDF">
        <w:rPr>
          <w:rFonts w:ascii="Times New Roman" w:hAnsi="Times New Roman" w:cs="Times New Roman"/>
          <w:i/>
          <w:iCs/>
          <w:color w:val="000000" w:themeColor="text1"/>
          <w:sz w:val="24"/>
          <w:szCs w:val="24"/>
        </w:rPr>
        <w:t xml:space="preserve">Charter </w:t>
      </w:r>
      <w:r w:rsidRPr="003A4BDF">
        <w:rPr>
          <w:rFonts w:ascii="Times New Roman" w:hAnsi="Times New Roman" w:cs="Times New Roman"/>
          <w:color w:val="000000" w:themeColor="text1"/>
          <w:sz w:val="24"/>
          <w:szCs w:val="24"/>
        </w:rPr>
        <w:t>on the Preservation of Digital Heritage (2003), and the IFLA/ICA international guidelines serve as foundational tools for managing digital heritage. (CCSDS, 2012; UNESCO, 2003; IFLA/ICA, 2016).</w:t>
      </w:r>
    </w:p>
    <w:p w14:paraId="11823FCC" w14:textId="77777777" w:rsidR="00C232A5" w:rsidRPr="003A4BDF" w:rsidRDefault="00C232A5" w:rsidP="00C232A5">
      <w:pPr>
        <w:spacing w:line="276" w:lineRule="auto"/>
        <w:jc w:val="both"/>
        <w:rPr>
          <w:rFonts w:ascii="Times New Roman" w:hAnsi="Times New Roman" w:cs="Times New Roman"/>
          <w:color w:val="000000" w:themeColor="text1"/>
          <w:sz w:val="24"/>
          <w:szCs w:val="24"/>
        </w:rPr>
      </w:pPr>
    </w:p>
    <w:bookmarkEnd w:id="0"/>
    <w:p w14:paraId="07413D8B" w14:textId="77777777" w:rsidR="00544B6E" w:rsidRPr="003A4BDF" w:rsidRDefault="00544B6E" w:rsidP="00E662F4">
      <w:pPr>
        <w:shd w:val="clear" w:color="auto" w:fill="C1E4F5" w:themeFill="accent1" w:themeFillTint="33"/>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4.2 Research Gap</w:t>
      </w:r>
    </w:p>
    <w:p w14:paraId="6CE2B8B0" w14:textId="77777777" w:rsidR="00544B6E" w:rsidRPr="003A4BDF" w:rsidRDefault="00544B6E" w:rsidP="00E662F4">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Even while more and more people throughout the world are talking about digital preservation, most of the research that has already been done is on industrialized countries that have solid policies, good infrastructure, and advanced technology. Research from places like North America and Europe goes into great detail about frameworks, metadata standards, and long-term access plans (</w:t>
      </w:r>
      <w:proofErr w:type="spellStart"/>
      <w:r w:rsidRPr="003A4BDF">
        <w:rPr>
          <w:rFonts w:ascii="Times New Roman" w:hAnsi="Times New Roman" w:cs="Times New Roman"/>
          <w:color w:val="000000" w:themeColor="text1"/>
          <w:sz w:val="24"/>
          <w:szCs w:val="24"/>
        </w:rPr>
        <w:t>Sanett</w:t>
      </w:r>
      <w:proofErr w:type="spellEnd"/>
      <w:r w:rsidRPr="003A4BDF">
        <w:rPr>
          <w:rFonts w:ascii="Times New Roman" w:hAnsi="Times New Roman" w:cs="Times New Roman"/>
          <w:color w:val="000000" w:themeColor="text1"/>
          <w:sz w:val="24"/>
          <w:szCs w:val="24"/>
        </w:rPr>
        <w:t xml:space="preserve">, 2013; CCSDS, 2012). However, in underdeveloped nations, especially in South Asia, there is still not a lot of research, and what there is </w:t>
      </w:r>
      <w:proofErr w:type="spellStart"/>
      <w:r w:rsidRPr="003A4BDF">
        <w:rPr>
          <w:rFonts w:ascii="Times New Roman" w:hAnsi="Times New Roman" w:cs="Times New Roman"/>
          <w:color w:val="000000" w:themeColor="text1"/>
          <w:sz w:val="24"/>
          <w:szCs w:val="24"/>
        </w:rPr>
        <w:t>is</w:t>
      </w:r>
      <w:proofErr w:type="spellEnd"/>
      <w:r w:rsidRPr="003A4BDF">
        <w:rPr>
          <w:rFonts w:ascii="Times New Roman" w:hAnsi="Times New Roman" w:cs="Times New Roman"/>
          <w:color w:val="000000" w:themeColor="text1"/>
          <w:sz w:val="24"/>
          <w:szCs w:val="24"/>
        </w:rPr>
        <w:t xml:space="preserve"> often not based on real-world evidence.</w:t>
      </w:r>
    </w:p>
    <w:p w14:paraId="50D424CF" w14:textId="77777777" w:rsidR="00544B6E" w:rsidRPr="003A4BDF" w:rsidRDefault="00544B6E" w:rsidP="00E662F4">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There have been efforts to digitize historical documents in Bangladesh, but not many studies have looked at the institutional, technical, and human resource problems that national-level archive institutions face in a systematic way. Some studies focus on digitization activities in university libraries, while others look at larger ICT challenges without directly talking about digital preservation frameworks (</w:t>
      </w:r>
      <w:proofErr w:type="spellStart"/>
      <w:r w:rsidRPr="003A4BDF">
        <w:rPr>
          <w:rFonts w:ascii="Times New Roman" w:hAnsi="Times New Roman" w:cs="Times New Roman"/>
          <w:color w:val="000000" w:themeColor="text1"/>
          <w:sz w:val="24"/>
          <w:szCs w:val="24"/>
        </w:rPr>
        <w:t>Shuva</w:t>
      </w:r>
      <w:proofErr w:type="spellEnd"/>
      <w:r w:rsidRPr="003A4BDF">
        <w:rPr>
          <w:rFonts w:ascii="Times New Roman" w:hAnsi="Times New Roman" w:cs="Times New Roman"/>
          <w:color w:val="000000" w:themeColor="text1"/>
          <w:sz w:val="24"/>
          <w:szCs w:val="24"/>
        </w:rPr>
        <w:t>, 2009; Mahmud &amp; Reza, 2020). Also, people don't often look at global standards like OAIS, UNESCO's Charter, or IFLA/ICA principles to see if they work in places with limited resources, like the National Archives of Bangladesh. There isn't much real-world data on how new technologies like AI, blockchain, or cloud storage are used or seen in these kinds of places either.</w:t>
      </w:r>
    </w:p>
    <w:p w14:paraId="7594F030" w14:textId="77777777" w:rsidR="00544B6E" w:rsidRPr="003A4BDF" w:rsidRDefault="00544B6E" w:rsidP="00544B6E">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This study fills a major gap in the research by giving real-world data on the legal, institutional, and infrastructural issues that come up while trying to preserve digital records in Bangladeshi archives, as well as the training needs that come with them. By putting preservation problems in the context of a developing country, it adds to both regional scholarship and global conversation.5. Research Methodology</w:t>
      </w:r>
    </w:p>
    <w:p w14:paraId="6DCF5D37" w14:textId="77777777" w:rsidR="00544B6E" w:rsidRPr="003A4BDF" w:rsidRDefault="00544B6E" w:rsidP="00544B6E">
      <w:pPr>
        <w:shd w:val="clear" w:color="auto" w:fill="C1E4F5" w:themeFill="accent1" w:themeFillTint="33"/>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5.1 Research Design</w:t>
      </w:r>
    </w:p>
    <w:p w14:paraId="473809E1" w14:textId="77777777" w:rsidR="00544B6E" w:rsidRPr="003A4BDF" w:rsidRDefault="00544B6E" w:rsidP="00544B6E">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This study employed a quantitative research design, using a structured survey to explore the challenges of digital preservation in the National Archives of Bangladesh. A quantitative approach was deemed appropriate because it allows for the collection and analysis of measurable data from archival professionals, facilitating the identification of patterns and trends in institutional readiness, staff capacity, and technological barriers related to digital preservation.</w:t>
      </w:r>
    </w:p>
    <w:p w14:paraId="4BDFE32A" w14:textId="77777777" w:rsidR="00544B6E" w:rsidRPr="003A4BDF" w:rsidRDefault="00544B6E" w:rsidP="00544B6E">
      <w:pPr>
        <w:shd w:val="clear" w:color="auto" w:fill="C1E4F5" w:themeFill="accent1" w:themeFillTint="33"/>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shd w:val="clear" w:color="auto" w:fill="C1E4F5" w:themeFill="accent1" w:themeFillTint="33"/>
        </w:rPr>
        <w:t>5.2</w:t>
      </w:r>
      <w:r w:rsidRPr="003A4BDF">
        <w:rPr>
          <w:rFonts w:ascii="Times New Roman" w:hAnsi="Times New Roman" w:cs="Times New Roman"/>
          <w:color w:val="000000" w:themeColor="text1"/>
          <w:sz w:val="24"/>
          <w:szCs w:val="24"/>
        </w:rPr>
        <w:t xml:space="preserve"> </w:t>
      </w:r>
      <w:r w:rsidRPr="003A4BDF">
        <w:rPr>
          <w:rFonts w:ascii="Times New Roman" w:hAnsi="Times New Roman" w:cs="Times New Roman"/>
          <w:b/>
          <w:bCs/>
          <w:color w:val="000000" w:themeColor="text1"/>
          <w:sz w:val="24"/>
          <w:szCs w:val="24"/>
        </w:rPr>
        <w:t>Population and Sampling</w:t>
      </w:r>
    </w:p>
    <w:p w14:paraId="671AA7B5" w14:textId="77777777" w:rsidR="00544B6E" w:rsidRPr="003A4BDF" w:rsidRDefault="00544B6E" w:rsidP="00544B6E">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xml:space="preserve">The population of the study consisted of 53 professionals working directly in archival services at the Directorate of Archives and Libraries. </w:t>
      </w:r>
    </w:p>
    <w:p w14:paraId="04A0C8B6" w14:textId="77777777" w:rsidR="00544B6E" w:rsidRPr="003A4BDF" w:rsidRDefault="00544B6E" w:rsidP="00544B6E">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This includes:</w:t>
      </w:r>
    </w:p>
    <w:p w14:paraId="2740AE8F" w14:textId="77777777" w:rsidR="00544B6E" w:rsidRPr="003A4BDF" w:rsidRDefault="00544B6E" w:rsidP="00544B6E">
      <w:pPr>
        <w:spacing w:line="240" w:lineRule="auto"/>
        <w:ind w:left="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xml:space="preserve">- 20 officers </w:t>
      </w:r>
    </w:p>
    <w:p w14:paraId="77755F84" w14:textId="77777777" w:rsidR="00544B6E" w:rsidRPr="003A4BDF" w:rsidRDefault="00544B6E" w:rsidP="00544B6E">
      <w:pPr>
        <w:spacing w:line="240" w:lineRule="auto"/>
        <w:ind w:left="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xml:space="preserve">- 33 archival staff </w:t>
      </w:r>
    </w:p>
    <w:p w14:paraId="6CDE344D" w14:textId="77777777" w:rsidR="00544B6E" w:rsidRPr="003A4BDF" w:rsidRDefault="00544B6E" w:rsidP="00544B6E">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Other personnel within the Directorate were excluded, as their roles are unrelated to archive management or digital preservation processes.</w:t>
      </w:r>
    </w:p>
    <w:p w14:paraId="238956CD" w14:textId="77777777" w:rsidR="00544B6E" w:rsidRPr="003A4BDF" w:rsidRDefault="00544B6E" w:rsidP="00544B6E">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Purposive sampling was used to get data from 20 professionals in this group. This strategy made sense because the goal was to gather information directly from those who administer both digital and physical archives. A balanced mix of officers and archive personnel were among the chosen participants, representing a range of operational skills and responsibility levels. The entire sample consists of only employees actively engaged in preservation-related tasks, though representing nearly 39.62% of the target population. Consequently, considering time and accessibility constraints, the sample offers enough representation and content validity for this exploratory study.</w:t>
      </w:r>
    </w:p>
    <w:p w14:paraId="66D3AE71" w14:textId="77777777" w:rsidR="00544B6E" w:rsidRPr="003A4BDF" w:rsidRDefault="00544B6E" w:rsidP="00544B6E">
      <w:pPr>
        <w:shd w:val="clear" w:color="auto" w:fill="C1E4F5" w:themeFill="accent1" w:themeFillTint="33"/>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5.3 Data Collection Instrument and Analysis</w:t>
      </w:r>
    </w:p>
    <w:p w14:paraId="61D81930" w14:textId="24066071" w:rsidR="00544B6E" w:rsidRPr="003A4BDF" w:rsidRDefault="00544B6E" w:rsidP="00544B6E">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xml:space="preserve">Data were collected through a </w:t>
      </w:r>
      <w:r w:rsidRPr="003A4BDF">
        <w:rPr>
          <w:rFonts w:ascii="Times New Roman" w:hAnsi="Times New Roman" w:cs="Times New Roman"/>
          <w:b/>
          <w:bCs/>
          <w:color w:val="000000" w:themeColor="text1"/>
          <w:sz w:val="24"/>
          <w:szCs w:val="24"/>
        </w:rPr>
        <w:t>structured, close-ended questionnaire</w:t>
      </w:r>
      <w:r w:rsidRPr="003A4BDF">
        <w:rPr>
          <w:rFonts w:ascii="Times New Roman" w:hAnsi="Times New Roman" w:cs="Times New Roman"/>
          <w:color w:val="000000" w:themeColor="text1"/>
          <w:sz w:val="24"/>
          <w:szCs w:val="24"/>
        </w:rPr>
        <w:t xml:space="preserve"> developed based on a review of existing literature and expert input. Studies consulted in the development of the questionnaire include works by (</w:t>
      </w:r>
      <w:proofErr w:type="spellStart"/>
      <w:r w:rsidRPr="003A4BDF">
        <w:rPr>
          <w:rFonts w:ascii="Times New Roman" w:hAnsi="Times New Roman" w:cs="Times New Roman"/>
          <w:color w:val="000000" w:themeColor="text1"/>
          <w:sz w:val="24"/>
          <w:szCs w:val="24"/>
        </w:rPr>
        <w:t>Kalusopa</w:t>
      </w:r>
      <w:proofErr w:type="spellEnd"/>
      <w:r w:rsidRPr="003A4BDF">
        <w:rPr>
          <w:rFonts w:ascii="Times New Roman" w:hAnsi="Times New Roman" w:cs="Times New Roman"/>
          <w:color w:val="000000" w:themeColor="text1"/>
          <w:sz w:val="24"/>
          <w:szCs w:val="24"/>
        </w:rPr>
        <w:t>, 2018), (</w:t>
      </w:r>
      <w:proofErr w:type="spellStart"/>
      <w:r w:rsidRPr="003A4BDF">
        <w:rPr>
          <w:rFonts w:ascii="Times New Roman" w:hAnsi="Times New Roman" w:cs="Times New Roman"/>
          <w:color w:val="000000" w:themeColor="text1"/>
          <w:sz w:val="24"/>
          <w:szCs w:val="24"/>
        </w:rPr>
        <w:t>Sanett</w:t>
      </w:r>
      <w:proofErr w:type="spellEnd"/>
      <w:r w:rsidRPr="003A4BDF">
        <w:rPr>
          <w:rFonts w:ascii="Times New Roman" w:hAnsi="Times New Roman" w:cs="Times New Roman"/>
          <w:color w:val="000000" w:themeColor="text1"/>
          <w:sz w:val="24"/>
          <w:szCs w:val="24"/>
        </w:rPr>
        <w:t>, 2013), (Masenya &amp; Ngulube, 2019), and (</w:t>
      </w:r>
      <w:proofErr w:type="spellStart"/>
      <w:r w:rsidRPr="003A4BDF">
        <w:rPr>
          <w:rFonts w:ascii="Times New Roman" w:hAnsi="Times New Roman" w:cs="Times New Roman"/>
          <w:color w:val="000000" w:themeColor="text1"/>
          <w:sz w:val="24"/>
          <w:szCs w:val="24"/>
        </w:rPr>
        <w:t>Shuva</w:t>
      </w:r>
      <w:proofErr w:type="spellEnd"/>
      <w:r w:rsidRPr="003A4BDF">
        <w:rPr>
          <w:rFonts w:ascii="Times New Roman" w:hAnsi="Times New Roman" w:cs="Times New Roman"/>
          <w:color w:val="000000" w:themeColor="text1"/>
          <w:sz w:val="24"/>
          <w:szCs w:val="24"/>
        </w:rPr>
        <w:t>,</w:t>
      </w:r>
      <w:r w:rsidR="00803E5E">
        <w:rPr>
          <w:rFonts w:ascii="Times New Roman" w:hAnsi="Times New Roman" w:cs="Times New Roman"/>
          <w:color w:val="000000" w:themeColor="text1"/>
          <w:sz w:val="24"/>
          <w:szCs w:val="24"/>
        </w:rPr>
        <w:t xml:space="preserve"> </w:t>
      </w:r>
      <w:r w:rsidRPr="003A4BDF">
        <w:rPr>
          <w:rFonts w:ascii="Times New Roman" w:hAnsi="Times New Roman" w:cs="Times New Roman"/>
          <w:color w:val="000000" w:themeColor="text1"/>
          <w:sz w:val="24"/>
          <w:szCs w:val="24"/>
        </w:rPr>
        <w:t xml:space="preserve">2009), which informed the categorization of key challenges in digital preservation. The questionnaire was organized into the following thematic </w:t>
      </w:r>
      <w:r w:rsidR="00F71F1B" w:rsidRPr="003A4BDF">
        <w:rPr>
          <w:rFonts w:ascii="Times New Roman" w:hAnsi="Times New Roman" w:cs="Times New Roman"/>
          <w:color w:val="000000" w:themeColor="text1"/>
          <w:sz w:val="24"/>
          <w:szCs w:val="24"/>
        </w:rPr>
        <w:t>sections: -</w:t>
      </w:r>
      <w:r w:rsidRPr="003A4BDF">
        <w:rPr>
          <w:rFonts w:ascii="Times New Roman" w:hAnsi="Times New Roman" w:cs="Times New Roman"/>
          <w:color w:val="000000" w:themeColor="text1"/>
          <w:sz w:val="24"/>
          <w:szCs w:val="24"/>
        </w:rPr>
        <w:t xml:space="preserve"> Institutional readiness and infrastructure</w:t>
      </w:r>
    </w:p>
    <w:p w14:paraId="3A4B351B" w14:textId="77777777" w:rsidR="00544B6E" w:rsidRPr="003A4BDF" w:rsidRDefault="00544B6E" w:rsidP="00544B6E">
      <w:pPr>
        <w:spacing w:line="240" w:lineRule="auto"/>
        <w:ind w:left="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Technical and legal challenges</w:t>
      </w:r>
    </w:p>
    <w:p w14:paraId="72413182" w14:textId="77777777" w:rsidR="00544B6E" w:rsidRPr="003A4BDF" w:rsidRDefault="00544B6E" w:rsidP="00544B6E">
      <w:pPr>
        <w:spacing w:line="240" w:lineRule="auto"/>
        <w:ind w:left="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Staff training and administrative support</w:t>
      </w:r>
    </w:p>
    <w:p w14:paraId="4A154D39" w14:textId="77777777" w:rsidR="00544B6E" w:rsidRPr="003A4BDF" w:rsidRDefault="00544B6E" w:rsidP="00544B6E">
      <w:pPr>
        <w:spacing w:line="240" w:lineRule="auto"/>
        <w:ind w:left="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Policy awareness and strategic needs</w:t>
      </w:r>
    </w:p>
    <w:p w14:paraId="2E406D6F" w14:textId="77777777" w:rsidR="00544B6E" w:rsidRPr="003A4BDF" w:rsidRDefault="00544B6E" w:rsidP="00544B6E">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A mix of Likert scale items and categorical response questions was used to ensure clarity, consistency, and statistical comparability and the collected data were analyzed using SPSS.</w:t>
      </w:r>
    </w:p>
    <w:p w14:paraId="78B2FA1C" w14:textId="77777777" w:rsidR="00544B6E" w:rsidRPr="003A4BDF" w:rsidRDefault="00544B6E" w:rsidP="00544B6E">
      <w:pPr>
        <w:shd w:val="clear" w:color="auto" w:fill="C1E4F5" w:themeFill="accent1" w:themeFillTint="33"/>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6. Findings:</w:t>
      </w:r>
    </w:p>
    <w:p w14:paraId="05320C9F" w14:textId="77777777" w:rsidR="00544B6E" w:rsidRPr="003A4BDF" w:rsidRDefault="00544B6E" w:rsidP="00544B6E">
      <w:pPr>
        <w:pStyle w:val="NormalWeb"/>
        <w:jc w:val="both"/>
        <w:rPr>
          <w:color w:val="000000" w:themeColor="text1"/>
        </w:rPr>
      </w:pPr>
      <w:r w:rsidRPr="003A4BDF">
        <w:rPr>
          <w:color w:val="000000" w:themeColor="text1"/>
        </w:rPr>
        <w:t xml:space="preserve">This survey explored the challenges faced by the National Archives of Bangladesh (NAB) in implementing effective digital preservation systems. Responses were collected from professionals directly involved in archiving and digital preservation activities. The SPSS software was used to perform descriptive statistical analysis on survey data collected from archival professionals. </w:t>
      </w:r>
    </w:p>
    <w:p w14:paraId="6C1ADA65" w14:textId="77777777" w:rsidR="00544B6E" w:rsidRPr="003A4BDF" w:rsidRDefault="00544B6E" w:rsidP="00544B6E">
      <w:pPr>
        <w:pStyle w:val="NormalWeb"/>
        <w:jc w:val="both"/>
        <w:rPr>
          <w:color w:val="000000" w:themeColor="text1"/>
        </w:rPr>
      </w:pPr>
      <w:r w:rsidRPr="003A4BDF">
        <w:rPr>
          <w:color w:val="000000" w:themeColor="text1"/>
        </w:rPr>
        <w:t>The results are organized into four sections: Section A (Background Information), Section B (Institutional Capacity and Readiness), Section C (Challenges), and Section D (Institutional Practices and Recommendations). Each section presents relevant tables, figures, and descriptions derived from the analysis.</w:t>
      </w:r>
    </w:p>
    <w:p w14:paraId="689CB76C" w14:textId="77777777" w:rsidR="00F71F1B" w:rsidRDefault="00CF39A7" w:rsidP="00CF39A7">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b/>
          <w:bCs/>
          <w:color w:val="000000" w:themeColor="text1"/>
          <w:sz w:val="24"/>
          <w:szCs w:val="24"/>
        </w:rPr>
        <w:t xml:space="preserve">6.1 Background </w:t>
      </w:r>
      <w:bookmarkStart w:id="1" w:name="_Hlk204684228"/>
      <w:r w:rsidR="00F71F1B" w:rsidRPr="003A4BDF">
        <w:rPr>
          <w:rFonts w:ascii="Times New Roman" w:hAnsi="Times New Roman" w:cs="Times New Roman"/>
          <w:b/>
          <w:bCs/>
          <w:color w:val="000000" w:themeColor="text1"/>
          <w:sz w:val="24"/>
          <w:szCs w:val="24"/>
        </w:rPr>
        <w:t>Information</w:t>
      </w:r>
      <w:r w:rsidR="00F71F1B" w:rsidRPr="003A4BDF">
        <w:rPr>
          <w:rFonts w:ascii="Times New Roman" w:hAnsi="Times New Roman" w:cs="Times New Roman"/>
          <w:color w:val="000000" w:themeColor="text1"/>
          <w:sz w:val="24"/>
          <w:szCs w:val="24"/>
        </w:rPr>
        <w:t xml:space="preserve"> </w:t>
      </w:r>
    </w:p>
    <w:p w14:paraId="6DCAE613" w14:textId="56F3F8CD" w:rsidR="00CF39A7" w:rsidRPr="003A4BDF" w:rsidRDefault="00F71F1B" w:rsidP="00CF39A7">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Out</w:t>
      </w:r>
      <w:r w:rsidR="00CF39A7" w:rsidRPr="003A4BDF">
        <w:rPr>
          <w:rFonts w:ascii="Times New Roman" w:hAnsi="Times New Roman" w:cs="Times New Roman"/>
          <w:color w:val="000000" w:themeColor="text1"/>
          <w:sz w:val="24"/>
          <w:szCs w:val="24"/>
        </w:rPr>
        <w:t xml:space="preserve"> of the 20 respondents, 75% reported no formal training in digital preservation, while 25% had received training. This indicates a significant skill gap within the workforce. The years of experience varied widely, with some respondents having decades of experience and others just entering the field.</w:t>
      </w:r>
    </w:p>
    <w:p w14:paraId="1BE95486" w14:textId="73457F44" w:rsidR="00CF39A7" w:rsidRPr="003A4BDF" w:rsidRDefault="00732BE5" w:rsidP="00CF39A7">
      <w:pPr>
        <w:spacing w:line="240" w:lineRule="auto"/>
        <w:jc w:val="center"/>
        <w:rPr>
          <w:rFonts w:ascii="Times New Roman" w:hAnsi="Times New Roman" w:cs="Times New Roman"/>
          <w:color w:val="000000" w:themeColor="text1"/>
          <w:sz w:val="24"/>
          <w:szCs w:val="24"/>
        </w:rPr>
      </w:pPr>
      <w:r w:rsidRPr="003A4BDF">
        <w:rPr>
          <w:rFonts w:ascii="Times New Roman" w:hAnsi="Times New Roman" w:cs="Times New Roman"/>
          <w:noProof/>
          <w:sz w:val="24"/>
          <w:szCs w:val="24"/>
          <w14:ligatures w14:val="standardContextual"/>
        </w:rPr>
        <w:drawing>
          <wp:inline distT="0" distB="0" distL="0" distR="0" wp14:anchorId="4C30413F" wp14:editId="7517F04E">
            <wp:extent cx="4572000" cy="2743200"/>
            <wp:effectExtent l="0" t="0" r="0" b="0"/>
            <wp:docPr id="1109442116" name="Chart 1">
              <a:extLst xmlns:a="http://schemas.openxmlformats.org/drawingml/2006/main">
                <a:ext uri="{FF2B5EF4-FFF2-40B4-BE49-F238E27FC236}">
                  <a16:creationId xmlns:a16="http://schemas.microsoft.com/office/drawing/2014/main" id="{C0D6F317-877F-BB18-BC67-F6DBAE5E14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15C68A0" w14:textId="77777777" w:rsidR="00CF39A7" w:rsidRPr="003A4BDF" w:rsidRDefault="00CF39A7" w:rsidP="00CF39A7">
      <w:pPr>
        <w:spacing w:line="240" w:lineRule="auto"/>
        <w:jc w:val="center"/>
        <w:rPr>
          <w:rFonts w:ascii="Times New Roman" w:hAnsi="Times New Roman" w:cs="Times New Roman"/>
          <w:b/>
          <w:bCs/>
          <w:i/>
          <w:iCs/>
          <w:color w:val="000000" w:themeColor="text1"/>
          <w:sz w:val="24"/>
          <w:szCs w:val="24"/>
        </w:rPr>
      </w:pPr>
      <w:r w:rsidRPr="003A4BDF">
        <w:rPr>
          <w:rFonts w:ascii="Times New Roman" w:hAnsi="Times New Roman" w:cs="Times New Roman"/>
          <w:b/>
          <w:bCs/>
          <w:i/>
          <w:iCs/>
          <w:color w:val="000000" w:themeColor="text1"/>
          <w:sz w:val="24"/>
          <w:szCs w:val="24"/>
        </w:rPr>
        <w:t>Figure 1: Training in Digital Preservation — Yes: 25%, No: 75%</w:t>
      </w:r>
    </w:p>
    <w:bookmarkEnd w:id="1"/>
    <w:p w14:paraId="70EB20EB" w14:textId="71954FB0" w:rsidR="00CF39A7" w:rsidRPr="003A4BDF" w:rsidRDefault="00CF39A7" w:rsidP="00CF39A7">
      <w:pPr>
        <w:spacing w:line="240" w:lineRule="auto"/>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 xml:space="preserve">6.2 Institutional Capacity and Readiness </w:t>
      </w:r>
    </w:p>
    <w:p w14:paraId="093FD1F4" w14:textId="7C64829F" w:rsidR="00954475" w:rsidRPr="003A4BDF" w:rsidRDefault="00CF39A7" w:rsidP="00CF39A7">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Institutional readiness is mixed. Funding was perceived as insufficient by a large majority (50% disagreed or strongly disagreed). Infrastructure adequacy also received low confidence, with 60% in disagreement. However, administrative commitment scored strongly, with 70% agreeing or strongly agreeing, indicating strong managerial support despite resource limitations.</w:t>
      </w:r>
    </w:p>
    <w:p w14:paraId="21B594C8" w14:textId="12123407" w:rsidR="003E3584" w:rsidRPr="003A4BDF" w:rsidRDefault="003E3584" w:rsidP="00CF39A7">
      <w:pPr>
        <w:spacing w:line="240" w:lineRule="auto"/>
        <w:jc w:val="both"/>
        <w:rPr>
          <w:rFonts w:ascii="Times New Roman" w:hAnsi="Times New Roman" w:cs="Times New Roman"/>
          <w:color w:val="000000" w:themeColor="text1"/>
          <w:sz w:val="24"/>
          <w:szCs w:val="24"/>
        </w:rPr>
      </w:pPr>
    </w:p>
    <w:p w14:paraId="1484D8DE" w14:textId="5D2A4766" w:rsidR="003E3584" w:rsidRPr="003A4BDF" w:rsidRDefault="003E3584" w:rsidP="003E3584">
      <w:pPr>
        <w:tabs>
          <w:tab w:val="left" w:pos="3345"/>
        </w:tabs>
        <w:spacing w:line="240" w:lineRule="auto"/>
        <w:jc w:val="center"/>
        <w:rPr>
          <w:rFonts w:ascii="Times New Roman" w:hAnsi="Times New Roman" w:cs="Times New Roman"/>
          <w:b/>
          <w:bCs/>
          <w:color w:val="002060"/>
          <w:sz w:val="24"/>
          <w:szCs w:val="24"/>
        </w:rPr>
      </w:pPr>
      <w:r w:rsidRPr="003A4BDF">
        <w:rPr>
          <w:rFonts w:ascii="Times New Roman" w:hAnsi="Times New Roman" w:cs="Times New Roman"/>
          <w:b/>
          <w:bCs/>
          <w:color w:val="000000" w:themeColor="text1"/>
          <w:sz w:val="24"/>
          <w:szCs w:val="24"/>
        </w:rPr>
        <w:t xml:space="preserve">Figure 2: </w:t>
      </w:r>
      <w:r w:rsidRPr="003A4BDF">
        <w:rPr>
          <w:rFonts w:ascii="Times New Roman" w:hAnsi="Times New Roman" w:cs="Times New Roman"/>
          <w:b/>
          <w:bCs/>
          <w:color w:val="002060"/>
          <w:sz w:val="24"/>
          <w:szCs w:val="24"/>
        </w:rPr>
        <w:t>Training rate of the respondents</w:t>
      </w:r>
    </w:p>
    <w:p w14:paraId="0BC815BE" w14:textId="016482FA" w:rsidR="003E3584" w:rsidRPr="003A4BDF" w:rsidRDefault="00732BE5" w:rsidP="002005DE">
      <w:pPr>
        <w:tabs>
          <w:tab w:val="left" w:pos="3345"/>
        </w:tabs>
        <w:spacing w:line="240" w:lineRule="auto"/>
        <w:jc w:val="center"/>
        <w:rPr>
          <w:rFonts w:ascii="Times New Roman" w:hAnsi="Times New Roman" w:cs="Times New Roman"/>
          <w:b/>
          <w:bCs/>
          <w:color w:val="000000" w:themeColor="text1"/>
          <w:sz w:val="24"/>
          <w:szCs w:val="24"/>
        </w:rPr>
      </w:pPr>
      <w:r w:rsidRPr="003A4BDF">
        <w:rPr>
          <w:rFonts w:ascii="Times New Roman" w:hAnsi="Times New Roman" w:cs="Times New Roman"/>
          <w:noProof/>
          <w:sz w:val="24"/>
          <w:szCs w:val="24"/>
          <w14:ligatures w14:val="standardContextual"/>
        </w:rPr>
        <w:drawing>
          <wp:inline distT="0" distB="0" distL="0" distR="0" wp14:anchorId="08014FC5" wp14:editId="1F17EBA9">
            <wp:extent cx="5059680" cy="2674620"/>
            <wp:effectExtent l="0" t="0" r="7620" b="0"/>
            <wp:docPr id="513186252" name="Chart 1">
              <a:extLst xmlns:a="http://schemas.openxmlformats.org/drawingml/2006/main">
                <a:ext uri="{FF2B5EF4-FFF2-40B4-BE49-F238E27FC236}">
                  <a16:creationId xmlns:a16="http://schemas.microsoft.com/office/drawing/2014/main" id="{811E7D6D-EC9A-0C1A-8AC1-0302BB58DC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FF8E319" w14:textId="7E69D4FC" w:rsidR="003E3584" w:rsidRPr="003A4BDF" w:rsidRDefault="003E3584" w:rsidP="003E3584">
      <w:pPr>
        <w:jc w:val="center"/>
        <w:rPr>
          <w:rFonts w:ascii="Times New Roman" w:hAnsi="Times New Roman" w:cs="Times New Roman"/>
          <w:b/>
          <w:bCs/>
          <w:color w:val="002060"/>
          <w:sz w:val="24"/>
          <w:szCs w:val="24"/>
        </w:rPr>
      </w:pPr>
      <w:r w:rsidRPr="003A4BDF">
        <w:rPr>
          <w:rFonts w:ascii="Times New Roman" w:hAnsi="Times New Roman" w:cs="Times New Roman"/>
          <w:b/>
          <w:bCs/>
          <w:color w:val="000000" w:themeColor="text1"/>
          <w:sz w:val="24"/>
          <w:szCs w:val="24"/>
        </w:rPr>
        <w:tab/>
      </w:r>
      <w:r w:rsidRPr="003A4BDF">
        <w:rPr>
          <w:rFonts w:ascii="Times New Roman" w:hAnsi="Times New Roman" w:cs="Times New Roman"/>
          <w:b/>
          <w:bCs/>
          <w:color w:val="002060"/>
          <w:sz w:val="24"/>
          <w:szCs w:val="24"/>
        </w:rPr>
        <w:t>Figure 03: Results of agreement for funding allocation for digital preservation</w:t>
      </w:r>
    </w:p>
    <w:p w14:paraId="654B4C21" w14:textId="77777777" w:rsidR="00732BE5" w:rsidRPr="003A4BDF" w:rsidRDefault="00732BE5" w:rsidP="003E3584">
      <w:pPr>
        <w:jc w:val="center"/>
        <w:rPr>
          <w:rFonts w:ascii="Times New Roman" w:hAnsi="Times New Roman" w:cs="Times New Roman"/>
          <w:b/>
          <w:bCs/>
          <w:color w:val="002060"/>
          <w:sz w:val="24"/>
          <w:szCs w:val="24"/>
        </w:rPr>
      </w:pPr>
    </w:p>
    <w:p w14:paraId="3D1CD0E4" w14:textId="3898F741" w:rsidR="00954E22" w:rsidRPr="003A4BDF" w:rsidRDefault="00732BE5" w:rsidP="003E3584">
      <w:pPr>
        <w:jc w:val="center"/>
        <w:rPr>
          <w:rFonts w:ascii="Times New Roman" w:hAnsi="Times New Roman" w:cs="Times New Roman"/>
          <w:b/>
          <w:bCs/>
          <w:color w:val="002060"/>
          <w:sz w:val="24"/>
          <w:szCs w:val="24"/>
        </w:rPr>
      </w:pPr>
      <w:r w:rsidRPr="003A4BDF">
        <w:rPr>
          <w:rFonts w:ascii="Times New Roman" w:hAnsi="Times New Roman" w:cs="Times New Roman"/>
          <w:noProof/>
          <w:sz w:val="24"/>
          <w:szCs w:val="24"/>
          <w14:ligatures w14:val="standardContextual"/>
        </w:rPr>
        <w:drawing>
          <wp:inline distT="0" distB="0" distL="0" distR="0" wp14:anchorId="5F52469D" wp14:editId="7B20F4B3">
            <wp:extent cx="5013960" cy="2369820"/>
            <wp:effectExtent l="0" t="0" r="0" b="0"/>
            <wp:docPr id="519562051" name="Chart 1">
              <a:extLst xmlns:a="http://schemas.openxmlformats.org/drawingml/2006/main">
                <a:ext uri="{FF2B5EF4-FFF2-40B4-BE49-F238E27FC236}">
                  <a16:creationId xmlns:a16="http://schemas.microsoft.com/office/drawing/2014/main" id="{18913DB9-506C-E612-E59D-AFE6DCAAC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DBB43A" w14:textId="7B7497DB" w:rsidR="003E3584" w:rsidRPr="003A4BDF" w:rsidRDefault="003E3584" w:rsidP="003E3584">
      <w:pPr>
        <w:jc w:val="center"/>
        <w:rPr>
          <w:rFonts w:ascii="Times New Roman" w:hAnsi="Times New Roman" w:cs="Times New Roman"/>
          <w:b/>
          <w:bCs/>
          <w:color w:val="002060"/>
          <w:sz w:val="24"/>
          <w:szCs w:val="24"/>
        </w:rPr>
      </w:pPr>
    </w:p>
    <w:p w14:paraId="5F52DD1C" w14:textId="09813BF7" w:rsidR="003E3584" w:rsidRPr="003A4BDF" w:rsidRDefault="003E3584" w:rsidP="003E3584">
      <w:pPr>
        <w:jc w:val="center"/>
        <w:rPr>
          <w:rFonts w:ascii="Times New Roman" w:hAnsi="Times New Roman" w:cs="Times New Roman"/>
          <w:sz w:val="24"/>
          <w:szCs w:val="24"/>
        </w:rPr>
      </w:pPr>
      <w:r w:rsidRPr="003A4BDF">
        <w:rPr>
          <w:rFonts w:ascii="Times New Roman" w:hAnsi="Times New Roman" w:cs="Times New Roman"/>
          <w:b/>
          <w:bCs/>
          <w:color w:val="002060"/>
          <w:sz w:val="24"/>
          <w:szCs w:val="24"/>
        </w:rPr>
        <w:t>Figure 04: Results of agreement for reliable and adequate infrastructure for digital preservation</w:t>
      </w:r>
    </w:p>
    <w:p w14:paraId="60812F49" w14:textId="325F2F53" w:rsidR="002005DE" w:rsidRPr="003A4BDF" w:rsidRDefault="003475B2" w:rsidP="003475B2">
      <w:pPr>
        <w:autoSpaceDE w:val="0"/>
        <w:autoSpaceDN w:val="0"/>
        <w:adjustRightInd w:val="0"/>
        <w:spacing w:after="0" w:line="240" w:lineRule="auto"/>
        <w:jc w:val="center"/>
        <w:rPr>
          <w:rFonts w:ascii="Times New Roman" w:hAnsi="Times New Roman" w:cs="Times New Roman"/>
          <w:sz w:val="24"/>
          <w:szCs w:val="24"/>
          <w14:ligatures w14:val="standardContextual"/>
        </w:rPr>
      </w:pPr>
      <w:r w:rsidRPr="003A4BDF">
        <w:rPr>
          <w:rFonts w:ascii="Times New Roman" w:hAnsi="Times New Roman" w:cs="Times New Roman"/>
          <w:noProof/>
          <w:sz w:val="24"/>
          <w:szCs w:val="24"/>
          <w14:ligatures w14:val="standardContextual"/>
        </w:rPr>
        <w:drawing>
          <wp:inline distT="0" distB="0" distL="0" distR="0" wp14:anchorId="410906BC" wp14:editId="4E4EAF1B">
            <wp:extent cx="4572000" cy="2743200"/>
            <wp:effectExtent l="0" t="0" r="0" b="0"/>
            <wp:docPr id="604762862" name="Chart 1">
              <a:extLst xmlns:a="http://schemas.openxmlformats.org/drawingml/2006/main">
                <a:ext uri="{FF2B5EF4-FFF2-40B4-BE49-F238E27FC236}">
                  <a16:creationId xmlns:a16="http://schemas.microsoft.com/office/drawing/2014/main" id="{4B43498C-F529-4D22-BF05-B831D5D600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DE875A" w14:textId="4E963542" w:rsidR="003E3584" w:rsidRPr="003A4BDF" w:rsidRDefault="003E3584" w:rsidP="003E3584">
      <w:pPr>
        <w:tabs>
          <w:tab w:val="left" w:pos="2130"/>
        </w:tabs>
        <w:spacing w:line="240" w:lineRule="auto"/>
        <w:jc w:val="both"/>
        <w:rPr>
          <w:rFonts w:ascii="Times New Roman" w:hAnsi="Times New Roman" w:cs="Times New Roman"/>
          <w:b/>
          <w:bCs/>
          <w:color w:val="000000" w:themeColor="text1"/>
          <w:sz w:val="24"/>
          <w:szCs w:val="24"/>
        </w:rPr>
      </w:pPr>
    </w:p>
    <w:p w14:paraId="2A668CAE" w14:textId="6D9B6F03" w:rsidR="003E3584" w:rsidRPr="003A4BDF" w:rsidRDefault="003E3584" w:rsidP="003E3584">
      <w:pPr>
        <w:jc w:val="center"/>
        <w:rPr>
          <w:rFonts w:ascii="Times New Roman" w:hAnsi="Times New Roman" w:cs="Times New Roman"/>
          <w:b/>
          <w:bCs/>
          <w:color w:val="002060"/>
          <w:sz w:val="24"/>
          <w:szCs w:val="24"/>
        </w:rPr>
      </w:pPr>
      <w:r w:rsidRPr="003A4BDF">
        <w:rPr>
          <w:rFonts w:ascii="Times New Roman" w:hAnsi="Times New Roman" w:cs="Times New Roman"/>
          <w:b/>
          <w:bCs/>
          <w:color w:val="002060"/>
          <w:sz w:val="24"/>
          <w:szCs w:val="24"/>
        </w:rPr>
        <w:t xml:space="preserve">Figure 05: Results of agreement for maintenance of digital preservation systems </w:t>
      </w:r>
    </w:p>
    <w:p w14:paraId="1665585B" w14:textId="44901190" w:rsidR="003E3584" w:rsidRPr="003A4BDF" w:rsidRDefault="003E3584" w:rsidP="003E3584">
      <w:pPr>
        <w:jc w:val="center"/>
        <w:rPr>
          <w:rFonts w:ascii="Times New Roman" w:hAnsi="Times New Roman" w:cs="Times New Roman"/>
          <w:b/>
          <w:bCs/>
          <w:color w:val="002060"/>
          <w:sz w:val="24"/>
          <w:szCs w:val="24"/>
        </w:rPr>
      </w:pPr>
    </w:p>
    <w:p w14:paraId="278175CC" w14:textId="1226BD44" w:rsidR="002005DE" w:rsidRPr="003A4BDF" w:rsidRDefault="003475B2" w:rsidP="003475B2">
      <w:pPr>
        <w:autoSpaceDE w:val="0"/>
        <w:autoSpaceDN w:val="0"/>
        <w:adjustRightInd w:val="0"/>
        <w:spacing w:after="0" w:line="240" w:lineRule="auto"/>
        <w:jc w:val="center"/>
        <w:rPr>
          <w:rFonts w:ascii="Times New Roman" w:hAnsi="Times New Roman" w:cs="Times New Roman"/>
          <w:sz w:val="24"/>
          <w:szCs w:val="24"/>
          <w14:ligatures w14:val="standardContextual"/>
        </w:rPr>
      </w:pPr>
      <w:r w:rsidRPr="003A4BDF">
        <w:rPr>
          <w:rFonts w:ascii="Times New Roman" w:hAnsi="Times New Roman" w:cs="Times New Roman"/>
          <w:noProof/>
          <w:sz w:val="24"/>
          <w:szCs w:val="24"/>
          <w14:ligatures w14:val="standardContextual"/>
        </w:rPr>
        <w:drawing>
          <wp:inline distT="0" distB="0" distL="0" distR="0" wp14:anchorId="4EFC4431" wp14:editId="3BA072A7">
            <wp:extent cx="4572000" cy="2743200"/>
            <wp:effectExtent l="0" t="0" r="0" b="0"/>
            <wp:docPr id="559199443" name="Chart 1">
              <a:extLst xmlns:a="http://schemas.openxmlformats.org/drawingml/2006/main">
                <a:ext uri="{FF2B5EF4-FFF2-40B4-BE49-F238E27FC236}">
                  <a16:creationId xmlns:a16="http://schemas.microsoft.com/office/drawing/2014/main" id="{2ACFB842-4C17-7762-81C6-12391A1FBB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2D5F9B" w14:textId="77777777" w:rsidR="002005DE" w:rsidRPr="003A4BDF" w:rsidRDefault="002005DE" w:rsidP="003E3584">
      <w:pPr>
        <w:jc w:val="center"/>
        <w:rPr>
          <w:rFonts w:ascii="Times New Roman" w:hAnsi="Times New Roman" w:cs="Times New Roman"/>
          <w:b/>
          <w:bCs/>
          <w:color w:val="002060"/>
          <w:sz w:val="24"/>
          <w:szCs w:val="24"/>
        </w:rPr>
      </w:pPr>
    </w:p>
    <w:p w14:paraId="363D04AF" w14:textId="28286A1D" w:rsidR="003E3584" w:rsidRPr="003A4BDF" w:rsidRDefault="003E3584" w:rsidP="003E3584">
      <w:pPr>
        <w:jc w:val="center"/>
        <w:rPr>
          <w:rFonts w:ascii="Times New Roman" w:hAnsi="Times New Roman" w:cs="Times New Roman"/>
          <w:b/>
          <w:bCs/>
          <w:color w:val="002060"/>
          <w:sz w:val="24"/>
          <w:szCs w:val="24"/>
        </w:rPr>
      </w:pPr>
      <w:r w:rsidRPr="003A4BDF">
        <w:rPr>
          <w:rFonts w:ascii="Times New Roman" w:hAnsi="Times New Roman" w:cs="Times New Roman"/>
          <w:b/>
          <w:bCs/>
          <w:color w:val="002060"/>
          <w:sz w:val="24"/>
          <w:szCs w:val="24"/>
        </w:rPr>
        <w:t xml:space="preserve">Figure 06: Results of agreement for metadata standards and data authentication </w:t>
      </w:r>
    </w:p>
    <w:p w14:paraId="105BF3C7" w14:textId="77777777" w:rsidR="003E3584" w:rsidRPr="003A4BDF" w:rsidRDefault="003E3584" w:rsidP="003E3584">
      <w:pPr>
        <w:tabs>
          <w:tab w:val="left" w:pos="2130"/>
        </w:tabs>
        <w:spacing w:line="240" w:lineRule="auto"/>
        <w:jc w:val="both"/>
        <w:rPr>
          <w:rFonts w:ascii="Times New Roman" w:hAnsi="Times New Roman" w:cs="Times New Roman"/>
          <w:b/>
          <w:bCs/>
          <w:color w:val="000000" w:themeColor="text1"/>
          <w:sz w:val="24"/>
          <w:szCs w:val="24"/>
        </w:rPr>
      </w:pPr>
    </w:p>
    <w:p w14:paraId="155ED58E" w14:textId="32C950C9" w:rsidR="003E3584" w:rsidRPr="003A4BDF" w:rsidRDefault="003E3584" w:rsidP="00CF39A7">
      <w:pPr>
        <w:spacing w:line="240" w:lineRule="auto"/>
        <w:jc w:val="both"/>
        <w:rPr>
          <w:rFonts w:ascii="Times New Roman" w:hAnsi="Times New Roman" w:cs="Times New Roman"/>
          <w:b/>
          <w:bCs/>
          <w:color w:val="000000" w:themeColor="text1"/>
          <w:sz w:val="24"/>
          <w:szCs w:val="24"/>
        </w:rPr>
      </w:pPr>
    </w:p>
    <w:p w14:paraId="60F466CF" w14:textId="15D9B818" w:rsidR="002005DE" w:rsidRPr="003A4BDF" w:rsidRDefault="003475B2" w:rsidP="002005DE">
      <w:pPr>
        <w:autoSpaceDE w:val="0"/>
        <w:autoSpaceDN w:val="0"/>
        <w:adjustRightInd w:val="0"/>
        <w:spacing w:after="0" w:line="240" w:lineRule="auto"/>
        <w:jc w:val="center"/>
        <w:rPr>
          <w:rFonts w:ascii="Times New Roman" w:hAnsi="Times New Roman" w:cs="Times New Roman"/>
          <w:sz w:val="24"/>
          <w:szCs w:val="24"/>
          <w14:ligatures w14:val="standardContextual"/>
        </w:rPr>
      </w:pPr>
      <w:r w:rsidRPr="003A4BDF">
        <w:rPr>
          <w:rFonts w:ascii="Times New Roman" w:hAnsi="Times New Roman" w:cs="Times New Roman"/>
          <w:noProof/>
          <w:sz w:val="24"/>
          <w:szCs w:val="24"/>
          <w14:ligatures w14:val="standardContextual"/>
        </w:rPr>
        <w:drawing>
          <wp:inline distT="0" distB="0" distL="0" distR="0" wp14:anchorId="5C782E29" wp14:editId="155B5453">
            <wp:extent cx="4572000" cy="2743200"/>
            <wp:effectExtent l="0" t="0" r="0" b="0"/>
            <wp:docPr id="735484154" name="Chart 1">
              <a:extLst xmlns:a="http://schemas.openxmlformats.org/drawingml/2006/main">
                <a:ext uri="{FF2B5EF4-FFF2-40B4-BE49-F238E27FC236}">
                  <a16:creationId xmlns:a16="http://schemas.microsoft.com/office/drawing/2014/main" id="{DAD8CD79-35CB-A9B7-B55D-768E77EC93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827F8D" w14:textId="420DE1AC" w:rsidR="003E3584" w:rsidRPr="003A4BDF" w:rsidRDefault="003E3584" w:rsidP="003475B2">
      <w:pPr>
        <w:jc w:val="center"/>
        <w:rPr>
          <w:rFonts w:ascii="Times New Roman" w:hAnsi="Times New Roman" w:cs="Times New Roman"/>
          <w:b/>
          <w:bCs/>
          <w:color w:val="002060"/>
          <w:sz w:val="24"/>
          <w:szCs w:val="24"/>
        </w:rPr>
      </w:pPr>
      <w:r w:rsidRPr="003A4BDF">
        <w:rPr>
          <w:rFonts w:ascii="Times New Roman" w:hAnsi="Times New Roman" w:cs="Times New Roman"/>
          <w:b/>
          <w:bCs/>
          <w:color w:val="002060"/>
          <w:sz w:val="24"/>
          <w:szCs w:val="24"/>
        </w:rPr>
        <w:t>Figure 07: Results of agreement for administrative commitment to support digital preservation</w:t>
      </w:r>
    </w:p>
    <w:p w14:paraId="4207B39E" w14:textId="77777777" w:rsidR="003E3584" w:rsidRPr="003A4BDF" w:rsidRDefault="003E3584" w:rsidP="00CF39A7">
      <w:pPr>
        <w:spacing w:line="240" w:lineRule="auto"/>
        <w:jc w:val="both"/>
        <w:rPr>
          <w:rFonts w:ascii="Times New Roman" w:hAnsi="Times New Roman" w:cs="Times New Roman"/>
          <w:b/>
          <w:bCs/>
          <w:color w:val="000000" w:themeColor="text1"/>
          <w:sz w:val="24"/>
          <w:szCs w:val="24"/>
        </w:rPr>
      </w:pPr>
    </w:p>
    <w:p w14:paraId="50C7DCBE" w14:textId="55B9553C" w:rsidR="00CF39A7" w:rsidRPr="003A4BDF" w:rsidRDefault="00CF39A7" w:rsidP="00CF39A7">
      <w:pPr>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6.3 Challenges</w:t>
      </w:r>
    </w:p>
    <w:p w14:paraId="10AC9520" w14:textId="467C303E" w:rsidR="00CF39A7" w:rsidRPr="003A4BDF" w:rsidRDefault="00CF39A7" w:rsidP="00CF39A7">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This section presents the barriers to digital preservation, highlighting technical, legal, and institutional constraints that limit effective implementation and long-term sustainability</w:t>
      </w:r>
    </w:p>
    <w:p w14:paraId="07F62AAB" w14:textId="17D8CCB7" w:rsidR="00CF39A7" w:rsidRPr="003A4BDF" w:rsidRDefault="00CF39A7" w:rsidP="00CF39A7">
      <w:pPr>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 xml:space="preserve">6.3.1 </w:t>
      </w:r>
      <w:r w:rsidRPr="003A4BDF">
        <w:rPr>
          <w:rFonts w:ascii="Times New Roman" w:hAnsi="Times New Roman" w:cs="Times New Roman"/>
          <w:b/>
          <w:bCs/>
          <w:i/>
          <w:iCs/>
          <w:color w:val="000000" w:themeColor="text1"/>
          <w:sz w:val="24"/>
          <w:szCs w:val="24"/>
        </w:rPr>
        <w:t>Technical Barriers</w:t>
      </w:r>
    </w:p>
    <w:p w14:paraId="50CB9110" w14:textId="099FC16C" w:rsidR="00CF39A7" w:rsidRPr="003A4BDF" w:rsidRDefault="00CF39A7" w:rsidP="00CF39A7">
      <w:pPr>
        <w:spacing w:line="240" w:lineRule="auto"/>
        <w:jc w:val="center"/>
        <w:rPr>
          <w:rFonts w:ascii="Times New Roman" w:hAnsi="Times New Roman" w:cs="Times New Roman"/>
          <w:b/>
          <w:bCs/>
          <w:i/>
          <w:iCs/>
          <w:color w:val="000000" w:themeColor="text1"/>
          <w:sz w:val="24"/>
          <w:szCs w:val="24"/>
        </w:rPr>
      </w:pPr>
      <w:r w:rsidRPr="003A4BDF">
        <w:rPr>
          <w:rFonts w:ascii="Times New Roman" w:hAnsi="Times New Roman" w:cs="Times New Roman"/>
          <w:b/>
          <w:bCs/>
          <w:i/>
          <w:iCs/>
          <w:color w:val="000000" w:themeColor="text1"/>
          <w:sz w:val="24"/>
          <w:szCs w:val="24"/>
        </w:rPr>
        <w:t xml:space="preserve">Table </w:t>
      </w:r>
      <w:r w:rsidR="003A4BDF">
        <w:rPr>
          <w:rFonts w:ascii="Times New Roman" w:hAnsi="Times New Roman" w:cs="Times New Roman"/>
          <w:b/>
          <w:bCs/>
          <w:i/>
          <w:iCs/>
          <w:color w:val="000000" w:themeColor="text1"/>
          <w:sz w:val="24"/>
          <w:szCs w:val="24"/>
        </w:rPr>
        <w:t>1</w:t>
      </w:r>
      <w:r w:rsidRPr="003A4BDF">
        <w:rPr>
          <w:rFonts w:ascii="Times New Roman" w:hAnsi="Times New Roman" w:cs="Times New Roman"/>
          <w:b/>
          <w:bCs/>
          <w:i/>
          <w:iCs/>
          <w:color w:val="000000" w:themeColor="text1"/>
          <w:sz w:val="24"/>
          <w:szCs w:val="24"/>
        </w:rPr>
        <w:t>: Technical Barriers</w:t>
      </w:r>
    </w:p>
    <w:tbl>
      <w:tblPr>
        <w:tblStyle w:val="TableGrid"/>
        <w:tblW w:w="0" w:type="auto"/>
        <w:jc w:val="center"/>
        <w:tblLook w:val="04A0" w:firstRow="1" w:lastRow="0" w:firstColumn="1" w:lastColumn="0" w:noHBand="0" w:noVBand="1"/>
      </w:tblPr>
      <w:tblGrid>
        <w:gridCol w:w="3965"/>
        <w:gridCol w:w="1435"/>
      </w:tblGrid>
      <w:tr w:rsidR="00CF39A7" w:rsidRPr="003A4BDF" w14:paraId="122D799C" w14:textId="77777777" w:rsidTr="00205C6F">
        <w:trPr>
          <w:trHeight w:val="432"/>
          <w:jc w:val="center"/>
        </w:trPr>
        <w:tc>
          <w:tcPr>
            <w:tcW w:w="3965" w:type="dxa"/>
            <w:tcBorders>
              <w:bottom w:val="double" w:sz="4" w:space="0" w:color="196B24" w:themeColor="accent3"/>
            </w:tcBorders>
          </w:tcPr>
          <w:p w14:paraId="2C88EEFA" w14:textId="77777777" w:rsidR="00CF39A7" w:rsidRPr="003A4BDF" w:rsidRDefault="00CF39A7" w:rsidP="00642F0F">
            <w:pPr>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Technical Barriers</w:t>
            </w:r>
          </w:p>
        </w:tc>
        <w:tc>
          <w:tcPr>
            <w:tcW w:w="1435" w:type="dxa"/>
            <w:tcBorders>
              <w:bottom w:val="double" w:sz="4" w:space="0" w:color="196B24" w:themeColor="accent3"/>
            </w:tcBorders>
          </w:tcPr>
          <w:p w14:paraId="1C44B055" w14:textId="77777777" w:rsidR="00CF39A7" w:rsidRPr="003A4BDF" w:rsidRDefault="00CF39A7" w:rsidP="00642F0F">
            <w:pPr>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Yes (%)</w:t>
            </w:r>
          </w:p>
        </w:tc>
      </w:tr>
      <w:tr w:rsidR="00CF39A7" w:rsidRPr="003A4BDF" w14:paraId="2ACDC9DC" w14:textId="77777777" w:rsidTr="00205C6F">
        <w:trPr>
          <w:trHeight w:val="432"/>
          <w:jc w:val="center"/>
        </w:trPr>
        <w:tc>
          <w:tcPr>
            <w:tcW w:w="3965" w:type="dxa"/>
            <w:tcBorders>
              <w:top w:val="double" w:sz="4" w:space="0" w:color="196B24" w:themeColor="accent3"/>
            </w:tcBorders>
          </w:tcPr>
          <w:p w14:paraId="759F0925"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Media deterioration</w:t>
            </w:r>
          </w:p>
        </w:tc>
        <w:tc>
          <w:tcPr>
            <w:tcW w:w="1435" w:type="dxa"/>
            <w:tcBorders>
              <w:top w:val="double" w:sz="4" w:space="0" w:color="196B24" w:themeColor="accent3"/>
            </w:tcBorders>
          </w:tcPr>
          <w:p w14:paraId="712EC879"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50</w:t>
            </w:r>
          </w:p>
        </w:tc>
      </w:tr>
      <w:tr w:rsidR="00CF39A7" w:rsidRPr="003A4BDF" w14:paraId="5F025F7B" w14:textId="77777777" w:rsidTr="00205C6F">
        <w:trPr>
          <w:trHeight w:val="432"/>
          <w:jc w:val="center"/>
        </w:trPr>
        <w:tc>
          <w:tcPr>
            <w:tcW w:w="3965" w:type="dxa"/>
          </w:tcPr>
          <w:p w14:paraId="33C5D929"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Technological obsolescence</w:t>
            </w:r>
          </w:p>
        </w:tc>
        <w:tc>
          <w:tcPr>
            <w:tcW w:w="1435" w:type="dxa"/>
          </w:tcPr>
          <w:p w14:paraId="4828C460"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65</w:t>
            </w:r>
          </w:p>
        </w:tc>
      </w:tr>
      <w:tr w:rsidR="00CF39A7" w:rsidRPr="003A4BDF" w14:paraId="1D8D589E" w14:textId="77777777" w:rsidTr="00205C6F">
        <w:trPr>
          <w:trHeight w:val="432"/>
          <w:jc w:val="center"/>
        </w:trPr>
        <w:tc>
          <w:tcPr>
            <w:tcW w:w="3965" w:type="dxa"/>
          </w:tcPr>
          <w:p w14:paraId="7915CBE5"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Frequent power failures</w:t>
            </w:r>
          </w:p>
        </w:tc>
        <w:tc>
          <w:tcPr>
            <w:tcW w:w="1435" w:type="dxa"/>
          </w:tcPr>
          <w:p w14:paraId="543C04B4"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45</w:t>
            </w:r>
          </w:p>
        </w:tc>
      </w:tr>
      <w:tr w:rsidR="00CF39A7" w:rsidRPr="003A4BDF" w14:paraId="405F66CB" w14:textId="77777777" w:rsidTr="00205C6F">
        <w:trPr>
          <w:trHeight w:val="432"/>
          <w:jc w:val="center"/>
        </w:trPr>
        <w:tc>
          <w:tcPr>
            <w:tcW w:w="3965" w:type="dxa"/>
          </w:tcPr>
          <w:p w14:paraId="528D561A"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Poor internet connectivity</w:t>
            </w:r>
          </w:p>
        </w:tc>
        <w:tc>
          <w:tcPr>
            <w:tcW w:w="1435" w:type="dxa"/>
          </w:tcPr>
          <w:p w14:paraId="132CFFD6"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55</w:t>
            </w:r>
          </w:p>
        </w:tc>
      </w:tr>
      <w:tr w:rsidR="00CF39A7" w:rsidRPr="003A4BDF" w14:paraId="68F410D7" w14:textId="77777777" w:rsidTr="00205C6F">
        <w:trPr>
          <w:trHeight w:val="432"/>
          <w:jc w:val="center"/>
        </w:trPr>
        <w:tc>
          <w:tcPr>
            <w:tcW w:w="3965" w:type="dxa"/>
          </w:tcPr>
          <w:p w14:paraId="26F7607A"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Outdated hardware/software</w:t>
            </w:r>
          </w:p>
        </w:tc>
        <w:tc>
          <w:tcPr>
            <w:tcW w:w="1435" w:type="dxa"/>
          </w:tcPr>
          <w:p w14:paraId="7B3CDCEB"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60</w:t>
            </w:r>
          </w:p>
        </w:tc>
      </w:tr>
      <w:tr w:rsidR="00CF39A7" w:rsidRPr="003A4BDF" w14:paraId="0AA5DCAD" w14:textId="77777777" w:rsidTr="00205C6F">
        <w:trPr>
          <w:trHeight w:val="432"/>
          <w:jc w:val="center"/>
        </w:trPr>
        <w:tc>
          <w:tcPr>
            <w:tcW w:w="3965" w:type="dxa"/>
          </w:tcPr>
          <w:p w14:paraId="7636F07A"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Lack of backup/recovery systems</w:t>
            </w:r>
          </w:p>
        </w:tc>
        <w:tc>
          <w:tcPr>
            <w:tcW w:w="1435" w:type="dxa"/>
          </w:tcPr>
          <w:p w14:paraId="34B4797F"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40</w:t>
            </w:r>
          </w:p>
        </w:tc>
      </w:tr>
    </w:tbl>
    <w:p w14:paraId="7E138DE4" w14:textId="371BF9CE" w:rsidR="00CF39A7" w:rsidRPr="003A4BDF" w:rsidRDefault="00CF39A7" w:rsidP="00094A0E">
      <w:pPr>
        <w:spacing w:line="240" w:lineRule="auto"/>
        <w:rPr>
          <w:rFonts w:ascii="Times New Roman" w:hAnsi="Times New Roman" w:cs="Times New Roman"/>
          <w:color w:val="000000" w:themeColor="text1"/>
          <w:sz w:val="24"/>
          <w:szCs w:val="24"/>
        </w:rPr>
      </w:pPr>
    </w:p>
    <w:p w14:paraId="085EAA51" w14:textId="685D6334" w:rsidR="00CF39A7" w:rsidRPr="003A4BDF" w:rsidRDefault="00CF39A7" w:rsidP="00094A0E">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Description: The most prevalent technical challenges include technological obsolescence (65%) and outdated hardware/software (60%). Internet connectivity (55%) and media deterioration (50%) also emerged as significant barriers. These issues indicate the urgent need for hardware/software upgrades and strategies to address format obsolescence.</w:t>
      </w:r>
    </w:p>
    <w:p w14:paraId="5639E7F4" w14:textId="4786D176" w:rsidR="003E3584" w:rsidRPr="003A4BDF" w:rsidRDefault="007763E4" w:rsidP="00276E89">
      <w:pPr>
        <w:spacing w:line="240" w:lineRule="auto"/>
        <w:jc w:val="center"/>
        <w:rPr>
          <w:rFonts w:ascii="Times New Roman" w:hAnsi="Times New Roman" w:cs="Times New Roman"/>
          <w:b/>
          <w:bCs/>
          <w:i/>
          <w:iCs/>
          <w:color w:val="000000" w:themeColor="text1"/>
          <w:sz w:val="24"/>
          <w:szCs w:val="24"/>
        </w:rPr>
      </w:pPr>
      <w:r w:rsidRPr="003A4BDF">
        <w:rPr>
          <w:rFonts w:ascii="Times New Roman" w:hAnsi="Times New Roman" w:cs="Times New Roman"/>
          <w:noProof/>
          <w:sz w:val="24"/>
          <w:szCs w:val="24"/>
          <w14:ligatures w14:val="standardContextual"/>
        </w:rPr>
        <w:drawing>
          <wp:inline distT="0" distB="0" distL="0" distR="0" wp14:anchorId="1A1E76D5" wp14:editId="7D386B41">
            <wp:extent cx="5654040" cy="2743200"/>
            <wp:effectExtent l="0" t="0" r="3810" b="0"/>
            <wp:docPr id="201144864" name="Chart 1">
              <a:extLst xmlns:a="http://schemas.openxmlformats.org/drawingml/2006/main">
                <a:ext uri="{FF2B5EF4-FFF2-40B4-BE49-F238E27FC236}">
                  <a16:creationId xmlns:a16="http://schemas.microsoft.com/office/drawing/2014/main" id="{36BFE503-F827-9528-27E3-DF53139BA0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5569F7" w14:textId="77777777" w:rsidR="003E3584" w:rsidRPr="003A4BDF" w:rsidRDefault="003E3584" w:rsidP="003E3584">
      <w:pPr>
        <w:jc w:val="center"/>
        <w:rPr>
          <w:rFonts w:ascii="Times New Roman" w:hAnsi="Times New Roman" w:cs="Times New Roman"/>
          <w:b/>
          <w:bCs/>
          <w:color w:val="002060"/>
          <w:sz w:val="24"/>
          <w:szCs w:val="24"/>
        </w:rPr>
      </w:pPr>
      <w:r w:rsidRPr="003A4BDF">
        <w:rPr>
          <w:rFonts w:ascii="Times New Roman" w:hAnsi="Times New Roman" w:cs="Times New Roman"/>
          <w:b/>
          <w:bCs/>
          <w:color w:val="002060"/>
          <w:sz w:val="24"/>
          <w:szCs w:val="24"/>
        </w:rPr>
        <w:t>Figure 09: Mostly affected technical challenges for digital preservation</w:t>
      </w:r>
    </w:p>
    <w:p w14:paraId="2B9ECB8F" w14:textId="77777777" w:rsidR="003E3584" w:rsidRPr="003A4BDF" w:rsidRDefault="003E3584" w:rsidP="00906CD3">
      <w:pPr>
        <w:spacing w:line="240" w:lineRule="auto"/>
        <w:rPr>
          <w:rFonts w:ascii="Times New Roman" w:hAnsi="Times New Roman" w:cs="Times New Roman"/>
          <w:b/>
          <w:bCs/>
          <w:color w:val="000000" w:themeColor="text1"/>
          <w:sz w:val="24"/>
          <w:szCs w:val="24"/>
        </w:rPr>
      </w:pPr>
    </w:p>
    <w:p w14:paraId="79C17293" w14:textId="77777777" w:rsidR="003E3584" w:rsidRPr="003A4BDF" w:rsidRDefault="003E3584" w:rsidP="00906CD3">
      <w:pPr>
        <w:spacing w:line="240" w:lineRule="auto"/>
        <w:rPr>
          <w:rFonts w:ascii="Times New Roman" w:hAnsi="Times New Roman" w:cs="Times New Roman"/>
          <w:b/>
          <w:bCs/>
          <w:color w:val="000000" w:themeColor="text1"/>
          <w:sz w:val="24"/>
          <w:szCs w:val="24"/>
        </w:rPr>
      </w:pPr>
    </w:p>
    <w:p w14:paraId="384A27F8" w14:textId="05F3EC6B" w:rsidR="00906CD3" w:rsidRPr="003A4BDF" w:rsidRDefault="00906CD3" w:rsidP="00906CD3">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b/>
          <w:bCs/>
          <w:color w:val="000000" w:themeColor="text1"/>
          <w:sz w:val="24"/>
          <w:szCs w:val="24"/>
        </w:rPr>
        <w:t xml:space="preserve">6.3.2 </w:t>
      </w:r>
      <w:r w:rsidR="00CF39A7" w:rsidRPr="003A4BDF">
        <w:rPr>
          <w:rFonts w:ascii="Times New Roman" w:hAnsi="Times New Roman" w:cs="Times New Roman"/>
          <w:b/>
          <w:bCs/>
          <w:color w:val="000000" w:themeColor="text1"/>
          <w:sz w:val="24"/>
          <w:szCs w:val="24"/>
        </w:rPr>
        <w:t>Legal Barriers:</w:t>
      </w:r>
      <w:r w:rsidR="00CF39A7" w:rsidRPr="003A4BDF">
        <w:rPr>
          <w:rFonts w:ascii="Times New Roman" w:hAnsi="Times New Roman" w:cs="Times New Roman"/>
          <w:color w:val="000000" w:themeColor="text1"/>
          <w:sz w:val="24"/>
          <w:szCs w:val="24"/>
        </w:rPr>
        <w:t xml:space="preserve"> </w:t>
      </w:r>
    </w:p>
    <w:p w14:paraId="190B6F6B" w14:textId="433A8D43" w:rsidR="00CF39A7" w:rsidRPr="003A4BDF" w:rsidRDefault="00CF39A7" w:rsidP="00906CD3">
      <w:pPr>
        <w:spacing w:line="240" w:lineRule="auto"/>
        <w:rPr>
          <w:rFonts w:ascii="Times New Roman" w:hAnsi="Times New Roman" w:cs="Times New Roman"/>
          <w:b/>
          <w:bCs/>
          <w:i/>
          <w:iCs/>
          <w:color w:val="000000" w:themeColor="text1"/>
          <w:sz w:val="24"/>
          <w:szCs w:val="24"/>
        </w:rPr>
      </w:pPr>
      <w:r w:rsidRPr="003A4BDF">
        <w:rPr>
          <w:rFonts w:ascii="Times New Roman" w:hAnsi="Times New Roman" w:cs="Times New Roman"/>
          <w:color w:val="000000" w:themeColor="text1"/>
          <w:sz w:val="24"/>
          <w:szCs w:val="24"/>
        </w:rPr>
        <w:t>Table 4 summarizes the legal barriers affecting digital preservation.</w:t>
      </w:r>
    </w:p>
    <w:p w14:paraId="66BE1244" w14:textId="3B465000" w:rsidR="00CF39A7" w:rsidRPr="003A4BDF" w:rsidRDefault="00CF39A7" w:rsidP="00CF39A7">
      <w:pPr>
        <w:spacing w:line="240" w:lineRule="auto"/>
        <w:jc w:val="center"/>
        <w:rPr>
          <w:rFonts w:ascii="Times New Roman" w:hAnsi="Times New Roman" w:cs="Times New Roman"/>
          <w:b/>
          <w:bCs/>
          <w:i/>
          <w:iCs/>
          <w:color w:val="000000" w:themeColor="text1"/>
          <w:sz w:val="24"/>
          <w:szCs w:val="24"/>
        </w:rPr>
      </w:pPr>
      <w:r w:rsidRPr="003A4BDF">
        <w:rPr>
          <w:rFonts w:ascii="Times New Roman" w:hAnsi="Times New Roman" w:cs="Times New Roman"/>
          <w:b/>
          <w:bCs/>
          <w:i/>
          <w:iCs/>
          <w:color w:val="000000" w:themeColor="text1"/>
          <w:sz w:val="24"/>
          <w:szCs w:val="24"/>
        </w:rPr>
        <w:t xml:space="preserve">Table </w:t>
      </w:r>
      <w:r w:rsidR="003A4BDF">
        <w:rPr>
          <w:rFonts w:ascii="Times New Roman" w:hAnsi="Times New Roman" w:cs="Times New Roman"/>
          <w:b/>
          <w:bCs/>
          <w:i/>
          <w:iCs/>
          <w:color w:val="000000" w:themeColor="text1"/>
          <w:sz w:val="24"/>
          <w:szCs w:val="24"/>
        </w:rPr>
        <w:t>2</w:t>
      </w:r>
      <w:r w:rsidRPr="003A4BDF">
        <w:rPr>
          <w:rFonts w:ascii="Times New Roman" w:hAnsi="Times New Roman" w:cs="Times New Roman"/>
          <w:b/>
          <w:bCs/>
          <w:i/>
          <w:iCs/>
          <w:color w:val="000000" w:themeColor="text1"/>
          <w:sz w:val="24"/>
          <w:szCs w:val="24"/>
        </w:rPr>
        <w:t>: Legal barriers</w:t>
      </w:r>
    </w:p>
    <w:tbl>
      <w:tblPr>
        <w:tblStyle w:val="TableGrid"/>
        <w:tblW w:w="0" w:type="auto"/>
        <w:jc w:val="center"/>
        <w:tblLook w:val="04A0" w:firstRow="1" w:lastRow="0" w:firstColumn="1" w:lastColumn="0" w:noHBand="0" w:noVBand="1"/>
      </w:tblPr>
      <w:tblGrid>
        <w:gridCol w:w="4320"/>
        <w:gridCol w:w="1975"/>
      </w:tblGrid>
      <w:tr w:rsidR="00CF39A7" w:rsidRPr="003A4BDF" w14:paraId="26DC4840" w14:textId="77777777" w:rsidTr="00205C6F">
        <w:trPr>
          <w:trHeight w:val="432"/>
          <w:jc w:val="center"/>
        </w:trPr>
        <w:tc>
          <w:tcPr>
            <w:tcW w:w="4320" w:type="dxa"/>
            <w:tcBorders>
              <w:bottom w:val="double" w:sz="4" w:space="0" w:color="196B24" w:themeColor="accent3"/>
            </w:tcBorders>
          </w:tcPr>
          <w:p w14:paraId="24CFB5F6" w14:textId="77777777" w:rsidR="00CF39A7" w:rsidRPr="003A4BDF" w:rsidRDefault="00CF39A7" w:rsidP="00642F0F">
            <w:pPr>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Legal Barriers</w:t>
            </w:r>
          </w:p>
        </w:tc>
        <w:tc>
          <w:tcPr>
            <w:tcW w:w="1975" w:type="dxa"/>
            <w:tcBorders>
              <w:bottom w:val="double" w:sz="4" w:space="0" w:color="196B24" w:themeColor="accent3"/>
            </w:tcBorders>
          </w:tcPr>
          <w:p w14:paraId="4F84707D" w14:textId="77777777" w:rsidR="00CF39A7" w:rsidRPr="003A4BDF" w:rsidRDefault="00CF39A7" w:rsidP="00642F0F">
            <w:pPr>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Percentage (%)</w:t>
            </w:r>
          </w:p>
        </w:tc>
      </w:tr>
      <w:tr w:rsidR="00CF39A7" w:rsidRPr="003A4BDF" w14:paraId="46411E09" w14:textId="77777777" w:rsidTr="00205C6F">
        <w:trPr>
          <w:trHeight w:val="432"/>
          <w:jc w:val="center"/>
        </w:trPr>
        <w:tc>
          <w:tcPr>
            <w:tcW w:w="4320" w:type="dxa"/>
            <w:tcBorders>
              <w:top w:val="double" w:sz="4" w:space="0" w:color="196B24" w:themeColor="accent3"/>
            </w:tcBorders>
          </w:tcPr>
          <w:p w14:paraId="6BCC74BF"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Absence of national information policy</w:t>
            </w:r>
          </w:p>
        </w:tc>
        <w:tc>
          <w:tcPr>
            <w:tcW w:w="1975" w:type="dxa"/>
            <w:tcBorders>
              <w:top w:val="double" w:sz="4" w:space="0" w:color="196B24" w:themeColor="accent3"/>
            </w:tcBorders>
          </w:tcPr>
          <w:p w14:paraId="1DA7B7C1"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20</w:t>
            </w:r>
          </w:p>
        </w:tc>
      </w:tr>
      <w:tr w:rsidR="00CF39A7" w:rsidRPr="003A4BDF" w14:paraId="286421E1" w14:textId="77777777" w:rsidTr="00205C6F">
        <w:trPr>
          <w:trHeight w:val="432"/>
          <w:jc w:val="center"/>
        </w:trPr>
        <w:tc>
          <w:tcPr>
            <w:tcW w:w="4320" w:type="dxa"/>
          </w:tcPr>
          <w:p w14:paraId="4B2A1E94"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Unclear copyright for digital materials</w:t>
            </w:r>
          </w:p>
        </w:tc>
        <w:tc>
          <w:tcPr>
            <w:tcW w:w="1975" w:type="dxa"/>
          </w:tcPr>
          <w:p w14:paraId="29E3EF68"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25</w:t>
            </w:r>
          </w:p>
        </w:tc>
      </w:tr>
      <w:tr w:rsidR="00CF39A7" w:rsidRPr="003A4BDF" w14:paraId="2FF6D819" w14:textId="77777777" w:rsidTr="00205C6F">
        <w:trPr>
          <w:trHeight w:val="432"/>
          <w:jc w:val="center"/>
        </w:trPr>
        <w:tc>
          <w:tcPr>
            <w:tcW w:w="4320" w:type="dxa"/>
          </w:tcPr>
          <w:p w14:paraId="247477F3"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Lack of institutional guidelines</w:t>
            </w:r>
          </w:p>
        </w:tc>
        <w:tc>
          <w:tcPr>
            <w:tcW w:w="1975" w:type="dxa"/>
          </w:tcPr>
          <w:p w14:paraId="232A7C7F"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20</w:t>
            </w:r>
          </w:p>
        </w:tc>
      </w:tr>
      <w:tr w:rsidR="00CF39A7" w:rsidRPr="003A4BDF" w14:paraId="49EDB646" w14:textId="77777777" w:rsidTr="00205C6F">
        <w:trPr>
          <w:trHeight w:val="432"/>
          <w:jc w:val="center"/>
        </w:trPr>
        <w:tc>
          <w:tcPr>
            <w:tcW w:w="4320" w:type="dxa"/>
          </w:tcPr>
          <w:p w14:paraId="2BCD0742"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Ownership rights issues</w:t>
            </w:r>
          </w:p>
        </w:tc>
        <w:tc>
          <w:tcPr>
            <w:tcW w:w="1975" w:type="dxa"/>
          </w:tcPr>
          <w:p w14:paraId="739C3016"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20</w:t>
            </w:r>
          </w:p>
        </w:tc>
      </w:tr>
      <w:tr w:rsidR="00CF39A7" w:rsidRPr="003A4BDF" w14:paraId="7382388E" w14:textId="77777777" w:rsidTr="00205C6F">
        <w:trPr>
          <w:trHeight w:val="432"/>
          <w:jc w:val="center"/>
        </w:trPr>
        <w:tc>
          <w:tcPr>
            <w:tcW w:w="4320" w:type="dxa"/>
          </w:tcPr>
          <w:p w14:paraId="3F76860E"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Others</w:t>
            </w:r>
          </w:p>
        </w:tc>
        <w:tc>
          <w:tcPr>
            <w:tcW w:w="1975" w:type="dxa"/>
          </w:tcPr>
          <w:p w14:paraId="41018CC5" w14:textId="77777777" w:rsidR="00CF39A7" w:rsidRPr="003A4BDF" w:rsidRDefault="00CF39A7" w:rsidP="00642F0F">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15</w:t>
            </w:r>
          </w:p>
        </w:tc>
      </w:tr>
    </w:tbl>
    <w:p w14:paraId="5F889951" w14:textId="77777777" w:rsidR="00B33581" w:rsidRPr="003A4BDF" w:rsidRDefault="00B33581" w:rsidP="00CF39A7">
      <w:pPr>
        <w:spacing w:line="240" w:lineRule="auto"/>
        <w:jc w:val="center"/>
        <w:rPr>
          <w:rFonts w:ascii="Times New Roman" w:hAnsi="Times New Roman" w:cs="Times New Roman"/>
          <w:color w:val="000000" w:themeColor="text1"/>
          <w:sz w:val="24"/>
          <w:szCs w:val="24"/>
        </w:rPr>
      </w:pPr>
    </w:p>
    <w:p w14:paraId="2F85BCED" w14:textId="77777777" w:rsidR="00CF39A7" w:rsidRPr="003A4BDF" w:rsidRDefault="00CF39A7" w:rsidP="00CF39A7">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Description: The most common legal challenge reported was unclear copyright regulations (25%), followed by the absence of a national information policy (20%) and lack of institutional guidelines (20%). These findings emphasize the urgent need for comprehensive legal frameworks to clarify ownership, access, and rights management.</w:t>
      </w:r>
    </w:p>
    <w:p w14:paraId="3575FFD9" w14:textId="0B14B86A" w:rsidR="003E3584" w:rsidRPr="003A4BDF" w:rsidRDefault="000E3775" w:rsidP="00276E89">
      <w:pPr>
        <w:spacing w:line="240" w:lineRule="auto"/>
        <w:jc w:val="center"/>
        <w:rPr>
          <w:rFonts w:ascii="Times New Roman" w:hAnsi="Times New Roman" w:cs="Times New Roman"/>
          <w:color w:val="000000" w:themeColor="text1"/>
          <w:sz w:val="24"/>
          <w:szCs w:val="24"/>
        </w:rPr>
      </w:pPr>
      <w:r w:rsidRPr="003A4BDF">
        <w:rPr>
          <w:rFonts w:ascii="Times New Roman" w:hAnsi="Times New Roman" w:cs="Times New Roman"/>
          <w:noProof/>
          <w:sz w:val="24"/>
          <w:szCs w:val="24"/>
          <w14:ligatures w14:val="standardContextual"/>
        </w:rPr>
        <w:drawing>
          <wp:inline distT="0" distB="0" distL="0" distR="0" wp14:anchorId="34F3600C" wp14:editId="64DC6AE8">
            <wp:extent cx="4572000" cy="2743200"/>
            <wp:effectExtent l="0" t="0" r="0" b="0"/>
            <wp:docPr id="2007922131" name="Chart 1">
              <a:extLst xmlns:a="http://schemas.openxmlformats.org/drawingml/2006/main">
                <a:ext uri="{FF2B5EF4-FFF2-40B4-BE49-F238E27FC236}">
                  <a16:creationId xmlns:a16="http://schemas.microsoft.com/office/drawing/2014/main" id="{F71D8022-FC3B-9595-C581-1CE7AA7CF8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AA46B2" w14:textId="55EA7B60" w:rsidR="003E3584" w:rsidRPr="003A4BDF" w:rsidRDefault="003E3584" w:rsidP="003E3584">
      <w:pPr>
        <w:jc w:val="center"/>
        <w:rPr>
          <w:rFonts w:ascii="Times New Roman" w:hAnsi="Times New Roman" w:cs="Times New Roman"/>
          <w:b/>
          <w:bCs/>
          <w:color w:val="002060"/>
          <w:sz w:val="24"/>
          <w:szCs w:val="24"/>
        </w:rPr>
      </w:pPr>
      <w:r w:rsidRPr="003A4BDF">
        <w:rPr>
          <w:rFonts w:ascii="Times New Roman" w:hAnsi="Times New Roman" w:cs="Times New Roman"/>
          <w:b/>
          <w:bCs/>
          <w:color w:val="002060"/>
          <w:sz w:val="24"/>
          <w:szCs w:val="24"/>
        </w:rPr>
        <w:t>Figure 9: Mostly affected legal/policy related challenges for digital preservation</w:t>
      </w:r>
    </w:p>
    <w:p w14:paraId="16482F17" w14:textId="77777777" w:rsidR="003E3584" w:rsidRPr="003A4BDF" w:rsidRDefault="003E3584" w:rsidP="00CF39A7">
      <w:pPr>
        <w:spacing w:line="240" w:lineRule="auto"/>
        <w:rPr>
          <w:rFonts w:ascii="Times New Roman" w:hAnsi="Times New Roman" w:cs="Times New Roman"/>
          <w:b/>
          <w:bCs/>
          <w:color w:val="000000" w:themeColor="text1"/>
          <w:sz w:val="24"/>
          <w:szCs w:val="24"/>
        </w:rPr>
      </w:pPr>
    </w:p>
    <w:p w14:paraId="30C56B18" w14:textId="77777777" w:rsidR="003E3584" w:rsidRPr="003A4BDF" w:rsidRDefault="003E3584" w:rsidP="00CF39A7">
      <w:pPr>
        <w:spacing w:line="240" w:lineRule="auto"/>
        <w:rPr>
          <w:rFonts w:ascii="Times New Roman" w:hAnsi="Times New Roman" w:cs="Times New Roman"/>
          <w:b/>
          <w:bCs/>
          <w:color w:val="000000" w:themeColor="text1"/>
          <w:sz w:val="24"/>
          <w:szCs w:val="24"/>
        </w:rPr>
      </w:pPr>
    </w:p>
    <w:p w14:paraId="43A70191" w14:textId="6A433E99" w:rsidR="00906CD3" w:rsidRPr="003A4BDF" w:rsidRDefault="00906CD3" w:rsidP="00CF39A7">
      <w:pPr>
        <w:spacing w:line="240" w:lineRule="auto"/>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6.3.3 Skills Gap</w:t>
      </w:r>
    </w:p>
    <w:p w14:paraId="4E39464C" w14:textId="6D20C6DF" w:rsidR="003A7CE1" w:rsidRPr="003A4BDF" w:rsidRDefault="003A7CE1" w:rsidP="00094A0E">
      <w:pPr>
        <w:pStyle w:val="Heading2"/>
        <w:spacing w:line="240" w:lineRule="auto"/>
        <w:jc w:val="center"/>
        <w:rPr>
          <w:rFonts w:ascii="Times New Roman" w:hAnsi="Times New Roman" w:cs="Times New Roman"/>
          <w:color w:val="000000" w:themeColor="text1"/>
          <w:sz w:val="24"/>
          <w:szCs w:val="24"/>
        </w:rPr>
      </w:pPr>
    </w:p>
    <w:p w14:paraId="2528C6AF" w14:textId="780E08E6" w:rsidR="003A7CE1" w:rsidRPr="003A4BDF" w:rsidRDefault="003A7CE1" w:rsidP="00094A0E">
      <w:pPr>
        <w:jc w:val="center"/>
        <w:rPr>
          <w:rFonts w:ascii="Times New Roman" w:hAnsi="Times New Roman" w:cs="Times New Roman"/>
          <w:b/>
          <w:bCs/>
          <w:sz w:val="24"/>
          <w:szCs w:val="24"/>
        </w:rPr>
      </w:pPr>
      <w:r w:rsidRPr="003A4BDF">
        <w:rPr>
          <w:rFonts w:ascii="Times New Roman" w:hAnsi="Times New Roman" w:cs="Times New Roman"/>
          <w:b/>
          <w:bCs/>
          <w:sz w:val="24"/>
          <w:szCs w:val="24"/>
        </w:rPr>
        <w:t xml:space="preserve">Table </w:t>
      </w:r>
      <w:r w:rsidR="003A4BDF">
        <w:rPr>
          <w:rFonts w:ascii="Times New Roman" w:hAnsi="Times New Roman" w:cs="Times New Roman"/>
          <w:b/>
          <w:bCs/>
          <w:sz w:val="24"/>
          <w:szCs w:val="24"/>
        </w:rPr>
        <w:t>3</w:t>
      </w:r>
      <w:r w:rsidRPr="003A4BDF">
        <w:rPr>
          <w:rFonts w:ascii="Times New Roman" w:hAnsi="Times New Roman" w:cs="Times New Roman"/>
          <w:b/>
          <w:bCs/>
          <w:sz w:val="24"/>
          <w:szCs w:val="24"/>
        </w:rPr>
        <w:t>: Skills Gaps</w:t>
      </w:r>
    </w:p>
    <w:tbl>
      <w:tblPr>
        <w:tblStyle w:val="TableGrid"/>
        <w:tblW w:w="0" w:type="auto"/>
        <w:jc w:val="center"/>
        <w:tblLook w:val="04A0" w:firstRow="1" w:lastRow="0" w:firstColumn="1" w:lastColumn="0" w:noHBand="0" w:noVBand="1"/>
      </w:tblPr>
      <w:tblGrid>
        <w:gridCol w:w="4320"/>
        <w:gridCol w:w="2155"/>
      </w:tblGrid>
      <w:tr w:rsidR="00CF39A7" w:rsidRPr="003A4BDF" w14:paraId="47192648" w14:textId="77777777" w:rsidTr="00205C6F">
        <w:trPr>
          <w:trHeight w:val="432"/>
          <w:jc w:val="center"/>
        </w:trPr>
        <w:tc>
          <w:tcPr>
            <w:tcW w:w="4320" w:type="dxa"/>
            <w:tcBorders>
              <w:bottom w:val="double" w:sz="4" w:space="0" w:color="196B24" w:themeColor="accent3"/>
            </w:tcBorders>
          </w:tcPr>
          <w:p w14:paraId="3BA079EF" w14:textId="77777777" w:rsidR="00CF39A7" w:rsidRPr="003A4BDF" w:rsidRDefault="00CF39A7" w:rsidP="00642F0F">
            <w:pPr>
              <w:spacing w:line="240" w:lineRule="auto"/>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Skill Gaps</w:t>
            </w:r>
          </w:p>
        </w:tc>
        <w:tc>
          <w:tcPr>
            <w:tcW w:w="2155" w:type="dxa"/>
            <w:tcBorders>
              <w:bottom w:val="double" w:sz="4" w:space="0" w:color="196B24" w:themeColor="accent3"/>
            </w:tcBorders>
          </w:tcPr>
          <w:p w14:paraId="1672A463" w14:textId="77777777" w:rsidR="00CF39A7" w:rsidRPr="003A4BDF" w:rsidRDefault="00CF39A7" w:rsidP="00642F0F">
            <w:pPr>
              <w:spacing w:line="240" w:lineRule="auto"/>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Percentage (%)</w:t>
            </w:r>
          </w:p>
        </w:tc>
      </w:tr>
      <w:tr w:rsidR="00CF39A7" w:rsidRPr="003A4BDF" w14:paraId="6DFB0EBB" w14:textId="77777777" w:rsidTr="00205C6F">
        <w:trPr>
          <w:trHeight w:val="432"/>
          <w:jc w:val="center"/>
        </w:trPr>
        <w:tc>
          <w:tcPr>
            <w:tcW w:w="4320" w:type="dxa"/>
            <w:tcBorders>
              <w:top w:val="double" w:sz="4" w:space="0" w:color="196B24" w:themeColor="accent3"/>
            </w:tcBorders>
          </w:tcPr>
          <w:p w14:paraId="2ADE7A77" w14:textId="77777777" w:rsidR="00CF39A7" w:rsidRPr="003A4BDF" w:rsidRDefault="00CF39A7"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Metadata creation and management</w:t>
            </w:r>
          </w:p>
        </w:tc>
        <w:tc>
          <w:tcPr>
            <w:tcW w:w="2155" w:type="dxa"/>
            <w:tcBorders>
              <w:top w:val="double" w:sz="4" w:space="0" w:color="196B24" w:themeColor="accent3"/>
            </w:tcBorders>
          </w:tcPr>
          <w:p w14:paraId="340CE6B2" w14:textId="77777777" w:rsidR="00CF39A7" w:rsidRPr="003A4BDF" w:rsidRDefault="00CF39A7"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15</w:t>
            </w:r>
          </w:p>
        </w:tc>
      </w:tr>
      <w:tr w:rsidR="00CF39A7" w:rsidRPr="003A4BDF" w14:paraId="187B2A61" w14:textId="77777777" w:rsidTr="00205C6F">
        <w:trPr>
          <w:trHeight w:val="432"/>
          <w:jc w:val="center"/>
        </w:trPr>
        <w:tc>
          <w:tcPr>
            <w:tcW w:w="4320" w:type="dxa"/>
          </w:tcPr>
          <w:p w14:paraId="5371147E" w14:textId="77777777" w:rsidR="00CF39A7" w:rsidRPr="003A4BDF" w:rsidRDefault="00CF39A7"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Use of digitization software/tools</w:t>
            </w:r>
          </w:p>
        </w:tc>
        <w:tc>
          <w:tcPr>
            <w:tcW w:w="2155" w:type="dxa"/>
          </w:tcPr>
          <w:p w14:paraId="342C09A7" w14:textId="77777777" w:rsidR="00CF39A7" w:rsidRPr="003A4BDF" w:rsidRDefault="00CF39A7"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20</w:t>
            </w:r>
          </w:p>
        </w:tc>
      </w:tr>
      <w:tr w:rsidR="00CF39A7" w:rsidRPr="003A4BDF" w14:paraId="5E68E451" w14:textId="77777777" w:rsidTr="00205C6F">
        <w:trPr>
          <w:trHeight w:val="432"/>
          <w:jc w:val="center"/>
        </w:trPr>
        <w:tc>
          <w:tcPr>
            <w:tcW w:w="4320" w:type="dxa"/>
          </w:tcPr>
          <w:p w14:paraId="4815957E" w14:textId="77777777" w:rsidR="00CF39A7" w:rsidRPr="003A4BDF" w:rsidRDefault="00CF39A7"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Data encryption/authentication</w:t>
            </w:r>
          </w:p>
        </w:tc>
        <w:tc>
          <w:tcPr>
            <w:tcW w:w="2155" w:type="dxa"/>
          </w:tcPr>
          <w:p w14:paraId="7F14DCD5" w14:textId="77777777" w:rsidR="00CF39A7" w:rsidRPr="003A4BDF" w:rsidRDefault="00CF39A7"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15</w:t>
            </w:r>
          </w:p>
        </w:tc>
      </w:tr>
      <w:tr w:rsidR="00CF39A7" w:rsidRPr="003A4BDF" w14:paraId="616885DF" w14:textId="77777777" w:rsidTr="00205C6F">
        <w:trPr>
          <w:trHeight w:val="432"/>
          <w:jc w:val="center"/>
        </w:trPr>
        <w:tc>
          <w:tcPr>
            <w:tcW w:w="4320" w:type="dxa"/>
          </w:tcPr>
          <w:p w14:paraId="790BEAE3" w14:textId="77777777" w:rsidR="00CF39A7" w:rsidRPr="003A4BDF" w:rsidRDefault="00CF39A7"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Virus and malware protection</w:t>
            </w:r>
          </w:p>
        </w:tc>
        <w:tc>
          <w:tcPr>
            <w:tcW w:w="2155" w:type="dxa"/>
          </w:tcPr>
          <w:p w14:paraId="593F0325" w14:textId="77777777" w:rsidR="00CF39A7" w:rsidRPr="003A4BDF" w:rsidRDefault="00CF39A7"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5</w:t>
            </w:r>
          </w:p>
        </w:tc>
      </w:tr>
      <w:tr w:rsidR="00CF39A7" w:rsidRPr="003A4BDF" w14:paraId="53D002F6" w14:textId="77777777" w:rsidTr="00205C6F">
        <w:trPr>
          <w:trHeight w:val="432"/>
          <w:jc w:val="center"/>
        </w:trPr>
        <w:tc>
          <w:tcPr>
            <w:tcW w:w="4320" w:type="dxa"/>
          </w:tcPr>
          <w:p w14:paraId="01E49747" w14:textId="77777777" w:rsidR="00CF39A7" w:rsidRPr="003A4BDF" w:rsidRDefault="00CF39A7"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Recovery and backup procedures</w:t>
            </w:r>
          </w:p>
        </w:tc>
        <w:tc>
          <w:tcPr>
            <w:tcW w:w="2155" w:type="dxa"/>
          </w:tcPr>
          <w:p w14:paraId="398C3B69" w14:textId="77777777" w:rsidR="00CF39A7" w:rsidRPr="003A4BDF" w:rsidRDefault="00CF39A7"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10</w:t>
            </w:r>
          </w:p>
        </w:tc>
      </w:tr>
    </w:tbl>
    <w:p w14:paraId="4E3ABB8E" w14:textId="77777777" w:rsidR="00CF39A7" w:rsidRPr="003A4BDF" w:rsidRDefault="00CF39A7" w:rsidP="00CF39A7">
      <w:pPr>
        <w:pStyle w:val="NormalWeb"/>
        <w:jc w:val="both"/>
        <w:rPr>
          <w:color w:val="000000" w:themeColor="text1"/>
        </w:rPr>
      </w:pPr>
      <w:r w:rsidRPr="003A4BDF">
        <w:rPr>
          <w:color w:val="000000" w:themeColor="text1"/>
        </w:rPr>
        <w:t>Description: Metadata creation (15%) and digitization tools (20%) were identified as the most significant skill gaps, followed by encryption/authentication (15%). Virus protection (5%) and recovery/backup (10%) were less common but still relevant. These findings highlight the importance of targeted training to close critical capacity gaps.</w:t>
      </w:r>
    </w:p>
    <w:p w14:paraId="461CEF2C" w14:textId="735E841C" w:rsidR="003E3584" w:rsidRPr="003A4BDF" w:rsidRDefault="000E3775" w:rsidP="000E3775">
      <w:pPr>
        <w:pStyle w:val="NormalWeb"/>
        <w:jc w:val="center"/>
        <w:rPr>
          <w:color w:val="000000" w:themeColor="text1"/>
        </w:rPr>
      </w:pPr>
      <w:r w:rsidRPr="003A4BDF">
        <w:rPr>
          <w:noProof/>
          <w14:ligatures w14:val="standardContextual"/>
        </w:rPr>
        <w:drawing>
          <wp:inline distT="0" distB="0" distL="0" distR="0" wp14:anchorId="0BFF18F7" wp14:editId="0CC20C01">
            <wp:extent cx="4975860" cy="2743200"/>
            <wp:effectExtent l="0" t="0" r="0" b="0"/>
            <wp:docPr id="120599143" name="Chart 1">
              <a:extLst xmlns:a="http://schemas.openxmlformats.org/drawingml/2006/main">
                <a:ext uri="{FF2B5EF4-FFF2-40B4-BE49-F238E27FC236}">
                  <a16:creationId xmlns:a16="http://schemas.microsoft.com/office/drawing/2014/main" id="{B653FFE5-C644-3AB8-8EB5-FDCA74A56F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6B6BE6" w14:textId="043319F3" w:rsidR="003E3584" w:rsidRPr="003A4BDF" w:rsidRDefault="003E3584" w:rsidP="00A50F54">
      <w:pPr>
        <w:jc w:val="center"/>
        <w:rPr>
          <w:rFonts w:ascii="Times New Roman" w:hAnsi="Times New Roman" w:cs="Times New Roman"/>
          <w:b/>
          <w:bCs/>
          <w:color w:val="002060"/>
          <w:sz w:val="24"/>
          <w:szCs w:val="24"/>
        </w:rPr>
      </w:pPr>
      <w:r w:rsidRPr="003A4BDF">
        <w:rPr>
          <w:rFonts w:ascii="Times New Roman" w:hAnsi="Times New Roman" w:cs="Times New Roman"/>
          <w:b/>
          <w:bCs/>
          <w:color w:val="002060"/>
          <w:sz w:val="24"/>
          <w:szCs w:val="24"/>
        </w:rPr>
        <w:t>Figure 10: Lacking’s of skills for digital preservation</w:t>
      </w:r>
    </w:p>
    <w:p w14:paraId="3E3A1B97" w14:textId="423D4421" w:rsidR="00CF39A7" w:rsidRPr="003A4BDF" w:rsidRDefault="00906CD3" w:rsidP="00CF39A7">
      <w:pPr>
        <w:pStyle w:val="NormalWeb"/>
        <w:jc w:val="both"/>
        <w:rPr>
          <w:b/>
          <w:bCs/>
          <w:color w:val="000000" w:themeColor="text1"/>
        </w:rPr>
      </w:pPr>
      <w:r w:rsidRPr="003A4BDF">
        <w:rPr>
          <w:b/>
          <w:bCs/>
          <w:color w:val="000000" w:themeColor="text1"/>
        </w:rPr>
        <w:t xml:space="preserve">6.3.4 </w:t>
      </w:r>
      <w:r w:rsidR="00CF39A7" w:rsidRPr="003A4BDF">
        <w:rPr>
          <w:b/>
          <w:bCs/>
          <w:color w:val="000000" w:themeColor="text1"/>
        </w:rPr>
        <w:t xml:space="preserve">Critical </w:t>
      </w:r>
      <w:r w:rsidRPr="003A4BDF">
        <w:rPr>
          <w:b/>
          <w:bCs/>
          <w:color w:val="000000" w:themeColor="text1"/>
        </w:rPr>
        <w:t>Challenges</w:t>
      </w:r>
      <w:r w:rsidR="00CF39A7" w:rsidRPr="003A4BDF">
        <w:rPr>
          <w:b/>
          <w:bCs/>
          <w:color w:val="000000" w:themeColor="text1"/>
        </w:rPr>
        <w:t>:</w:t>
      </w:r>
    </w:p>
    <w:p w14:paraId="56414400" w14:textId="77777777" w:rsidR="00CF39A7" w:rsidRPr="003A4BDF" w:rsidRDefault="00CF39A7" w:rsidP="00CF39A7">
      <w:pPr>
        <w:pStyle w:val="NormalWeb"/>
        <w:jc w:val="both"/>
        <w:rPr>
          <w:color w:val="000000" w:themeColor="text1"/>
        </w:rPr>
      </w:pPr>
      <w:r w:rsidRPr="003A4BDF">
        <w:rPr>
          <w:color w:val="000000" w:themeColor="text1"/>
        </w:rPr>
        <w:t>Table 6 presents the critical challenges to digital preservation, highlighting technological obsolescence, skills and training gaps, and poor infrastructure as the most pressing issues, followed by funding limitations and legal or policy constraints.</w:t>
      </w:r>
    </w:p>
    <w:p w14:paraId="20DA8D2B" w14:textId="1C327BEB" w:rsidR="00CF39A7" w:rsidRPr="003A4BDF" w:rsidRDefault="00CF39A7" w:rsidP="00CF39A7">
      <w:pPr>
        <w:pStyle w:val="NormalWeb"/>
        <w:jc w:val="center"/>
        <w:rPr>
          <w:b/>
          <w:bCs/>
          <w:i/>
          <w:iCs/>
          <w:color w:val="000000" w:themeColor="text1"/>
        </w:rPr>
      </w:pPr>
      <w:r w:rsidRPr="003A4BDF">
        <w:rPr>
          <w:b/>
          <w:bCs/>
          <w:i/>
          <w:iCs/>
          <w:color w:val="000000" w:themeColor="text1"/>
        </w:rPr>
        <w:t xml:space="preserve">Table </w:t>
      </w:r>
      <w:r w:rsidR="003A4BDF">
        <w:rPr>
          <w:b/>
          <w:bCs/>
          <w:i/>
          <w:iCs/>
          <w:color w:val="000000" w:themeColor="text1"/>
        </w:rPr>
        <w:t>4</w:t>
      </w:r>
      <w:r w:rsidRPr="003A4BDF">
        <w:rPr>
          <w:b/>
          <w:bCs/>
          <w:i/>
          <w:iCs/>
          <w:color w:val="000000" w:themeColor="text1"/>
        </w:rPr>
        <w:t>: Critical Challenges</w:t>
      </w:r>
    </w:p>
    <w:tbl>
      <w:tblPr>
        <w:tblStyle w:val="TableGrid"/>
        <w:tblW w:w="0" w:type="auto"/>
        <w:jc w:val="center"/>
        <w:tblLook w:val="04A0" w:firstRow="1" w:lastRow="0" w:firstColumn="1" w:lastColumn="0" w:noHBand="0" w:noVBand="1"/>
      </w:tblPr>
      <w:tblGrid>
        <w:gridCol w:w="3690"/>
        <w:gridCol w:w="1980"/>
      </w:tblGrid>
      <w:tr w:rsidR="00CF39A7" w:rsidRPr="003A4BDF" w14:paraId="17C826FA" w14:textId="77777777" w:rsidTr="00205C6F">
        <w:trPr>
          <w:trHeight w:val="432"/>
          <w:jc w:val="center"/>
        </w:trPr>
        <w:tc>
          <w:tcPr>
            <w:tcW w:w="3690" w:type="dxa"/>
            <w:tcBorders>
              <w:bottom w:val="double" w:sz="4" w:space="0" w:color="196B24" w:themeColor="accent3"/>
            </w:tcBorders>
          </w:tcPr>
          <w:p w14:paraId="7B6663F0" w14:textId="77777777" w:rsidR="00CF39A7" w:rsidRPr="003A4BDF" w:rsidRDefault="00CF39A7" w:rsidP="00642F0F">
            <w:pPr>
              <w:pStyle w:val="NormalWeb"/>
              <w:jc w:val="both"/>
              <w:rPr>
                <w:b/>
                <w:bCs/>
                <w:color w:val="000000" w:themeColor="text1"/>
              </w:rPr>
            </w:pPr>
            <w:r w:rsidRPr="003A4BDF">
              <w:rPr>
                <w:b/>
                <w:bCs/>
                <w:color w:val="000000" w:themeColor="text1"/>
              </w:rPr>
              <w:t>Critical Challenge</w:t>
            </w:r>
            <w:r w:rsidRPr="003A4BDF">
              <w:rPr>
                <w:b/>
                <w:bCs/>
                <w:color w:val="000000" w:themeColor="text1"/>
              </w:rPr>
              <w:tab/>
            </w:r>
          </w:p>
        </w:tc>
        <w:tc>
          <w:tcPr>
            <w:tcW w:w="1980" w:type="dxa"/>
            <w:tcBorders>
              <w:bottom w:val="double" w:sz="4" w:space="0" w:color="196B24" w:themeColor="accent3"/>
            </w:tcBorders>
          </w:tcPr>
          <w:p w14:paraId="2214ECAB" w14:textId="77777777" w:rsidR="00CF39A7" w:rsidRPr="003A4BDF" w:rsidRDefault="00CF39A7" w:rsidP="00642F0F">
            <w:pPr>
              <w:pStyle w:val="NormalWeb"/>
              <w:jc w:val="both"/>
              <w:rPr>
                <w:b/>
                <w:bCs/>
                <w:color w:val="000000" w:themeColor="text1"/>
              </w:rPr>
            </w:pPr>
            <w:r w:rsidRPr="003A4BDF">
              <w:rPr>
                <w:b/>
                <w:bCs/>
                <w:color w:val="000000" w:themeColor="text1"/>
              </w:rPr>
              <w:t>Percentage (%)</w:t>
            </w:r>
          </w:p>
        </w:tc>
      </w:tr>
      <w:tr w:rsidR="00CF39A7" w:rsidRPr="003A4BDF" w14:paraId="2561D0EE" w14:textId="77777777" w:rsidTr="00205C6F">
        <w:trPr>
          <w:trHeight w:val="432"/>
          <w:jc w:val="center"/>
        </w:trPr>
        <w:tc>
          <w:tcPr>
            <w:tcW w:w="3690" w:type="dxa"/>
            <w:tcBorders>
              <w:top w:val="double" w:sz="4" w:space="0" w:color="196B24" w:themeColor="accent3"/>
            </w:tcBorders>
          </w:tcPr>
          <w:p w14:paraId="748C09E7" w14:textId="4B47D348" w:rsidR="00CF39A7" w:rsidRPr="003A4BDF" w:rsidRDefault="00CF39A7" w:rsidP="00642F0F">
            <w:pPr>
              <w:pStyle w:val="NormalWeb"/>
              <w:jc w:val="both"/>
              <w:rPr>
                <w:color w:val="000000" w:themeColor="text1"/>
              </w:rPr>
            </w:pPr>
            <w:r w:rsidRPr="003A4BDF">
              <w:rPr>
                <w:color w:val="000000" w:themeColor="text1"/>
              </w:rPr>
              <w:t>Technological obsolescence</w:t>
            </w:r>
            <w:r w:rsidRPr="003A4BDF">
              <w:rPr>
                <w:color w:val="000000" w:themeColor="text1"/>
              </w:rPr>
              <w:tab/>
            </w:r>
          </w:p>
        </w:tc>
        <w:tc>
          <w:tcPr>
            <w:tcW w:w="1980" w:type="dxa"/>
            <w:tcBorders>
              <w:top w:val="double" w:sz="4" w:space="0" w:color="196B24" w:themeColor="accent3"/>
            </w:tcBorders>
          </w:tcPr>
          <w:p w14:paraId="3B64CEE4" w14:textId="77777777" w:rsidR="00CF39A7" w:rsidRPr="003A4BDF" w:rsidRDefault="00CF39A7" w:rsidP="00642F0F">
            <w:pPr>
              <w:pStyle w:val="NormalWeb"/>
              <w:jc w:val="both"/>
              <w:rPr>
                <w:color w:val="000000" w:themeColor="text1"/>
              </w:rPr>
            </w:pPr>
            <w:r w:rsidRPr="003A4BDF">
              <w:rPr>
                <w:color w:val="000000" w:themeColor="text1"/>
              </w:rPr>
              <w:t>30</w:t>
            </w:r>
          </w:p>
        </w:tc>
      </w:tr>
      <w:tr w:rsidR="00CF39A7" w:rsidRPr="003A4BDF" w14:paraId="161C5E95" w14:textId="77777777" w:rsidTr="00205C6F">
        <w:trPr>
          <w:trHeight w:val="432"/>
          <w:jc w:val="center"/>
        </w:trPr>
        <w:tc>
          <w:tcPr>
            <w:tcW w:w="3690" w:type="dxa"/>
          </w:tcPr>
          <w:p w14:paraId="3498F49B" w14:textId="77777777" w:rsidR="00CF39A7" w:rsidRPr="003A4BDF" w:rsidRDefault="00CF39A7" w:rsidP="00642F0F">
            <w:pPr>
              <w:pStyle w:val="NormalWeb"/>
              <w:jc w:val="both"/>
              <w:rPr>
                <w:color w:val="000000" w:themeColor="text1"/>
              </w:rPr>
            </w:pPr>
            <w:r w:rsidRPr="003A4BDF">
              <w:rPr>
                <w:color w:val="000000" w:themeColor="text1"/>
              </w:rPr>
              <w:t>Lack of skills and training</w:t>
            </w:r>
            <w:r w:rsidRPr="003A4BDF">
              <w:rPr>
                <w:color w:val="000000" w:themeColor="text1"/>
              </w:rPr>
              <w:tab/>
            </w:r>
          </w:p>
        </w:tc>
        <w:tc>
          <w:tcPr>
            <w:tcW w:w="1980" w:type="dxa"/>
          </w:tcPr>
          <w:p w14:paraId="6AECB659" w14:textId="77777777" w:rsidR="00CF39A7" w:rsidRPr="003A4BDF" w:rsidRDefault="00CF39A7" w:rsidP="00642F0F">
            <w:pPr>
              <w:pStyle w:val="NormalWeb"/>
              <w:jc w:val="both"/>
              <w:rPr>
                <w:color w:val="000000" w:themeColor="text1"/>
              </w:rPr>
            </w:pPr>
            <w:r w:rsidRPr="003A4BDF">
              <w:rPr>
                <w:color w:val="000000" w:themeColor="text1"/>
              </w:rPr>
              <w:t>25</w:t>
            </w:r>
          </w:p>
        </w:tc>
      </w:tr>
      <w:tr w:rsidR="00CF39A7" w:rsidRPr="003A4BDF" w14:paraId="0EE692A6" w14:textId="77777777" w:rsidTr="00205C6F">
        <w:trPr>
          <w:trHeight w:val="432"/>
          <w:jc w:val="center"/>
        </w:trPr>
        <w:tc>
          <w:tcPr>
            <w:tcW w:w="3690" w:type="dxa"/>
          </w:tcPr>
          <w:p w14:paraId="5965437C" w14:textId="77777777" w:rsidR="00CF39A7" w:rsidRPr="003A4BDF" w:rsidRDefault="00CF39A7" w:rsidP="00642F0F">
            <w:pPr>
              <w:pStyle w:val="NormalWeb"/>
              <w:jc w:val="both"/>
              <w:rPr>
                <w:color w:val="000000" w:themeColor="text1"/>
              </w:rPr>
            </w:pPr>
            <w:r w:rsidRPr="003A4BDF">
              <w:rPr>
                <w:color w:val="000000" w:themeColor="text1"/>
              </w:rPr>
              <w:t>Poor infrastructure</w:t>
            </w:r>
            <w:r w:rsidRPr="003A4BDF">
              <w:rPr>
                <w:color w:val="000000" w:themeColor="text1"/>
              </w:rPr>
              <w:tab/>
            </w:r>
          </w:p>
        </w:tc>
        <w:tc>
          <w:tcPr>
            <w:tcW w:w="1980" w:type="dxa"/>
          </w:tcPr>
          <w:p w14:paraId="1CDABF38" w14:textId="77777777" w:rsidR="00CF39A7" w:rsidRPr="003A4BDF" w:rsidRDefault="00CF39A7" w:rsidP="00642F0F">
            <w:pPr>
              <w:pStyle w:val="NormalWeb"/>
              <w:jc w:val="both"/>
              <w:rPr>
                <w:color w:val="000000" w:themeColor="text1"/>
              </w:rPr>
            </w:pPr>
            <w:r w:rsidRPr="003A4BDF">
              <w:rPr>
                <w:color w:val="000000" w:themeColor="text1"/>
              </w:rPr>
              <w:t>20</w:t>
            </w:r>
          </w:p>
        </w:tc>
      </w:tr>
      <w:tr w:rsidR="00CF39A7" w:rsidRPr="003A4BDF" w14:paraId="5C83522E" w14:textId="77777777" w:rsidTr="00205C6F">
        <w:trPr>
          <w:trHeight w:val="432"/>
          <w:jc w:val="center"/>
        </w:trPr>
        <w:tc>
          <w:tcPr>
            <w:tcW w:w="3690" w:type="dxa"/>
          </w:tcPr>
          <w:p w14:paraId="3E94B2D6" w14:textId="77777777" w:rsidR="00CF39A7" w:rsidRPr="003A4BDF" w:rsidRDefault="00CF39A7" w:rsidP="00642F0F">
            <w:pPr>
              <w:pStyle w:val="NormalWeb"/>
              <w:jc w:val="both"/>
              <w:rPr>
                <w:color w:val="000000" w:themeColor="text1"/>
              </w:rPr>
            </w:pPr>
            <w:r w:rsidRPr="003A4BDF">
              <w:rPr>
                <w:color w:val="000000" w:themeColor="text1"/>
              </w:rPr>
              <w:t>Lack of funding</w:t>
            </w:r>
            <w:r w:rsidRPr="003A4BDF">
              <w:rPr>
                <w:color w:val="000000" w:themeColor="text1"/>
              </w:rPr>
              <w:tab/>
            </w:r>
          </w:p>
        </w:tc>
        <w:tc>
          <w:tcPr>
            <w:tcW w:w="1980" w:type="dxa"/>
          </w:tcPr>
          <w:p w14:paraId="699D8EFC" w14:textId="77777777" w:rsidR="00CF39A7" w:rsidRPr="003A4BDF" w:rsidRDefault="00CF39A7" w:rsidP="00642F0F">
            <w:pPr>
              <w:pStyle w:val="NormalWeb"/>
              <w:jc w:val="both"/>
              <w:rPr>
                <w:color w:val="000000" w:themeColor="text1"/>
              </w:rPr>
            </w:pPr>
            <w:r w:rsidRPr="003A4BDF">
              <w:rPr>
                <w:color w:val="000000" w:themeColor="text1"/>
              </w:rPr>
              <w:t>15</w:t>
            </w:r>
          </w:p>
        </w:tc>
      </w:tr>
      <w:tr w:rsidR="00CF39A7" w:rsidRPr="003A4BDF" w14:paraId="6F0057DE" w14:textId="77777777" w:rsidTr="00205C6F">
        <w:trPr>
          <w:trHeight w:val="432"/>
          <w:jc w:val="center"/>
        </w:trPr>
        <w:tc>
          <w:tcPr>
            <w:tcW w:w="3690" w:type="dxa"/>
          </w:tcPr>
          <w:p w14:paraId="34F4997C" w14:textId="77777777" w:rsidR="00CF39A7" w:rsidRPr="003A4BDF" w:rsidRDefault="00CF39A7" w:rsidP="00642F0F">
            <w:pPr>
              <w:pStyle w:val="NormalWeb"/>
              <w:jc w:val="both"/>
              <w:rPr>
                <w:color w:val="000000" w:themeColor="text1"/>
              </w:rPr>
            </w:pPr>
            <w:r w:rsidRPr="003A4BDF">
              <w:rPr>
                <w:color w:val="000000" w:themeColor="text1"/>
              </w:rPr>
              <w:t>Legal/policy issues</w:t>
            </w:r>
          </w:p>
        </w:tc>
        <w:tc>
          <w:tcPr>
            <w:tcW w:w="1980" w:type="dxa"/>
          </w:tcPr>
          <w:p w14:paraId="26B0FDAB" w14:textId="77777777" w:rsidR="00CF39A7" w:rsidRPr="003A4BDF" w:rsidRDefault="00CF39A7" w:rsidP="00642F0F">
            <w:pPr>
              <w:pStyle w:val="NormalWeb"/>
              <w:jc w:val="both"/>
              <w:rPr>
                <w:color w:val="000000" w:themeColor="text1"/>
              </w:rPr>
            </w:pPr>
            <w:r w:rsidRPr="003A4BDF">
              <w:rPr>
                <w:color w:val="000000" w:themeColor="text1"/>
              </w:rPr>
              <w:t>10</w:t>
            </w:r>
          </w:p>
        </w:tc>
      </w:tr>
    </w:tbl>
    <w:p w14:paraId="769BF5E8" w14:textId="77777777" w:rsidR="00A50F54" w:rsidRPr="003A4BDF" w:rsidRDefault="00A50F54" w:rsidP="00CF39A7">
      <w:pPr>
        <w:spacing w:line="240" w:lineRule="auto"/>
        <w:rPr>
          <w:rFonts w:ascii="Times New Roman" w:hAnsi="Times New Roman" w:cs="Times New Roman"/>
          <w:color w:val="000000" w:themeColor="text1"/>
          <w:sz w:val="24"/>
          <w:szCs w:val="24"/>
        </w:rPr>
      </w:pPr>
    </w:p>
    <w:p w14:paraId="7F28BC35" w14:textId="2E75C1E3" w:rsidR="00CF39A7" w:rsidRPr="003A4BDF" w:rsidRDefault="00CF39A7" w:rsidP="00CF39A7">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Description: Technological obsolescence (30%) was reported as the most significant challenge, followed by skills/training gaps (25%) and poor infrastructure (20%). Lack of funding (15%) and legal/policy issues (10%) were less frequent but still impactful.</w:t>
      </w:r>
    </w:p>
    <w:p w14:paraId="7F8126EB" w14:textId="352BF2F7" w:rsidR="00A50F54" w:rsidRPr="003A4BDF" w:rsidRDefault="00883B50" w:rsidP="00883B50">
      <w:pPr>
        <w:spacing w:line="240" w:lineRule="auto"/>
        <w:jc w:val="center"/>
        <w:rPr>
          <w:rFonts w:ascii="Times New Roman" w:hAnsi="Times New Roman" w:cs="Times New Roman"/>
          <w:color w:val="000000" w:themeColor="text1"/>
          <w:sz w:val="24"/>
          <w:szCs w:val="24"/>
        </w:rPr>
      </w:pPr>
      <w:r w:rsidRPr="003A4BDF">
        <w:rPr>
          <w:rFonts w:ascii="Times New Roman" w:hAnsi="Times New Roman" w:cs="Times New Roman"/>
          <w:noProof/>
          <w:sz w:val="24"/>
          <w:szCs w:val="24"/>
          <w14:ligatures w14:val="standardContextual"/>
        </w:rPr>
        <w:drawing>
          <wp:inline distT="0" distB="0" distL="0" distR="0" wp14:anchorId="7214BD74" wp14:editId="2DB89FFE">
            <wp:extent cx="5570220" cy="2743200"/>
            <wp:effectExtent l="0" t="0" r="0" b="0"/>
            <wp:docPr id="1157242405" name="Chart 1">
              <a:extLst xmlns:a="http://schemas.openxmlformats.org/drawingml/2006/main">
                <a:ext uri="{FF2B5EF4-FFF2-40B4-BE49-F238E27FC236}">
                  <a16:creationId xmlns:a16="http://schemas.microsoft.com/office/drawing/2014/main" id="{0763935B-31B9-E92E-5151-E9299BC8AC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674544" w14:textId="22CA5C67" w:rsidR="00A50F54" w:rsidRPr="003A4BDF" w:rsidRDefault="00A50F54" w:rsidP="00A50F54">
      <w:pPr>
        <w:jc w:val="center"/>
        <w:rPr>
          <w:rFonts w:ascii="Times New Roman" w:hAnsi="Times New Roman" w:cs="Times New Roman"/>
          <w:b/>
          <w:bCs/>
          <w:color w:val="002060"/>
          <w:sz w:val="24"/>
          <w:szCs w:val="24"/>
        </w:rPr>
      </w:pPr>
      <w:r w:rsidRPr="003A4BDF">
        <w:rPr>
          <w:rFonts w:ascii="Times New Roman" w:hAnsi="Times New Roman" w:cs="Times New Roman"/>
          <w:b/>
          <w:bCs/>
          <w:color w:val="002060"/>
          <w:sz w:val="24"/>
          <w:szCs w:val="24"/>
        </w:rPr>
        <w:t>Figure 11: Most critical challenges for digital preservation</w:t>
      </w:r>
    </w:p>
    <w:p w14:paraId="2039AB24" w14:textId="77777777" w:rsidR="00A50F54" w:rsidRPr="003A4BDF" w:rsidRDefault="00A50F54" w:rsidP="00CF39A7">
      <w:pPr>
        <w:spacing w:line="240" w:lineRule="auto"/>
        <w:rPr>
          <w:rFonts w:ascii="Times New Roman" w:hAnsi="Times New Roman" w:cs="Times New Roman"/>
          <w:color w:val="000000" w:themeColor="text1"/>
          <w:sz w:val="24"/>
          <w:szCs w:val="24"/>
        </w:rPr>
      </w:pPr>
    </w:p>
    <w:p w14:paraId="700727B8" w14:textId="491C0212" w:rsidR="002E54B4" w:rsidRPr="003A4BDF" w:rsidRDefault="002E54B4" w:rsidP="00CF39A7">
      <w:pPr>
        <w:spacing w:line="240" w:lineRule="auto"/>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 xml:space="preserve">6.4 Institutional Practices and Suggestions </w:t>
      </w:r>
    </w:p>
    <w:p w14:paraId="4160C42E" w14:textId="77777777" w:rsidR="009670D8" w:rsidRPr="003A4BDF" w:rsidRDefault="009670D8" w:rsidP="002E54B4">
      <w:pPr>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6.4.1 Recommended Support</w:t>
      </w:r>
    </w:p>
    <w:p w14:paraId="1E9EB059" w14:textId="18459B3A" w:rsidR="002E54B4" w:rsidRPr="003A4BDF" w:rsidRDefault="002E54B4" w:rsidP="002E54B4">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Table 7 presents the recommended forms of support to enhance digital preservation, with technical training for staff and infrastructure improvement emerging as top priorities, followed by increased budget allocation, policy formulation, and external expert consultation.</w:t>
      </w:r>
    </w:p>
    <w:p w14:paraId="48E01036" w14:textId="47D0F3D6" w:rsidR="002E54B4" w:rsidRPr="003A4BDF" w:rsidRDefault="002E54B4" w:rsidP="002E54B4">
      <w:pPr>
        <w:spacing w:line="240" w:lineRule="auto"/>
        <w:jc w:val="center"/>
        <w:rPr>
          <w:rFonts w:ascii="Times New Roman" w:hAnsi="Times New Roman" w:cs="Times New Roman"/>
          <w:b/>
          <w:bCs/>
          <w:i/>
          <w:iCs/>
          <w:color w:val="000000" w:themeColor="text1"/>
          <w:sz w:val="24"/>
          <w:szCs w:val="24"/>
        </w:rPr>
      </w:pPr>
      <w:r w:rsidRPr="003A4BDF">
        <w:rPr>
          <w:rFonts w:ascii="Times New Roman" w:hAnsi="Times New Roman" w:cs="Times New Roman"/>
          <w:b/>
          <w:bCs/>
          <w:i/>
          <w:iCs/>
          <w:color w:val="000000" w:themeColor="text1"/>
          <w:sz w:val="24"/>
          <w:szCs w:val="24"/>
        </w:rPr>
        <w:t xml:space="preserve">Table </w:t>
      </w:r>
      <w:r w:rsidR="003A4BDF">
        <w:rPr>
          <w:rFonts w:ascii="Times New Roman" w:hAnsi="Times New Roman" w:cs="Times New Roman"/>
          <w:b/>
          <w:bCs/>
          <w:i/>
          <w:iCs/>
          <w:color w:val="000000" w:themeColor="text1"/>
          <w:sz w:val="24"/>
          <w:szCs w:val="24"/>
        </w:rPr>
        <w:t>5</w:t>
      </w:r>
      <w:r w:rsidRPr="003A4BDF">
        <w:rPr>
          <w:rFonts w:ascii="Times New Roman" w:hAnsi="Times New Roman" w:cs="Times New Roman"/>
          <w:b/>
          <w:bCs/>
          <w:i/>
          <w:iCs/>
          <w:color w:val="000000" w:themeColor="text1"/>
          <w:sz w:val="24"/>
          <w:szCs w:val="24"/>
        </w:rPr>
        <w:t>: Recommended institutional support for enhancing digital preservation</w:t>
      </w:r>
    </w:p>
    <w:tbl>
      <w:tblPr>
        <w:tblStyle w:val="TableGrid"/>
        <w:tblW w:w="0" w:type="auto"/>
        <w:jc w:val="center"/>
        <w:tblLook w:val="04A0" w:firstRow="1" w:lastRow="0" w:firstColumn="1" w:lastColumn="0" w:noHBand="0" w:noVBand="1"/>
      </w:tblPr>
      <w:tblGrid>
        <w:gridCol w:w="3245"/>
        <w:gridCol w:w="1975"/>
      </w:tblGrid>
      <w:tr w:rsidR="002E54B4" w:rsidRPr="003A4BDF" w14:paraId="31758145" w14:textId="77777777" w:rsidTr="00205C6F">
        <w:trPr>
          <w:trHeight w:val="432"/>
          <w:jc w:val="center"/>
        </w:trPr>
        <w:tc>
          <w:tcPr>
            <w:tcW w:w="3245" w:type="dxa"/>
            <w:tcBorders>
              <w:bottom w:val="double" w:sz="4" w:space="0" w:color="196B24" w:themeColor="accent3"/>
            </w:tcBorders>
          </w:tcPr>
          <w:p w14:paraId="56DAC534" w14:textId="77777777" w:rsidR="002E54B4" w:rsidRPr="003A4BDF" w:rsidRDefault="002E54B4" w:rsidP="00642F0F">
            <w:pPr>
              <w:spacing w:line="240" w:lineRule="auto"/>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Recommended Support</w:t>
            </w:r>
          </w:p>
        </w:tc>
        <w:tc>
          <w:tcPr>
            <w:tcW w:w="1975" w:type="dxa"/>
            <w:tcBorders>
              <w:bottom w:val="double" w:sz="4" w:space="0" w:color="196B24" w:themeColor="accent3"/>
            </w:tcBorders>
          </w:tcPr>
          <w:p w14:paraId="21CC30B6" w14:textId="77777777" w:rsidR="002E54B4" w:rsidRPr="003A4BDF" w:rsidRDefault="002E54B4" w:rsidP="00642F0F">
            <w:pPr>
              <w:spacing w:line="240" w:lineRule="auto"/>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Percentage (%)</w:t>
            </w:r>
          </w:p>
        </w:tc>
      </w:tr>
      <w:tr w:rsidR="002E54B4" w:rsidRPr="003A4BDF" w14:paraId="42720BA5" w14:textId="77777777" w:rsidTr="00205C6F">
        <w:trPr>
          <w:trHeight w:val="432"/>
          <w:jc w:val="center"/>
        </w:trPr>
        <w:tc>
          <w:tcPr>
            <w:tcW w:w="3245" w:type="dxa"/>
            <w:tcBorders>
              <w:top w:val="double" w:sz="4" w:space="0" w:color="196B24" w:themeColor="accent3"/>
            </w:tcBorders>
          </w:tcPr>
          <w:p w14:paraId="03ED1507"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Technical training for staff</w:t>
            </w:r>
          </w:p>
        </w:tc>
        <w:tc>
          <w:tcPr>
            <w:tcW w:w="1975" w:type="dxa"/>
            <w:tcBorders>
              <w:top w:val="double" w:sz="4" w:space="0" w:color="196B24" w:themeColor="accent3"/>
            </w:tcBorders>
          </w:tcPr>
          <w:p w14:paraId="394C62AB"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30</w:t>
            </w:r>
          </w:p>
        </w:tc>
      </w:tr>
      <w:tr w:rsidR="002E54B4" w:rsidRPr="003A4BDF" w14:paraId="4FAB08E6" w14:textId="77777777" w:rsidTr="00205C6F">
        <w:trPr>
          <w:trHeight w:val="432"/>
          <w:jc w:val="center"/>
        </w:trPr>
        <w:tc>
          <w:tcPr>
            <w:tcW w:w="3245" w:type="dxa"/>
          </w:tcPr>
          <w:p w14:paraId="2C358465"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Improved infrastructure</w:t>
            </w:r>
          </w:p>
        </w:tc>
        <w:tc>
          <w:tcPr>
            <w:tcW w:w="1975" w:type="dxa"/>
          </w:tcPr>
          <w:p w14:paraId="1C24ED29"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25</w:t>
            </w:r>
          </w:p>
        </w:tc>
      </w:tr>
      <w:tr w:rsidR="002E54B4" w:rsidRPr="003A4BDF" w14:paraId="61FD8A33" w14:textId="77777777" w:rsidTr="00205C6F">
        <w:trPr>
          <w:trHeight w:val="432"/>
          <w:jc w:val="center"/>
        </w:trPr>
        <w:tc>
          <w:tcPr>
            <w:tcW w:w="3245" w:type="dxa"/>
          </w:tcPr>
          <w:p w14:paraId="6F813293"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Increased budget</w:t>
            </w:r>
          </w:p>
        </w:tc>
        <w:tc>
          <w:tcPr>
            <w:tcW w:w="1975" w:type="dxa"/>
          </w:tcPr>
          <w:p w14:paraId="4A7E1522"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20</w:t>
            </w:r>
          </w:p>
        </w:tc>
      </w:tr>
      <w:tr w:rsidR="002E54B4" w:rsidRPr="003A4BDF" w14:paraId="6CBCCB39" w14:textId="77777777" w:rsidTr="00205C6F">
        <w:trPr>
          <w:trHeight w:val="432"/>
          <w:jc w:val="center"/>
        </w:trPr>
        <w:tc>
          <w:tcPr>
            <w:tcW w:w="3245" w:type="dxa"/>
          </w:tcPr>
          <w:p w14:paraId="56AB9FFE"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Policy formulation</w:t>
            </w:r>
          </w:p>
        </w:tc>
        <w:tc>
          <w:tcPr>
            <w:tcW w:w="1975" w:type="dxa"/>
          </w:tcPr>
          <w:p w14:paraId="1125A878"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15</w:t>
            </w:r>
          </w:p>
        </w:tc>
      </w:tr>
      <w:tr w:rsidR="002E54B4" w:rsidRPr="003A4BDF" w14:paraId="17EC055F" w14:textId="77777777" w:rsidTr="00205C6F">
        <w:trPr>
          <w:trHeight w:val="432"/>
          <w:jc w:val="center"/>
        </w:trPr>
        <w:tc>
          <w:tcPr>
            <w:tcW w:w="3245" w:type="dxa"/>
          </w:tcPr>
          <w:p w14:paraId="21CD3C6D"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External consultation</w:t>
            </w:r>
          </w:p>
        </w:tc>
        <w:tc>
          <w:tcPr>
            <w:tcW w:w="1975" w:type="dxa"/>
          </w:tcPr>
          <w:p w14:paraId="5993D8AB"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10</w:t>
            </w:r>
          </w:p>
        </w:tc>
      </w:tr>
    </w:tbl>
    <w:p w14:paraId="357F46B4" w14:textId="22E9972D" w:rsidR="002E54B4" w:rsidRPr="003A4BDF" w:rsidRDefault="002E54B4" w:rsidP="002E54B4">
      <w:pPr>
        <w:spacing w:line="240" w:lineRule="auto"/>
        <w:jc w:val="center"/>
        <w:rPr>
          <w:rFonts w:ascii="Times New Roman" w:hAnsi="Times New Roman" w:cs="Times New Roman"/>
          <w:b/>
          <w:bCs/>
          <w:i/>
          <w:iCs/>
          <w:color w:val="000000" w:themeColor="text1"/>
          <w:sz w:val="24"/>
          <w:szCs w:val="24"/>
        </w:rPr>
      </w:pPr>
      <w:r w:rsidRPr="003A4BDF">
        <w:rPr>
          <w:rFonts w:ascii="Times New Roman" w:hAnsi="Times New Roman" w:cs="Times New Roman"/>
          <w:b/>
          <w:bCs/>
          <w:i/>
          <w:iCs/>
          <w:color w:val="000000" w:themeColor="text1"/>
          <w:sz w:val="24"/>
          <w:szCs w:val="24"/>
        </w:rPr>
        <w:t>.</w:t>
      </w:r>
    </w:p>
    <w:p w14:paraId="6EC849EB" w14:textId="77777777" w:rsidR="002E54B4" w:rsidRPr="003A4BDF" w:rsidRDefault="002E54B4" w:rsidP="002E54B4">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Description: Technical training for staff (30%) and improved infrastructure (25%) emerged as the most highly recommended forms of support. Increased budget allocation (20%) and policy formulation (15%) were also identified as priorities. These recommendations outline a clear roadmap for strengthening institutional capacity.</w:t>
      </w:r>
    </w:p>
    <w:p w14:paraId="49867A18" w14:textId="3BE1A0FB" w:rsidR="00A50F54" w:rsidRPr="003A4BDF" w:rsidRDefault="004A1329" w:rsidP="00A50F54">
      <w:pPr>
        <w:jc w:val="center"/>
        <w:rPr>
          <w:rFonts w:ascii="Times New Roman" w:hAnsi="Times New Roman" w:cs="Times New Roman"/>
          <w:b/>
          <w:bCs/>
          <w:color w:val="002060"/>
          <w:sz w:val="24"/>
          <w:szCs w:val="24"/>
        </w:rPr>
      </w:pPr>
      <w:r w:rsidRPr="003A4BDF">
        <w:rPr>
          <w:rFonts w:ascii="Times New Roman" w:hAnsi="Times New Roman" w:cs="Times New Roman"/>
          <w:noProof/>
          <w:sz w:val="24"/>
          <w:szCs w:val="24"/>
          <w14:ligatures w14:val="standardContextual"/>
        </w:rPr>
        <w:drawing>
          <wp:inline distT="0" distB="0" distL="0" distR="0" wp14:anchorId="59E98B2F" wp14:editId="7D67C8E3">
            <wp:extent cx="5562600" cy="2743200"/>
            <wp:effectExtent l="0" t="0" r="0" b="0"/>
            <wp:docPr id="1216903460" name="Chart 1">
              <a:extLst xmlns:a="http://schemas.openxmlformats.org/drawingml/2006/main">
                <a:ext uri="{FF2B5EF4-FFF2-40B4-BE49-F238E27FC236}">
                  <a16:creationId xmlns:a16="http://schemas.microsoft.com/office/drawing/2014/main" id="{6F96699E-162A-52C8-E7B9-B91CB90A5F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A50F54" w:rsidRPr="003A4BDF">
        <w:rPr>
          <w:rFonts w:ascii="Times New Roman" w:hAnsi="Times New Roman" w:cs="Times New Roman"/>
          <w:b/>
          <w:bCs/>
          <w:color w:val="002060"/>
          <w:sz w:val="24"/>
          <w:szCs w:val="24"/>
        </w:rPr>
        <w:t xml:space="preserve"> Figure 12: Recommendations to improve digital preservation</w:t>
      </w:r>
    </w:p>
    <w:p w14:paraId="19432FDA" w14:textId="4706B3D9" w:rsidR="00A50F54" w:rsidRPr="003A4BDF" w:rsidRDefault="00A50F54" w:rsidP="002E54B4">
      <w:pPr>
        <w:spacing w:line="240" w:lineRule="auto"/>
        <w:rPr>
          <w:rFonts w:ascii="Times New Roman" w:hAnsi="Times New Roman" w:cs="Times New Roman"/>
          <w:color w:val="000000" w:themeColor="text1"/>
          <w:sz w:val="24"/>
          <w:szCs w:val="24"/>
        </w:rPr>
      </w:pPr>
    </w:p>
    <w:p w14:paraId="14C8B71B" w14:textId="33E0F335" w:rsidR="002E54B4" w:rsidRPr="003A4BDF" w:rsidRDefault="009670D8" w:rsidP="002E54B4">
      <w:pPr>
        <w:spacing w:line="240" w:lineRule="auto"/>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 xml:space="preserve">6.4.2 </w:t>
      </w:r>
      <w:r w:rsidR="002E54B4" w:rsidRPr="003A4BDF">
        <w:rPr>
          <w:rFonts w:ascii="Times New Roman" w:hAnsi="Times New Roman" w:cs="Times New Roman"/>
          <w:b/>
          <w:bCs/>
          <w:color w:val="000000" w:themeColor="text1"/>
          <w:sz w:val="24"/>
          <w:szCs w:val="24"/>
        </w:rPr>
        <w:t>Strategies for effective digital preservation</w:t>
      </w:r>
    </w:p>
    <w:p w14:paraId="73254EA9" w14:textId="77777777" w:rsidR="002E54B4" w:rsidRPr="003A4BDF" w:rsidRDefault="002E54B4" w:rsidP="002E54B4">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Table 8 outlines the prioritized strategies for effective digital preservation, emphasizing training and recruitment of skilled personnel, the development of institutional policies, and regular upgrades of hardware and software, supported by improved security and backup systems, and collaboration with external bodies.</w:t>
      </w:r>
    </w:p>
    <w:p w14:paraId="7947B103" w14:textId="1AB219F3" w:rsidR="002E54B4" w:rsidRPr="003A4BDF" w:rsidRDefault="002E54B4" w:rsidP="002E54B4">
      <w:pPr>
        <w:spacing w:line="240" w:lineRule="auto"/>
        <w:jc w:val="center"/>
        <w:rPr>
          <w:rFonts w:ascii="Times New Roman" w:hAnsi="Times New Roman" w:cs="Times New Roman"/>
          <w:b/>
          <w:bCs/>
          <w:i/>
          <w:iCs/>
          <w:color w:val="000000" w:themeColor="text1"/>
          <w:sz w:val="24"/>
          <w:szCs w:val="24"/>
        </w:rPr>
      </w:pPr>
      <w:r w:rsidRPr="003A4BDF">
        <w:rPr>
          <w:rFonts w:ascii="Times New Roman" w:hAnsi="Times New Roman" w:cs="Times New Roman"/>
          <w:b/>
          <w:bCs/>
          <w:i/>
          <w:iCs/>
          <w:color w:val="000000" w:themeColor="text1"/>
          <w:sz w:val="24"/>
          <w:szCs w:val="24"/>
        </w:rPr>
        <w:t xml:space="preserve">Table </w:t>
      </w:r>
      <w:r w:rsidR="003A4BDF">
        <w:rPr>
          <w:rFonts w:ascii="Times New Roman" w:hAnsi="Times New Roman" w:cs="Times New Roman"/>
          <w:b/>
          <w:bCs/>
          <w:i/>
          <w:iCs/>
          <w:color w:val="000000" w:themeColor="text1"/>
          <w:sz w:val="24"/>
          <w:szCs w:val="24"/>
        </w:rPr>
        <w:t>6</w:t>
      </w:r>
      <w:r w:rsidRPr="003A4BDF">
        <w:rPr>
          <w:rFonts w:ascii="Times New Roman" w:hAnsi="Times New Roman" w:cs="Times New Roman"/>
          <w:b/>
          <w:bCs/>
          <w:i/>
          <w:iCs/>
          <w:color w:val="000000" w:themeColor="text1"/>
          <w:sz w:val="24"/>
          <w:szCs w:val="24"/>
        </w:rPr>
        <w:t>: Prioritized strategies for effective digital preservation.</w:t>
      </w:r>
    </w:p>
    <w:tbl>
      <w:tblPr>
        <w:tblStyle w:val="TableGrid"/>
        <w:tblW w:w="0" w:type="auto"/>
        <w:jc w:val="center"/>
        <w:tblLook w:val="04A0" w:firstRow="1" w:lastRow="0" w:firstColumn="1" w:lastColumn="0" w:noHBand="0" w:noVBand="1"/>
      </w:tblPr>
      <w:tblGrid>
        <w:gridCol w:w="4320"/>
        <w:gridCol w:w="2065"/>
      </w:tblGrid>
      <w:tr w:rsidR="002E54B4" w:rsidRPr="003A4BDF" w14:paraId="4940CB50" w14:textId="77777777" w:rsidTr="004957A6">
        <w:trPr>
          <w:trHeight w:val="432"/>
          <w:jc w:val="center"/>
        </w:trPr>
        <w:tc>
          <w:tcPr>
            <w:tcW w:w="4320" w:type="dxa"/>
            <w:tcBorders>
              <w:bottom w:val="double" w:sz="4" w:space="0" w:color="196B24" w:themeColor="accent3"/>
            </w:tcBorders>
          </w:tcPr>
          <w:p w14:paraId="4E5EB79A" w14:textId="77777777" w:rsidR="002E54B4" w:rsidRPr="003A4BDF" w:rsidRDefault="002E54B4" w:rsidP="00642F0F">
            <w:pPr>
              <w:spacing w:line="240" w:lineRule="auto"/>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Strategy</w:t>
            </w:r>
          </w:p>
        </w:tc>
        <w:tc>
          <w:tcPr>
            <w:tcW w:w="2065" w:type="dxa"/>
            <w:tcBorders>
              <w:bottom w:val="double" w:sz="4" w:space="0" w:color="196B24" w:themeColor="accent3"/>
            </w:tcBorders>
          </w:tcPr>
          <w:p w14:paraId="22B65DFF" w14:textId="77777777" w:rsidR="002E54B4" w:rsidRPr="003A4BDF" w:rsidRDefault="002E54B4" w:rsidP="00642F0F">
            <w:pPr>
              <w:spacing w:line="240" w:lineRule="auto"/>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Percentage (%)</w:t>
            </w:r>
          </w:p>
        </w:tc>
      </w:tr>
      <w:tr w:rsidR="002E54B4" w:rsidRPr="003A4BDF" w14:paraId="768F94A8" w14:textId="77777777" w:rsidTr="004957A6">
        <w:trPr>
          <w:trHeight w:val="432"/>
          <w:jc w:val="center"/>
        </w:trPr>
        <w:tc>
          <w:tcPr>
            <w:tcW w:w="4320" w:type="dxa"/>
            <w:tcBorders>
              <w:top w:val="double" w:sz="4" w:space="0" w:color="196B24" w:themeColor="accent3"/>
            </w:tcBorders>
          </w:tcPr>
          <w:p w14:paraId="55C4A76F"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Train and recruit skilled personnel</w:t>
            </w:r>
          </w:p>
        </w:tc>
        <w:tc>
          <w:tcPr>
            <w:tcW w:w="2065" w:type="dxa"/>
            <w:tcBorders>
              <w:top w:val="double" w:sz="4" w:space="0" w:color="196B24" w:themeColor="accent3"/>
            </w:tcBorders>
          </w:tcPr>
          <w:p w14:paraId="74583253"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30</w:t>
            </w:r>
          </w:p>
        </w:tc>
      </w:tr>
      <w:tr w:rsidR="002E54B4" w:rsidRPr="003A4BDF" w14:paraId="4834D1CE" w14:textId="77777777" w:rsidTr="004957A6">
        <w:trPr>
          <w:trHeight w:val="432"/>
          <w:jc w:val="center"/>
        </w:trPr>
        <w:tc>
          <w:tcPr>
            <w:tcW w:w="4320" w:type="dxa"/>
          </w:tcPr>
          <w:p w14:paraId="7D46F0A1"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Develop institutional policies</w:t>
            </w:r>
          </w:p>
        </w:tc>
        <w:tc>
          <w:tcPr>
            <w:tcW w:w="2065" w:type="dxa"/>
          </w:tcPr>
          <w:p w14:paraId="258A5D95"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25</w:t>
            </w:r>
          </w:p>
        </w:tc>
      </w:tr>
      <w:tr w:rsidR="002E54B4" w:rsidRPr="003A4BDF" w14:paraId="6AB469DF" w14:textId="77777777" w:rsidTr="004957A6">
        <w:trPr>
          <w:trHeight w:val="432"/>
          <w:jc w:val="center"/>
        </w:trPr>
        <w:tc>
          <w:tcPr>
            <w:tcW w:w="4320" w:type="dxa"/>
          </w:tcPr>
          <w:p w14:paraId="2D6199EA"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Upgrade hardware/software regularly</w:t>
            </w:r>
          </w:p>
        </w:tc>
        <w:tc>
          <w:tcPr>
            <w:tcW w:w="2065" w:type="dxa"/>
          </w:tcPr>
          <w:p w14:paraId="145A63D4"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20</w:t>
            </w:r>
          </w:p>
        </w:tc>
      </w:tr>
      <w:tr w:rsidR="002E54B4" w:rsidRPr="003A4BDF" w14:paraId="384C59DB" w14:textId="77777777" w:rsidTr="004957A6">
        <w:trPr>
          <w:trHeight w:val="432"/>
          <w:jc w:val="center"/>
        </w:trPr>
        <w:tc>
          <w:tcPr>
            <w:tcW w:w="4320" w:type="dxa"/>
          </w:tcPr>
          <w:p w14:paraId="264E7026"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Improve security and backup systems</w:t>
            </w:r>
          </w:p>
        </w:tc>
        <w:tc>
          <w:tcPr>
            <w:tcW w:w="2065" w:type="dxa"/>
          </w:tcPr>
          <w:p w14:paraId="2A311701"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15</w:t>
            </w:r>
          </w:p>
        </w:tc>
      </w:tr>
      <w:tr w:rsidR="002E54B4" w:rsidRPr="003A4BDF" w14:paraId="7769FFF7" w14:textId="77777777" w:rsidTr="004957A6">
        <w:trPr>
          <w:trHeight w:val="432"/>
          <w:jc w:val="center"/>
        </w:trPr>
        <w:tc>
          <w:tcPr>
            <w:tcW w:w="4320" w:type="dxa"/>
          </w:tcPr>
          <w:p w14:paraId="641FEDE3"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Collaborating with other bodies</w:t>
            </w:r>
          </w:p>
        </w:tc>
        <w:tc>
          <w:tcPr>
            <w:tcW w:w="2065" w:type="dxa"/>
          </w:tcPr>
          <w:p w14:paraId="37F61AAC" w14:textId="77777777" w:rsidR="002E54B4" w:rsidRPr="003A4BDF" w:rsidRDefault="002E54B4" w:rsidP="00642F0F">
            <w:pPr>
              <w:spacing w:line="240" w:lineRule="auto"/>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10</w:t>
            </w:r>
          </w:p>
        </w:tc>
      </w:tr>
    </w:tbl>
    <w:p w14:paraId="38A991DA" w14:textId="77777777" w:rsidR="00493E62" w:rsidRPr="003A4BDF" w:rsidRDefault="00493E62" w:rsidP="009670D8">
      <w:pPr>
        <w:spacing w:line="240" w:lineRule="auto"/>
        <w:jc w:val="both"/>
        <w:rPr>
          <w:rFonts w:ascii="Times New Roman" w:hAnsi="Times New Roman" w:cs="Times New Roman"/>
          <w:color w:val="000000" w:themeColor="text1"/>
          <w:sz w:val="24"/>
          <w:szCs w:val="24"/>
        </w:rPr>
      </w:pPr>
    </w:p>
    <w:p w14:paraId="5FF38D6A" w14:textId="64EECFDF" w:rsidR="002E54B4" w:rsidRPr="003A4BDF" w:rsidRDefault="002E54B4" w:rsidP="009670D8">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Description: Training and recruitment of skilled personnel (30%) and developing institutional policies (25%) were top strategic priorities. Hardware/software upgrades (20%) and improving backup/security systems (15%) were also considered essential measures.</w:t>
      </w:r>
    </w:p>
    <w:p w14:paraId="43EA7071" w14:textId="3F136981" w:rsidR="00A50F54" w:rsidRPr="003A4BDF" w:rsidRDefault="004A1329" w:rsidP="004A1329">
      <w:pPr>
        <w:spacing w:line="240" w:lineRule="auto"/>
        <w:jc w:val="center"/>
        <w:rPr>
          <w:rFonts w:ascii="Times New Roman" w:hAnsi="Times New Roman" w:cs="Times New Roman"/>
          <w:color w:val="000000" w:themeColor="text1"/>
          <w:sz w:val="24"/>
          <w:szCs w:val="24"/>
        </w:rPr>
      </w:pPr>
      <w:r w:rsidRPr="003A4BDF">
        <w:rPr>
          <w:rFonts w:ascii="Times New Roman" w:hAnsi="Times New Roman" w:cs="Times New Roman"/>
          <w:noProof/>
          <w:sz w:val="24"/>
          <w:szCs w:val="24"/>
          <w14:ligatures w14:val="standardContextual"/>
        </w:rPr>
        <w:drawing>
          <wp:inline distT="0" distB="0" distL="0" distR="0" wp14:anchorId="66C34F6E" wp14:editId="43FDFFFD">
            <wp:extent cx="5654040" cy="2846070"/>
            <wp:effectExtent l="0" t="0" r="3810" b="0"/>
            <wp:docPr id="790846650" name="Chart 1">
              <a:extLst xmlns:a="http://schemas.openxmlformats.org/drawingml/2006/main">
                <a:ext uri="{FF2B5EF4-FFF2-40B4-BE49-F238E27FC236}">
                  <a16:creationId xmlns:a16="http://schemas.microsoft.com/office/drawing/2014/main" id="{A2884C15-5CB5-9F4A-7D54-C3F3F67166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17BCAA" w14:textId="77777777" w:rsidR="00A50F54" w:rsidRPr="003A4BDF" w:rsidRDefault="00A50F54" w:rsidP="00A50F54">
      <w:pPr>
        <w:jc w:val="center"/>
        <w:rPr>
          <w:rFonts w:ascii="Times New Roman" w:hAnsi="Times New Roman" w:cs="Times New Roman"/>
          <w:b/>
          <w:bCs/>
          <w:color w:val="002060"/>
          <w:sz w:val="24"/>
          <w:szCs w:val="24"/>
        </w:rPr>
      </w:pPr>
      <w:r w:rsidRPr="003A4BDF">
        <w:rPr>
          <w:rFonts w:ascii="Times New Roman" w:hAnsi="Times New Roman" w:cs="Times New Roman"/>
          <w:color w:val="000000" w:themeColor="text1"/>
          <w:sz w:val="24"/>
          <w:szCs w:val="24"/>
        </w:rPr>
        <w:tab/>
      </w:r>
      <w:r w:rsidRPr="003A4BDF">
        <w:rPr>
          <w:rFonts w:ascii="Times New Roman" w:hAnsi="Times New Roman" w:cs="Times New Roman"/>
          <w:b/>
          <w:bCs/>
          <w:color w:val="002060"/>
          <w:sz w:val="24"/>
          <w:szCs w:val="24"/>
        </w:rPr>
        <w:t>Figure 14: Recommendations to improve digital preservation</w:t>
      </w:r>
    </w:p>
    <w:p w14:paraId="5E30EFC5" w14:textId="67ADA25E" w:rsidR="00493E62" w:rsidRPr="003A4BDF" w:rsidRDefault="00493E62" w:rsidP="00A50F54">
      <w:pPr>
        <w:tabs>
          <w:tab w:val="left" w:pos="1335"/>
        </w:tabs>
        <w:spacing w:line="240" w:lineRule="auto"/>
        <w:jc w:val="both"/>
        <w:rPr>
          <w:rFonts w:ascii="Times New Roman" w:hAnsi="Times New Roman" w:cs="Times New Roman"/>
          <w:color w:val="000000" w:themeColor="text1"/>
          <w:sz w:val="24"/>
          <w:szCs w:val="24"/>
        </w:rPr>
      </w:pPr>
    </w:p>
    <w:p w14:paraId="420EF1CA" w14:textId="77777777" w:rsidR="009670D8" w:rsidRPr="003A4BDF" w:rsidRDefault="009670D8" w:rsidP="009670D8">
      <w:pPr>
        <w:pStyle w:val="ListParagraph"/>
        <w:numPr>
          <w:ilvl w:val="0"/>
          <w:numId w:val="5"/>
        </w:numPr>
        <w:shd w:val="clear" w:color="auto" w:fill="C1E4F5" w:themeFill="accent1" w:themeFillTint="33"/>
        <w:tabs>
          <w:tab w:val="left" w:pos="2535"/>
        </w:tabs>
        <w:spacing w:line="240" w:lineRule="auto"/>
        <w:rPr>
          <w:rFonts w:ascii="Times New Roman" w:hAnsi="Times New Roman" w:cs="Times New Roman"/>
          <w:color w:val="000000" w:themeColor="text1"/>
          <w:sz w:val="24"/>
          <w:szCs w:val="24"/>
        </w:rPr>
      </w:pPr>
      <w:r w:rsidRPr="003A4BDF">
        <w:rPr>
          <w:rFonts w:ascii="Times New Roman" w:hAnsi="Times New Roman" w:cs="Times New Roman"/>
          <w:b/>
          <w:bCs/>
          <w:color w:val="000000" w:themeColor="text1"/>
          <w:sz w:val="24"/>
          <w:szCs w:val="24"/>
        </w:rPr>
        <w:t>Discussion</w:t>
      </w:r>
    </w:p>
    <w:p w14:paraId="07DD0231" w14:textId="77777777" w:rsidR="00FC240D" w:rsidRPr="003A4BDF" w:rsidRDefault="00FC240D" w:rsidP="003A4BDF">
      <w:pPr>
        <w:spacing w:after="0" w:line="240" w:lineRule="auto"/>
        <w:jc w:val="both"/>
        <w:rPr>
          <w:rFonts w:ascii="Times New Roman" w:hAnsi="Times New Roman" w:cs="Times New Roman"/>
          <w:sz w:val="24"/>
          <w:szCs w:val="24"/>
        </w:rPr>
      </w:pPr>
      <w:r w:rsidRPr="003A4BDF">
        <w:rPr>
          <w:rFonts w:ascii="Times New Roman" w:hAnsi="Times New Roman" w:cs="Times New Roman"/>
          <w:sz w:val="24"/>
          <w:szCs w:val="24"/>
        </w:rPr>
        <w:t>The results show that the National Archives of Bangladesh (NAB) has ongoing problems with </w:t>
      </w:r>
    </w:p>
    <w:p w14:paraId="44A9CE1E" w14:textId="49E4AE74" w:rsidR="00FC240D" w:rsidRPr="003A4BDF" w:rsidRDefault="00FC240D" w:rsidP="003A4BDF">
      <w:pPr>
        <w:spacing w:after="0" w:line="240" w:lineRule="auto"/>
        <w:jc w:val="both"/>
        <w:rPr>
          <w:rFonts w:ascii="Times New Roman" w:hAnsi="Times New Roman" w:cs="Times New Roman"/>
          <w:sz w:val="24"/>
          <w:szCs w:val="24"/>
        </w:rPr>
      </w:pPr>
      <w:r w:rsidRPr="003A4BDF">
        <w:rPr>
          <w:rFonts w:ascii="Times New Roman" w:hAnsi="Times New Roman" w:cs="Times New Roman"/>
          <w:sz w:val="24"/>
          <w:szCs w:val="24"/>
        </w:rPr>
        <w:t>both getting ready for and doing digital preservation on a daily basis.</w:t>
      </w:r>
      <w:r w:rsidR="00E662CE">
        <w:rPr>
          <w:rFonts w:ascii="Times New Roman" w:hAnsi="Times New Roman" w:cs="Times New Roman"/>
          <w:sz w:val="24"/>
          <w:szCs w:val="24"/>
        </w:rPr>
        <w:t xml:space="preserve"> </w:t>
      </w:r>
      <w:r w:rsidRPr="003A4BDF">
        <w:rPr>
          <w:rFonts w:ascii="Times New Roman" w:hAnsi="Times New Roman" w:cs="Times New Roman"/>
          <w:sz w:val="24"/>
          <w:szCs w:val="24"/>
        </w:rPr>
        <w:t>Even though respondents </w:t>
      </w:r>
    </w:p>
    <w:p w14:paraId="41553734" w14:textId="2665B88E" w:rsidR="00FC240D" w:rsidRPr="003A4BDF" w:rsidRDefault="00FC240D" w:rsidP="003A4BDF">
      <w:pPr>
        <w:spacing w:after="0" w:line="240" w:lineRule="auto"/>
        <w:jc w:val="both"/>
        <w:rPr>
          <w:rFonts w:ascii="Times New Roman" w:hAnsi="Times New Roman" w:cs="Times New Roman"/>
          <w:sz w:val="24"/>
          <w:szCs w:val="24"/>
        </w:rPr>
      </w:pPr>
      <w:r w:rsidRPr="003A4BDF">
        <w:rPr>
          <w:rFonts w:ascii="Times New Roman" w:hAnsi="Times New Roman" w:cs="Times New Roman"/>
          <w:sz w:val="24"/>
          <w:szCs w:val="24"/>
        </w:rPr>
        <w:t>said they saw administrative </w:t>
      </w:r>
      <w:r w:rsidR="00F71F1B" w:rsidRPr="003A4BDF">
        <w:rPr>
          <w:rFonts w:ascii="Times New Roman" w:hAnsi="Times New Roman" w:cs="Times New Roman"/>
          <w:sz w:val="24"/>
          <w:szCs w:val="24"/>
        </w:rPr>
        <w:t>support;</w:t>
      </w:r>
      <w:r w:rsidRPr="003A4BDF">
        <w:rPr>
          <w:rFonts w:ascii="Times New Roman" w:hAnsi="Times New Roman" w:cs="Times New Roman"/>
          <w:sz w:val="24"/>
          <w:szCs w:val="24"/>
        </w:rPr>
        <w:t> this hasn't led to enough operational capacity.</w:t>
      </w:r>
      <w:r w:rsidR="00E662CE">
        <w:rPr>
          <w:rFonts w:ascii="Times New Roman" w:hAnsi="Times New Roman" w:cs="Times New Roman"/>
          <w:sz w:val="24"/>
          <w:szCs w:val="24"/>
        </w:rPr>
        <w:t xml:space="preserve"> </w:t>
      </w:r>
      <w:r w:rsidRPr="003A4BDF">
        <w:rPr>
          <w:rFonts w:ascii="Times New Roman" w:hAnsi="Times New Roman" w:cs="Times New Roman"/>
          <w:sz w:val="24"/>
          <w:szCs w:val="24"/>
        </w:rPr>
        <w:t>Similar </w:t>
      </w:r>
    </w:p>
    <w:p w14:paraId="7D33ABB7" w14:textId="77777777" w:rsidR="00FC240D" w:rsidRPr="003A4BDF" w:rsidRDefault="00FC240D" w:rsidP="003A4BDF">
      <w:pPr>
        <w:spacing w:after="0" w:line="240" w:lineRule="auto"/>
        <w:jc w:val="both"/>
        <w:rPr>
          <w:rFonts w:ascii="Times New Roman" w:hAnsi="Times New Roman" w:cs="Times New Roman"/>
          <w:sz w:val="24"/>
          <w:szCs w:val="24"/>
        </w:rPr>
      </w:pPr>
      <w:r w:rsidRPr="003A4BDF">
        <w:rPr>
          <w:rFonts w:ascii="Times New Roman" w:hAnsi="Times New Roman" w:cs="Times New Roman"/>
          <w:sz w:val="24"/>
          <w:szCs w:val="24"/>
        </w:rPr>
        <w:t>discrpancies between policy intent and execution have been noted in other developing contexts, </w:t>
      </w:r>
    </w:p>
    <w:p w14:paraId="424F85EA" w14:textId="77777777" w:rsidR="00FC240D" w:rsidRPr="003A4BDF" w:rsidRDefault="00FC240D" w:rsidP="003A4BDF">
      <w:pPr>
        <w:spacing w:after="0" w:line="240" w:lineRule="auto"/>
        <w:jc w:val="both"/>
        <w:rPr>
          <w:rFonts w:ascii="Times New Roman" w:hAnsi="Times New Roman" w:cs="Times New Roman"/>
          <w:sz w:val="24"/>
          <w:szCs w:val="24"/>
        </w:rPr>
      </w:pPr>
      <w:r w:rsidRPr="003A4BDF">
        <w:rPr>
          <w:rFonts w:ascii="Times New Roman" w:hAnsi="Times New Roman" w:cs="Times New Roman"/>
          <w:sz w:val="24"/>
          <w:szCs w:val="24"/>
        </w:rPr>
        <w:t>characterized by institutional commitment that is hindered by scarce resources and inadequate </w:t>
      </w:r>
    </w:p>
    <w:p w14:paraId="7FD1345A" w14:textId="77777777" w:rsidR="00FC240D" w:rsidRPr="003A4BDF" w:rsidRDefault="00FC240D" w:rsidP="003A4BDF">
      <w:pPr>
        <w:spacing w:after="0" w:line="240" w:lineRule="auto"/>
        <w:jc w:val="both"/>
        <w:rPr>
          <w:rFonts w:ascii="Times New Roman" w:hAnsi="Times New Roman" w:cs="Times New Roman"/>
          <w:sz w:val="24"/>
          <w:szCs w:val="24"/>
        </w:rPr>
      </w:pPr>
      <w:r w:rsidRPr="003A4BDF">
        <w:rPr>
          <w:rFonts w:ascii="Times New Roman" w:hAnsi="Times New Roman" w:cs="Times New Roman"/>
          <w:sz w:val="24"/>
          <w:szCs w:val="24"/>
        </w:rPr>
        <w:t>infrastructure (</w:t>
      </w:r>
      <w:proofErr w:type="spellStart"/>
      <w:r w:rsidRPr="003A4BDF">
        <w:rPr>
          <w:rFonts w:ascii="Times New Roman" w:hAnsi="Times New Roman" w:cs="Times New Roman"/>
          <w:sz w:val="24"/>
          <w:szCs w:val="24"/>
        </w:rPr>
        <w:t>Kalusopa</w:t>
      </w:r>
      <w:proofErr w:type="spellEnd"/>
      <w:r w:rsidRPr="003A4BDF">
        <w:rPr>
          <w:rFonts w:ascii="Times New Roman" w:hAnsi="Times New Roman" w:cs="Times New Roman"/>
          <w:sz w:val="24"/>
          <w:szCs w:val="24"/>
        </w:rPr>
        <w:t>, 2018; Muthoka et al., 2021). A primary concern in this research is the </w:t>
      </w:r>
    </w:p>
    <w:p w14:paraId="0495D445" w14:textId="0C400517" w:rsidR="00E662CE" w:rsidRDefault="00FC240D" w:rsidP="003A4BDF">
      <w:pPr>
        <w:spacing w:after="0" w:line="240" w:lineRule="auto"/>
        <w:jc w:val="both"/>
        <w:rPr>
          <w:rFonts w:ascii="Times New Roman" w:hAnsi="Times New Roman" w:cs="Times New Roman"/>
          <w:sz w:val="24"/>
          <w:szCs w:val="24"/>
        </w:rPr>
      </w:pPr>
      <w:r w:rsidRPr="003A4BDF">
        <w:rPr>
          <w:rFonts w:ascii="Times New Roman" w:hAnsi="Times New Roman" w:cs="Times New Roman"/>
          <w:sz w:val="24"/>
          <w:szCs w:val="24"/>
        </w:rPr>
        <w:t>deficit of qualified </w:t>
      </w:r>
      <w:r w:rsidR="00F71F1B" w:rsidRPr="003A4BDF">
        <w:rPr>
          <w:rFonts w:ascii="Times New Roman" w:hAnsi="Times New Roman" w:cs="Times New Roman"/>
          <w:sz w:val="24"/>
          <w:szCs w:val="24"/>
        </w:rPr>
        <w:t>personnel. More</w:t>
      </w:r>
      <w:r w:rsidRPr="003A4BDF">
        <w:rPr>
          <w:rFonts w:ascii="Times New Roman" w:hAnsi="Times New Roman" w:cs="Times New Roman"/>
          <w:sz w:val="24"/>
          <w:szCs w:val="24"/>
        </w:rPr>
        <w:t> than 76% of those who answered said that not having enough training was their biggest worry, and more than 80% said that they don't have the skills needed </w:t>
      </w:r>
    </w:p>
    <w:p w14:paraId="40DEBF46" w14:textId="0EB2DF97" w:rsidR="00E662CE" w:rsidRDefault="00E662CE" w:rsidP="003A4BDF">
      <w:pPr>
        <w:spacing w:after="0" w:line="240" w:lineRule="auto"/>
        <w:jc w:val="both"/>
        <w:rPr>
          <w:rFonts w:ascii="Times New Roman" w:hAnsi="Times New Roman" w:cs="Times New Roman"/>
          <w:sz w:val="24"/>
          <w:szCs w:val="24"/>
        </w:rPr>
      </w:pPr>
      <w:r w:rsidRPr="003A4BDF">
        <w:rPr>
          <w:rFonts w:ascii="Times New Roman" w:hAnsi="Times New Roman" w:cs="Times New Roman"/>
          <w:sz w:val="24"/>
          <w:szCs w:val="24"/>
        </w:rPr>
        <w:t>long-term</w:t>
      </w:r>
      <w:r w:rsidR="00FC240D" w:rsidRPr="003A4BDF">
        <w:rPr>
          <w:rFonts w:ascii="Times New Roman" w:hAnsi="Times New Roman" w:cs="Times New Roman"/>
          <w:sz w:val="24"/>
          <w:szCs w:val="24"/>
        </w:rPr>
        <w:t> digital </w:t>
      </w:r>
      <w:r w:rsidRPr="003A4BDF">
        <w:rPr>
          <w:rFonts w:ascii="Times New Roman" w:hAnsi="Times New Roman" w:cs="Times New Roman"/>
          <w:sz w:val="24"/>
          <w:szCs w:val="24"/>
        </w:rPr>
        <w:t>preservation. This</w:t>
      </w:r>
      <w:r w:rsidR="00FC240D" w:rsidRPr="003A4BDF">
        <w:rPr>
          <w:rFonts w:ascii="Times New Roman" w:hAnsi="Times New Roman" w:cs="Times New Roman"/>
          <w:sz w:val="24"/>
          <w:szCs w:val="24"/>
        </w:rPr>
        <w:t> indicates a substantial human resource deficiency and </w:t>
      </w:r>
    </w:p>
    <w:p w14:paraId="17D25270" w14:textId="02FD0CBF" w:rsidR="00FC240D" w:rsidRPr="003A4BDF" w:rsidRDefault="00FC240D" w:rsidP="003A4BDF">
      <w:pPr>
        <w:spacing w:after="0" w:line="240" w:lineRule="auto"/>
        <w:jc w:val="both"/>
        <w:rPr>
          <w:rFonts w:ascii="Times New Roman" w:hAnsi="Times New Roman" w:cs="Times New Roman"/>
          <w:sz w:val="24"/>
          <w:szCs w:val="24"/>
        </w:rPr>
      </w:pPr>
      <w:r w:rsidRPr="003A4BDF">
        <w:rPr>
          <w:rFonts w:ascii="Times New Roman" w:hAnsi="Times New Roman" w:cs="Times New Roman"/>
          <w:sz w:val="24"/>
          <w:szCs w:val="24"/>
        </w:rPr>
        <w:t xml:space="preserve">corresponds with Masenya and Ngulube (2019). My study finds that infrastructural issues are another big concern for digital preservation. The same findings are identified in another study of (Muthoka et al., 2021). My study results show that lack of metadata practices suffering a lot in digital preservation. Lack of policy makes the digital preservation of archives much more complexity. Ngoepe and </w:t>
      </w:r>
      <w:proofErr w:type="spellStart"/>
      <w:r w:rsidRPr="003A4BDF">
        <w:rPr>
          <w:rFonts w:ascii="Times New Roman" w:hAnsi="Times New Roman" w:cs="Times New Roman"/>
          <w:sz w:val="24"/>
          <w:szCs w:val="24"/>
        </w:rPr>
        <w:t>Saurombe</w:t>
      </w:r>
      <w:proofErr w:type="spellEnd"/>
      <w:r w:rsidRPr="003A4BDF">
        <w:rPr>
          <w:rFonts w:ascii="Times New Roman" w:hAnsi="Times New Roman" w:cs="Times New Roman"/>
          <w:sz w:val="24"/>
          <w:szCs w:val="24"/>
        </w:rPr>
        <w:t xml:space="preserve"> (2016) finds the same issues. Interestingly, in my study around 70% of those who answered said they got help from the administration. But my practical observation is different. Moreover, </w:t>
      </w:r>
      <w:r w:rsidRPr="003A4BDF">
        <w:rPr>
          <w:rFonts w:ascii="Times New Roman" w:eastAsia="Times New Roman" w:hAnsi="Times New Roman" w:cs="Times New Roman"/>
          <w:color w:val="000000" w:themeColor="text1"/>
          <w:sz w:val="24"/>
          <w:szCs w:val="24"/>
        </w:rPr>
        <w:t xml:space="preserve">this study is important since it not only finds problems but also gives useful information that can change practice and policy right away. This study can help government agencies and archival institutions figure out what to focus on when it comes to digital preservation by giving them real-world examples of staff opinions, institutional capabilities, and legal gaps. You can use the results to make digital workflows and metadata standards, encourage a thorough approach to digital preservation, and offer training sessions that are tailored to your needs. Other Bangladeshi public institutions that want to analyze or improve their digital preservation efforts could also use this study as a guide. </w:t>
      </w:r>
    </w:p>
    <w:p w14:paraId="0C36EE19" w14:textId="77777777" w:rsidR="00493E62" w:rsidRPr="003A4BDF" w:rsidRDefault="00493E62" w:rsidP="009670D8">
      <w:pPr>
        <w:spacing w:after="0" w:line="240" w:lineRule="auto"/>
        <w:jc w:val="both"/>
        <w:rPr>
          <w:rFonts w:ascii="Times New Roman" w:eastAsia="Times New Roman" w:hAnsi="Times New Roman" w:cs="Times New Roman"/>
          <w:color w:val="000000" w:themeColor="text1"/>
          <w:sz w:val="24"/>
          <w:szCs w:val="24"/>
        </w:rPr>
      </w:pPr>
    </w:p>
    <w:p w14:paraId="1754DD9C" w14:textId="77777777" w:rsidR="009670D8" w:rsidRPr="003A4BDF" w:rsidRDefault="009670D8" w:rsidP="009670D8">
      <w:pPr>
        <w:pStyle w:val="ListParagraph"/>
        <w:numPr>
          <w:ilvl w:val="0"/>
          <w:numId w:val="5"/>
        </w:numPr>
        <w:shd w:val="clear" w:color="auto" w:fill="C1E4F5" w:themeFill="accent1" w:themeFillTint="33"/>
        <w:tabs>
          <w:tab w:val="left" w:pos="2535"/>
        </w:tabs>
        <w:spacing w:line="240" w:lineRule="auto"/>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Recommendations</w:t>
      </w:r>
    </w:p>
    <w:p w14:paraId="2DC679FF" w14:textId="77777777" w:rsidR="009670D8" w:rsidRPr="003A4BDF" w:rsidRDefault="009670D8" w:rsidP="009670D8">
      <w:pPr>
        <w:tabs>
          <w:tab w:val="left" w:pos="2535"/>
        </w:tabs>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Based on the findings of this study, the following recommendations are proposed to address the challenges of digital preservation in the National Archives of Bangladesh:</w:t>
      </w:r>
    </w:p>
    <w:p w14:paraId="31C798C5" w14:textId="77777777" w:rsidR="00E82A6E" w:rsidRPr="00E82A6E" w:rsidRDefault="009670D8" w:rsidP="00E82A6E">
      <w:pPr>
        <w:numPr>
          <w:ilvl w:val="0"/>
          <w:numId w:val="6"/>
        </w:numPr>
        <w:tabs>
          <w:tab w:val="left" w:pos="2535"/>
        </w:tabs>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b/>
          <w:bCs/>
          <w:color w:val="000000" w:themeColor="text1"/>
          <w:sz w:val="24"/>
          <w:szCs w:val="24"/>
        </w:rPr>
        <w:t>Implement Formal Training Programs:</w:t>
      </w:r>
    </w:p>
    <w:p w14:paraId="3242FAB0" w14:textId="513C8832" w:rsidR="009670D8" w:rsidRPr="003A4BDF" w:rsidRDefault="009670D8" w:rsidP="00E82A6E">
      <w:pPr>
        <w:tabs>
          <w:tab w:val="left" w:pos="2535"/>
        </w:tabs>
        <w:spacing w:line="240" w:lineRule="auto"/>
        <w:ind w:left="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Immediate investment in staff training on digital preservation standards, metadata creation, data authentication, and digital curation is essential. Training should align with global frameworks like OAIS, UNESCO guidelines, and IFLA/ICA principles.</w:t>
      </w:r>
    </w:p>
    <w:p w14:paraId="0D36717F" w14:textId="77777777" w:rsidR="00E82A6E" w:rsidRPr="00E82A6E" w:rsidRDefault="009670D8" w:rsidP="00E82A6E">
      <w:pPr>
        <w:numPr>
          <w:ilvl w:val="0"/>
          <w:numId w:val="6"/>
        </w:numPr>
        <w:tabs>
          <w:tab w:val="left" w:pos="2535"/>
        </w:tabs>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b/>
          <w:bCs/>
          <w:color w:val="000000" w:themeColor="text1"/>
          <w:sz w:val="24"/>
          <w:szCs w:val="24"/>
        </w:rPr>
        <w:t>Upgrade Digital Infrastructure:</w:t>
      </w:r>
    </w:p>
    <w:p w14:paraId="4E97FD9D" w14:textId="7CACCDA1" w:rsidR="009670D8" w:rsidRPr="003A4BDF" w:rsidRDefault="009670D8" w:rsidP="00E82A6E">
      <w:pPr>
        <w:tabs>
          <w:tab w:val="left" w:pos="2535"/>
        </w:tabs>
        <w:spacing w:line="240" w:lineRule="auto"/>
        <w:ind w:left="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The government and relevant authorities should prioritize upgrading servers, ensuring stable internet connectivity, reliable power supply, and deploying secure backup and recovery systems.</w:t>
      </w:r>
    </w:p>
    <w:p w14:paraId="329A097D" w14:textId="77777777" w:rsidR="00E82A6E" w:rsidRPr="00E82A6E" w:rsidRDefault="009670D8" w:rsidP="00E82A6E">
      <w:pPr>
        <w:numPr>
          <w:ilvl w:val="0"/>
          <w:numId w:val="6"/>
        </w:numPr>
        <w:tabs>
          <w:tab w:val="left" w:pos="2535"/>
        </w:tabs>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b/>
          <w:bCs/>
          <w:color w:val="000000" w:themeColor="text1"/>
          <w:sz w:val="24"/>
          <w:szCs w:val="24"/>
        </w:rPr>
        <w:t>Develop a National Digital Preservation Policy:</w:t>
      </w:r>
    </w:p>
    <w:p w14:paraId="37E95B69" w14:textId="5A6ACD49" w:rsidR="009670D8" w:rsidRPr="003A4BDF" w:rsidRDefault="009670D8" w:rsidP="00E82A6E">
      <w:pPr>
        <w:tabs>
          <w:tab w:val="left" w:pos="2535"/>
        </w:tabs>
        <w:spacing w:line="240" w:lineRule="auto"/>
        <w:ind w:left="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A clear, standardized digital preservation policy is needed, incorporating legal frameworks, copyright guidelines, and records management protocols tailored to the Bangladeshi context.</w:t>
      </w:r>
    </w:p>
    <w:p w14:paraId="07D07DC7" w14:textId="77777777" w:rsidR="00E82A6E" w:rsidRPr="00E82A6E" w:rsidRDefault="009670D8" w:rsidP="00E82A6E">
      <w:pPr>
        <w:numPr>
          <w:ilvl w:val="0"/>
          <w:numId w:val="6"/>
        </w:numPr>
        <w:tabs>
          <w:tab w:val="left" w:pos="2535"/>
        </w:tabs>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b/>
          <w:bCs/>
          <w:color w:val="000000" w:themeColor="text1"/>
          <w:sz w:val="24"/>
          <w:szCs w:val="24"/>
        </w:rPr>
        <w:t>Establish Regular System Maintenance Protocols:</w:t>
      </w:r>
    </w:p>
    <w:p w14:paraId="0E6489CA" w14:textId="6475F8F5" w:rsidR="009670D8" w:rsidRPr="003A4BDF" w:rsidRDefault="009670D8" w:rsidP="00E82A6E">
      <w:pPr>
        <w:tabs>
          <w:tab w:val="left" w:pos="2535"/>
        </w:tabs>
        <w:spacing w:line="240" w:lineRule="auto"/>
        <w:ind w:left="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The National Archives should institute regular audits and maintenance schedules for digital systems to prevent data loss and ensure long-term accessibility.</w:t>
      </w:r>
    </w:p>
    <w:p w14:paraId="503FEAB6" w14:textId="77777777" w:rsidR="00E82A6E" w:rsidRPr="00E82A6E" w:rsidRDefault="009670D8" w:rsidP="00E82A6E">
      <w:pPr>
        <w:numPr>
          <w:ilvl w:val="0"/>
          <w:numId w:val="6"/>
        </w:numPr>
        <w:tabs>
          <w:tab w:val="left" w:pos="2535"/>
        </w:tabs>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b/>
          <w:bCs/>
          <w:color w:val="000000" w:themeColor="text1"/>
          <w:sz w:val="24"/>
          <w:szCs w:val="24"/>
        </w:rPr>
        <w:t>Promote Inter-Institutional and International Collaboration:</w:t>
      </w:r>
    </w:p>
    <w:p w14:paraId="4206B82A" w14:textId="3F1C38A9" w:rsidR="009670D8" w:rsidRPr="003A4BDF" w:rsidRDefault="009670D8" w:rsidP="00E82A6E">
      <w:pPr>
        <w:tabs>
          <w:tab w:val="left" w:pos="2535"/>
        </w:tabs>
        <w:spacing w:line="240" w:lineRule="auto"/>
        <w:ind w:left="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Collaborative efforts with national academic institutions, ICT agencies, and international bodies can help share knowledge, standardize practices, and access new technologies.</w:t>
      </w:r>
    </w:p>
    <w:p w14:paraId="3F0797B7" w14:textId="77777777" w:rsidR="00E82A6E" w:rsidRPr="00E82A6E" w:rsidRDefault="009670D8" w:rsidP="00E82A6E">
      <w:pPr>
        <w:numPr>
          <w:ilvl w:val="0"/>
          <w:numId w:val="6"/>
        </w:numPr>
        <w:tabs>
          <w:tab w:val="left" w:pos="2535"/>
        </w:tabs>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b/>
          <w:bCs/>
          <w:color w:val="000000" w:themeColor="text1"/>
          <w:sz w:val="24"/>
          <w:szCs w:val="24"/>
        </w:rPr>
        <w:t>Introduce Emerging Technologies:</w:t>
      </w:r>
    </w:p>
    <w:p w14:paraId="16D3FC6D" w14:textId="21541C87" w:rsidR="009670D8" w:rsidRPr="003A4BDF" w:rsidRDefault="009670D8" w:rsidP="00E82A6E">
      <w:pPr>
        <w:tabs>
          <w:tab w:val="left" w:pos="2535"/>
        </w:tabs>
        <w:spacing w:line="240" w:lineRule="auto"/>
        <w:ind w:left="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Explore and gradually adopt AI tools for digital sorting and access, blockchain for record integrity, and cloud-based systems for scalable storage, guided by pilot projects and feasibility studies.</w:t>
      </w:r>
    </w:p>
    <w:p w14:paraId="5D879AEB" w14:textId="77777777" w:rsidR="009670D8" w:rsidRPr="003A4BDF" w:rsidRDefault="009670D8" w:rsidP="009670D8">
      <w:pPr>
        <w:spacing w:line="240" w:lineRule="auto"/>
        <w:rPr>
          <w:rFonts w:ascii="Times New Roman" w:hAnsi="Times New Roman" w:cs="Times New Roman"/>
          <w:color w:val="000000" w:themeColor="text1"/>
          <w:sz w:val="24"/>
          <w:szCs w:val="24"/>
        </w:rPr>
      </w:pPr>
    </w:p>
    <w:p w14:paraId="364F017D" w14:textId="77777777" w:rsidR="009670D8" w:rsidRPr="003A4BDF" w:rsidRDefault="009670D8" w:rsidP="009670D8">
      <w:pPr>
        <w:pStyle w:val="ListParagraph"/>
        <w:numPr>
          <w:ilvl w:val="0"/>
          <w:numId w:val="5"/>
        </w:numPr>
        <w:shd w:val="clear" w:color="auto" w:fill="C1E4F5" w:themeFill="accent1" w:themeFillTint="33"/>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b/>
          <w:bCs/>
          <w:color w:val="000000" w:themeColor="text1"/>
          <w:sz w:val="24"/>
          <w:szCs w:val="24"/>
        </w:rPr>
        <w:t xml:space="preserve">Study Limitations </w:t>
      </w:r>
    </w:p>
    <w:p w14:paraId="0FF8E344" w14:textId="77777777" w:rsidR="009670D8" w:rsidRPr="003A4BDF" w:rsidRDefault="009670D8" w:rsidP="00094A0E">
      <w:pPr>
        <w:spacing w:after="0" w:line="240" w:lineRule="auto"/>
        <w:jc w:val="both"/>
        <w:rPr>
          <w:rFonts w:ascii="Times New Roman" w:eastAsia="Times New Roman" w:hAnsi="Times New Roman" w:cs="Times New Roman"/>
          <w:color w:val="000000" w:themeColor="text1"/>
          <w:sz w:val="24"/>
          <w:szCs w:val="24"/>
        </w:rPr>
      </w:pPr>
      <w:r w:rsidRPr="003A4BDF">
        <w:rPr>
          <w:rFonts w:ascii="Times New Roman" w:eastAsia="Times New Roman" w:hAnsi="Times New Roman" w:cs="Times New Roman"/>
          <w:color w:val="000000" w:themeColor="text1"/>
          <w:sz w:val="24"/>
          <w:szCs w:val="24"/>
        </w:rPr>
        <w:t>While this study gives us vital information about the problems with digital preservation in the National Archives of Bangladesh, it also has certain problems. First, the study included data from 21 archival professionals. This group was carefully chosen through purposive sampling, although it is still a small part of the total population. Because of this, the results may not be able to be applied to other institutions outside of the one that was researched. Second, the study only looked at the National Archives and didn't include any other records management or archive institutions in Bangladesh. This made its findings less useful. The study also only used numbers by using a standardized questionnaire. This made it possible to do consistent statistical analysis, but it limited the amount of qualitative knowledge that could have come from interviews or focus group discussions. Another problem is that the study relies on self-reported data, which could be affected by people's own views or biases, especially when it comes to judging how ready and supportive an institution is. Lastly, the study talked about new technologies like AI and cloud computing, but it didn't actually test how feasible or useful they would be in the local archiving setting.</w:t>
      </w:r>
    </w:p>
    <w:p w14:paraId="5A336CC9" w14:textId="77777777" w:rsidR="009670D8" w:rsidRPr="003A4BDF" w:rsidRDefault="009670D8" w:rsidP="009670D8">
      <w:pPr>
        <w:pStyle w:val="ListParagraph"/>
        <w:spacing w:line="240" w:lineRule="auto"/>
        <w:rPr>
          <w:rFonts w:ascii="Times New Roman" w:hAnsi="Times New Roman" w:cs="Times New Roman"/>
          <w:color w:val="000000" w:themeColor="text1"/>
          <w:sz w:val="24"/>
          <w:szCs w:val="24"/>
        </w:rPr>
      </w:pPr>
    </w:p>
    <w:p w14:paraId="01E146FF" w14:textId="77777777" w:rsidR="009670D8" w:rsidRPr="003A4BDF" w:rsidRDefault="009670D8" w:rsidP="009670D8">
      <w:pPr>
        <w:pStyle w:val="ListParagraph"/>
        <w:numPr>
          <w:ilvl w:val="0"/>
          <w:numId w:val="5"/>
        </w:numPr>
        <w:shd w:val="clear" w:color="auto" w:fill="C1E4F5" w:themeFill="accent1" w:themeFillTint="33"/>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Future direction</w:t>
      </w:r>
    </w:p>
    <w:p w14:paraId="3A6D4E4C" w14:textId="415C3105" w:rsidR="009670D8" w:rsidRPr="003A4BDF" w:rsidRDefault="009670D8" w:rsidP="009670D8">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xml:space="preserve">The results of this study point to several new areas of research and practical actions that can be taken in the field of digital preservation in Bangladesh and other underdeveloped nations. A mixed-methods technique, which combines quantitative surveys with qualitative interviews, could be used in future studies to learn more about problems related to context and policy. Including university libraries, museums, and other government repositories in addition to the National Archives would give us a better idea of how ready the country is to preserve its digital information. Also, in-depth appraisals of new technologies like artificial intelligence, blockchain, and cloud computing in the context of the local infrastructure could help people decide </w:t>
      </w:r>
      <w:r w:rsidR="00E662CE" w:rsidRPr="003A4BDF">
        <w:rPr>
          <w:rFonts w:ascii="Times New Roman" w:hAnsi="Times New Roman" w:cs="Times New Roman"/>
          <w:color w:val="000000" w:themeColor="text1"/>
          <w:sz w:val="24"/>
          <w:szCs w:val="24"/>
        </w:rPr>
        <w:t>whether</w:t>
      </w:r>
      <w:r w:rsidRPr="003A4BDF">
        <w:rPr>
          <w:rFonts w:ascii="Times New Roman" w:hAnsi="Times New Roman" w:cs="Times New Roman"/>
          <w:color w:val="000000" w:themeColor="text1"/>
          <w:sz w:val="24"/>
          <w:szCs w:val="24"/>
        </w:rPr>
        <w:t xml:space="preserve"> to use them. It would also be possible to do longitudinal studies to see how training programs, policy changes, and system upgrades affect things over time. Also, studies that compare nations with similar social and economic conditions may assist </w:t>
      </w:r>
      <w:r w:rsidR="00E662CE">
        <w:rPr>
          <w:rFonts w:ascii="Times New Roman" w:hAnsi="Times New Roman" w:cs="Times New Roman"/>
          <w:color w:val="000000" w:themeColor="text1"/>
          <w:sz w:val="24"/>
          <w:szCs w:val="24"/>
        </w:rPr>
        <w:t xml:space="preserve">in </w:t>
      </w:r>
      <w:r w:rsidRPr="003A4BDF">
        <w:rPr>
          <w:rFonts w:ascii="Times New Roman" w:hAnsi="Times New Roman" w:cs="Times New Roman"/>
          <w:color w:val="000000" w:themeColor="text1"/>
          <w:sz w:val="24"/>
          <w:szCs w:val="24"/>
        </w:rPr>
        <w:t>find</w:t>
      </w:r>
      <w:r w:rsidR="00E662CE">
        <w:rPr>
          <w:rFonts w:ascii="Times New Roman" w:hAnsi="Times New Roman" w:cs="Times New Roman"/>
          <w:color w:val="000000" w:themeColor="text1"/>
          <w:sz w:val="24"/>
          <w:szCs w:val="24"/>
        </w:rPr>
        <w:t>ing</w:t>
      </w:r>
      <w:r w:rsidRPr="003A4BDF">
        <w:rPr>
          <w:rFonts w:ascii="Times New Roman" w:hAnsi="Times New Roman" w:cs="Times New Roman"/>
          <w:color w:val="000000" w:themeColor="text1"/>
          <w:sz w:val="24"/>
          <w:szCs w:val="24"/>
        </w:rPr>
        <w:t xml:space="preserve"> the best ways to do things and encourage cooperation between countries in the same region for long-term digital preservation projects.</w:t>
      </w:r>
    </w:p>
    <w:p w14:paraId="0E619328" w14:textId="77777777" w:rsidR="009670D8" w:rsidRPr="003A4BDF" w:rsidRDefault="009670D8" w:rsidP="009670D8">
      <w:pPr>
        <w:pStyle w:val="ListParagraph"/>
        <w:numPr>
          <w:ilvl w:val="0"/>
          <w:numId w:val="5"/>
        </w:numPr>
        <w:shd w:val="clear" w:color="auto" w:fill="C1E4F5" w:themeFill="accent1" w:themeFillTint="33"/>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Conclusion</w:t>
      </w:r>
    </w:p>
    <w:p w14:paraId="50570BF8" w14:textId="77777777" w:rsidR="009670D8" w:rsidRPr="003A4BDF" w:rsidRDefault="009670D8" w:rsidP="009670D8">
      <w:pPr>
        <w:spacing w:line="240" w:lineRule="auto"/>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The results of this study show how urgent it is for the National Archives of Bangladesh to develop ways to better preserve digital records. Even though more people are aware of the problem and there is administrative support, the institution has trouble because of limited infrastructure, staff who aren't trained well enough, and a lack of a consistent national strategy. Lack of metadata knowledge, inconsistent system maintenance, and outdated technology were all seen as serious obstacles to long-term digital continuity. Using international standards like OAIS and new technologies like AI, blockchain, and cloud-based solutions could greatly improve the ability of institutions.</w:t>
      </w:r>
    </w:p>
    <w:p w14:paraId="367309E7" w14:textId="77777777" w:rsidR="009670D8" w:rsidRPr="003A4BDF" w:rsidRDefault="009670D8" w:rsidP="009670D8">
      <w:pPr>
        <w:shd w:val="clear" w:color="auto" w:fill="C1E4F5" w:themeFill="accent1" w:themeFillTint="33"/>
        <w:spacing w:line="240" w:lineRule="auto"/>
        <w:jc w:val="both"/>
        <w:rPr>
          <w:rFonts w:ascii="Times New Roman" w:hAnsi="Times New Roman" w:cs="Times New Roman"/>
          <w:b/>
          <w:bCs/>
          <w:color w:val="000000" w:themeColor="text1"/>
          <w:sz w:val="24"/>
          <w:szCs w:val="24"/>
        </w:rPr>
      </w:pPr>
      <w:r w:rsidRPr="003A4BDF">
        <w:rPr>
          <w:rFonts w:ascii="Times New Roman" w:hAnsi="Times New Roman" w:cs="Times New Roman"/>
          <w:b/>
          <w:bCs/>
          <w:color w:val="000000" w:themeColor="text1"/>
          <w:sz w:val="24"/>
          <w:szCs w:val="24"/>
        </w:rPr>
        <w:t>References</w:t>
      </w:r>
    </w:p>
    <w:p w14:paraId="764FB077" w14:textId="77777777" w:rsidR="009670D8" w:rsidRPr="003A4BDF" w:rsidRDefault="009670D8" w:rsidP="006474AC">
      <w:pPr>
        <w:pStyle w:val="ListParagraph"/>
        <w:numPr>
          <w:ilvl w:val="0"/>
          <w:numId w:val="4"/>
        </w:numPr>
        <w:spacing w:line="480" w:lineRule="auto"/>
        <w:ind w:hanging="720"/>
        <w:jc w:val="both"/>
        <w:rPr>
          <w:rFonts w:ascii="Times New Roman" w:hAnsi="Times New Roman" w:cs="Times New Roman"/>
          <w:color w:val="000000" w:themeColor="text1"/>
          <w:sz w:val="24"/>
          <w:szCs w:val="24"/>
        </w:rPr>
      </w:pPr>
      <w:bookmarkStart w:id="2" w:name="_Hlk231180616"/>
      <w:r w:rsidRPr="003A4BDF">
        <w:rPr>
          <w:rFonts w:ascii="Times New Roman" w:hAnsi="Times New Roman" w:cs="Times New Roman"/>
          <w:color w:val="000000" w:themeColor="text1"/>
          <w:sz w:val="24"/>
          <w:szCs w:val="24"/>
        </w:rPr>
        <w:t xml:space="preserve">Akter, T. (2013). Digital preservation of library materials. </w:t>
      </w:r>
      <w:r w:rsidRPr="002F2943">
        <w:rPr>
          <w:rFonts w:ascii="Times New Roman" w:hAnsi="Times New Roman" w:cs="Times New Roman"/>
          <w:i/>
          <w:iCs/>
          <w:color w:val="000000" w:themeColor="text1"/>
          <w:sz w:val="24"/>
          <w:szCs w:val="24"/>
        </w:rPr>
        <w:t>International Research: Journal of Library &amp; Information Science, 3</w:t>
      </w:r>
      <w:r w:rsidRPr="003A4BDF">
        <w:rPr>
          <w:rFonts w:ascii="Times New Roman" w:hAnsi="Times New Roman" w:cs="Times New Roman"/>
          <w:color w:val="000000" w:themeColor="text1"/>
          <w:sz w:val="24"/>
          <w:szCs w:val="24"/>
        </w:rPr>
        <w:t>(1), 20–25.</w:t>
      </w:r>
    </w:p>
    <w:p w14:paraId="60C412EF" w14:textId="77777777" w:rsidR="00B12770" w:rsidRPr="00DC38A8" w:rsidRDefault="00B12770" w:rsidP="006474AC">
      <w:pPr>
        <w:pStyle w:val="ListParagraph"/>
        <w:numPr>
          <w:ilvl w:val="0"/>
          <w:numId w:val="4"/>
        </w:numPr>
        <w:spacing w:line="480" w:lineRule="auto"/>
        <w:ind w:hanging="720"/>
        <w:jc w:val="both"/>
        <w:rPr>
          <w:rFonts w:ascii="Times New Roman" w:hAnsi="Times New Roman" w:cs="Times New Roman"/>
          <w:color w:val="000000" w:themeColor="text1"/>
          <w:sz w:val="28"/>
          <w:szCs w:val="28"/>
        </w:rPr>
      </w:pPr>
      <w:r w:rsidRPr="00DC38A8">
        <w:rPr>
          <w:rFonts w:ascii="Times New Roman" w:hAnsi="Times New Roman" w:cs="Times New Roman"/>
          <w:sz w:val="24"/>
          <w:szCs w:val="24"/>
        </w:rPr>
        <w:t xml:space="preserve">Consultative Committee for Space Data Systems. (2012). </w:t>
      </w:r>
      <w:r w:rsidRPr="00DC38A8">
        <w:rPr>
          <w:rStyle w:val="Emphasis"/>
          <w:rFonts w:ascii="Times New Roman" w:hAnsi="Times New Roman" w:cs="Times New Roman"/>
          <w:sz w:val="24"/>
          <w:szCs w:val="24"/>
        </w:rPr>
        <w:t>Reference model for an open archival information system (OAIS).</w:t>
      </w:r>
      <w:r w:rsidRPr="00DC38A8">
        <w:rPr>
          <w:rFonts w:ascii="Times New Roman" w:hAnsi="Times New Roman" w:cs="Times New Roman"/>
          <w:sz w:val="24"/>
          <w:szCs w:val="24"/>
        </w:rPr>
        <w:t xml:space="preserve"> </w:t>
      </w:r>
      <w:hyperlink r:id="rId17" w:tgtFrame="_new" w:history="1">
        <w:r w:rsidRPr="00DC38A8">
          <w:rPr>
            <w:rStyle w:val="Hyperlink"/>
            <w:rFonts w:ascii="Times New Roman" w:hAnsi="Times New Roman" w:cs="Times New Roman"/>
            <w:sz w:val="24"/>
            <w:szCs w:val="24"/>
          </w:rPr>
          <w:t>https://public.ccsds.org/pubs/650x0m2.pdf</w:t>
        </w:r>
      </w:hyperlink>
    </w:p>
    <w:p w14:paraId="6A31C55B" w14:textId="77777777" w:rsidR="009670D8" w:rsidRPr="003A4BDF" w:rsidRDefault="009670D8" w:rsidP="006474AC">
      <w:pPr>
        <w:pStyle w:val="ListParagraph"/>
        <w:numPr>
          <w:ilvl w:val="0"/>
          <w:numId w:val="4"/>
        </w:numPr>
        <w:spacing w:line="480" w:lineRule="auto"/>
        <w:ind w:hanging="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xml:space="preserve">Conway, P. (2010). Preservation in the age of Google: Digitization, digital preservation, and dilemmas. </w:t>
      </w:r>
      <w:r w:rsidRPr="002F2943">
        <w:rPr>
          <w:rFonts w:ascii="Times New Roman" w:hAnsi="Times New Roman" w:cs="Times New Roman"/>
          <w:i/>
          <w:iCs/>
          <w:color w:val="000000" w:themeColor="text1"/>
          <w:sz w:val="24"/>
          <w:szCs w:val="24"/>
        </w:rPr>
        <w:t>The Library Quarterly, 80</w:t>
      </w:r>
      <w:r w:rsidRPr="003A4BDF">
        <w:rPr>
          <w:rFonts w:ascii="Times New Roman" w:hAnsi="Times New Roman" w:cs="Times New Roman"/>
          <w:color w:val="000000" w:themeColor="text1"/>
          <w:sz w:val="24"/>
          <w:szCs w:val="24"/>
        </w:rPr>
        <w:t>(1), 61–79.</w:t>
      </w:r>
    </w:p>
    <w:p w14:paraId="003BD9E2" w14:textId="77777777" w:rsidR="009670D8" w:rsidRPr="003A4BDF" w:rsidRDefault="009670D8" w:rsidP="006474AC">
      <w:pPr>
        <w:pStyle w:val="ListParagraph"/>
        <w:numPr>
          <w:ilvl w:val="0"/>
          <w:numId w:val="4"/>
        </w:numPr>
        <w:spacing w:line="480" w:lineRule="auto"/>
        <w:ind w:hanging="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xml:space="preserve">Gracy, K. F., &amp; Kahn, M. (2012). Preservation in the digital age. </w:t>
      </w:r>
      <w:r w:rsidRPr="002F2943">
        <w:rPr>
          <w:rFonts w:ascii="Times New Roman" w:hAnsi="Times New Roman" w:cs="Times New Roman"/>
          <w:i/>
          <w:iCs/>
          <w:color w:val="000000" w:themeColor="text1"/>
          <w:sz w:val="24"/>
          <w:szCs w:val="24"/>
        </w:rPr>
        <w:t>Library Resources &amp; Technical Services, 56</w:t>
      </w:r>
      <w:r w:rsidRPr="003A4BDF">
        <w:rPr>
          <w:rFonts w:ascii="Times New Roman" w:hAnsi="Times New Roman" w:cs="Times New Roman"/>
          <w:color w:val="000000" w:themeColor="text1"/>
          <w:sz w:val="24"/>
          <w:szCs w:val="24"/>
        </w:rPr>
        <w:t>(2), 72–88.</w:t>
      </w:r>
    </w:p>
    <w:p w14:paraId="61E37E05" w14:textId="4A43DAD4" w:rsidR="00DC38A8" w:rsidRPr="00B12770" w:rsidRDefault="00DC38A8" w:rsidP="006474AC">
      <w:pPr>
        <w:pStyle w:val="ListParagraph"/>
        <w:numPr>
          <w:ilvl w:val="0"/>
          <w:numId w:val="4"/>
        </w:numPr>
        <w:spacing w:line="480" w:lineRule="auto"/>
        <w:ind w:hanging="720"/>
        <w:jc w:val="both"/>
        <w:rPr>
          <w:rFonts w:ascii="Times New Roman" w:hAnsi="Times New Roman" w:cs="Times New Roman"/>
          <w:color w:val="000000" w:themeColor="text1"/>
          <w:sz w:val="28"/>
          <w:szCs w:val="28"/>
        </w:rPr>
      </w:pPr>
      <w:r w:rsidRPr="00B12770">
        <w:rPr>
          <w:rFonts w:ascii="Times New Roman" w:hAnsi="Times New Roman" w:cs="Times New Roman"/>
          <w:sz w:val="24"/>
          <w:szCs w:val="24"/>
        </w:rPr>
        <w:t xml:space="preserve">International Council on Archives. (2016). </w:t>
      </w:r>
      <w:r w:rsidRPr="00B12770">
        <w:rPr>
          <w:rStyle w:val="Emphasis"/>
          <w:rFonts w:ascii="Times New Roman" w:hAnsi="Times New Roman" w:cs="Times New Roman"/>
          <w:sz w:val="24"/>
          <w:szCs w:val="24"/>
        </w:rPr>
        <w:t>IFLA/ICA statement of principles: Access to archives.</w:t>
      </w:r>
      <w:r w:rsidRPr="00B12770">
        <w:rPr>
          <w:rFonts w:ascii="Times New Roman" w:hAnsi="Times New Roman" w:cs="Times New Roman"/>
          <w:sz w:val="24"/>
          <w:szCs w:val="24"/>
        </w:rPr>
        <w:t xml:space="preserve"> </w:t>
      </w:r>
      <w:hyperlink r:id="rId18" w:tgtFrame="_new" w:history="1">
        <w:r w:rsidRPr="00B12770">
          <w:rPr>
            <w:rStyle w:val="Hyperlink"/>
            <w:rFonts w:ascii="Times New Roman" w:hAnsi="Times New Roman" w:cs="Times New Roman"/>
            <w:sz w:val="24"/>
            <w:szCs w:val="24"/>
          </w:rPr>
          <w:t>https://www.ica.org/en/statement-principles-access-archives</w:t>
        </w:r>
      </w:hyperlink>
    </w:p>
    <w:p w14:paraId="12B0008E" w14:textId="257152D0" w:rsidR="00DC38A8" w:rsidRPr="00DC38A8" w:rsidRDefault="00DC38A8" w:rsidP="006474AC">
      <w:pPr>
        <w:pStyle w:val="ListParagraph"/>
        <w:numPr>
          <w:ilvl w:val="0"/>
          <w:numId w:val="4"/>
        </w:numPr>
        <w:spacing w:line="480" w:lineRule="auto"/>
        <w:ind w:hanging="720"/>
        <w:jc w:val="both"/>
        <w:rPr>
          <w:rFonts w:ascii="Times New Roman" w:hAnsi="Times New Roman" w:cs="Times New Roman"/>
          <w:color w:val="000000" w:themeColor="text1"/>
          <w:sz w:val="28"/>
          <w:szCs w:val="28"/>
        </w:rPr>
      </w:pPr>
      <w:proofErr w:type="spellStart"/>
      <w:r w:rsidRPr="00DC38A8">
        <w:rPr>
          <w:rFonts w:ascii="Times New Roman" w:hAnsi="Times New Roman" w:cs="Times New Roman"/>
          <w:sz w:val="24"/>
          <w:szCs w:val="24"/>
        </w:rPr>
        <w:t>Kalusopa</w:t>
      </w:r>
      <w:proofErr w:type="spellEnd"/>
      <w:r w:rsidRPr="00DC38A8">
        <w:rPr>
          <w:rFonts w:ascii="Times New Roman" w:hAnsi="Times New Roman" w:cs="Times New Roman"/>
          <w:sz w:val="24"/>
          <w:szCs w:val="24"/>
        </w:rPr>
        <w:t xml:space="preserve">, T. (2018). Developing an e-records readiness framework for </w:t>
      </w:r>
      <w:proofErr w:type="spellStart"/>
      <w:r w:rsidRPr="00DC38A8">
        <w:rPr>
          <w:rFonts w:ascii="Times New Roman" w:hAnsi="Times New Roman" w:cs="Times New Roman"/>
          <w:sz w:val="24"/>
          <w:szCs w:val="24"/>
        </w:rPr>
        <w:t>labour</w:t>
      </w:r>
      <w:proofErr w:type="spellEnd"/>
      <w:r w:rsidRPr="00DC38A8">
        <w:rPr>
          <w:rFonts w:ascii="Times New Roman" w:hAnsi="Times New Roman" w:cs="Times New Roman"/>
          <w:sz w:val="24"/>
          <w:szCs w:val="24"/>
        </w:rPr>
        <w:t xml:space="preserve"> organizations in Botswana. </w:t>
      </w:r>
      <w:r w:rsidRPr="00DC38A8">
        <w:rPr>
          <w:rStyle w:val="Emphasis"/>
          <w:rFonts w:ascii="Times New Roman" w:hAnsi="Times New Roman" w:cs="Times New Roman"/>
          <w:sz w:val="24"/>
          <w:szCs w:val="24"/>
        </w:rPr>
        <w:t>ESARBICA Journal, 37</w:t>
      </w:r>
      <w:r w:rsidRPr="00DC38A8">
        <w:rPr>
          <w:rFonts w:ascii="Times New Roman" w:hAnsi="Times New Roman" w:cs="Times New Roman"/>
          <w:sz w:val="24"/>
          <w:szCs w:val="24"/>
        </w:rPr>
        <w:t>, 1–20.</w:t>
      </w:r>
    </w:p>
    <w:p w14:paraId="19A374F8" w14:textId="77777777" w:rsidR="009670D8" w:rsidRPr="003A4BDF" w:rsidRDefault="009670D8" w:rsidP="006474AC">
      <w:pPr>
        <w:pStyle w:val="ListParagraph"/>
        <w:numPr>
          <w:ilvl w:val="0"/>
          <w:numId w:val="4"/>
        </w:numPr>
        <w:spacing w:line="480" w:lineRule="auto"/>
        <w:ind w:hanging="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xml:space="preserve">Mahmud, R., &amp; Reza, R. B. (2020). Application of web archiving technologies in BNL and NAB: A proposed model. </w:t>
      </w:r>
      <w:r w:rsidRPr="002F2943">
        <w:rPr>
          <w:rFonts w:ascii="Times New Roman" w:hAnsi="Times New Roman" w:cs="Times New Roman"/>
          <w:i/>
          <w:iCs/>
          <w:color w:val="000000" w:themeColor="text1"/>
          <w:sz w:val="24"/>
          <w:szCs w:val="24"/>
        </w:rPr>
        <w:t>The Eastern Librarian, 25</w:t>
      </w:r>
      <w:r w:rsidRPr="003A4BDF">
        <w:rPr>
          <w:rFonts w:ascii="Times New Roman" w:hAnsi="Times New Roman" w:cs="Times New Roman"/>
          <w:color w:val="000000" w:themeColor="text1"/>
          <w:sz w:val="24"/>
          <w:szCs w:val="24"/>
        </w:rPr>
        <w:t>(2), 82–98.</w:t>
      </w:r>
    </w:p>
    <w:p w14:paraId="2ECAFC67" w14:textId="77777777" w:rsidR="009670D8" w:rsidRPr="003A4BDF" w:rsidRDefault="009670D8" w:rsidP="006474AC">
      <w:pPr>
        <w:pStyle w:val="ListParagraph"/>
        <w:numPr>
          <w:ilvl w:val="0"/>
          <w:numId w:val="4"/>
        </w:numPr>
        <w:spacing w:line="480" w:lineRule="auto"/>
        <w:ind w:hanging="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xml:space="preserve">Masenya, T. M., &amp; Ngulube, P. (2019). Digital preservation practices in academic libraries: A case study of South Africa. </w:t>
      </w:r>
      <w:r w:rsidRPr="00E54F31">
        <w:rPr>
          <w:rFonts w:ascii="Times New Roman" w:hAnsi="Times New Roman" w:cs="Times New Roman"/>
          <w:i/>
          <w:iCs/>
          <w:color w:val="000000" w:themeColor="text1"/>
          <w:sz w:val="24"/>
          <w:szCs w:val="24"/>
        </w:rPr>
        <w:t>Library &amp; Information Science Research, 41</w:t>
      </w:r>
      <w:r w:rsidRPr="003A4BDF">
        <w:rPr>
          <w:rFonts w:ascii="Times New Roman" w:hAnsi="Times New Roman" w:cs="Times New Roman"/>
          <w:color w:val="000000" w:themeColor="text1"/>
          <w:sz w:val="24"/>
          <w:szCs w:val="24"/>
        </w:rPr>
        <w:t>(1), 1–9.</w:t>
      </w:r>
    </w:p>
    <w:p w14:paraId="5F34BDDE" w14:textId="1F5CF890" w:rsidR="002F08EC" w:rsidRPr="002F08EC" w:rsidRDefault="002F08EC" w:rsidP="006474AC">
      <w:pPr>
        <w:pStyle w:val="ListParagraph"/>
        <w:numPr>
          <w:ilvl w:val="0"/>
          <w:numId w:val="4"/>
        </w:numPr>
        <w:spacing w:line="480" w:lineRule="auto"/>
        <w:ind w:hanging="720"/>
        <w:jc w:val="both"/>
        <w:rPr>
          <w:rFonts w:ascii="Times New Roman" w:hAnsi="Times New Roman" w:cs="Times New Roman"/>
          <w:color w:val="000000" w:themeColor="text1"/>
          <w:sz w:val="28"/>
          <w:szCs w:val="28"/>
        </w:rPr>
      </w:pPr>
      <w:proofErr w:type="spellStart"/>
      <w:r w:rsidRPr="002F08EC">
        <w:rPr>
          <w:rFonts w:ascii="Times New Roman" w:hAnsi="Times New Roman" w:cs="Times New Roman"/>
          <w:sz w:val="24"/>
          <w:szCs w:val="24"/>
        </w:rPr>
        <w:t>Mezbah</w:t>
      </w:r>
      <w:proofErr w:type="spellEnd"/>
      <w:r w:rsidRPr="002F08EC">
        <w:rPr>
          <w:rFonts w:ascii="Times New Roman" w:hAnsi="Times New Roman" w:cs="Times New Roman"/>
          <w:sz w:val="24"/>
          <w:szCs w:val="24"/>
        </w:rPr>
        <w:t xml:space="preserve">-ul-Islam, M., &amp; Akter, R. (2008). Preservation of archives: A case study of Bangladesh National Archives. In </w:t>
      </w:r>
      <w:r w:rsidRPr="002F08EC">
        <w:rPr>
          <w:rStyle w:val="Emphasis"/>
          <w:rFonts w:ascii="Times New Roman" w:hAnsi="Times New Roman" w:cs="Times New Roman"/>
          <w:sz w:val="24"/>
          <w:szCs w:val="24"/>
        </w:rPr>
        <w:t>Proceedings of PLANNER 2008</w:t>
      </w:r>
      <w:r w:rsidRPr="002F08EC">
        <w:rPr>
          <w:rFonts w:ascii="Times New Roman" w:hAnsi="Times New Roman" w:cs="Times New Roman"/>
          <w:sz w:val="24"/>
          <w:szCs w:val="24"/>
        </w:rPr>
        <w:t>. INFLIBNET Centre.</w:t>
      </w:r>
    </w:p>
    <w:p w14:paraId="112F8BCD" w14:textId="17542B61" w:rsidR="003305DF" w:rsidRDefault="004C4F1E" w:rsidP="006474AC">
      <w:pPr>
        <w:pStyle w:val="ListParagraph"/>
        <w:numPr>
          <w:ilvl w:val="0"/>
          <w:numId w:val="4"/>
        </w:numPr>
        <w:spacing w:line="480" w:lineRule="auto"/>
        <w:ind w:hanging="720"/>
        <w:jc w:val="both"/>
        <w:rPr>
          <w:rFonts w:ascii="Times New Roman" w:hAnsi="Times New Roman" w:cs="Times New Roman"/>
          <w:color w:val="000000" w:themeColor="text1"/>
          <w:sz w:val="24"/>
          <w:szCs w:val="24"/>
        </w:rPr>
      </w:pPr>
      <w:r w:rsidRPr="003A4BDF">
        <w:rPr>
          <w:rFonts w:ascii="Times New Roman" w:hAnsi="Times New Roman" w:cs="Times New Roman"/>
          <w:color w:val="000000" w:themeColor="text1"/>
          <w:sz w:val="24"/>
          <w:szCs w:val="24"/>
        </w:rPr>
        <w:t xml:space="preserve">Muthoka, N. J., </w:t>
      </w:r>
      <w:proofErr w:type="spellStart"/>
      <w:r w:rsidRPr="003A4BDF">
        <w:rPr>
          <w:rFonts w:ascii="Times New Roman" w:hAnsi="Times New Roman" w:cs="Times New Roman"/>
          <w:color w:val="000000" w:themeColor="text1"/>
          <w:sz w:val="24"/>
          <w:szCs w:val="24"/>
        </w:rPr>
        <w:t>Ogalo</w:t>
      </w:r>
      <w:proofErr w:type="spellEnd"/>
      <w:r w:rsidRPr="003A4BDF">
        <w:rPr>
          <w:rFonts w:ascii="Times New Roman" w:hAnsi="Times New Roman" w:cs="Times New Roman"/>
          <w:color w:val="000000" w:themeColor="text1"/>
          <w:sz w:val="24"/>
          <w:szCs w:val="24"/>
        </w:rPr>
        <w:t xml:space="preserve">, J. O., &amp; Wasike, J. (2021). Challenges of digital preservation of information: A case of Kenya National Archives and Documentation Service, Kenya. </w:t>
      </w:r>
      <w:r w:rsidRPr="003A4BDF">
        <w:rPr>
          <w:rFonts w:ascii="Times New Roman" w:hAnsi="Times New Roman" w:cs="Times New Roman"/>
          <w:i/>
          <w:iCs/>
          <w:color w:val="000000" w:themeColor="text1"/>
          <w:sz w:val="24"/>
          <w:szCs w:val="24"/>
        </w:rPr>
        <w:t>The International Journal of Business &amp; Management, 9</w:t>
      </w:r>
      <w:r w:rsidRPr="003A4BDF">
        <w:rPr>
          <w:rFonts w:ascii="Times New Roman" w:hAnsi="Times New Roman" w:cs="Times New Roman"/>
          <w:color w:val="000000" w:themeColor="text1"/>
          <w:sz w:val="24"/>
          <w:szCs w:val="24"/>
        </w:rPr>
        <w:t xml:space="preserve">(6), 245–251. </w:t>
      </w:r>
      <w:hyperlink r:id="rId19" w:history="1">
        <w:r w:rsidR="003305DF" w:rsidRPr="004A42DF">
          <w:rPr>
            <w:rStyle w:val="Hyperlink"/>
            <w:rFonts w:ascii="Times New Roman" w:hAnsi="Times New Roman" w:cs="Times New Roman"/>
            <w:sz w:val="24"/>
            <w:szCs w:val="24"/>
          </w:rPr>
          <w:t>https://doi.org/10.24940/theijbm/2021/v9/i6/BM2106-041</w:t>
        </w:r>
      </w:hyperlink>
    </w:p>
    <w:p w14:paraId="4055080D" w14:textId="77777777" w:rsidR="009670D8" w:rsidRPr="003305DF" w:rsidRDefault="009670D8" w:rsidP="006474AC">
      <w:pPr>
        <w:pStyle w:val="ListParagraph"/>
        <w:numPr>
          <w:ilvl w:val="0"/>
          <w:numId w:val="4"/>
        </w:numPr>
        <w:spacing w:line="480" w:lineRule="auto"/>
        <w:ind w:hanging="720"/>
        <w:jc w:val="both"/>
        <w:rPr>
          <w:rFonts w:ascii="Times New Roman" w:hAnsi="Times New Roman" w:cs="Times New Roman"/>
          <w:color w:val="000000" w:themeColor="text1"/>
          <w:sz w:val="24"/>
          <w:szCs w:val="24"/>
        </w:rPr>
      </w:pPr>
      <w:r w:rsidRPr="003305DF">
        <w:rPr>
          <w:rFonts w:ascii="Times New Roman" w:hAnsi="Times New Roman" w:cs="Times New Roman"/>
          <w:color w:val="000000" w:themeColor="text1"/>
          <w:sz w:val="24"/>
          <w:szCs w:val="24"/>
        </w:rPr>
        <w:t xml:space="preserve">Ngoepe, M., &amp; </w:t>
      </w:r>
      <w:proofErr w:type="spellStart"/>
      <w:r w:rsidRPr="003305DF">
        <w:rPr>
          <w:rFonts w:ascii="Times New Roman" w:hAnsi="Times New Roman" w:cs="Times New Roman"/>
          <w:color w:val="000000" w:themeColor="text1"/>
          <w:sz w:val="24"/>
          <w:szCs w:val="24"/>
        </w:rPr>
        <w:t>Saurombe</w:t>
      </w:r>
      <w:proofErr w:type="spellEnd"/>
      <w:r w:rsidRPr="003305DF">
        <w:rPr>
          <w:rFonts w:ascii="Times New Roman" w:hAnsi="Times New Roman" w:cs="Times New Roman"/>
          <w:color w:val="000000" w:themeColor="text1"/>
          <w:sz w:val="24"/>
          <w:szCs w:val="24"/>
        </w:rPr>
        <w:t xml:space="preserve">, A. (2016). Provisions for managing and preserving records created in networked environments in the archival legislative frameworks of selected member states of the Southern African Development Community. </w:t>
      </w:r>
      <w:r w:rsidRPr="003305DF">
        <w:rPr>
          <w:rFonts w:ascii="Times New Roman" w:hAnsi="Times New Roman" w:cs="Times New Roman"/>
          <w:i/>
          <w:iCs/>
          <w:color w:val="000000" w:themeColor="text1"/>
          <w:sz w:val="24"/>
          <w:szCs w:val="24"/>
        </w:rPr>
        <w:t>Archives and Manuscripts, 44</w:t>
      </w:r>
      <w:r w:rsidRPr="003305DF">
        <w:rPr>
          <w:rFonts w:ascii="Times New Roman" w:hAnsi="Times New Roman" w:cs="Times New Roman"/>
          <w:color w:val="000000" w:themeColor="text1"/>
          <w:sz w:val="24"/>
          <w:szCs w:val="24"/>
        </w:rPr>
        <w:t>(1), 24–41.</w:t>
      </w:r>
    </w:p>
    <w:p w14:paraId="72CBA510" w14:textId="1792E605" w:rsidR="002F08EC" w:rsidRPr="002F08EC" w:rsidRDefault="002F08EC" w:rsidP="006474AC">
      <w:pPr>
        <w:pStyle w:val="ListParagraph"/>
        <w:numPr>
          <w:ilvl w:val="0"/>
          <w:numId w:val="4"/>
        </w:numPr>
        <w:spacing w:line="480" w:lineRule="auto"/>
        <w:ind w:hanging="720"/>
        <w:jc w:val="both"/>
        <w:rPr>
          <w:rFonts w:ascii="Times New Roman" w:hAnsi="Times New Roman" w:cs="Times New Roman"/>
          <w:color w:val="000000" w:themeColor="text1"/>
          <w:sz w:val="28"/>
          <w:szCs w:val="28"/>
        </w:rPr>
      </w:pPr>
      <w:proofErr w:type="spellStart"/>
      <w:r w:rsidRPr="002F08EC">
        <w:rPr>
          <w:rFonts w:ascii="Times New Roman" w:hAnsi="Times New Roman" w:cs="Times New Roman"/>
          <w:sz w:val="24"/>
          <w:szCs w:val="24"/>
        </w:rPr>
        <w:t>Shuva</w:t>
      </w:r>
      <w:proofErr w:type="spellEnd"/>
      <w:r w:rsidRPr="002F08EC">
        <w:rPr>
          <w:rFonts w:ascii="Times New Roman" w:hAnsi="Times New Roman" w:cs="Times New Roman"/>
          <w:sz w:val="24"/>
          <w:szCs w:val="24"/>
        </w:rPr>
        <w:t xml:space="preserve">, N. Z. (2009). Creating and managing digital collections at the National Archives of Bangladesh: A developing country perspective. </w:t>
      </w:r>
      <w:r w:rsidRPr="002F08EC">
        <w:rPr>
          <w:rStyle w:val="Emphasis"/>
          <w:rFonts w:ascii="Times New Roman" w:hAnsi="Times New Roman" w:cs="Times New Roman"/>
          <w:sz w:val="24"/>
          <w:szCs w:val="24"/>
        </w:rPr>
        <w:t>Archiving Conference, 2009</w:t>
      </w:r>
      <w:r w:rsidRPr="002F08EC">
        <w:rPr>
          <w:rFonts w:ascii="Times New Roman" w:hAnsi="Times New Roman" w:cs="Times New Roman"/>
          <w:sz w:val="24"/>
          <w:szCs w:val="24"/>
        </w:rPr>
        <w:t>(1), 192–196.</w:t>
      </w:r>
    </w:p>
    <w:p w14:paraId="6D169149" w14:textId="3A1D6E70" w:rsidR="002F08EC" w:rsidRPr="002F08EC" w:rsidRDefault="002F08EC" w:rsidP="006474AC">
      <w:pPr>
        <w:pStyle w:val="ListParagraph"/>
        <w:numPr>
          <w:ilvl w:val="0"/>
          <w:numId w:val="4"/>
        </w:numPr>
        <w:spacing w:line="480" w:lineRule="auto"/>
        <w:ind w:hanging="720"/>
        <w:jc w:val="both"/>
        <w:rPr>
          <w:rFonts w:ascii="Times New Roman" w:hAnsi="Times New Roman" w:cs="Times New Roman"/>
          <w:color w:val="000000" w:themeColor="text1"/>
          <w:sz w:val="28"/>
          <w:szCs w:val="28"/>
        </w:rPr>
      </w:pPr>
      <w:r w:rsidRPr="002F08EC">
        <w:rPr>
          <w:rFonts w:ascii="Times New Roman" w:hAnsi="Times New Roman" w:cs="Times New Roman"/>
          <w:sz w:val="24"/>
          <w:szCs w:val="24"/>
        </w:rPr>
        <w:t xml:space="preserve">UNESCO. (2003). </w:t>
      </w:r>
      <w:r w:rsidRPr="002F08EC">
        <w:rPr>
          <w:rStyle w:val="Emphasis"/>
          <w:rFonts w:ascii="Times New Roman" w:hAnsi="Times New Roman" w:cs="Times New Roman"/>
          <w:sz w:val="24"/>
          <w:szCs w:val="24"/>
        </w:rPr>
        <w:t>Charter on the preservation of digital heritage.</w:t>
      </w:r>
      <w:r w:rsidRPr="002F08EC">
        <w:rPr>
          <w:rFonts w:ascii="Times New Roman" w:hAnsi="Times New Roman" w:cs="Times New Roman"/>
          <w:sz w:val="24"/>
          <w:szCs w:val="24"/>
        </w:rPr>
        <w:t xml:space="preserve"> </w:t>
      </w:r>
      <w:hyperlink r:id="rId20" w:tgtFrame="_new" w:history="1">
        <w:r w:rsidRPr="002F08EC">
          <w:rPr>
            <w:rStyle w:val="Hyperlink"/>
            <w:rFonts w:ascii="Times New Roman" w:hAnsi="Times New Roman" w:cs="Times New Roman"/>
            <w:sz w:val="24"/>
            <w:szCs w:val="24"/>
          </w:rPr>
          <w:t>https://unesdoc.unesco.org/ark:/48223/pf0000130071</w:t>
        </w:r>
      </w:hyperlink>
    </w:p>
    <w:p w14:paraId="700C29F1" w14:textId="1B2A028E" w:rsidR="002F08EC" w:rsidRPr="002F08EC" w:rsidRDefault="002F08EC" w:rsidP="006474AC">
      <w:pPr>
        <w:pStyle w:val="ListParagraph"/>
        <w:numPr>
          <w:ilvl w:val="0"/>
          <w:numId w:val="4"/>
        </w:numPr>
        <w:spacing w:line="480" w:lineRule="auto"/>
        <w:ind w:hanging="720"/>
        <w:jc w:val="both"/>
        <w:rPr>
          <w:rFonts w:ascii="Times New Roman" w:hAnsi="Times New Roman" w:cs="Times New Roman"/>
          <w:color w:val="000000" w:themeColor="text1"/>
          <w:sz w:val="28"/>
          <w:szCs w:val="28"/>
        </w:rPr>
      </w:pPr>
      <w:r w:rsidRPr="002F08EC">
        <w:rPr>
          <w:rFonts w:ascii="Times New Roman" w:hAnsi="Times New Roman" w:cs="Times New Roman"/>
          <w:sz w:val="24"/>
          <w:szCs w:val="24"/>
        </w:rPr>
        <w:t xml:space="preserve">UNESCO. (2015). </w:t>
      </w:r>
      <w:r w:rsidRPr="002F08EC">
        <w:rPr>
          <w:rStyle w:val="Emphasis"/>
          <w:rFonts w:ascii="Times New Roman" w:hAnsi="Times New Roman" w:cs="Times New Roman"/>
          <w:sz w:val="24"/>
          <w:szCs w:val="24"/>
        </w:rPr>
        <w:t>Guidelines for the preservation of digital heritage.</w:t>
      </w:r>
      <w:r w:rsidRPr="002F08EC">
        <w:rPr>
          <w:rFonts w:ascii="Times New Roman" w:hAnsi="Times New Roman" w:cs="Times New Roman"/>
          <w:sz w:val="24"/>
          <w:szCs w:val="24"/>
        </w:rPr>
        <w:t xml:space="preserve"> </w:t>
      </w:r>
      <w:hyperlink r:id="rId21" w:tgtFrame="_new" w:history="1">
        <w:r w:rsidRPr="002F08EC">
          <w:rPr>
            <w:rStyle w:val="Hyperlink"/>
            <w:rFonts w:ascii="Times New Roman" w:hAnsi="Times New Roman" w:cs="Times New Roman"/>
            <w:sz w:val="24"/>
            <w:szCs w:val="24"/>
          </w:rPr>
          <w:t>https://unesdoc.unesco.org/ark:/48223/pf0000130071</w:t>
        </w:r>
      </w:hyperlink>
    </w:p>
    <w:p w14:paraId="1A7EB38F" w14:textId="77777777" w:rsidR="00B12770" w:rsidRPr="00B12770" w:rsidRDefault="002F08EC" w:rsidP="006474AC">
      <w:pPr>
        <w:pStyle w:val="ListParagraph"/>
        <w:numPr>
          <w:ilvl w:val="0"/>
          <w:numId w:val="4"/>
        </w:numPr>
        <w:spacing w:line="480" w:lineRule="auto"/>
        <w:ind w:hanging="720"/>
        <w:jc w:val="both"/>
        <w:rPr>
          <w:rFonts w:ascii="Times New Roman" w:hAnsi="Times New Roman" w:cs="Times New Roman"/>
          <w:color w:val="000000" w:themeColor="text1"/>
          <w:sz w:val="28"/>
          <w:szCs w:val="28"/>
        </w:rPr>
      </w:pPr>
      <w:r w:rsidRPr="002F08EC">
        <w:rPr>
          <w:rFonts w:ascii="Times New Roman" w:hAnsi="Times New Roman" w:cs="Times New Roman"/>
          <w:sz w:val="24"/>
          <w:szCs w:val="24"/>
        </w:rPr>
        <w:t xml:space="preserve">World Bank. (2023). </w:t>
      </w:r>
      <w:r w:rsidRPr="002F08EC">
        <w:rPr>
          <w:rStyle w:val="Emphasis"/>
          <w:rFonts w:ascii="Times New Roman" w:hAnsi="Times New Roman" w:cs="Times New Roman"/>
          <w:sz w:val="24"/>
          <w:szCs w:val="24"/>
        </w:rPr>
        <w:t>Bangladesh overview.</w:t>
      </w:r>
      <w:r w:rsidRPr="002F08EC">
        <w:rPr>
          <w:rFonts w:ascii="Times New Roman" w:hAnsi="Times New Roman" w:cs="Times New Roman"/>
          <w:sz w:val="24"/>
          <w:szCs w:val="24"/>
        </w:rPr>
        <w:t xml:space="preserve"> </w:t>
      </w:r>
    </w:p>
    <w:p w14:paraId="04F91791" w14:textId="0814305E" w:rsidR="002F08EC" w:rsidRPr="002F08EC" w:rsidRDefault="00F6771D" w:rsidP="006474AC">
      <w:pPr>
        <w:pStyle w:val="ListParagraph"/>
        <w:spacing w:line="480" w:lineRule="auto"/>
        <w:ind w:hanging="720"/>
        <w:jc w:val="both"/>
        <w:rPr>
          <w:rFonts w:ascii="Times New Roman" w:hAnsi="Times New Roman" w:cs="Times New Roman"/>
          <w:color w:val="000000" w:themeColor="text1"/>
          <w:sz w:val="28"/>
          <w:szCs w:val="28"/>
        </w:rPr>
      </w:pPr>
      <w:hyperlink r:id="rId22" w:history="1">
        <w:r w:rsidR="00B12770" w:rsidRPr="004A42DF">
          <w:rPr>
            <w:rStyle w:val="Hyperlink"/>
            <w:rFonts w:ascii="Times New Roman" w:hAnsi="Times New Roman" w:cs="Times New Roman"/>
            <w:sz w:val="24"/>
            <w:szCs w:val="24"/>
          </w:rPr>
          <w:t>https://www.worldbank.org/en/country/bangladesh/overview</w:t>
        </w:r>
      </w:hyperlink>
    </w:p>
    <w:bookmarkEnd w:id="2"/>
    <w:p w14:paraId="27F3F72C" w14:textId="77777777" w:rsidR="00CF39A7" w:rsidRPr="003A4BDF" w:rsidRDefault="00CF39A7" w:rsidP="00094A0E">
      <w:pPr>
        <w:rPr>
          <w:rFonts w:ascii="Times New Roman" w:hAnsi="Times New Roman" w:cs="Times New Roman"/>
          <w:sz w:val="24"/>
          <w:szCs w:val="24"/>
        </w:rPr>
      </w:pPr>
    </w:p>
    <w:sectPr w:rsidR="00CF39A7" w:rsidRPr="003A4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965"/>
    <w:multiLevelType w:val="hybridMultilevel"/>
    <w:tmpl w:val="2A48648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2057976"/>
    <w:multiLevelType w:val="hybridMultilevel"/>
    <w:tmpl w:val="3EA4855E"/>
    <w:lvl w:ilvl="0" w:tplc="EC1C918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23B99"/>
    <w:multiLevelType w:val="hybridMultilevel"/>
    <w:tmpl w:val="3FC262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52829"/>
    <w:multiLevelType w:val="multilevel"/>
    <w:tmpl w:val="9886B0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7732C"/>
    <w:multiLevelType w:val="hybridMultilevel"/>
    <w:tmpl w:val="74241E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40D69"/>
    <w:multiLevelType w:val="hybridMultilevel"/>
    <w:tmpl w:val="1E121028"/>
    <w:lvl w:ilvl="0" w:tplc="B31A6B84">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DB"/>
    <w:rsid w:val="00055C1C"/>
    <w:rsid w:val="00094A0E"/>
    <w:rsid w:val="000E3775"/>
    <w:rsid w:val="001017DE"/>
    <w:rsid w:val="00106527"/>
    <w:rsid w:val="00115142"/>
    <w:rsid w:val="00123782"/>
    <w:rsid w:val="00190230"/>
    <w:rsid w:val="002005DE"/>
    <w:rsid w:val="00205C6F"/>
    <w:rsid w:val="002472F6"/>
    <w:rsid w:val="00255E22"/>
    <w:rsid w:val="00276E89"/>
    <w:rsid w:val="002C4D89"/>
    <w:rsid w:val="002E54B4"/>
    <w:rsid w:val="002F08EC"/>
    <w:rsid w:val="002F2943"/>
    <w:rsid w:val="003305DF"/>
    <w:rsid w:val="003341C1"/>
    <w:rsid w:val="0034311D"/>
    <w:rsid w:val="003475B2"/>
    <w:rsid w:val="003A4BDF"/>
    <w:rsid w:val="003A7CE1"/>
    <w:rsid w:val="003E3584"/>
    <w:rsid w:val="00493E62"/>
    <w:rsid w:val="004957A6"/>
    <w:rsid w:val="004A1329"/>
    <w:rsid w:val="004B3178"/>
    <w:rsid w:val="004C4F1E"/>
    <w:rsid w:val="00537872"/>
    <w:rsid w:val="00544B6E"/>
    <w:rsid w:val="00551255"/>
    <w:rsid w:val="00586239"/>
    <w:rsid w:val="005B22DB"/>
    <w:rsid w:val="006474AC"/>
    <w:rsid w:val="0071381B"/>
    <w:rsid w:val="00732BE5"/>
    <w:rsid w:val="00754585"/>
    <w:rsid w:val="007763E4"/>
    <w:rsid w:val="00792207"/>
    <w:rsid w:val="007B5F72"/>
    <w:rsid w:val="007C616E"/>
    <w:rsid w:val="007D4D03"/>
    <w:rsid w:val="00803E5E"/>
    <w:rsid w:val="00883B50"/>
    <w:rsid w:val="008C33D9"/>
    <w:rsid w:val="00906CD3"/>
    <w:rsid w:val="0092667C"/>
    <w:rsid w:val="00954475"/>
    <w:rsid w:val="00954E22"/>
    <w:rsid w:val="009670D8"/>
    <w:rsid w:val="00A50F54"/>
    <w:rsid w:val="00A60F27"/>
    <w:rsid w:val="00A93AEE"/>
    <w:rsid w:val="00AC4EB1"/>
    <w:rsid w:val="00B12770"/>
    <w:rsid w:val="00B33581"/>
    <w:rsid w:val="00B52FB6"/>
    <w:rsid w:val="00BC2AB1"/>
    <w:rsid w:val="00C07237"/>
    <w:rsid w:val="00C232A5"/>
    <w:rsid w:val="00C433B2"/>
    <w:rsid w:val="00CB4861"/>
    <w:rsid w:val="00CF39A7"/>
    <w:rsid w:val="00D73F82"/>
    <w:rsid w:val="00D8364C"/>
    <w:rsid w:val="00DC38A8"/>
    <w:rsid w:val="00DE7741"/>
    <w:rsid w:val="00E54F31"/>
    <w:rsid w:val="00E662CE"/>
    <w:rsid w:val="00E662F4"/>
    <w:rsid w:val="00E6782B"/>
    <w:rsid w:val="00E82A6E"/>
    <w:rsid w:val="00F45950"/>
    <w:rsid w:val="00F6771D"/>
    <w:rsid w:val="00F71F1B"/>
    <w:rsid w:val="00FC0D32"/>
    <w:rsid w:val="00FC240D"/>
    <w:rsid w:val="00FF1E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3E45"/>
  <w15:chartTrackingRefBased/>
  <w15:docId w15:val="{BFB95671-C82E-4100-B14D-5D9E515E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B6E"/>
    <w:pPr>
      <w:spacing w:line="259" w:lineRule="auto"/>
    </w:pPr>
    <w:rPr>
      <w:kern w:val="0"/>
      <w:sz w:val="22"/>
      <w:szCs w:val="22"/>
      <w14:ligatures w14:val="none"/>
    </w:rPr>
  </w:style>
  <w:style w:type="paragraph" w:styleId="Heading1">
    <w:name w:val="heading 1"/>
    <w:basedOn w:val="Normal"/>
    <w:next w:val="Normal"/>
    <w:link w:val="Heading1Char"/>
    <w:uiPriority w:val="9"/>
    <w:qFormat/>
    <w:rsid w:val="005B2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2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2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2DB"/>
    <w:rPr>
      <w:rFonts w:eastAsiaTheme="majorEastAsia" w:cstheme="majorBidi"/>
      <w:color w:val="272727" w:themeColor="text1" w:themeTint="D8"/>
    </w:rPr>
  </w:style>
  <w:style w:type="paragraph" w:styleId="Title">
    <w:name w:val="Title"/>
    <w:basedOn w:val="Normal"/>
    <w:next w:val="Normal"/>
    <w:link w:val="TitleChar"/>
    <w:uiPriority w:val="10"/>
    <w:qFormat/>
    <w:rsid w:val="005B2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2DB"/>
    <w:pPr>
      <w:spacing w:before="160"/>
      <w:jc w:val="center"/>
    </w:pPr>
    <w:rPr>
      <w:i/>
      <w:iCs/>
      <w:color w:val="404040" w:themeColor="text1" w:themeTint="BF"/>
    </w:rPr>
  </w:style>
  <w:style w:type="character" w:customStyle="1" w:styleId="QuoteChar">
    <w:name w:val="Quote Char"/>
    <w:basedOn w:val="DefaultParagraphFont"/>
    <w:link w:val="Quote"/>
    <w:uiPriority w:val="29"/>
    <w:rsid w:val="005B22DB"/>
    <w:rPr>
      <w:i/>
      <w:iCs/>
      <w:color w:val="404040" w:themeColor="text1" w:themeTint="BF"/>
    </w:rPr>
  </w:style>
  <w:style w:type="paragraph" w:styleId="ListParagraph">
    <w:name w:val="List Paragraph"/>
    <w:basedOn w:val="Normal"/>
    <w:uiPriority w:val="34"/>
    <w:qFormat/>
    <w:rsid w:val="005B22DB"/>
    <w:pPr>
      <w:ind w:left="720"/>
      <w:contextualSpacing/>
    </w:pPr>
  </w:style>
  <w:style w:type="character" w:styleId="IntenseEmphasis">
    <w:name w:val="Intense Emphasis"/>
    <w:basedOn w:val="DefaultParagraphFont"/>
    <w:uiPriority w:val="21"/>
    <w:qFormat/>
    <w:rsid w:val="005B22DB"/>
    <w:rPr>
      <w:i/>
      <w:iCs/>
      <w:color w:val="0F4761" w:themeColor="accent1" w:themeShade="BF"/>
    </w:rPr>
  </w:style>
  <w:style w:type="paragraph" w:styleId="IntenseQuote">
    <w:name w:val="Intense Quote"/>
    <w:basedOn w:val="Normal"/>
    <w:next w:val="Normal"/>
    <w:link w:val="IntenseQuoteChar"/>
    <w:uiPriority w:val="30"/>
    <w:qFormat/>
    <w:rsid w:val="005B2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2DB"/>
    <w:rPr>
      <w:i/>
      <w:iCs/>
      <w:color w:val="0F4761" w:themeColor="accent1" w:themeShade="BF"/>
    </w:rPr>
  </w:style>
  <w:style w:type="character" w:styleId="IntenseReference">
    <w:name w:val="Intense Reference"/>
    <w:basedOn w:val="DefaultParagraphFont"/>
    <w:uiPriority w:val="32"/>
    <w:qFormat/>
    <w:rsid w:val="005B22DB"/>
    <w:rPr>
      <w:b/>
      <w:bCs/>
      <w:smallCaps/>
      <w:color w:val="0F4761" w:themeColor="accent1" w:themeShade="BF"/>
      <w:spacing w:val="5"/>
    </w:rPr>
  </w:style>
  <w:style w:type="paragraph" w:styleId="NormalWeb">
    <w:name w:val="Normal (Web)"/>
    <w:basedOn w:val="Normal"/>
    <w:uiPriority w:val="99"/>
    <w:unhideWhenUsed/>
    <w:rsid w:val="00544B6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F39A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70D8"/>
    <w:rPr>
      <w:color w:val="467886" w:themeColor="hyperlink"/>
      <w:u w:val="single"/>
    </w:rPr>
  </w:style>
  <w:style w:type="paragraph" w:styleId="Revision">
    <w:name w:val="Revision"/>
    <w:hidden/>
    <w:uiPriority w:val="99"/>
    <w:semiHidden/>
    <w:rsid w:val="004C4F1E"/>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551255"/>
    <w:rPr>
      <w:sz w:val="16"/>
      <w:szCs w:val="16"/>
    </w:rPr>
  </w:style>
  <w:style w:type="paragraph" w:styleId="CommentText">
    <w:name w:val="annotation text"/>
    <w:basedOn w:val="Normal"/>
    <w:link w:val="CommentTextChar"/>
    <w:uiPriority w:val="99"/>
    <w:unhideWhenUsed/>
    <w:rsid w:val="00551255"/>
    <w:pPr>
      <w:spacing w:line="240" w:lineRule="auto"/>
    </w:pPr>
    <w:rPr>
      <w:sz w:val="20"/>
      <w:szCs w:val="20"/>
    </w:rPr>
  </w:style>
  <w:style w:type="character" w:customStyle="1" w:styleId="CommentTextChar">
    <w:name w:val="Comment Text Char"/>
    <w:basedOn w:val="DefaultParagraphFont"/>
    <w:link w:val="CommentText"/>
    <w:uiPriority w:val="99"/>
    <w:rsid w:val="0055125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1255"/>
    <w:rPr>
      <w:b/>
      <w:bCs/>
    </w:rPr>
  </w:style>
  <w:style w:type="character" w:customStyle="1" w:styleId="CommentSubjectChar">
    <w:name w:val="Comment Subject Char"/>
    <w:basedOn w:val="CommentTextChar"/>
    <w:link w:val="CommentSubject"/>
    <w:uiPriority w:val="99"/>
    <w:semiHidden/>
    <w:rsid w:val="00551255"/>
    <w:rPr>
      <w:b/>
      <w:bCs/>
      <w:kern w:val="0"/>
      <w:sz w:val="20"/>
      <w:szCs w:val="20"/>
      <w14:ligatures w14:val="none"/>
    </w:rPr>
  </w:style>
  <w:style w:type="character" w:styleId="Emphasis">
    <w:name w:val="Emphasis"/>
    <w:basedOn w:val="DefaultParagraphFont"/>
    <w:uiPriority w:val="20"/>
    <w:qFormat/>
    <w:rsid w:val="00DC38A8"/>
    <w:rPr>
      <w:i/>
      <w:iCs/>
    </w:rPr>
  </w:style>
  <w:style w:type="character" w:styleId="UnresolvedMention">
    <w:name w:val="Unresolved Mention"/>
    <w:basedOn w:val="DefaultParagraphFont"/>
    <w:uiPriority w:val="99"/>
    <w:semiHidden/>
    <w:unhideWhenUsed/>
    <w:rsid w:val="00DC3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hyperlink" Target="https://www.ica.org/en/statement-principles-access-archives" TargetMode="External"/><Relationship Id="rId3" Type="http://schemas.openxmlformats.org/officeDocument/2006/relationships/settings" Target="settings.xml"/><Relationship Id="rId21" Type="http://schemas.openxmlformats.org/officeDocument/2006/relationships/hyperlink" Target="https://unesdoc.unesco.org/ark:/48223/pf0000130071" TargetMode="Externa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hyperlink" Target="https://public.ccsds.org/pubs/650x0m2.pdf" TargetMode="Externa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hyperlink" Target="https://unesdoc.unesco.org/ark:/48223/pf0000130071"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theme" Target="theme/theme1.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fontTable" Target="fontTable.xml"/><Relationship Id="rId10" Type="http://schemas.openxmlformats.org/officeDocument/2006/relationships/chart" Target="charts/chart6.xml"/><Relationship Id="rId19" Type="http://schemas.openxmlformats.org/officeDocument/2006/relationships/hyperlink" Target="https://doi.org/10.24940/theijbm/2021/v9/i6/BM2106-041" TargetMode="Externa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hyperlink" Target="https://www.worldbank.org/en/country/bangladesh/overview"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i="0" u="none" strike="noStrike" baseline="0">
                <a:effectLst/>
                <a:latin typeface="Times New Roman" panose="02020603050405020304" pitchFamily="18" charset="0"/>
                <a:cs typeface="Times New Roman" panose="02020603050405020304" pitchFamily="18" charset="0"/>
              </a:rPr>
              <a:t>Training in Digital Preservation</a:t>
            </a:r>
            <a:endParaRPr lang="en-US">
              <a:latin typeface="Times New Roman" panose="02020603050405020304" pitchFamily="18" charset="0"/>
              <a:cs typeface="Times New Roman" panose="02020603050405020304" pitchFamily="18" charset="0"/>
            </a:endParaRPr>
          </a:p>
        </c:rich>
      </c:tx>
      <c:layout>
        <c:manualLayout>
          <c:xMode val="edge"/>
          <c:yMode val="edge"/>
          <c:x val="0.23449300087489064"/>
          <c:y val="5.092592592592592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dPt>
            <c:idx val="0"/>
            <c:bubble3D val="0"/>
            <c:spPr>
              <a:solidFill>
                <a:schemeClr val="accent1">
                  <a:shade val="76000"/>
                </a:schemeClr>
              </a:solidFill>
              <a:ln w="25400">
                <a:noFill/>
              </a:ln>
              <a:effectLst/>
              <a:sp3d/>
            </c:spPr>
            <c:extLst>
              <c:ext xmlns:c16="http://schemas.microsoft.com/office/drawing/2014/chart" uri="{C3380CC4-5D6E-409C-BE32-E72D297353CC}">
                <c16:uniqueId val="{00000001-C613-4C94-91E5-BD6214CEB1EC}"/>
              </c:ext>
            </c:extLst>
          </c:dPt>
          <c:dPt>
            <c:idx val="1"/>
            <c:bubble3D val="0"/>
            <c:spPr>
              <a:solidFill>
                <a:schemeClr val="accent1">
                  <a:tint val="77000"/>
                </a:schemeClr>
              </a:solidFill>
              <a:ln w="25400">
                <a:noFill/>
              </a:ln>
              <a:effectLst/>
              <a:sp3d/>
            </c:spPr>
            <c:extLst>
              <c:ext xmlns:c16="http://schemas.microsoft.com/office/drawing/2014/chart" uri="{C3380CC4-5D6E-409C-BE32-E72D297353CC}">
                <c16:uniqueId val="{00000003-C613-4C94-91E5-BD6214CEB1EC}"/>
              </c:ext>
            </c:extLst>
          </c:dPt>
          <c:dLbls>
            <c:dLbl>
              <c:idx val="1"/>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13-4C94-91E5-BD6214CEB1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extLst>
          </c:dLbls>
          <c:cat>
            <c:strRef>
              <c:f>Sheet1!$A$1:$A$2</c:f>
              <c:strCache>
                <c:ptCount val="2"/>
                <c:pt idx="0">
                  <c:v>Yes</c:v>
                </c:pt>
                <c:pt idx="1">
                  <c:v>No</c:v>
                </c:pt>
              </c:strCache>
            </c:strRef>
          </c:cat>
          <c:val>
            <c:numRef>
              <c:f>Sheet1!$B$1:$B$2</c:f>
              <c:numCache>
                <c:formatCode>0%</c:formatCode>
                <c:ptCount val="2"/>
                <c:pt idx="0">
                  <c:v>0.25</c:v>
                </c:pt>
                <c:pt idx="1">
                  <c:v>0.75</c:v>
                </c:pt>
              </c:numCache>
            </c:numRef>
          </c:val>
          <c:extLst>
            <c:ext xmlns:c16="http://schemas.microsoft.com/office/drawing/2014/chart" uri="{C3380CC4-5D6E-409C-BE32-E72D297353CC}">
              <c16:uniqueId val="{00000004-C613-4C94-91E5-BD6214CEB1E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Sheet13!$B$1</c:f>
              <c:strCache>
                <c:ptCount val="1"/>
                <c:pt idx="0">
                  <c:v>Percentage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Sheet13!$A$2:$A$6</c:f>
              <c:strCache>
                <c:ptCount val="5"/>
                <c:pt idx="0">
                  <c:v>Lack of funding</c:v>
                </c:pt>
                <c:pt idx="1">
                  <c:v>Technological obsolescence</c:v>
                </c:pt>
                <c:pt idx="2">
                  <c:v>Lack of skills and training</c:v>
                </c:pt>
                <c:pt idx="3">
                  <c:v>Legal/policy issues</c:v>
                </c:pt>
                <c:pt idx="4">
                  <c:v>Poor infrastructure</c:v>
                </c:pt>
              </c:strCache>
            </c:strRef>
          </c:cat>
          <c:val>
            <c:numRef>
              <c:f>Sheet13!$B$2:$B$6</c:f>
              <c:numCache>
                <c:formatCode>General</c:formatCode>
                <c:ptCount val="5"/>
                <c:pt idx="0">
                  <c:v>33.299999999999997</c:v>
                </c:pt>
                <c:pt idx="1">
                  <c:v>57.1</c:v>
                </c:pt>
                <c:pt idx="2">
                  <c:v>76.2</c:v>
                </c:pt>
                <c:pt idx="3">
                  <c:v>14.3</c:v>
                </c:pt>
                <c:pt idx="4">
                  <c:v>38.1</c:v>
                </c:pt>
              </c:numCache>
            </c:numRef>
          </c:val>
          <c:extLst>
            <c:ext xmlns:c16="http://schemas.microsoft.com/office/drawing/2014/chart" uri="{C3380CC4-5D6E-409C-BE32-E72D297353CC}">
              <c16:uniqueId val="{00000000-99CC-495E-94B0-C18ACA17E95B}"/>
            </c:ext>
          </c:extLst>
        </c:ser>
        <c:dLbls>
          <c:dLblPos val="outEnd"/>
          <c:showLegendKey val="0"/>
          <c:showVal val="1"/>
          <c:showCatName val="0"/>
          <c:showSerName val="0"/>
          <c:showPercent val="0"/>
          <c:showBubbleSize val="0"/>
        </c:dLbls>
        <c:gapWidth val="182"/>
        <c:axId val="1491329936"/>
        <c:axId val="1491330896"/>
      </c:barChart>
      <c:catAx>
        <c:axId val="14913299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1330896"/>
        <c:crosses val="autoZero"/>
        <c:auto val="1"/>
        <c:lblAlgn val="ctr"/>
        <c:lblOffset val="100"/>
        <c:noMultiLvlLbl val="0"/>
      </c:catAx>
      <c:valAx>
        <c:axId val="149133089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1329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Sheet14!$B$1</c:f>
              <c:strCache>
                <c:ptCount val="1"/>
                <c:pt idx="0">
                  <c:v>Percentage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Sheet14!$A$2:$A$6</c:f>
              <c:strCache>
                <c:ptCount val="5"/>
                <c:pt idx="0">
                  <c:v>Increased budget</c:v>
                </c:pt>
                <c:pt idx="1">
                  <c:v>Technical training for staff</c:v>
                </c:pt>
                <c:pt idx="2">
                  <c:v>Policy formulation</c:v>
                </c:pt>
                <c:pt idx="3">
                  <c:v>Improved infrastructure</c:v>
                </c:pt>
                <c:pt idx="4">
                  <c:v>External expert consultation</c:v>
                </c:pt>
              </c:strCache>
            </c:strRef>
          </c:cat>
          <c:val>
            <c:numRef>
              <c:f>Sheet14!$B$2:$B$6</c:f>
              <c:numCache>
                <c:formatCode>General</c:formatCode>
                <c:ptCount val="5"/>
                <c:pt idx="0">
                  <c:v>23.8</c:v>
                </c:pt>
                <c:pt idx="1">
                  <c:v>76.2</c:v>
                </c:pt>
                <c:pt idx="2">
                  <c:v>33.299999999999997</c:v>
                </c:pt>
                <c:pt idx="3">
                  <c:v>47.6</c:v>
                </c:pt>
                <c:pt idx="4">
                  <c:v>14.3</c:v>
                </c:pt>
              </c:numCache>
            </c:numRef>
          </c:val>
          <c:extLst>
            <c:ext xmlns:c16="http://schemas.microsoft.com/office/drawing/2014/chart" uri="{C3380CC4-5D6E-409C-BE32-E72D297353CC}">
              <c16:uniqueId val="{00000000-DEC6-4BB4-ADFD-936D25C6799E}"/>
            </c:ext>
          </c:extLst>
        </c:ser>
        <c:dLbls>
          <c:dLblPos val="outEnd"/>
          <c:showLegendKey val="0"/>
          <c:showVal val="1"/>
          <c:showCatName val="0"/>
          <c:showSerName val="0"/>
          <c:showPercent val="0"/>
          <c:showBubbleSize val="0"/>
        </c:dLbls>
        <c:gapWidth val="182"/>
        <c:axId val="1491352496"/>
        <c:axId val="1491353936"/>
      </c:barChart>
      <c:catAx>
        <c:axId val="14913524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1353936"/>
        <c:crosses val="autoZero"/>
        <c:auto val="1"/>
        <c:lblAlgn val="ctr"/>
        <c:lblOffset val="100"/>
        <c:noMultiLvlLbl val="0"/>
      </c:catAx>
      <c:valAx>
        <c:axId val="149135393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1352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Sheet15!$B$1</c:f>
              <c:strCache>
                <c:ptCount val="1"/>
                <c:pt idx="0">
                  <c:v>Percentage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Sheet15!$A$2:$A$6</c:f>
              <c:strCache>
                <c:ptCount val="5"/>
                <c:pt idx="0">
                  <c:v>Develop institutional policies</c:v>
                </c:pt>
                <c:pt idx="1">
                  <c:v>Improve security and backup systems</c:v>
                </c:pt>
                <c:pt idx="2">
                  <c:v>Train and recruit skilled personnel</c:v>
                </c:pt>
                <c:pt idx="3">
                  <c:v>Upgrade hardware/software regularly</c:v>
                </c:pt>
                <c:pt idx="4">
                  <c:v>Collaborate with other national/international bodies</c:v>
                </c:pt>
              </c:strCache>
            </c:strRef>
          </c:cat>
          <c:val>
            <c:numRef>
              <c:f>Sheet15!$B$2:$B$6</c:f>
              <c:numCache>
                <c:formatCode>General</c:formatCode>
                <c:ptCount val="5"/>
                <c:pt idx="0">
                  <c:v>38.1</c:v>
                </c:pt>
                <c:pt idx="1">
                  <c:v>28.6</c:v>
                </c:pt>
                <c:pt idx="2">
                  <c:v>85.7</c:v>
                </c:pt>
                <c:pt idx="3">
                  <c:v>28.6</c:v>
                </c:pt>
                <c:pt idx="4">
                  <c:v>28.6</c:v>
                </c:pt>
              </c:numCache>
            </c:numRef>
          </c:val>
          <c:extLst>
            <c:ext xmlns:c16="http://schemas.microsoft.com/office/drawing/2014/chart" uri="{C3380CC4-5D6E-409C-BE32-E72D297353CC}">
              <c16:uniqueId val="{00000000-2AAD-4E82-830E-8B230D936707}"/>
            </c:ext>
          </c:extLst>
        </c:ser>
        <c:dLbls>
          <c:dLblPos val="outEnd"/>
          <c:showLegendKey val="0"/>
          <c:showVal val="1"/>
          <c:showCatName val="0"/>
          <c:showSerName val="0"/>
          <c:showPercent val="0"/>
          <c:showBubbleSize val="0"/>
        </c:dLbls>
        <c:gapWidth val="182"/>
        <c:axId val="1260301552"/>
        <c:axId val="1260306832"/>
      </c:barChart>
      <c:catAx>
        <c:axId val="12603015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0306832"/>
        <c:crosses val="autoZero"/>
        <c:auto val="1"/>
        <c:lblAlgn val="ctr"/>
        <c:lblOffset val="100"/>
        <c:noMultiLvlLbl val="0"/>
      </c:catAx>
      <c:valAx>
        <c:axId val="1260306832"/>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0301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Sheet2!$A$2</c:f>
              <c:strCache>
                <c:ptCount val="1"/>
                <c:pt idx="0">
                  <c:v>Sufficient funding allocated</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Sheet2!$B$1:$H$1</c:f>
              <c:strCache>
                <c:ptCount val="7"/>
                <c:pt idx="0">
                  <c:v>Strongly Disagree (%)</c:v>
                </c:pt>
                <c:pt idx="1">
                  <c:v>Disagree (%)</c:v>
                </c:pt>
                <c:pt idx="2">
                  <c:v>Slightly Disagree (%)</c:v>
                </c:pt>
                <c:pt idx="3">
                  <c:v>Neutral (%)</c:v>
                </c:pt>
                <c:pt idx="4">
                  <c:v>Slightly Agree (%)</c:v>
                </c:pt>
                <c:pt idx="5">
                  <c:v>Agree (%)</c:v>
                </c:pt>
                <c:pt idx="6">
                  <c:v>Strongly Agree (%)</c:v>
                </c:pt>
              </c:strCache>
            </c:strRef>
          </c:cat>
          <c:val>
            <c:numRef>
              <c:f>Sheet2!$B$2:$H$2</c:f>
              <c:numCache>
                <c:formatCode>General</c:formatCode>
                <c:ptCount val="7"/>
                <c:pt idx="0">
                  <c:v>5</c:v>
                </c:pt>
                <c:pt idx="1">
                  <c:v>35</c:v>
                </c:pt>
                <c:pt idx="2">
                  <c:v>10</c:v>
                </c:pt>
                <c:pt idx="3">
                  <c:v>15</c:v>
                </c:pt>
                <c:pt idx="4">
                  <c:v>20</c:v>
                </c:pt>
                <c:pt idx="5">
                  <c:v>15</c:v>
                </c:pt>
                <c:pt idx="6">
                  <c:v>0</c:v>
                </c:pt>
              </c:numCache>
            </c:numRef>
          </c:val>
          <c:extLst>
            <c:ext xmlns:c16="http://schemas.microsoft.com/office/drawing/2014/chart" uri="{C3380CC4-5D6E-409C-BE32-E72D297353CC}">
              <c16:uniqueId val="{00000000-F41B-4FB3-B707-75164AE0F0B0}"/>
            </c:ext>
          </c:extLst>
        </c:ser>
        <c:dLbls>
          <c:showLegendKey val="0"/>
          <c:showVal val="1"/>
          <c:showCatName val="0"/>
          <c:showSerName val="0"/>
          <c:showPercent val="0"/>
          <c:showBubbleSize val="0"/>
        </c:dLbls>
        <c:gapWidth val="150"/>
        <c:shape val="box"/>
        <c:axId val="416422448"/>
        <c:axId val="416421488"/>
        <c:axId val="0"/>
      </c:bar3DChart>
      <c:catAx>
        <c:axId val="416422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6421488"/>
        <c:crosses val="autoZero"/>
        <c:auto val="1"/>
        <c:lblAlgn val="ctr"/>
        <c:lblOffset val="100"/>
        <c:noMultiLvlLbl val="0"/>
      </c:catAx>
      <c:valAx>
        <c:axId val="41642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422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Sheet3!$A$2</c:f>
              <c:strCache>
                <c:ptCount val="1"/>
                <c:pt idx="0">
                  <c:v>Reliable infrastructure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Sheet3!$B$1:$H$1</c:f>
              <c:strCache>
                <c:ptCount val="7"/>
                <c:pt idx="0">
                  <c:v>Strongly Disagree (%)</c:v>
                </c:pt>
                <c:pt idx="1">
                  <c:v>Disagree (%)</c:v>
                </c:pt>
                <c:pt idx="2">
                  <c:v>Slightly Disagree (%)</c:v>
                </c:pt>
                <c:pt idx="3">
                  <c:v>Neutral (%)</c:v>
                </c:pt>
                <c:pt idx="4">
                  <c:v>Slightly Agree (%)</c:v>
                </c:pt>
                <c:pt idx="5">
                  <c:v>Agree (%)</c:v>
                </c:pt>
                <c:pt idx="6">
                  <c:v>Strongly Agree (%)</c:v>
                </c:pt>
              </c:strCache>
            </c:strRef>
          </c:cat>
          <c:val>
            <c:numRef>
              <c:f>Sheet3!$B$2:$H$2</c:f>
              <c:numCache>
                <c:formatCode>General</c:formatCode>
                <c:ptCount val="7"/>
                <c:pt idx="0">
                  <c:v>15</c:v>
                </c:pt>
                <c:pt idx="1">
                  <c:v>20</c:v>
                </c:pt>
                <c:pt idx="2">
                  <c:v>25</c:v>
                </c:pt>
                <c:pt idx="3">
                  <c:v>0</c:v>
                </c:pt>
                <c:pt idx="4">
                  <c:v>20</c:v>
                </c:pt>
                <c:pt idx="5">
                  <c:v>10</c:v>
                </c:pt>
                <c:pt idx="6">
                  <c:v>10</c:v>
                </c:pt>
              </c:numCache>
            </c:numRef>
          </c:val>
          <c:extLst>
            <c:ext xmlns:c16="http://schemas.microsoft.com/office/drawing/2014/chart" uri="{C3380CC4-5D6E-409C-BE32-E72D297353CC}">
              <c16:uniqueId val="{00000000-AB32-43ED-9E2C-EF48B6D04468}"/>
            </c:ext>
          </c:extLst>
        </c:ser>
        <c:dLbls>
          <c:showLegendKey val="0"/>
          <c:showVal val="1"/>
          <c:showCatName val="0"/>
          <c:showSerName val="0"/>
          <c:showPercent val="0"/>
          <c:showBubbleSize val="0"/>
        </c:dLbls>
        <c:gapWidth val="150"/>
        <c:shape val="box"/>
        <c:axId val="416455088"/>
        <c:axId val="416455568"/>
        <c:axId val="0"/>
      </c:bar3DChart>
      <c:catAx>
        <c:axId val="416455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6455568"/>
        <c:crosses val="autoZero"/>
        <c:auto val="1"/>
        <c:lblAlgn val="ctr"/>
        <c:lblOffset val="100"/>
        <c:noMultiLvlLbl val="0"/>
      </c:catAx>
      <c:valAx>
        <c:axId val="41645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455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Sheet4!$A$2</c:f>
              <c:strCache>
                <c:ptCount val="1"/>
                <c:pt idx="0">
                  <c:v>Systems regularly maintained</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Sheet4!$B$1:$H$1</c:f>
              <c:strCache>
                <c:ptCount val="7"/>
                <c:pt idx="0">
                  <c:v>Strongly Disagree (%)</c:v>
                </c:pt>
                <c:pt idx="1">
                  <c:v>Disagree (%)</c:v>
                </c:pt>
                <c:pt idx="2">
                  <c:v>Slightly Disagree (%)</c:v>
                </c:pt>
                <c:pt idx="3">
                  <c:v>Neutral (%)</c:v>
                </c:pt>
                <c:pt idx="4">
                  <c:v>Slightly Agree (%)</c:v>
                </c:pt>
                <c:pt idx="5">
                  <c:v>Agree (%)</c:v>
                </c:pt>
                <c:pt idx="6">
                  <c:v>Strongly Agree (%)</c:v>
                </c:pt>
              </c:strCache>
            </c:strRef>
          </c:cat>
          <c:val>
            <c:numRef>
              <c:f>Sheet4!$B$2:$H$2</c:f>
              <c:numCache>
                <c:formatCode>General</c:formatCode>
                <c:ptCount val="7"/>
                <c:pt idx="0">
                  <c:v>10</c:v>
                </c:pt>
                <c:pt idx="1">
                  <c:v>30</c:v>
                </c:pt>
                <c:pt idx="2">
                  <c:v>20</c:v>
                </c:pt>
                <c:pt idx="3">
                  <c:v>10</c:v>
                </c:pt>
                <c:pt idx="4">
                  <c:v>15</c:v>
                </c:pt>
                <c:pt idx="5">
                  <c:v>10</c:v>
                </c:pt>
                <c:pt idx="6">
                  <c:v>5</c:v>
                </c:pt>
              </c:numCache>
            </c:numRef>
          </c:val>
          <c:extLst>
            <c:ext xmlns:c16="http://schemas.microsoft.com/office/drawing/2014/chart" uri="{C3380CC4-5D6E-409C-BE32-E72D297353CC}">
              <c16:uniqueId val="{00000000-A167-4274-A223-F68FF9482AA4}"/>
            </c:ext>
          </c:extLst>
        </c:ser>
        <c:dLbls>
          <c:showLegendKey val="0"/>
          <c:showVal val="1"/>
          <c:showCatName val="0"/>
          <c:showSerName val="0"/>
          <c:showPercent val="0"/>
          <c:showBubbleSize val="0"/>
        </c:dLbls>
        <c:gapWidth val="150"/>
        <c:shape val="box"/>
        <c:axId val="416414288"/>
        <c:axId val="416398448"/>
        <c:axId val="0"/>
      </c:bar3DChart>
      <c:catAx>
        <c:axId val="416414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6398448"/>
        <c:crosses val="autoZero"/>
        <c:auto val="1"/>
        <c:lblAlgn val="ctr"/>
        <c:lblOffset val="100"/>
        <c:noMultiLvlLbl val="0"/>
      </c:catAx>
      <c:valAx>
        <c:axId val="416398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414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Sheet5!$A$2</c:f>
              <c:strCache>
                <c:ptCount val="1"/>
                <c:pt idx="0">
                  <c:v>Staff trained in metadata standards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Sheet5!$B$1:$H$1</c:f>
              <c:strCache>
                <c:ptCount val="7"/>
                <c:pt idx="0">
                  <c:v>Strongly Disagree (%)</c:v>
                </c:pt>
                <c:pt idx="1">
                  <c:v>Disagree (%)</c:v>
                </c:pt>
                <c:pt idx="2">
                  <c:v>Slightly Disagree (%)</c:v>
                </c:pt>
                <c:pt idx="3">
                  <c:v>Neutral (%)</c:v>
                </c:pt>
                <c:pt idx="4">
                  <c:v>Slightly Agree (%)</c:v>
                </c:pt>
                <c:pt idx="5">
                  <c:v>Agree (%)</c:v>
                </c:pt>
                <c:pt idx="6">
                  <c:v>Strongly Agree (%)</c:v>
                </c:pt>
              </c:strCache>
            </c:strRef>
          </c:cat>
          <c:val>
            <c:numRef>
              <c:f>Sheet5!$B$2:$H$2</c:f>
              <c:numCache>
                <c:formatCode>General</c:formatCode>
                <c:ptCount val="7"/>
                <c:pt idx="0">
                  <c:v>30</c:v>
                </c:pt>
                <c:pt idx="1">
                  <c:v>35</c:v>
                </c:pt>
                <c:pt idx="2">
                  <c:v>15</c:v>
                </c:pt>
                <c:pt idx="3">
                  <c:v>10</c:v>
                </c:pt>
                <c:pt idx="4">
                  <c:v>0</c:v>
                </c:pt>
                <c:pt idx="5">
                  <c:v>10</c:v>
                </c:pt>
                <c:pt idx="6">
                  <c:v>0</c:v>
                </c:pt>
              </c:numCache>
            </c:numRef>
          </c:val>
          <c:extLst>
            <c:ext xmlns:c16="http://schemas.microsoft.com/office/drawing/2014/chart" uri="{C3380CC4-5D6E-409C-BE32-E72D297353CC}">
              <c16:uniqueId val="{00000000-E133-457B-8255-B47CC9A76DB9}"/>
            </c:ext>
          </c:extLst>
        </c:ser>
        <c:dLbls>
          <c:showLegendKey val="0"/>
          <c:showVal val="1"/>
          <c:showCatName val="0"/>
          <c:showSerName val="0"/>
          <c:showPercent val="0"/>
          <c:showBubbleSize val="0"/>
        </c:dLbls>
        <c:gapWidth val="150"/>
        <c:shape val="box"/>
        <c:axId val="416424848"/>
        <c:axId val="416451728"/>
        <c:axId val="0"/>
      </c:bar3DChart>
      <c:catAx>
        <c:axId val="416424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6451728"/>
        <c:crosses val="autoZero"/>
        <c:auto val="1"/>
        <c:lblAlgn val="ctr"/>
        <c:lblOffset val="100"/>
        <c:noMultiLvlLbl val="0"/>
      </c:catAx>
      <c:valAx>
        <c:axId val="41645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424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Sheet6!$A$2</c:f>
              <c:strCache>
                <c:ptCount val="1"/>
                <c:pt idx="0">
                  <c:v>Administrative commitment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Sheet6!$B$1:$H$1</c:f>
              <c:strCache>
                <c:ptCount val="7"/>
                <c:pt idx="0">
                  <c:v>Strongly Disagree (%)</c:v>
                </c:pt>
                <c:pt idx="1">
                  <c:v>Disagree (%)</c:v>
                </c:pt>
                <c:pt idx="2">
                  <c:v>Slightly Disagree (%)</c:v>
                </c:pt>
                <c:pt idx="3">
                  <c:v>Neutral (%)</c:v>
                </c:pt>
                <c:pt idx="4">
                  <c:v>Slightly Agree (%)</c:v>
                </c:pt>
                <c:pt idx="5">
                  <c:v>Agree (%)</c:v>
                </c:pt>
                <c:pt idx="6">
                  <c:v>Strongly Agree (%)</c:v>
                </c:pt>
              </c:strCache>
            </c:strRef>
          </c:cat>
          <c:val>
            <c:numRef>
              <c:f>Sheet6!$B$2:$H$2</c:f>
              <c:numCache>
                <c:formatCode>General</c:formatCode>
                <c:ptCount val="7"/>
                <c:pt idx="0">
                  <c:v>0</c:v>
                </c:pt>
                <c:pt idx="1">
                  <c:v>0</c:v>
                </c:pt>
                <c:pt idx="2">
                  <c:v>10</c:v>
                </c:pt>
                <c:pt idx="3">
                  <c:v>5</c:v>
                </c:pt>
                <c:pt idx="4">
                  <c:v>15</c:v>
                </c:pt>
                <c:pt idx="5">
                  <c:v>55</c:v>
                </c:pt>
                <c:pt idx="6">
                  <c:v>15</c:v>
                </c:pt>
              </c:numCache>
            </c:numRef>
          </c:val>
          <c:extLst>
            <c:ext xmlns:c16="http://schemas.microsoft.com/office/drawing/2014/chart" uri="{C3380CC4-5D6E-409C-BE32-E72D297353CC}">
              <c16:uniqueId val="{00000000-D104-4502-91C2-C7B244F29C81}"/>
            </c:ext>
          </c:extLst>
        </c:ser>
        <c:dLbls>
          <c:showLegendKey val="0"/>
          <c:showVal val="1"/>
          <c:showCatName val="0"/>
          <c:showSerName val="0"/>
          <c:showPercent val="0"/>
          <c:showBubbleSize val="0"/>
        </c:dLbls>
        <c:gapWidth val="150"/>
        <c:shape val="box"/>
        <c:axId val="416442128"/>
        <c:axId val="416449328"/>
        <c:axId val="0"/>
      </c:bar3DChart>
      <c:catAx>
        <c:axId val="416442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6449328"/>
        <c:crosses val="autoZero"/>
        <c:auto val="1"/>
        <c:lblAlgn val="ctr"/>
        <c:lblOffset val="100"/>
        <c:noMultiLvlLbl val="0"/>
      </c:catAx>
      <c:valAx>
        <c:axId val="416449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442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Sheet10!$B$1</c:f>
              <c:strCache>
                <c:ptCount val="1"/>
                <c:pt idx="0">
                  <c:v>Percentage</c:v>
                </c:pt>
              </c:strCache>
            </c:strRef>
          </c:tx>
          <c:spPr>
            <a:solidFill>
              <a:schemeClr val="accent5"/>
            </a:solidFill>
            <a:ln>
              <a:noFill/>
            </a:ln>
            <a:effectLst/>
          </c:spPr>
          <c:invertIfNegative val="0"/>
          <c:dLbls>
            <c:dLbl>
              <c:idx val="0"/>
              <c:tx>
                <c:rich>
                  <a:bodyPr/>
                  <a:lstStyle/>
                  <a:p>
                    <a:r>
                      <a:rPr lang="en-US"/>
                      <a:t>3(</a:t>
                    </a:r>
                    <a:fld id="{51A86CFE-869D-4F64-9111-A6460DD1B12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14A-41CE-8F26-2AD38D677084}"/>
                </c:ext>
              </c:extLst>
            </c:dLbl>
            <c:dLbl>
              <c:idx val="1"/>
              <c:tx>
                <c:rich>
                  <a:bodyPr/>
                  <a:lstStyle/>
                  <a:p>
                    <a:r>
                      <a:rPr lang="en-US"/>
                      <a:t>19(</a:t>
                    </a:r>
                    <a:fld id="{6350B433-070F-4734-90BB-ED399A7E12D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14A-41CE-8F26-2AD38D677084}"/>
                </c:ext>
              </c:extLst>
            </c:dLbl>
            <c:dLbl>
              <c:idx val="2"/>
              <c:tx>
                <c:rich>
                  <a:bodyPr/>
                  <a:lstStyle/>
                  <a:p>
                    <a:r>
                      <a:rPr lang="en-US"/>
                      <a:t>1(</a:t>
                    </a:r>
                    <a:fld id="{50852A49-16A1-4F28-8D2A-80FDE2D99764}"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14A-41CE-8F26-2AD38D677084}"/>
                </c:ext>
              </c:extLst>
            </c:dLbl>
            <c:dLbl>
              <c:idx val="3"/>
              <c:tx>
                <c:rich>
                  <a:bodyPr/>
                  <a:lstStyle/>
                  <a:p>
                    <a:r>
                      <a:rPr lang="en-US"/>
                      <a:t>5(</a:t>
                    </a:r>
                    <a:fld id="{A1B85B25-EA90-4E53-8DF3-00F7AEE8D95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14A-41CE-8F26-2AD38D677084}"/>
                </c:ext>
              </c:extLst>
            </c:dLbl>
            <c:dLbl>
              <c:idx val="4"/>
              <c:tx>
                <c:rich>
                  <a:bodyPr/>
                  <a:lstStyle/>
                  <a:p>
                    <a:r>
                      <a:rPr lang="en-US"/>
                      <a:t>11(</a:t>
                    </a:r>
                    <a:fld id="{4605242C-EEA7-439C-BD8F-AA4B3463741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14A-41CE-8F26-2AD38D677084}"/>
                </c:ext>
              </c:extLst>
            </c:dLbl>
            <c:dLbl>
              <c:idx val="5"/>
              <c:tx>
                <c:rich>
                  <a:bodyPr/>
                  <a:lstStyle/>
                  <a:p>
                    <a:r>
                      <a:rPr lang="en-US"/>
                      <a:t>12(</a:t>
                    </a:r>
                    <a:fld id="{AA4B8E65-8F71-43C0-AB47-ED5FBFC6961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14A-41CE-8F26-2AD38D6770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Sheet10!$A$2:$A$7</c:f>
              <c:strCache>
                <c:ptCount val="6"/>
                <c:pt idx="0">
                  <c:v>Media deterioration (e.g., damaged CDs, tapes)</c:v>
                </c:pt>
                <c:pt idx="1">
                  <c:v>Technological obsolescence</c:v>
                </c:pt>
                <c:pt idx="2">
                  <c:v>Frequent power failures</c:v>
                </c:pt>
                <c:pt idx="3">
                  <c:v>Poor internet connectivity</c:v>
                </c:pt>
                <c:pt idx="4">
                  <c:v>Outdated hardware/software</c:v>
                </c:pt>
                <c:pt idx="5">
                  <c:v>Lack of backup and recovery systems</c:v>
                </c:pt>
              </c:strCache>
            </c:strRef>
          </c:cat>
          <c:val>
            <c:numRef>
              <c:f>Sheet10!$B$2:$B$7</c:f>
              <c:numCache>
                <c:formatCode>General</c:formatCode>
                <c:ptCount val="6"/>
                <c:pt idx="0">
                  <c:v>14.3</c:v>
                </c:pt>
                <c:pt idx="1">
                  <c:v>90.5</c:v>
                </c:pt>
                <c:pt idx="2">
                  <c:v>4.8</c:v>
                </c:pt>
                <c:pt idx="3">
                  <c:v>23.8</c:v>
                </c:pt>
                <c:pt idx="4">
                  <c:v>52.4</c:v>
                </c:pt>
                <c:pt idx="5">
                  <c:v>57.1</c:v>
                </c:pt>
              </c:numCache>
            </c:numRef>
          </c:val>
          <c:extLst>
            <c:ext xmlns:c16="http://schemas.microsoft.com/office/drawing/2014/chart" uri="{C3380CC4-5D6E-409C-BE32-E72D297353CC}">
              <c16:uniqueId val="{00000006-A14A-41CE-8F26-2AD38D677084}"/>
            </c:ext>
          </c:extLst>
        </c:ser>
        <c:dLbls>
          <c:dLblPos val="outEnd"/>
          <c:showLegendKey val="0"/>
          <c:showVal val="1"/>
          <c:showCatName val="0"/>
          <c:showSerName val="0"/>
          <c:showPercent val="0"/>
          <c:showBubbleSize val="0"/>
        </c:dLbls>
        <c:gapWidth val="182"/>
        <c:axId val="1197450816"/>
        <c:axId val="1197447936"/>
      </c:barChart>
      <c:catAx>
        <c:axId val="11974508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97447936"/>
        <c:crosses val="autoZero"/>
        <c:auto val="1"/>
        <c:lblAlgn val="ctr"/>
        <c:lblOffset val="100"/>
        <c:noMultiLvlLbl val="0"/>
      </c:catAx>
      <c:valAx>
        <c:axId val="119744793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7450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Sheet11!$B$1</c:f>
              <c:strCache>
                <c:ptCount val="1"/>
                <c:pt idx="0">
                  <c:v>Percentage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Sheet11!$A$2:$A$6</c:f>
              <c:strCache>
                <c:ptCount val="5"/>
                <c:pt idx="0">
                  <c:v>Absence of national information policy</c:v>
                </c:pt>
                <c:pt idx="1">
                  <c:v>Unclear copyright for digital materials</c:v>
                </c:pt>
                <c:pt idx="2">
                  <c:v>Lack of institutional guidelines</c:v>
                </c:pt>
                <c:pt idx="3">
                  <c:v>Difficulties identifying rights-holders</c:v>
                </c:pt>
                <c:pt idx="4">
                  <c:v>No legal framework for digital content ownership</c:v>
                </c:pt>
              </c:strCache>
            </c:strRef>
          </c:cat>
          <c:val>
            <c:numRef>
              <c:f>Sheet11!$B$2:$B$6</c:f>
              <c:numCache>
                <c:formatCode>General</c:formatCode>
                <c:ptCount val="5"/>
                <c:pt idx="0">
                  <c:v>47.6</c:v>
                </c:pt>
                <c:pt idx="1">
                  <c:v>52.4</c:v>
                </c:pt>
                <c:pt idx="2">
                  <c:v>71.400000000000006</c:v>
                </c:pt>
                <c:pt idx="3">
                  <c:v>23.8</c:v>
                </c:pt>
                <c:pt idx="4">
                  <c:v>23.8</c:v>
                </c:pt>
              </c:numCache>
            </c:numRef>
          </c:val>
          <c:extLst>
            <c:ext xmlns:c16="http://schemas.microsoft.com/office/drawing/2014/chart" uri="{C3380CC4-5D6E-409C-BE32-E72D297353CC}">
              <c16:uniqueId val="{00000000-6BDA-4867-A2EF-DCB2A676AA4F}"/>
            </c:ext>
          </c:extLst>
        </c:ser>
        <c:dLbls>
          <c:dLblPos val="outEnd"/>
          <c:showLegendKey val="0"/>
          <c:showVal val="1"/>
          <c:showCatName val="0"/>
          <c:showSerName val="0"/>
          <c:showPercent val="0"/>
          <c:showBubbleSize val="0"/>
        </c:dLbls>
        <c:gapWidth val="182"/>
        <c:axId val="1491379856"/>
        <c:axId val="1491367856"/>
      </c:barChart>
      <c:catAx>
        <c:axId val="14913798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1367856"/>
        <c:crosses val="autoZero"/>
        <c:auto val="1"/>
        <c:lblAlgn val="ctr"/>
        <c:lblOffset val="100"/>
        <c:noMultiLvlLbl val="0"/>
      </c:catAx>
      <c:valAx>
        <c:axId val="149136785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1379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Sheet12!$B$1</c:f>
              <c:strCache>
                <c:ptCount val="1"/>
                <c:pt idx="0">
                  <c:v>Percentage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Sheet12!$A$2:$A$7</c:f>
              <c:strCache>
                <c:ptCount val="6"/>
                <c:pt idx="0">
                  <c:v>Metadata creation and management</c:v>
                </c:pt>
                <c:pt idx="1">
                  <c:v>Use of digitization software/tools</c:v>
                </c:pt>
                <c:pt idx="2">
                  <c:v>Data encryption/authentication</c:v>
                </c:pt>
                <c:pt idx="3">
                  <c:v>Virus and malware protection</c:v>
                </c:pt>
                <c:pt idx="4">
                  <c:v>Recovery and backup procedures</c:v>
                </c:pt>
                <c:pt idx="5">
                  <c:v>None of the above</c:v>
                </c:pt>
              </c:strCache>
            </c:strRef>
          </c:cat>
          <c:val>
            <c:numRef>
              <c:f>Sheet12!$B$2:$B$7</c:f>
              <c:numCache>
                <c:formatCode>General</c:formatCode>
                <c:ptCount val="6"/>
                <c:pt idx="0">
                  <c:v>71.400000000000006</c:v>
                </c:pt>
                <c:pt idx="1">
                  <c:v>66.7</c:v>
                </c:pt>
                <c:pt idx="2">
                  <c:v>47.6</c:v>
                </c:pt>
                <c:pt idx="3">
                  <c:v>52.4</c:v>
                </c:pt>
                <c:pt idx="4">
                  <c:v>47.6</c:v>
                </c:pt>
                <c:pt idx="5">
                  <c:v>0</c:v>
                </c:pt>
              </c:numCache>
            </c:numRef>
          </c:val>
          <c:extLst>
            <c:ext xmlns:c16="http://schemas.microsoft.com/office/drawing/2014/chart" uri="{C3380CC4-5D6E-409C-BE32-E72D297353CC}">
              <c16:uniqueId val="{00000000-5E87-4CCC-B72E-F03A64E9F2A2}"/>
            </c:ext>
          </c:extLst>
        </c:ser>
        <c:dLbls>
          <c:dLblPos val="outEnd"/>
          <c:showLegendKey val="0"/>
          <c:showVal val="1"/>
          <c:showCatName val="0"/>
          <c:showSerName val="0"/>
          <c:showPercent val="0"/>
          <c:showBubbleSize val="0"/>
        </c:dLbls>
        <c:gapWidth val="182"/>
        <c:axId val="1260319792"/>
        <c:axId val="1260320272"/>
      </c:barChart>
      <c:catAx>
        <c:axId val="12603197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0320272"/>
        <c:crosses val="autoZero"/>
        <c:auto val="1"/>
        <c:lblAlgn val="ctr"/>
        <c:lblOffset val="100"/>
        <c:noMultiLvlLbl val="0"/>
      </c:catAx>
      <c:valAx>
        <c:axId val="1260320272"/>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0319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withinLinear" id="18">
  <a:schemeClr val="accent5"/>
</cs:colorStyle>
</file>

<file path=word/charts/colors11.xml><?xml version="1.0" encoding="utf-8"?>
<cs:colorStyle xmlns:cs="http://schemas.microsoft.com/office/drawing/2012/chartStyle" xmlns:a="http://schemas.openxmlformats.org/drawingml/2006/main" meth="withinLinear" id="18">
  <a:schemeClr val="accent5"/>
</cs:colorStyle>
</file>

<file path=word/charts/colors12.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8">
  <a:schemeClr val="accent5"/>
</cs:colorStyle>
</file>

<file path=word/charts/colors8.xml><?xml version="1.0" encoding="utf-8"?>
<cs:colorStyle xmlns:cs="http://schemas.microsoft.com/office/drawing/2012/chartStyle" xmlns:a="http://schemas.openxmlformats.org/drawingml/2006/main" meth="withinLinear" id="18">
  <a:schemeClr val="accent5"/>
</cs:colorStyle>
</file>

<file path=word/charts/colors9.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4239</Words>
  <Characters>24166</Characters>
  <Application>Microsoft Office Word</Application>
  <DocSecurity>0</DocSecurity>
  <Lines>201</Lines>
  <Paragraphs>56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28349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Rumana Rahman Shithi</dc:creator>
  <cp:keywords/>
  <dc:description/>
  <cp:lastModifiedBy>Shatabdi Chakrabortty</cp:lastModifiedBy>
  <cp:revision>2</cp:revision>
  <dcterms:created xsi:type="dcterms:W3CDTF">2026-06-14T15:10:00Z</dcterms:created>
  <dcterms:modified xsi:type="dcterms:W3CDTF">2026-06-14T15:10:00Z</dcterms:modified>
</cp:coreProperties>
</file>