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687D3" w14:textId="77777777" w:rsidR="00461780" w:rsidRDefault="00461780" w:rsidP="00461780">
      <w:pPr>
        <w:spacing w:after="0"/>
        <w:jc w:val="center"/>
        <w:rPr>
          <w:rFonts w:ascii="Times New Roman" w:hAnsi="Times New Roman" w:cs="Times New Roman"/>
          <w:b/>
        </w:rPr>
      </w:pPr>
      <w:r w:rsidRPr="00461780">
        <w:rPr>
          <w:rFonts w:ascii="Times New Roman" w:hAnsi="Times New Roman" w:cs="Times New Roman"/>
          <w:b/>
        </w:rPr>
        <w:t xml:space="preserve">CORPORATE GOVERNANCE AND FIRM VALUE OF LISTED COMPANIES </w:t>
      </w:r>
    </w:p>
    <w:p w14:paraId="76F56FC8" w14:textId="77777777" w:rsidR="00461780" w:rsidRPr="00461780" w:rsidRDefault="00461780" w:rsidP="00461780">
      <w:pPr>
        <w:spacing w:after="0"/>
        <w:jc w:val="center"/>
        <w:rPr>
          <w:rFonts w:ascii="Times New Roman" w:hAnsi="Times New Roman" w:cs="Times New Roman"/>
          <w:b/>
        </w:rPr>
      </w:pPr>
      <w:r w:rsidRPr="00461780">
        <w:rPr>
          <w:rFonts w:ascii="Times New Roman" w:hAnsi="Times New Roman" w:cs="Times New Roman"/>
          <w:b/>
        </w:rPr>
        <w:t/>
      </w:r>
    </w:p>
    <w:p w14:paraId="40CE4C75" w14:textId="77777777" w:rsidR="00461780" w:rsidRDefault="00461780" w:rsidP="00461780">
      <w:pPr>
        <w:spacing w:after="0"/>
        <w:jc w:val="center"/>
        <w:rPr>
          <w:rFonts w:ascii="Times New Roman" w:hAnsi="Times New Roman" w:cs="Times New Roman"/>
          <w:b/>
          <w:bCs/>
          <w:color w:val="000000" w:themeColor="text1"/>
          <w:vertAlign w:val="superscript"/>
        </w:rPr>
      </w:pPr>
    </w:p>
    <w:p w14:paraId="455807A2" w14:textId="641BDB78" w:rsidR="00461780" w:rsidRPr="0037184C" w:rsidRDefault="00461780" w:rsidP="00461780">
      <w:pPr>
        <w:pStyle w:val="Default"/>
        <w:jc w:val="center"/>
        <w:rPr>
          <w:b/>
        </w:rPr>
      </w:pPr>
      <w:r>
        <w:rPr>
          <w:b/>
        </w:rPr>
        <w:t/>
      </w:r>
      <w:r w:rsidR="00070742">
        <w:rPr>
          <w:b/>
        </w:rPr>
        <w:t/>
      </w:r>
    </w:p>
    <w:p w14:paraId="5D29B79A" w14:textId="77777777" w:rsidR="00461780" w:rsidRDefault="00461780" w:rsidP="00461780">
      <w:pPr>
        <w:autoSpaceDE w:val="0"/>
        <w:autoSpaceDN w:val="0"/>
        <w:adjustRightInd w:val="0"/>
        <w:spacing w:after="0" w:line="240" w:lineRule="auto"/>
        <w:ind w:left="1440"/>
        <w:jc w:val="center"/>
        <w:rPr>
          <w:rFonts w:ascii="Times New Roman" w:eastAsiaTheme="minorHAnsi" w:hAnsi="Times New Roman" w:cs="Times New Roman"/>
          <w:color w:val="000000"/>
          <w:sz w:val="23"/>
          <w:szCs w:val="23"/>
        </w:rPr>
      </w:pPr>
      <w:bookmarkStart w:id="0" w:name="_GoBack"/>
      <w:bookmarkEnd w:id="0"/>
      <w:r w:rsidRPr="00D17979">
        <w:rPr>
          <w:rFonts w:ascii="Times New Roman" w:eastAsiaTheme="minorHAnsi" w:hAnsi="Times New Roman" w:cs="Times New Roman"/>
          <w:color w:val="000000"/>
          <w:sz w:val="23"/>
          <w:szCs w:val="23"/>
        </w:rPr>
        <w:t xml:space="preserve"/>
      </w:r>
      <w:r>
        <w:rPr>
          <w:rFonts w:ascii="Times New Roman" w:eastAsiaTheme="minorHAnsi" w:hAnsi="Times New Roman" w:cs="Times New Roman"/>
          <w:color w:val="000000"/>
          <w:sz w:val="23"/>
          <w:szCs w:val="23"/>
        </w:rPr>
        <w:t/>
      </w:r>
      <w:r w:rsidRPr="00D17979">
        <w:rPr>
          <w:rFonts w:ascii="Times New Roman" w:eastAsiaTheme="minorHAnsi" w:hAnsi="Times New Roman" w:cs="Times New Roman"/>
          <w:color w:val="000000"/>
          <w:sz w:val="23"/>
          <w:szCs w:val="23"/>
        </w:rPr>
        <w:t/>
      </w:r>
    </w:p>
    <w:p w14:paraId="1A665A4B" w14:textId="77777777" w:rsidR="00070742" w:rsidRDefault="00461780" w:rsidP="00070742">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D17979">
        <w:rPr>
          <w:rFonts w:ascii="Times New Roman" w:eastAsiaTheme="minorHAnsi" w:hAnsi="Times New Roman" w:cs="Times New Roman"/>
          <w:color w:val="000000"/>
          <w:sz w:val="23"/>
          <w:szCs w:val="23"/>
        </w:rPr>
        <w:t/>
      </w:r>
    </w:p>
    <w:p w14:paraId="1CC116DB" w14:textId="737CCB87" w:rsidR="00070742" w:rsidRDefault="00461780" w:rsidP="00070742">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D17979">
        <w:rPr>
          <w:rFonts w:ascii="Times New Roman" w:eastAsiaTheme="minorHAnsi" w:hAnsi="Times New Roman" w:cs="Times New Roman"/>
          <w:color w:val="000000"/>
          <w:sz w:val="23"/>
          <w:szCs w:val="23"/>
        </w:rPr>
        <w:t/>
      </w:r>
      <w:r w:rsidR="002D32F0" w:rsidRPr="00070742">
        <w:rPr>
          <w:rFonts w:ascii="Times New Roman" w:eastAsiaTheme="minorHAnsi" w:hAnsi="Times New Roman" w:cs="Times New Roman"/>
          <w:color w:val="000000"/>
          <w:sz w:val="23"/>
          <w:szCs w:val="23"/>
          <w:u w:val="single"/>
        </w:rPr>
        <w:t/>
      </w:r>
      <w:r w:rsidR="00070742">
        <w:rPr>
          <w:rFonts w:ascii="Times New Roman" w:eastAsiaTheme="minorHAnsi" w:hAnsi="Times New Roman" w:cs="Times New Roman"/>
          <w:color w:val="000000"/>
          <w:sz w:val="23"/>
          <w:szCs w:val="23"/>
        </w:rPr>
        <w:t xml:space="preserve"/>
      </w:r>
      <w:r w:rsidR="00070742" w:rsidRPr="00070742">
        <w:rPr>
          <w:rFonts w:ascii="Times New Roman" w:eastAsiaTheme="minorHAnsi" w:hAnsi="Times New Roman" w:cs="Times New Roman"/>
          <w:color w:val="000000"/>
          <w:sz w:val="23"/>
          <w:szCs w:val="23"/>
          <w:u w:val="single"/>
        </w:rPr>
        <w:t/>
      </w:r>
    </w:p>
    <w:p w14:paraId="409391E5" w14:textId="77777777" w:rsidR="00461780" w:rsidRDefault="00461780" w:rsidP="00070742">
      <w:pPr>
        <w:autoSpaceDE w:val="0"/>
        <w:autoSpaceDN w:val="0"/>
        <w:adjustRightInd w:val="0"/>
        <w:spacing w:after="0" w:line="240" w:lineRule="auto"/>
        <w:rPr>
          <w:rFonts w:ascii="Times New Roman" w:hAnsi="Times New Roman" w:cs="Times New Roman"/>
          <w:b/>
          <w:bCs/>
        </w:rPr>
      </w:pPr>
    </w:p>
    <w:p w14:paraId="7850D8C7" w14:textId="77777777" w:rsidR="00461780" w:rsidRDefault="00461780" w:rsidP="00461780">
      <w:pPr>
        <w:autoSpaceDE w:val="0"/>
        <w:autoSpaceDN w:val="0"/>
        <w:adjustRightInd w:val="0"/>
        <w:spacing w:after="0" w:line="240" w:lineRule="auto"/>
        <w:rPr>
          <w:rFonts w:ascii="Times New Roman" w:hAnsi="Times New Roman" w:cs="Times New Roman"/>
          <w:b/>
          <w:bCs/>
        </w:rPr>
      </w:pPr>
    </w:p>
    <w:p w14:paraId="50993B49" w14:textId="77777777" w:rsidR="008E303B" w:rsidRDefault="008E303B" w:rsidP="008E303B">
      <w:pPr>
        <w:autoSpaceDE w:val="0"/>
        <w:autoSpaceDN w:val="0"/>
        <w:adjustRightInd w:val="0"/>
        <w:spacing w:after="0" w:line="240" w:lineRule="auto"/>
        <w:jc w:val="center"/>
        <w:rPr>
          <w:rFonts w:ascii="Times New Roman" w:hAnsi="Times New Roman" w:cs="Times New Roman"/>
          <w:b/>
          <w:bCs/>
        </w:rPr>
      </w:pPr>
      <w:r w:rsidRPr="008E303B">
        <w:rPr>
          <w:rFonts w:ascii="Times New Roman" w:hAnsi="Times New Roman" w:cs="Times New Roman"/>
          <w:b/>
          <w:bCs/>
        </w:rPr>
        <w:t>Abstract</w:t>
      </w:r>
    </w:p>
    <w:p w14:paraId="4A41AA36" w14:textId="77777777" w:rsidR="000D10B4" w:rsidRDefault="000D10B4" w:rsidP="000D10B4">
      <w:pPr>
        <w:spacing w:after="0" w:line="240" w:lineRule="auto"/>
        <w:contextualSpacing/>
        <w:jc w:val="both"/>
        <w:rPr>
          <w:rFonts w:ascii="Times New Roman" w:hAnsi="Times New Roman" w:cs="Times New Roman"/>
        </w:rPr>
      </w:pPr>
      <w:r w:rsidRPr="00D54609">
        <w:rPr>
          <w:rFonts w:ascii="Times New Roman" w:hAnsi="Times New Roman" w:cs="Times New Roman"/>
        </w:rPr>
        <w:t>This study examined the effect of corporate governance on firm value of listed firms in Nigeria, focusing specifically on board size, board independence, and board expertise, while firm value was proxied by Tobin’s Q and Price Earnings Ratio (PER). The study adopted an explanatory research design and utilized panel data obtained from 11 selected firms, representing 11 sectors out of 126 listed firms in Nigeria, over an 11-year period from 2015-2024. Data were analyzed using descriptive statistics, correlation analysis, and panel unit root tests to ensure data suitability, while the Hausman test supported the adoption of the random effects regression model for estimation. The findings revealed that board size exhibited a negative but insignificant effect on Tobin’s Q and a positive but insignificant effect on PER, while board independence showed a positive but insignificant effect on Tobin’s Q and a negative but insignificant effect on PER. Similarly, board expertise demonstrated a positive but insignificant effect on Tobin’s Q but a negative and insignificant effect on PER, indicating that all governance variables had mixed directional but statistically insignificant effects on firm value. Based on these findings, the study recommends that firms should adopt optimal board structures by balancing size, independence, and expertise in ways that enhance strategic decision-making while strengthening governance practices to improve firm value.</w:t>
      </w:r>
    </w:p>
    <w:p w14:paraId="3AF6C461" w14:textId="77777777" w:rsidR="000D10B4" w:rsidRDefault="000D10B4" w:rsidP="000D10B4">
      <w:pPr>
        <w:spacing w:after="0" w:line="240" w:lineRule="auto"/>
        <w:contextualSpacing/>
        <w:jc w:val="both"/>
        <w:rPr>
          <w:rFonts w:ascii="Times New Roman" w:hAnsi="Times New Roman" w:cs="Times New Roman"/>
        </w:rPr>
      </w:pPr>
    </w:p>
    <w:p w14:paraId="2B0D3AB5" w14:textId="4C525162" w:rsidR="000D10B4" w:rsidRPr="00D54609" w:rsidRDefault="000D10B4" w:rsidP="000D10B4">
      <w:pPr>
        <w:spacing w:after="0" w:line="240" w:lineRule="auto"/>
        <w:contextualSpacing/>
        <w:jc w:val="both"/>
        <w:rPr>
          <w:rFonts w:ascii="Times New Roman" w:hAnsi="Times New Roman" w:cs="Times New Roman"/>
        </w:rPr>
      </w:pPr>
      <w:r>
        <w:rPr>
          <w:rFonts w:ascii="Times New Roman" w:hAnsi="Times New Roman" w:cs="Times New Roman"/>
        </w:rPr>
        <w:t xml:space="preserve">Keywords: Tobin’s Q, </w:t>
      </w:r>
      <w:r w:rsidR="006329E8">
        <w:rPr>
          <w:rFonts w:ascii="Times New Roman" w:hAnsi="Times New Roman" w:cs="Times New Roman"/>
        </w:rPr>
        <w:t xml:space="preserve">Price </w:t>
      </w:r>
      <w:r>
        <w:rPr>
          <w:rFonts w:ascii="Times New Roman" w:hAnsi="Times New Roman" w:cs="Times New Roman"/>
        </w:rPr>
        <w:t>Earnings ratio,</w:t>
      </w:r>
      <w:r w:rsidR="007354A3">
        <w:rPr>
          <w:rFonts w:ascii="Times New Roman" w:hAnsi="Times New Roman" w:cs="Times New Roman"/>
        </w:rPr>
        <w:t xml:space="preserve"> Board Independence, Board Expertise, Board size</w:t>
      </w:r>
    </w:p>
    <w:p w14:paraId="6DC8C530" w14:textId="77777777" w:rsidR="000D10B4" w:rsidRPr="008E303B" w:rsidRDefault="000D10B4" w:rsidP="008E303B">
      <w:pPr>
        <w:autoSpaceDE w:val="0"/>
        <w:autoSpaceDN w:val="0"/>
        <w:adjustRightInd w:val="0"/>
        <w:spacing w:after="0" w:line="240" w:lineRule="auto"/>
        <w:jc w:val="center"/>
        <w:rPr>
          <w:rFonts w:ascii="Times New Roman" w:hAnsi="Times New Roman" w:cs="Times New Roman"/>
          <w:b/>
          <w:bCs/>
        </w:rPr>
      </w:pPr>
    </w:p>
    <w:p w14:paraId="68884EEB" w14:textId="77777777" w:rsidR="00BD1BF1" w:rsidRDefault="00BD1BF1" w:rsidP="00A77FE8">
      <w:pPr>
        <w:spacing w:after="0" w:line="240" w:lineRule="auto"/>
        <w:rPr>
          <w:rFonts w:ascii="Times New Roman" w:hAnsi="Times New Roman" w:cs="Times New Roman"/>
          <w:b/>
          <w:bCs/>
        </w:rPr>
      </w:pPr>
    </w:p>
    <w:p w14:paraId="5048717A" w14:textId="77777777" w:rsidR="008E303B" w:rsidRDefault="008E303B" w:rsidP="00A77FE8">
      <w:pPr>
        <w:spacing w:after="0" w:line="240" w:lineRule="auto"/>
        <w:rPr>
          <w:rFonts w:ascii="Times New Roman" w:hAnsi="Times New Roman" w:cs="Times New Roman"/>
          <w:b/>
          <w:bCs/>
        </w:rPr>
      </w:pPr>
    </w:p>
    <w:p w14:paraId="06362293" w14:textId="77777777" w:rsidR="0063596E" w:rsidRDefault="0063596E" w:rsidP="00A77FE8">
      <w:pPr>
        <w:spacing w:after="0" w:line="240" w:lineRule="auto"/>
        <w:rPr>
          <w:rFonts w:ascii="Times New Roman" w:hAnsi="Times New Roman" w:cs="Times New Roman"/>
          <w:b/>
          <w:bCs/>
        </w:rPr>
      </w:pPr>
      <w:r>
        <w:rPr>
          <w:rFonts w:ascii="Times New Roman" w:hAnsi="Times New Roman" w:cs="Times New Roman"/>
          <w:b/>
          <w:bCs/>
        </w:rPr>
        <w:t>1.0.</w:t>
      </w:r>
      <w:r w:rsidR="00A05A70">
        <w:rPr>
          <w:rFonts w:ascii="Times New Roman" w:hAnsi="Times New Roman" w:cs="Times New Roman"/>
          <w:b/>
          <w:bCs/>
        </w:rPr>
        <w:t xml:space="preserve"> Introduction</w:t>
      </w:r>
    </w:p>
    <w:p w14:paraId="65D91F4B" w14:textId="77777777" w:rsidR="0063596E" w:rsidRDefault="0063596E" w:rsidP="00A77FE8">
      <w:pPr>
        <w:spacing w:line="240" w:lineRule="auto"/>
        <w:jc w:val="both"/>
        <w:rPr>
          <w:rFonts w:ascii="Times New Roman" w:hAnsi="Times New Roman" w:cs="Times New Roman"/>
          <w:bCs/>
        </w:rPr>
      </w:pPr>
      <w:r>
        <w:rPr>
          <w:rFonts w:ascii="Times New Roman" w:hAnsi="Times New Roman" w:cs="Times New Roman"/>
          <w:bCs/>
        </w:rPr>
        <w:t>Corporate governance has assumed increasing importance in contemporary corporate management due to its role in ensuring accountability, transparency, and sustainable value creation. It refers to the</w:t>
      </w:r>
      <w:r w:rsidR="008A4EA7">
        <w:rPr>
          <w:rFonts w:ascii="Times New Roman" w:hAnsi="Times New Roman" w:cs="Times New Roman"/>
          <w:bCs/>
        </w:rPr>
        <w:t xml:space="preserve"> set</w:t>
      </w:r>
      <w:r>
        <w:rPr>
          <w:rFonts w:ascii="Times New Roman" w:hAnsi="Times New Roman" w:cs="Times New Roman"/>
          <w:bCs/>
        </w:rPr>
        <w:t xml:space="preserve"> of rules, relationships, and processes through which firms are directed and controlled, defining the roles of shareholders, boards of directors, and management (Adegboye, et al, 2020). In emerging economies such as Nigeria, corporate governance is particularly significant because capital markets often feature ownership concentration and institutional weaknesses that heighten agency conflicts. As governance reforms continue to evolve, investors and regulators increasingly emphasize board effectiveness as a key determinant of corporate credibility (Uche &amp; Ibenta, 2021).</w:t>
      </w:r>
    </w:p>
    <w:p w14:paraId="55925B6F" w14:textId="77777777" w:rsidR="00A05A70" w:rsidRDefault="0063596E" w:rsidP="00A77FE8">
      <w:pPr>
        <w:spacing w:line="240" w:lineRule="auto"/>
        <w:jc w:val="both"/>
        <w:rPr>
          <w:rFonts w:ascii="Times New Roman" w:hAnsi="Times New Roman" w:cs="Times New Roman"/>
          <w:bCs/>
        </w:rPr>
      </w:pPr>
      <w:r>
        <w:rPr>
          <w:rFonts w:ascii="Times New Roman" w:hAnsi="Times New Roman" w:cs="Times New Roman"/>
          <w:bCs/>
        </w:rPr>
        <w:t xml:space="preserve">Firm value reflects the market’s assessment of a firm’s economic worth and expected future performance. Unlike accounting-based measures that rely on historical data, market-based indicators incorporate investor expectations regarding growth opportunities, earnings </w:t>
      </w:r>
      <w:r>
        <w:rPr>
          <w:rFonts w:ascii="Times New Roman" w:hAnsi="Times New Roman" w:cs="Times New Roman"/>
          <w:bCs/>
        </w:rPr>
        <w:lastRenderedPageBreak/>
        <w:t>sustainability, and risk exposure (Salami &amp; Olayinka 2022). Tobin’s Q is widely used in governance research because it captures the relationship between market valuation and asset replacement cost, thereby signaling growth potential embedded in governance structures</w:t>
      </w:r>
    </w:p>
    <w:p w14:paraId="6ACA8D55" w14:textId="77777777" w:rsidR="0063596E" w:rsidRPr="00A05A70" w:rsidRDefault="0063596E" w:rsidP="00A05A70">
      <w:pPr>
        <w:spacing w:line="240" w:lineRule="auto"/>
        <w:jc w:val="both"/>
        <w:rPr>
          <w:rFonts w:ascii="Times New Roman" w:hAnsi="Times New Roman" w:cs="Times New Roman"/>
          <w:bCs/>
        </w:rPr>
      </w:pPr>
      <w:r>
        <w:rPr>
          <w:rFonts w:ascii="Times New Roman" w:hAnsi="Times New Roman" w:cs="Times New Roman"/>
          <w:bCs/>
        </w:rPr>
        <w:t>The board of directors occupies a central position in corporate governance, serving as the primary mechanism for monitoring management and guiding strategic decisions. One key board attribute is board size, which determines the range of expertise, perspectives, and oversight capacity available to the firm. Larger boards may provide broader knowledge and improved monitoring, whereas smaller boards may enhance efficiency and prompt decision-making.</w:t>
      </w:r>
      <w:r w:rsidR="00A05A70">
        <w:rPr>
          <w:rFonts w:ascii="Times New Roman" w:hAnsi="Times New Roman" w:cs="Times New Roman"/>
          <w:bCs/>
        </w:rPr>
        <w:t xml:space="preserve"> </w:t>
      </w:r>
      <w:r>
        <w:rPr>
          <w:rFonts w:ascii="Times New Roman" w:hAnsi="Times New Roman" w:cs="Times New Roman"/>
          <w:bCs/>
        </w:rPr>
        <w:t xml:space="preserve">Closely related to board size is board independence, which reflects the proportion of non-executive directors involved in board decision-making. Independent directors are expected to enhance board objectivity, curb managerial opportunism, and protect shareholder interests </w:t>
      </w:r>
    </w:p>
    <w:p w14:paraId="779CF82D" w14:textId="77777777" w:rsidR="0063596E" w:rsidRDefault="0063596E" w:rsidP="00A77FE8">
      <w:pPr>
        <w:spacing w:line="240" w:lineRule="auto"/>
        <w:jc w:val="both"/>
        <w:rPr>
          <w:rFonts w:ascii="Times New Roman" w:hAnsi="Times New Roman" w:cs="Times New Roman"/>
        </w:rPr>
      </w:pPr>
      <w:r>
        <w:rPr>
          <w:rFonts w:ascii="Times New Roman" w:hAnsi="Times New Roman" w:cs="Times New Roman"/>
        </w:rPr>
        <w:t>Despite the growing emphasis on corporate governance reforms in Nigeria, the ability of listed companies to translate governance structures into enhanced firm value remains uncertain. Several governance codes and regulatory guidelines highlight the importance of effective board oversight, yet fluctuations in market valuation indicators suggest that improvements in governance architecture have not consistently yielded expected valuation outcomes. Adegboye et al., (2020), observe that while compliance with governance codes has improved in form, substantive effectiveness in influencing market confidence remains uneven among Nigerian listed firms. This raises concerns about whether core board attributes are sufficiently structured to enhance firm value as perceived by investors.</w:t>
      </w:r>
    </w:p>
    <w:p w14:paraId="5BE9D1C1" w14:textId="77777777" w:rsidR="0063596E" w:rsidRDefault="008A4EA7" w:rsidP="00A77FE8">
      <w:pPr>
        <w:spacing w:line="240" w:lineRule="auto"/>
        <w:jc w:val="both"/>
        <w:rPr>
          <w:rFonts w:ascii="Times New Roman" w:hAnsi="Times New Roman" w:cs="Times New Roman"/>
        </w:rPr>
      </w:pPr>
      <w:r>
        <w:rPr>
          <w:rFonts w:ascii="Times New Roman" w:hAnsi="Times New Roman" w:cs="Times New Roman"/>
        </w:rPr>
        <w:t>One major issue relating</w:t>
      </w:r>
      <w:r w:rsidR="0063596E">
        <w:rPr>
          <w:rFonts w:ascii="Times New Roman" w:hAnsi="Times New Roman" w:cs="Times New Roman"/>
        </w:rPr>
        <w:t xml:space="preserve"> to board size</w:t>
      </w:r>
      <w:r w:rsidR="00A05A70">
        <w:rPr>
          <w:rFonts w:ascii="Times New Roman" w:hAnsi="Times New Roman" w:cs="Times New Roman"/>
        </w:rPr>
        <w:t>, board independence,</w:t>
      </w:r>
      <w:r w:rsidR="0063596E">
        <w:rPr>
          <w:rFonts w:ascii="Times New Roman" w:hAnsi="Times New Roman" w:cs="Times New Roman"/>
        </w:rPr>
        <w:t xml:space="preserve"> and</w:t>
      </w:r>
      <w:r w:rsidR="00A05A70">
        <w:rPr>
          <w:rFonts w:ascii="Times New Roman" w:hAnsi="Times New Roman" w:cs="Times New Roman"/>
        </w:rPr>
        <w:t xml:space="preserve"> board expertise</w:t>
      </w:r>
      <w:r w:rsidR="0063596E">
        <w:rPr>
          <w:rFonts w:ascii="Times New Roman" w:hAnsi="Times New Roman" w:cs="Times New Roman"/>
        </w:rPr>
        <w:t xml:space="preserve"> </w:t>
      </w:r>
      <w:r>
        <w:rPr>
          <w:rFonts w:ascii="Times New Roman" w:hAnsi="Times New Roman" w:cs="Times New Roman"/>
        </w:rPr>
        <w:t xml:space="preserve">is </w:t>
      </w:r>
      <w:r w:rsidR="0063596E">
        <w:rPr>
          <w:rFonts w:ascii="Times New Roman" w:hAnsi="Times New Roman" w:cs="Times New Roman"/>
        </w:rPr>
        <w:t>its effectiveness in improving market valuation. Nigerian listed companies’ exhibit wide variation in board size, with some firms maintaining relatively large boards and others opting for leaner structures. While larger boards are expected to enhance strategic oversight through diverse expertise, excessively large boards may suffer from coordination inefficiencies and weakened monitoring</w:t>
      </w:r>
      <w:r w:rsidR="00883DF9">
        <w:rPr>
          <w:rFonts w:ascii="Times New Roman" w:hAnsi="Times New Roman" w:cs="Times New Roman"/>
        </w:rPr>
        <w:t xml:space="preserve"> (Ahrens et al</w:t>
      </w:r>
      <w:r w:rsidR="0063596E">
        <w:rPr>
          <w:rFonts w:ascii="Times New Roman" w:hAnsi="Times New Roman" w:cs="Times New Roman"/>
        </w:rPr>
        <w:t>.</w:t>
      </w:r>
      <w:r w:rsidR="00883DF9">
        <w:rPr>
          <w:rFonts w:ascii="Times New Roman" w:hAnsi="Times New Roman" w:cs="Times New Roman"/>
        </w:rPr>
        <w:t>, (2025</w:t>
      </w:r>
      <w:r w:rsidR="009115AF">
        <w:rPr>
          <w:rFonts w:ascii="Times New Roman" w:hAnsi="Times New Roman" w:cs="Times New Roman"/>
        </w:rPr>
        <w:t>).</w:t>
      </w:r>
      <w:r w:rsidR="0063596E">
        <w:rPr>
          <w:rFonts w:ascii="Times New Roman" w:hAnsi="Times New Roman" w:cs="Times New Roman"/>
        </w:rPr>
        <w:t xml:space="preserve"> Conversely, smaller boards may lack sufficient diversity to address complex strategic challenges. </w:t>
      </w:r>
      <w:r w:rsidR="00591626">
        <w:rPr>
          <w:rFonts w:ascii="Times New Roman" w:hAnsi="Times New Roman" w:cs="Times New Roman"/>
        </w:rPr>
        <w:t xml:space="preserve">Abdulrasheed et </w:t>
      </w:r>
      <w:r w:rsidR="0063596E">
        <w:rPr>
          <w:rFonts w:ascii="Times New Roman" w:hAnsi="Times New Roman" w:cs="Times New Roman"/>
        </w:rPr>
        <w:t>al., (2022), argue that the absence of clarity regarding optimal board size has contributed to inconsistent governance outcomes, which may explain why some firms experience stagnant or volatile Tobin’s Q despite regulatory compliance. Lawal (2023) further notes that investors may interpret inefficient board size as a weak governance signal, potentially undermining firm valuation in the capital market.</w:t>
      </w:r>
      <w:r w:rsidR="003F17FE">
        <w:rPr>
          <w:rFonts w:ascii="Times New Roman" w:hAnsi="Times New Roman" w:cs="Times New Roman"/>
        </w:rPr>
        <w:t xml:space="preserve"> The study therefore seek to </w:t>
      </w:r>
    </w:p>
    <w:p w14:paraId="3420B93F" w14:textId="36F2A005" w:rsidR="0063596E" w:rsidRPr="003F17FE" w:rsidRDefault="003F17FE" w:rsidP="003F17FE">
      <w:pPr>
        <w:pStyle w:val="ListParagraph"/>
        <w:numPr>
          <w:ilvl w:val="0"/>
          <w:numId w:val="21"/>
        </w:numPr>
        <w:spacing w:line="240" w:lineRule="auto"/>
        <w:jc w:val="both"/>
        <w:rPr>
          <w:rFonts w:ascii="Times New Roman" w:hAnsi="Times New Roman" w:cs="Times New Roman"/>
        </w:rPr>
      </w:pPr>
      <w:r w:rsidRPr="003F17FE">
        <w:rPr>
          <w:rFonts w:ascii="Times New Roman" w:hAnsi="Times New Roman" w:cs="Times New Roman"/>
        </w:rPr>
        <w:t>E</w:t>
      </w:r>
      <w:r w:rsidR="0063596E" w:rsidRPr="003F17FE">
        <w:rPr>
          <w:rFonts w:ascii="Times New Roman" w:hAnsi="Times New Roman" w:cs="Times New Roman"/>
        </w:rPr>
        <w:t xml:space="preserve">xamine the effect of </w:t>
      </w:r>
      <w:r w:rsidR="006329E8">
        <w:rPr>
          <w:rFonts w:ascii="Times New Roman" w:hAnsi="Times New Roman" w:cs="Times New Roman"/>
        </w:rPr>
        <w:t xml:space="preserve">corporate governance </w:t>
      </w:r>
      <w:r w:rsidR="001425E9" w:rsidRPr="003F17FE">
        <w:rPr>
          <w:rFonts w:ascii="Times New Roman" w:hAnsi="Times New Roman" w:cs="Times New Roman"/>
        </w:rPr>
        <w:t>on</w:t>
      </w:r>
      <w:r w:rsidR="0063596E" w:rsidRPr="003F17FE">
        <w:rPr>
          <w:rFonts w:ascii="Times New Roman" w:hAnsi="Times New Roman" w:cs="Times New Roman"/>
        </w:rPr>
        <w:t xml:space="preserve"> Tobin’s Q of listed companies in Nigeria.</w:t>
      </w:r>
    </w:p>
    <w:p w14:paraId="31AD4C6E" w14:textId="14F1AE58" w:rsidR="00504C58" w:rsidRPr="001425E9" w:rsidRDefault="003F17FE" w:rsidP="001425E9">
      <w:pPr>
        <w:pStyle w:val="ListParagraph"/>
        <w:numPr>
          <w:ilvl w:val="0"/>
          <w:numId w:val="21"/>
        </w:numPr>
        <w:spacing w:line="240" w:lineRule="auto"/>
        <w:jc w:val="both"/>
        <w:rPr>
          <w:rFonts w:ascii="Times New Roman" w:hAnsi="Times New Roman" w:cs="Times New Roman"/>
        </w:rPr>
      </w:pPr>
      <w:r w:rsidRPr="003F17FE">
        <w:rPr>
          <w:rFonts w:ascii="Times New Roman" w:hAnsi="Times New Roman" w:cs="Times New Roman"/>
        </w:rPr>
        <w:t>A</w:t>
      </w:r>
      <w:r w:rsidR="0063596E" w:rsidRPr="003F17FE">
        <w:rPr>
          <w:rFonts w:ascii="Times New Roman" w:hAnsi="Times New Roman" w:cs="Times New Roman"/>
        </w:rPr>
        <w:t xml:space="preserve">ssess the impact of </w:t>
      </w:r>
      <w:r w:rsidR="001425E9">
        <w:rPr>
          <w:rFonts w:ascii="Times New Roman" w:hAnsi="Times New Roman" w:cs="Times New Roman"/>
        </w:rPr>
        <w:t xml:space="preserve">corporate governance </w:t>
      </w:r>
      <w:r w:rsidR="0063596E" w:rsidRPr="003F17FE">
        <w:rPr>
          <w:rFonts w:ascii="Times New Roman" w:hAnsi="Times New Roman" w:cs="Times New Roman"/>
        </w:rPr>
        <w:t xml:space="preserve">on </w:t>
      </w:r>
      <w:r w:rsidR="001425E9">
        <w:rPr>
          <w:rFonts w:ascii="Times New Roman" w:hAnsi="Times New Roman" w:cs="Times New Roman"/>
        </w:rPr>
        <w:t>Price Earnings Ratio of Nigerian listed companies</w:t>
      </w:r>
      <w:r w:rsidR="0063596E" w:rsidRPr="003F17FE">
        <w:rPr>
          <w:rFonts w:ascii="Times New Roman" w:hAnsi="Times New Roman" w:cs="Times New Roman"/>
        </w:rPr>
        <w:t>.</w:t>
      </w:r>
    </w:p>
    <w:p w14:paraId="4F6D356E" w14:textId="77777777" w:rsidR="00504C58" w:rsidRDefault="00504C58" w:rsidP="00A05A70">
      <w:pPr>
        <w:spacing w:after="0" w:line="240" w:lineRule="auto"/>
        <w:rPr>
          <w:rFonts w:ascii="Times New Roman" w:hAnsi="Times New Roman" w:cs="Times New Roman"/>
          <w:b/>
          <w:bCs/>
        </w:rPr>
      </w:pPr>
    </w:p>
    <w:p w14:paraId="3C4D3EE6" w14:textId="5699106C" w:rsidR="0063596E" w:rsidRDefault="009F7F4E" w:rsidP="00504C58">
      <w:pPr>
        <w:spacing w:after="0" w:line="240" w:lineRule="auto"/>
        <w:rPr>
          <w:rFonts w:ascii="Times New Roman" w:hAnsi="Times New Roman" w:cs="Times New Roman"/>
          <w:b/>
          <w:bCs/>
        </w:rPr>
      </w:pPr>
      <w:r>
        <w:rPr>
          <w:rFonts w:ascii="Times New Roman" w:hAnsi="Times New Roman" w:cs="Times New Roman"/>
          <w:b/>
          <w:bCs/>
        </w:rPr>
        <w:t>2.0 Literature Review</w:t>
      </w:r>
      <w:r w:rsidR="00A05A70">
        <w:rPr>
          <w:rFonts w:ascii="Times New Roman" w:hAnsi="Times New Roman" w:cs="Times New Roman"/>
          <w:b/>
          <w:bCs/>
        </w:rPr>
        <w:t xml:space="preserve"> </w:t>
      </w:r>
      <w:r>
        <w:rPr>
          <w:rFonts w:ascii="Times New Roman" w:hAnsi="Times New Roman" w:cs="Times New Roman"/>
          <w:b/>
          <w:bCs/>
        </w:rPr>
        <w:t>and hypothesis Development</w:t>
      </w:r>
    </w:p>
    <w:p w14:paraId="7A72C51C" w14:textId="77777777" w:rsidR="0063596E" w:rsidRDefault="007C0A4D" w:rsidP="00A77FE8">
      <w:pPr>
        <w:spacing w:after="0" w:line="240" w:lineRule="auto"/>
        <w:jc w:val="both"/>
        <w:rPr>
          <w:rFonts w:ascii="Times New Roman" w:hAnsi="Times New Roman" w:cs="Times New Roman"/>
        </w:rPr>
      </w:pPr>
      <w:r>
        <w:rPr>
          <w:rFonts w:ascii="Times New Roman" w:hAnsi="Times New Roman" w:cs="Times New Roman"/>
          <w:b/>
          <w:bCs/>
        </w:rPr>
        <w:t>2.1.</w:t>
      </w:r>
      <w:r w:rsidR="0063596E">
        <w:rPr>
          <w:rFonts w:ascii="Times New Roman" w:hAnsi="Times New Roman" w:cs="Times New Roman"/>
          <w:b/>
          <w:bCs/>
        </w:rPr>
        <w:tab/>
        <w:t xml:space="preserve">Concept of corporate governance </w:t>
      </w:r>
    </w:p>
    <w:p w14:paraId="2000AEEC" w14:textId="6EAB38BF" w:rsidR="00BD09F4" w:rsidRDefault="0063596E" w:rsidP="009F7F4E">
      <w:pPr>
        <w:spacing w:after="0" w:line="240" w:lineRule="auto"/>
        <w:jc w:val="both"/>
        <w:rPr>
          <w:rFonts w:ascii="Times New Roman" w:hAnsi="Times New Roman" w:cs="Times New Roman"/>
        </w:rPr>
      </w:pPr>
      <w:r>
        <w:rPr>
          <w:rFonts w:ascii="Times New Roman" w:hAnsi="Times New Roman" w:cs="Times New Roman"/>
        </w:rPr>
        <w:t xml:space="preserve">Corporate governance refers to the framework of rules, institutions, and processes through which companies are directed, controlled, and held accountable in the pursuit of organizational objectives. At the international level, governance is framed around principles </w:t>
      </w:r>
      <w:r>
        <w:rPr>
          <w:rFonts w:ascii="Times New Roman" w:hAnsi="Times New Roman" w:cs="Times New Roman"/>
        </w:rPr>
        <w:lastRenderedPageBreak/>
        <w:t>of transparency, accountability, fairness, and responsibility, which guide relationships among shareholders, management, regulators, and other stakeholders (Mallin, 2020). In emerging economies, corporate governance assumes heightened importance due to weaker institutional enforcement and higher agency risks, making regulatory codes and market discipline essential for firm credibility and investor confidence (Ag</w:t>
      </w:r>
      <w:r w:rsidR="009F7F4E">
        <w:rPr>
          <w:rFonts w:ascii="Times New Roman" w:hAnsi="Times New Roman" w:cs="Times New Roman"/>
        </w:rPr>
        <w:t xml:space="preserve">uilera &amp; Crespi-Cladera, 2022). </w:t>
      </w:r>
      <w:r>
        <w:rPr>
          <w:rFonts w:ascii="Times New Roman" w:hAnsi="Times New Roman" w:cs="Times New Roman"/>
        </w:rPr>
        <w:t xml:space="preserve">In Nigeria, corporate governance is primarily guided by statutory provisions and regulatory frameworks issued by bodies such as the Securities and Exchange Commission (SEC) and the Nigerian Exchange Group (NGX). The Nigerian Code of Corporate Governance (NCCG) provides overarching principles aimed at promoting ethical leadership, integrity in financial reporting, and effective oversight across listed companies. </w:t>
      </w:r>
    </w:p>
    <w:p w14:paraId="29F8C062" w14:textId="77777777" w:rsidR="001425E9" w:rsidRDefault="001425E9" w:rsidP="00A77FE8">
      <w:pPr>
        <w:spacing w:line="240" w:lineRule="auto"/>
        <w:jc w:val="both"/>
        <w:rPr>
          <w:rFonts w:ascii="Times New Roman" w:hAnsi="Times New Roman" w:cs="Times New Roman"/>
          <w:b/>
          <w:bCs/>
        </w:rPr>
      </w:pPr>
    </w:p>
    <w:p w14:paraId="55434F00" w14:textId="46F9356F" w:rsidR="0063596E" w:rsidRDefault="007C0A4D" w:rsidP="00A77FE8">
      <w:pPr>
        <w:spacing w:line="240" w:lineRule="auto"/>
        <w:jc w:val="both"/>
        <w:rPr>
          <w:rFonts w:ascii="Times New Roman" w:hAnsi="Times New Roman" w:cs="Times New Roman"/>
          <w:b/>
          <w:bCs/>
        </w:rPr>
      </w:pPr>
      <w:r>
        <w:rPr>
          <w:rFonts w:ascii="Times New Roman" w:hAnsi="Times New Roman" w:cs="Times New Roman"/>
          <w:b/>
          <w:bCs/>
        </w:rPr>
        <w:t>2.</w:t>
      </w:r>
      <w:r w:rsidR="001425E9">
        <w:rPr>
          <w:rFonts w:ascii="Times New Roman" w:hAnsi="Times New Roman" w:cs="Times New Roman"/>
          <w:b/>
          <w:bCs/>
        </w:rPr>
        <w:t>1.</w:t>
      </w:r>
      <w:r w:rsidR="0063596E">
        <w:rPr>
          <w:rFonts w:ascii="Times New Roman" w:hAnsi="Times New Roman" w:cs="Times New Roman"/>
          <w:b/>
          <w:bCs/>
        </w:rPr>
        <w:t>2 Board Size</w:t>
      </w:r>
    </w:p>
    <w:p w14:paraId="123AA6D8" w14:textId="02A543A0" w:rsidR="0063596E" w:rsidRDefault="0063596E" w:rsidP="00A77FE8">
      <w:pPr>
        <w:spacing w:line="240" w:lineRule="auto"/>
        <w:jc w:val="both"/>
        <w:rPr>
          <w:rFonts w:ascii="Times New Roman" w:hAnsi="Times New Roman" w:cs="Times New Roman"/>
          <w:b/>
          <w:bCs/>
        </w:rPr>
      </w:pPr>
      <w:r>
        <w:rPr>
          <w:rFonts w:ascii="Times New Roman" w:hAnsi="Times New Roman" w:cs="Times New Roman"/>
          <w:bCs/>
        </w:rPr>
        <w:t>Board size refers to the total number of individuals appointed to serve as directors on a company’s board at a given point in time and represents a fundamental dimension of corporate governance structure. Scholarly literature views board size as a critical governance attribute because it determines the board’s capacity for collective decision-making, oversight, and strategic guidance (Mallin, 2020). From a governance perspective, the size of the board influences how effectively directors can monitor management actions while balancing diverse viewpoints and expertise within the organization.</w:t>
      </w:r>
      <w:r w:rsidR="008C4049">
        <w:rPr>
          <w:rFonts w:ascii="Times New Roman" w:hAnsi="Times New Roman" w:cs="Times New Roman"/>
          <w:bCs/>
        </w:rPr>
        <w:t xml:space="preserve"> The board play a strategic role in monitoring management, providing advisory functions, ensuring accountability and protecting shareholders’ interest.</w:t>
      </w:r>
      <w:r w:rsidR="00D0055B">
        <w:rPr>
          <w:rFonts w:ascii="Times New Roman" w:hAnsi="Times New Roman" w:cs="Times New Roman"/>
          <w:bCs/>
        </w:rPr>
        <w:t xml:space="preserve"> </w:t>
      </w:r>
    </w:p>
    <w:p w14:paraId="6F1F58E6" w14:textId="1D910F31" w:rsidR="0063596E" w:rsidRDefault="0063596E" w:rsidP="00A05A70">
      <w:pPr>
        <w:spacing w:line="240" w:lineRule="auto"/>
        <w:jc w:val="both"/>
        <w:rPr>
          <w:rFonts w:ascii="Times New Roman" w:hAnsi="Times New Roman" w:cs="Times New Roman"/>
          <w:bCs/>
        </w:rPr>
      </w:pPr>
      <w:r>
        <w:rPr>
          <w:rFonts w:ascii="Times New Roman" w:hAnsi="Times New Roman" w:cs="Times New Roman"/>
          <w:bCs/>
        </w:rPr>
        <w:t>In the Nigerian corporate environment, board size is guided by the Nigerian Code of Corporate Governance (NCCG), which emphasizes that boards should be of sufficient size to ensure effectiveness without undermining efficiency. While the code does not prescribe a fixed number of directors, it encourages firms to adopt board sizes that reflect the scale, complexity, and nature of their operations (SEC, 2018). Adegbite and Amaeshi (2021) observe that Nigerian listed companies often adjust board size in response to firm growth, regulatory expectations, and ownership structure, reflecting a pragmatic approach to governanc</w:t>
      </w:r>
      <w:r w:rsidR="00BD09F4">
        <w:rPr>
          <w:rFonts w:ascii="Times New Roman" w:hAnsi="Times New Roman" w:cs="Times New Roman"/>
          <w:bCs/>
        </w:rPr>
        <w:t>e rather than rigid compliance</w:t>
      </w:r>
      <w:r w:rsidR="001425E9">
        <w:rPr>
          <w:rFonts w:ascii="Times New Roman" w:hAnsi="Times New Roman" w:cs="Times New Roman"/>
          <w:bCs/>
        </w:rPr>
        <w:t xml:space="preserve"> </w:t>
      </w:r>
      <w:r>
        <w:rPr>
          <w:rFonts w:ascii="Times New Roman" w:hAnsi="Times New Roman" w:cs="Times New Roman"/>
          <w:bCs/>
        </w:rPr>
        <w:t>(Aguilera &amp; Crespi-Cladera, 2022</w:t>
      </w:r>
      <w:r w:rsidR="00C424F7">
        <w:rPr>
          <w:rFonts w:ascii="Times New Roman" w:hAnsi="Times New Roman" w:cs="Times New Roman"/>
          <w:bCs/>
        </w:rPr>
        <w:t>)</w:t>
      </w:r>
      <w:r w:rsidR="00F71D38">
        <w:rPr>
          <w:rFonts w:ascii="Times New Roman" w:hAnsi="Times New Roman" w:cs="Times New Roman"/>
          <w:bCs/>
        </w:rPr>
        <w:t>.</w:t>
      </w:r>
      <w:r w:rsidR="00D0055B">
        <w:rPr>
          <w:rFonts w:ascii="Times New Roman" w:hAnsi="Times New Roman" w:cs="Times New Roman"/>
          <w:bCs/>
        </w:rPr>
        <w:t xml:space="preserve"> Consequently, the size of the board may exert either positive or negative effect on firm value. </w:t>
      </w:r>
      <w:r w:rsidR="00F71D38">
        <w:rPr>
          <w:rFonts w:ascii="Times New Roman" w:hAnsi="Times New Roman" w:cs="Times New Roman"/>
          <w:bCs/>
        </w:rPr>
        <w:t xml:space="preserve">Hence we hypothesize that board size has no significant effect on value of listed companies in Nigeria. </w:t>
      </w:r>
    </w:p>
    <w:p w14:paraId="20A264BF" w14:textId="77777777" w:rsidR="0063596E" w:rsidRDefault="007C0A4D" w:rsidP="00A77FE8">
      <w:pPr>
        <w:spacing w:after="0" w:line="240" w:lineRule="auto"/>
        <w:jc w:val="both"/>
        <w:rPr>
          <w:rFonts w:ascii="Times New Roman" w:hAnsi="Times New Roman" w:cs="Times New Roman"/>
          <w:b/>
          <w:bCs/>
        </w:rPr>
      </w:pPr>
      <w:r>
        <w:rPr>
          <w:rFonts w:ascii="Times New Roman" w:hAnsi="Times New Roman" w:cs="Times New Roman"/>
          <w:b/>
          <w:bCs/>
        </w:rPr>
        <w:t>2.</w:t>
      </w:r>
      <w:r w:rsidR="00A04AFD">
        <w:rPr>
          <w:rFonts w:ascii="Times New Roman" w:hAnsi="Times New Roman" w:cs="Times New Roman"/>
          <w:b/>
          <w:bCs/>
        </w:rPr>
        <w:t>1.</w:t>
      </w:r>
      <w:r w:rsidR="0063596E">
        <w:rPr>
          <w:rFonts w:ascii="Times New Roman" w:hAnsi="Times New Roman" w:cs="Times New Roman"/>
          <w:b/>
          <w:bCs/>
        </w:rPr>
        <w:t>3</w:t>
      </w:r>
      <w:r w:rsidR="0063596E">
        <w:rPr>
          <w:rFonts w:ascii="Times New Roman" w:hAnsi="Times New Roman" w:cs="Times New Roman"/>
          <w:b/>
          <w:bCs/>
        </w:rPr>
        <w:tab/>
        <w:t>Board Independence</w:t>
      </w:r>
    </w:p>
    <w:p w14:paraId="10FFAA2A" w14:textId="7E0A5138" w:rsidR="0063596E" w:rsidRDefault="00BF7895" w:rsidP="00A05A70">
      <w:pPr>
        <w:spacing w:line="240" w:lineRule="auto"/>
        <w:jc w:val="both"/>
        <w:rPr>
          <w:rFonts w:ascii="Times New Roman" w:hAnsi="Times New Roman" w:cs="Times New Roman"/>
          <w:bCs/>
        </w:rPr>
      </w:pPr>
      <w:r>
        <w:rPr>
          <w:rFonts w:ascii="Times New Roman" w:hAnsi="Times New Roman" w:cs="Times New Roman"/>
          <w:bCs/>
        </w:rPr>
        <w:t>Board independence has been a prominent is</w:t>
      </w:r>
      <w:r w:rsidR="004A6F4F">
        <w:rPr>
          <w:rFonts w:ascii="Times New Roman" w:hAnsi="Times New Roman" w:cs="Times New Roman"/>
          <w:bCs/>
        </w:rPr>
        <w:t xml:space="preserve">sue in corporate governance literature because of its potential influence on organizational accountability, transparency and firm value. </w:t>
      </w:r>
      <w:r>
        <w:rPr>
          <w:rFonts w:ascii="Times New Roman" w:hAnsi="Times New Roman" w:cs="Times New Roman"/>
          <w:bCs/>
        </w:rPr>
        <w:t xml:space="preserve"> </w:t>
      </w:r>
      <w:r w:rsidR="0063596E">
        <w:rPr>
          <w:rFonts w:ascii="Times New Roman" w:hAnsi="Times New Roman" w:cs="Times New Roman"/>
          <w:bCs/>
        </w:rPr>
        <w:t xml:space="preserve">Board independence refers to the extent to which a company’s board is composed of non-executive directors who are free from management influence, material relationships, and conflicts of interest that could impair objective judgment. The concept is grounded in agency theory, which views independent directors as key oversight agents responsible for monitoring managerial behavior and protecting shareholders’ interests (Mallin, 2020). By providing unbiased supervision, board independence enhances accountability and strengthens governance credibility in publicly listed firms. In Nigeria, board independence is strongly emphasized under the Nigerian Code of Corporate Governance (NCCG), which recommends an appropriate balance between executive and non-executive directors, with a significant proportion being independent. The objective is to ensure effective oversight, ethical </w:t>
      </w:r>
      <w:r w:rsidR="0063596E">
        <w:rPr>
          <w:rFonts w:ascii="Times New Roman" w:hAnsi="Times New Roman" w:cs="Times New Roman"/>
          <w:bCs/>
        </w:rPr>
        <w:lastRenderedPageBreak/>
        <w:t>leadership, and objective evaluation of management performance. Adegbite and Amaeshi (2021) note that the Nigerian governance environment, characterized by ownership concentration and dominant shareholders, heightens the relevance of independent directors in curbing managerial opportunism and related-party abuses. Conceptually, independent directors are expected to contribute objectivity, external perspectives, and professional in</w:t>
      </w:r>
      <w:r w:rsidR="00BD09F4">
        <w:rPr>
          <w:rFonts w:ascii="Times New Roman" w:hAnsi="Times New Roman" w:cs="Times New Roman"/>
          <w:bCs/>
        </w:rPr>
        <w:t>tegrity to board deliberations</w:t>
      </w:r>
      <w:r w:rsidR="007C0A4D">
        <w:rPr>
          <w:rFonts w:ascii="Times New Roman" w:hAnsi="Times New Roman" w:cs="Times New Roman"/>
          <w:bCs/>
        </w:rPr>
        <w:t xml:space="preserve"> </w:t>
      </w:r>
      <w:r w:rsidR="0063596E">
        <w:rPr>
          <w:rFonts w:ascii="Times New Roman" w:hAnsi="Times New Roman" w:cs="Times New Roman"/>
          <w:bCs/>
        </w:rPr>
        <w:t xml:space="preserve">(Aguilera &amp; Crespi-Cladera, 2022). </w:t>
      </w:r>
      <w:r w:rsidR="007D6C18">
        <w:rPr>
          <w:rFonts w:ascii="Times New Roman" w:hAnsi="Times New Roman" w:cs="Times New Roman"/>
          <w:bCs/>
        </w:rPr>
        <w:t>Based on the foregoing review, the study hypothe</w:t>
      </w:r>
      <w:r w:rsidR="007938D6">
        <w:rPr>
          <w:rFonts w:ascii="Times New Roman" w:hAnsi="Times New Roman" w:cs="Times New Roman"/>
          <w:bCs/>
        </w:rPr>
        <w:t>sizes that Board independence has no significant effect on value of listed companies in Nigeria.</w:t>
      </w:r>
    </w:p>
    <w:p w14:paraId="3B2FB844" w14:textId="77777777" w:rsidR="0063596E" w:rsidRDefault="007C0A4D" w:rsidP="00A77FE8">
      <w:pPr>
        <w:spacing w:after="0" w:line="240" w:lineRule="auto"/>
        <w:jc w:val="both"/>
        <w:rPr>
          <w:rFonts w:ascii="Times New Roman" w:hAnsi="Times New Roman" w:cs="Times New Roman"/>
          <w:b/>
          <w:bCs/>
        </w:rPr>
      </w:pPr>
      <w:r>
        <w:rPr>
          <w:rFonts w:ascii="Times New Roman" w:hAnsi="Times New Roman" w:cs="Times New Roman"/>
          <w:b/>
          <w:bCs/>
        </w:rPr>
        <w:t>2.</w:t>
      </w:r>
      <w:r w:rsidR="00A04AFD">
        <w:rPr>
          <w:rFonts w:ascii="Times New Roman" w:hAnsi="Times New Roman" w:cs="Times New Roman"/>
          <w:b/>
          <w:bCs/>
        </w:rPr>
        <w:t>1.</w:t>
      </w:r>
      <w:r w:rsidR="0063596E">
        <w:rPr>
          <w:rFonts w:ascii="Times New Roman" w:hAnsi="Times New Roman" w:cs="Times New Roman"/>
          <w:b/>
          <w:bCs/>
        </w:rPr>
        <w:t>4</w:t>
      </w:r>
      <w:r w:rsidR="0063596E">
        <w:rPr>
          <w:rFonts w:ascii="Times New Roman" w:hAnsi="Times New Roman" w:cs="Times New Roman"/>
          <w:b/>
          <w:bCs/>
        </w:rPr>
        <w:tab/>
        <w:t>Board Expertise</w:t>
      </w:r>
    </w:p>
    <w:p w14:paraId="30BCEC95" w14:textId="2FA646EB" w:rsidR="00A05A70" w:rsidRDefault="0063596E" w:rsidP="00A77FE8">
      <w:pPr>
        <w:spacing w:after="0" w:line="240" w:lineRule="auto"/>
        <w:jc w:val="both"/>
        <w:rPr>
          <w:rFonts w:ascii="Times New Roman" w:hAnsi="Times New Roman" w:cs="Times New Roman"/>
          <w:bCs/>
        </w:rPr>
      </w:pPr>
      <w:r>
        <w:rPr>
          <w:rFonts w:ascii="Times New Roman" w:hAnsi="Times New Roman" w:cs="Times New Roman"/>
          <w:bCs/>
        </w:rPr>
        <w:t>Board expertise refers to the collective knowledge, skills, professional experience, and competencies possessed by board members that enable them to effectively perform oversight and strategic functions</w:t>
      </w:r>
      <w:r w:rsidR="009115AF">
        <w:rPr>
          <w:rFonts w:ascii="Times New Roman" w:hAnsi="Times New Roman" w:cs="Times New Roman"/>
          <w:bCs/>
        </w:rPr>
        <w:t xml:space="preserve"> (Kraft et al</w:t>
      </w:r>
      <w:r>
        <w:rPr>
          <w:rFonts w:ascii="Times New Roman" w:hAnsi="Times New Roman" w:cs="Times New Roman"/>
          <w:bCs/>
        </w:rPr>
        <w:t>.</w:t>
      </w:r>
      <w:r w:rsidR="0055372A">
        <w:rPr>
          <w:rFonts w:ascii="Times New Roman" w:hAnsi="Times New Roman" w:cs="Times New Roman"/>
          <w:bCs/>
        </w:rPr>
        <w:t>, 2024). The concept is grounded in the notion that directors are expected not only to monitor management but also to provide strategic advice, evaluate organizational risks and contribute specialized knowledge that enhances</w:t>
      </w:r>
      <w:r w:rsidR="003C64F7">
        <w:rPr>
          <w:rFonts w:ascii="Times New Roman" w:hAnsi="Times New Roman" w:cs="Times New Roman"/>
          <w:bCs/>
        </w:rPr>
        <w:t xml:space="preserve"> decision- making quality.</w:t>
      </w:r>
      <w:r w:rsidR="002E4F36">
        <w:rPr>
          <w:rFonts w:ascii="Times New Roman" w:hAnsi="Times New Roman" w:cs="Times New Roman"/>
          <w:bCs/>
        </w:rPr>
        <w:t xml:space="preserve"> Literature conceptualizes board expertise from different perspectives including accounting, auditing or investment while others adopt broader definition encompassing industry expertise, legal knowledge, managerial experience, technological competence and academic qualifications (Guner et al., 2006;</w:t>
      </w:r>
      <w:r w:rsidR="00922B5C">
        <w:rPr>
          <w:rFonts w:ascii="Times New Roman" w:hAnsi="Times New Roman" w:cs="Times New Roman"/>
          <w:bCs/>
        </w:rPr>
        <w:t xml:space="preserve"> </w:t>
      </w:r>
      <w:r w:rsidR="002E4F36">
        <w:rPr>
          <w:rFonts w:ascii="Times New Roman" w:hAnsi="Times New Roman" w:cs="Times New Roman"/>
          <w:bCs/>
        </w:rPr>
        <w:t>Jeanjean</w:t>
      </w:r>
      <w:r w:rsidR="00922B5C">
        <w:rPr>
          <w:rFonts w:ascii="Times New Roman" w:hAnsi="Times New Roman" w:cs="Times New Roman"/>
          <w:bCs/>
        </w:rPr>
        <w:t xml:space="preserve"> &amp; Stolowy, 209)</w:t>
      </w:r>
      <w:r>
        <w:rPr>
          <w:rFonts w:ascii="Times New Roman" w:hAnsi="Times New Roman" w:cs="Times New Roman"/>
          <w:bCs/>
        </w:rPr>
        <w:t xml:space="preserve"> Conceptually, expertise encompasses experience in areas such as finance, accounting, law, industry operations, risk management, and corporate strategy, which are essential for informed decision-making at the board level (Mallin, 2020). A knowledgeable board is better positioned to understand complex business issues and guide corporate direction. In the Nigerian governance context, the Nigerian Code of Corporate Governance emphasizes that directors should possess adequate competence and experience relevant to the firm’s industry and operational complexity. This requirement reflects growing recognition that governance effectiveness depends not only on structural independence but also on the intellectual capacity of the board. According to Adegbite and Amaeshi (2021), weak board expertise has historically contributed to poor strategic oversight and corporate failures in developin</w:t>
      </w:r>
      <w:r w:rsidR="00BD09F4">
        <w:rPr>
          <w:rFonts w:ascii="Times New Roman" w:hAnsi="Times New Roman" w:cs="Times New Roman"/>
          <w:bCs/>
        </w:rPr>
        <w:t>g economies, including Nigeria</w:t>
      </w:r>
      <w:r w:rsidR="009115AF">
        <w:rPr>
          <w:rFonts w:ascii="Times New Roman" w:hAnsi="Times New Roman" w:cs="Times New Roman"/>
          <w:bCs/>
        </w:rPr>
        <w:t xml:space="preserve"> </w:t>
      </w:r>
      <w:r>
        <w:rPr>
          <w:rFonts w:ascii="Times New Roman" w:hAnsi="Times New Roman" w:cs="Times New Roman"/>
          <w:bCs/>
        </w:rPr>
        <w:t>(Aguilera &amp; Crespi-Cladera, 2022).</w:t>
      </w:r>
      <w:r w:rsidR="009115AF">
        <w:rPr>
          <w:rFonts w:ascii="Times New Roman" w:hAnsi="Times New Roman" w:cs="Times New Roman"/>
          <w:bCs/>
        </w:rPr>
        <w:t xml:space="preserve"> The study therefore formulate that board expertise has no significant effect on value of listed companies in Nigeria </w:t>
      </w:r>
      <w:r>
        <w:rPr>
          <w:rFonts w:ascii="Times New Roman" w:hAnsi="Times New Roman" w:cs="Times New Roman"/>
          <w:bCs/>
        </w:rPr>
        <w:t xml:space="preserve"> </w:t>
      </w:r>
    </w:p>
    <w:p w14:paraId="5ACCEED6" w14:textId="77777777" w:rsidR="002466DB" w:rsidRDefault="002466DB" w:rsidP="00A77FE8">
      <w:pPr>
        <w:spacing w:after="0" w:line="240" w:lineRule="auto"/>
        <w:jc w:val="both"/>
        <w:rPr>
          <w:rFonts w:ascii="Times New Roman" w:hAnsi="Times New Roman" w:cs="Times New Roman"/>
          <w:b/>
          <w:bCs/>
        </w:rPr>
      </w:pPr>
    </w:p>
    <w:p w14:paraId="7C41F275" w14:textId="77777777" w:rsidR="00AF2898" w:rsidRDefault="0063596E" w:rsidP="00AF2898">
      <w:pPr>
        <w:spacing w:after="0" w:line="240" w:lineRule="auto"/>
        <w:jc w:val="both"/>
        <w:rPr>
          <w:rFonts w:ascii="Times New Roman" w:hAnsi="Times New Roman" w:cs="Times New Roman"/>
          <w:b/>
          <w:bCs/>
        </w:rPr>
      </w:pPr>
      <w:r>
        <w:rPr>
          <w:rFonts w:ascii="Times New Roman" w:hAnsi="Times New Roman" w:cs="Times New Roman"/>
          <w:b/>
          <w:bCs/>
        </w:rPr>
        <w:t>2.1.5</w:t>
      </w:r>
      <w:r>
        <w:rPr>
          <w:rFonts w:ascii="Times New Roman" w:hAnsi="Times New Roman" w:cs="Times New Roman"/>
          <w:b/>
          <w:bCs/>
        </w:rPr>
        <w:tab/>
        <w:t>Concept of Firm Value</w:t>
      </w:r>
    </w:p>
    <w:p w14:paraId="6D79B511" w14:textId="77777777" w:rsidR="004D3AA8" w:rsidRDefault="004D3AA8" w:rsidP="00AF2898">
      <w:pPr>
        <w:spacing w:after="0" w:line="240" w:lineRule="auto"/>
        <w:jc w:val="both"/>
        <w:rPr>
          <w:rFonts w:ascii="Times New Roman" w:hAnsi="Times New Roman" w:cs="Times New Roman"/>
          <w:bCs/>
        </w:rPr>
      </w:pPr>
    </w:p>
    <w:p w14:paraId="515D3B7C" w14:textId="7188AF18" w:rsidR="0063596E" w:rsidRDefault="004D3AA8" w:rsidP="00AF2898">
      <w:pPr>
        <w:spacing w:after="0" w:line="240" w:lineRule="auto"/>
        <w:jc w:val="both"/>
        <w:rPr>
          <w:rFonts w:ascii="Times New Roman" w:hAnsi="Times New Roman" w:cs="Times New Roman"/>
          <w:b/>
          <w:bCs/>
        </w:rPr>
      </w:pPr>
      <w:r>
        <w:rPr>
          <w:rFonts w:ascii="Times New Roman" w:hAnsi="Times New Roman" w:cs="Times New Roman"/>
          <w:bCs/>
        </w:rPr>
        <w:t>.</w:t>
      </w:r>
      <w:r w:rsidR="00244DFF">
        <w:rPr>
          <w:rFonts w:ascii="Times New Roman" w:hAnsi="Times New Roman" w:cs="Times New Roman"/>
          <w:bCs/>
        </w:rPr>
        <w:t>4</w:t>
      </w:r>
      <w:r w:rsidR="0063596E">
        <w:rPr>
          <w:rFonts w:ascii="Times New Roman" w:hAnsi="Times New Roman" w:cs="Times New Roman"/>
          <w:bCs/>
        </w:rPr>
        <w:t>Firm value represents the overall economic worth of a company as perceived by the market, reflecting its current performance, future growth prospects, risk profile, and managerial effectiveness. At the conceptual level, firm value captures investors’ expectations about a firm’s ability to generate sustainable returns over time rather than merely its accounting profitability (Mallin, 2020). As capital markets increasingly emphasize forward-looking information, firm value has become a central indicator of corporate success and governance quality.</w:t>
      </w:r>
      <w:r w:rsidR="0063596E">
        <w:rPr>
          <w:rFonts w:ascii="Times New Roman" w:hAnsi="Times New Roman" w:cs="Times New Roman"/>
          <w:b/>
          <w:bCs/>
        </w:rPr>
        <w:t xml:space="preserve"> </w:t>
      </w:r>
      <w:r w:rsidR="0063596E">
        <w:rPr>
          <w:rFonts w:ascii="Times New Roman" w:hAnsi="Times New Roman" w:cs="Times New Roman"/>
          <w:bCs/>
        </w:rPr>
        <w:t>In corporate finance and governance literature, firm value is commonly viewed as the outcome of effective managerial decision-making and sound governance structures that enhance efficiency, tr</w:t>
      </w:r>
      <w:r w:rsidR="00BD09F4">
        <w:rPr>
          <w:rFonts w:ascii="Times New Roman" w:hAnsi="Times New Roman" w:cs="Times New Roman"/>
          <w:bCs/>
        </w:rPr>
        <w:t>ansparency, and accountability</w:t>
      </w:r>
      <w:r w:rsidR="0063596E">
        <w:rPr>
          <w:rFonts w:ascii="Times New Roman" w:hAnsi="Times New Roman" w:cs="Times New Roman"/>
          <w:bCs/>
        </w:rPr>
        <w:t>(Aguilera &amp; Crespi-Cladera, 2022)..</w:t>
      </w:r>
    </w:p>
    <w:p w14:paraId="5954515A" w14:textId="77777777" w:rsidR="009F603D" w:rsidRDefault="009F603D" w:rsidP="00A77FE8">
      <w:pPr>
        <w:spacing w:after="0" w:line="240" w:lineRule="auto"/>
        <w:jc w:val="both"/>
        <w:rPr>
          <w:rFonts w:ascii="Times New Roman" w:hAnsi="Times New Roman" w:cs="Times New Roman"/>
          <w:b/>
          <w:bCs/>
        </w:rPr>
      </w:pPr>
    </w:p>
    <w:p w14:paraId="103F51F3" w14:textId="77777777" w:rsidR="004D0A29" w:rsidRDefault="004D0A29" w:rsidP="00A77FE8">
      <w:pPr>
        <w:spacing w:after="0" w:line="240" w:lineRule="auto"/>
        <w:jc w:val="both"/>
        <w:rPr>
          <w:rFonts w:ascii="Times New Roman" w:hAnsi="Times New Roman" w:cs="Times New Roman"/>
          <w:b/>
          <w:bCs/>
        </w:rPr>
      </w:pPr>
    </w:p>
    <w:p w14:paraId="00BFEAA1" w14:textId="32B5FF45" w:rsidR="0063596E" w:rsidRDefault="0063596E" w:rsidP="00A77FE8">
      <w:pPr>
        <w:spacing w:after="0" w:line="240" w:lineRule="auto"/>
        <w:jc w:val="both"/>
        <w:rPr>
          <w:rFonts w:ascii="Times New Roman" w:hAnsi="Times New Roman" w:cs="Times New Roman"/>
          <w:b/>
          <w:bCs/>
        </w:rPr>
      </w:pPr>
      <w:r>
        <w:rPr>
          <w:rFonts w:ascii="Times New Roman" w:hAnsi="Times New Roman" w:cs="Times New Roman"/>
          <w:b/>
          <w:bCs/>
        </w:rPr>
        <w:lastRenderedPageBreak/>
        <w:t>Tobin’s Q</w:t>
      </w:r>
    </w:p>
    <w:p w14:paraId="5D98E027" w14:textId="77777777" w:rsidR="0063596E" w:rsidRDefault="0063596E" w:rsidP="00A77FE8">
      <w:pPr>
        <w:spacing w:after="0" w:line="240" w:lineRule="auto"/>
        <w:jc w:val="both"/>
        <w:rPr>
          <w:rFonts w:ascii="Times New Roman" w:hAnsi="Times New Roman" w:cs="Times New Roman"/>
          <w:bCs/>
        </w:rPr>
      </w:pPr>
      <w:r>
        <w:rPr>
          <w:rFonts w:ascii="Times New Roman" w:hAnsi="Times New Roman" w:cs="Times New Roman"/>
          <w:bCs/>
        </w:rPr>
        <w:t xml:space="preserve">Tobin’s Q is a market-based measure of firm value that compares the market valuation of a company to the book value or replacement cost of its assets. Conceptually, Tobin’s Q reflects how the market values a firm relative to the resources it controls, providing insight into investors’ assessment of managerial efficiency, growth opportunities, and governance quality (Mallin, 2020). A value greater than one indicates that the market values the firm more highly than its recorded assets, suggesting positive growth expectations. Tobin’s Q is widely used in corporate governance research because it captures long-term market perceptions rather than short-term accounting outcomes. Scholars argue that this measure is particularly suitable for evaluating governance effects, as governance mechanisms are expected to influence future cash flows and strategic positioning rather than immediate profits (Aguilera &amp; Crespi-Cladera, 2022). As a result, Tobin’s Q is often preferred in studies examining how governance influences firm valuation. </w:t>
      </w:r>
    </w:p>
    <w:p w14:paraId="12C1D4C5" w14:textId="77777777" w:rsidR="009F603D" w:rsidRDefault="009F603D" w:rsidP="002F5518">
      <w:pPr>
        <w:spacing w:after="0" w:line="480" w:lineRule="auto"/>
        <w:jc w:val="both"/>
        <w:rPr>
          <w:rFonts w:ascii="Times New Roman" w:hAnsi="Times New Roman" w:cs="Times New Roman"/>
          <w:b/>
          <w:bCs/>
        </w:rPr>
      </w:pPr>
    </w:p>
    <w:p w14:paraId="40CD5B4B" w14:textId="77777777" w:rsidR="009F603D" w:rsidRDefault="009F603D" w:rsidP="009F603D">
      <w:pPr>
        <w:spacing w:after="0" w:line="240" w:lineRule="auto"/>
        <w:contextualSpacing/>
        <w:jc w:val="both"/>
        <w:rPr>
          <w:rFonts w:ascii="Times New Roman" w:hAnsi="Times New Roman" w:cs="Times New Roman"/>
          <w:b/>
          <w:bCs/>
        </w:rPr>
      </w:pPr>
      <w:r>
        <w:rPr>
          <w:rFonts w:ascii="Times New Roman" w:hAnsi="Times New Roman" w:cs="Times New Roman"/>
          <w:b/>
          <w:bCs/>
        </w:rPr>
        <w:t>Price Earnings Ratio</w:t>
      </w:r>
    </w:p>
    <w:p w14:paraId="558864CE" w14:textId="7519401F" w:rsidR="002F5518" w:rsidRPr="009F603D" w:rsidRDefault="002F5518" w:rsidP="009F603D">
      <w:pPr>
        <w:spacing w:after="0" w:line="240" w:lineRule="auto"/>
        <w:contextualSpacing/>
        <w:jc w:val="both"/>
        <w:rPr>
          <w:rFonts w:ascii="Times New Roman" w:hAnsi="Times New Roman" w:cs="Times New Roman"/>
          <w:b/>
          <w:bCs/>
        </w:rPr>
      </w:pPr>
      <w:r w:rsidRPr="008D0E93">
        <w:rPr>
          <w:rFonts w:ascii="Times New Roman" w:hAnsi="Times New Roman" w:cs="Times New Roman"/>
          <w:bCs/>
        </w:rPr>
        <w:t>The price</w:t>
      </w:r>
      <w:r w:rsidR="009F603D">
        <w:rPr>
          <w:rFonts w:ascii="Times New Roman" w:hAnsi="Times New Roman" w:cs="Times New Roman"/>
          <w:bCs/>
        </w:rPr>
        <w:t>-</w:t>
      </w:r>
      <w:r w:rsidRPr="008D0E93">
        <w:rPr>
          <w:rFonts w:ascii="Times New Roman" w:hAnsi="Times New Roman" w:cs="Times New Roman"/>
          <w:bCs/>
        </w:rPr>
        <w:t>earnings ratio (PER) is a valuation metric that expresses the relationship between a company’s market price per share and its earnings per share. Conceptually, PER reflects investors’ expectations regarding a firm’s future earnings growth, risk level, and overall performance prospects (Mallin, 2020). A higher PER generally signals greater market confidence in the firm’s ability to generate sustained earnings over time. From a governance perspective, the price–earnings ratio is regarded as a forward-looking indicator that links market sentiment to corporate performance. Scholars argue that firms perceived to have strong governance frameworks are more likely to command higher PERs, as investors associate governance quality with earnings reliability and reduced agency risk (Aguilera &amp; Crespi-Cladera, 2022). This makes PER particularly relevant in assessing how governance influences investor valuation decisions.</w:t>
      </w:r>
    </w:p>
    <w:p w14:paraId="6C900913" w14:textId="4808F742" w:rsidR="002F5518" w:rsidRPr="008D0E93" w:rsidRDefault="002F5518" w:rsidP="009F603D">
      <w:pPr>
        <w:spacing w:line="240" w:lineRule="auto"/>
        <w:contextualSpacing/>
        <w:jc w:val="both"/>
        <w:rPr>
          <w:rFonts w:ascii="Times New Roman" w:hAnsi="Times New Roman" w:cs="Times New Roman"/>
          <w:bCs/>
        </w:rPr>
      </w:pPr>
      <w:r w:rsidRPr="008D0E93">
        <w:rPr>
          <w:rFonts w:ascii="Times New Roman" w:hAnsi="Times New Roman" w:cs="Times New Roman"/>
          <w:bCs/>
        </w:rPr>
        <w:t>In emerging capital markets like Nigeria, PER provides an accessible and widely understood measure of firm value for both institutional and retail investors. Adegbite and Amaeshi (2021) note</w:t>
      </w:r>
      <w:r w:rsidR="002F5EFD">
        <w:rPr>
          <w:rFonts w:ascii="Times New Roman" w:hAnsi="Times New Roman" w:cs="Times New Roman"/>
          <w:bCs/>
        </w:rPr>
        <w:t>d</w:t>
      </w:r>
      <w:r w:rsidRPr="008D0E93">
        <w:rPr>
          <w:rFonts w:ascii="Times New Roman" w:hAnsi="Times New Roman" w:cs="Times New Roman"/>
          <w:bCs/>
        </w:rPr>
        <w:t xml:space="preserve"> that due to information constraints, market participants often rely on simple but informative ratios such as PER to evaluate corporate prospects. The ratio therefore captures market confidence in management’s capacity to translate current earnings into future growth. However, the interpretive power of PER depends on credible earnings information and transparent reporting. Nguyen et al. (2024) emphasize that stronger disclosure practices and regulatory oversight enhance the reliability of PER as a valuation metric. In the Nigerian Stock Exchange environment, PER thus serves as a practical indicator of how governance practices influence market valuation and investor expectations, reinforcing its relevance in firm value analysis (Zattoni &amp; Cuomo, 2025).</w:t>
      </w:r>
    </w:p>
    <w:p w14:paraId="71F4C076" w14:textId="77777777" w:rsidR="002F5518" w:rsidRDefault="002F5518" w:rsidP="00A77FE8">
      <w:pPr>
        <w:spacing w:after="0" w:line="240" w:lineRule="auto"/>
        <w:jc w:val="both"/>
        <w:rPr>
          <w:rFonts w:ascii="Times New Roman" w:hAnsi="Times New Roman" w:cs="Times New Roman"/>
          <w:bCs/>
        </w:rPr>
      </w:pPr>
    </w:p>
    <w:p w14:paraId="4CDC24D1" w14:textId="77777777" w:rsidR="002466DB" w:rsidRDefault="002466DB" w:rsidP="00A77FE8">
      <w:pPr>
        <w:spacing w:line="240" w:lineRule="auto"/>
        <w:jc w:val="both"/>
        <w:rPr>
          <w:rFonts w:ascii="Times New Roman" w:hAnsi="Times New Roman" w:cs="Times New Roman"/>
          <w:bCs/>
        </w:rPr>
      </w:pPr>
    </w:p>
    <w:p w14:paraId="4229C937" w14:textId="4F871A01" w:rsidR="0063596E" w:rsidRPr="002F5EFD" w:rsidRDefault="00123C20" w:rsidP="00A77FE8">
      <w:pPr>
        <w:spacing w:after="0" w:line="240" w:lineRule="auto"/>
        <w:jc w:val="both"/>
        <w:rPr>
          <w:rFonts w:ascii="Times New Roman" w:hAnsi="Times New Roman" w:cs="Times New Roman"/>
          <w:b/>
          <w:bCs/>
        </w:rPr>
      </w:pPr>
      <w:r>
        <w:rPr>
          <w:rFonts w:ascii="Times New Roman" w:hAnsi="Times New Roman" w:cs="Times New Roman"/>
          <w:b/>
          <w:bCs/>
        </w:rPr>
        <w:t>2.2. Theoretical Framework</w:t>
      </w:r>
    </w:p>
    <w:p w14:paraId="581911CE" w14:textId="77777777" w:rsidR="0063596E" w:rsidRDefault="0063596E" w:rsidP="00A77FE8">
      <w:pPr>
        <w:spacing w:after="0" w:line="240" w:lineRule="auto"/>
        <w:jc w:val="both"/>
        <w:rPr>
          <w:rFonts w:ascii="Times New Roman" w:hAnsi="Times New Roman" w:cs="Times New Roman"/>
          <w:b/>
          <w:bCs/>
        </w:rPr>
      </w:pPr>
      <w:r>
        <w:rPr>
          <w:rFonts w:ascii="Times New Roman" w:hAnsi="Times New Roman" w:cs="Times New Roman"/>
          <w:b/>
          <w:bCs/>
        </w:rPr>
        <w:t>2.2.1</w:t>
      </w:r>
      <w:r>
        <w:rPr>
          <w:rFonts w:ascii="Times New Roman" w:hAnsi="Times New Roman" w:cs="Times New Roman"/>
          <w:b/>
          <w:bCs/>
        </w:rPr>
        <w:tab/>
        <w:t>Agency Theory</w:t>
      </w:r>
    </w:p>
    <w:p w14:paraId="54CCE8F9" w14:textId="77777777" w:rsidR="0063596E" w:rsidRDefault="0063596E" w:rsidP="00A77FE8">
      <w:pPr>
        <w:spacing w:after="0" w:line="240" w:lineRule="auto"/>
        <w:jc w:val="both"/>
        <w:rPr>
          <w:rFonts w:ascii="Times New Roman" w:hAnsi="Times New Roman" w:cs="Times New Roman"/>
          <w:bCs/>
        </w:rPr>
      </w:pPr>
      <w:r>
        <w:rPr>
          <w:rFonts w:ascii="Times New Roman" w:hAnsi="Times New Roman" w:cs="Times New Roman"/>
          <w:bCs/>
        </w:rPr>
        <w:t xml:space="preserve">Agency Theory was formally advanced by Jensen and Meckling (1976) to explain the contractual relationship between shareholders (principals) and managers (agents), highlighting conflicts that arise when managers pursue personal interests at the expense of </w:t>
      </w:r>
      <w:r>
        <w:rPr>
          <w:rFonts w:ascii="Times New Roman" w:hAnsi="Times New Roman" w:cs="Times New Roman"/>
          <w:bCs/>
        </w:rPr>
        <w:lastRenderedPageBreak/>
        <w:t>shareholders’ wealth. The theory assumes that managers may act opportunistically due to information asymmetry and weak monitoring, thereby increasing agency costs and reducing firm value. Modern governance frameworks are therefore designed to constrain managerial discretion and align managerial actions with shareholder objectives (Mallin, 2020). In contemporary corporate governance scholarship, Agency Theory remains central to understanding board oversight and firm valuation. Scholars argue that effective governance mechanisms enhance monitoring, reduce agency conflicts, and improve investors’ confidence in corporate decision-making (Aguilera &amp; Crespi-Cladera, 2022). In emerging markets like Nigeria, agency problems tend to be more pronounced due to ownership concentration and weak institutional enforcement, increasing the relevance of governance frameworks in protecting shareholder interests (Adegbite &amp; Amaeshi, 2021). Agency Theory directly relates to this study by explaining how governance structures influence firm value, as meas</w:t>
      </w:r>
      <w:r w:rsidR="00C64159">
        <w:rPr>
          <w:rFonts w:ascii="Times New Roman" w:hAnsi="Times New Roman" w:cs="Times New Roman"/>
          <w:bCs/>
        </w:rPr>
        <w:t xml:space="preserve">ured by Tobin’s Q and the price </w:t>
      </w:r>
      <w:r>
        <w:rPr>
          <w:rFonts w:ascii="Times New Roman" w:hAnsi="Times New Roman" w:cs="Times New Roman"/>
          <w:bCs/>
        </w:rPr>
        <w:t>earnings ratio. Strong governance systems are expected to enhance market valuation by signaling effective monitoring, reduced risk of managerial opportunism, and improved future cash flow prospects. Empirical evidence suggests that firms perceived to have lower agency conflicts tend to enjoy higher market valuation and investor trust (Nguyen et al., 2024).</w:t>
      </w:r>
    </w:p>
    <w:p w14:paraId="541269D4" w14:textId="77777777" w:rsidR="0063596E" w:rsidRDefault="0063596E" w:rsidP="0095249E">
      <w:pPr>
        <w:spacing w:after="0" w:line="240" w:lineRule="auto"/>
        <w:jc w:val="both"/>
        <w:rPr>
          <w:rFonts w:ascii="Times New Roman" w:hAnsi="Times New Roman" w:cs="Times New Roman"/>
          <w:bCs/>
        </w:rPr>
      </w:pPr>
    </w:p>
    <w:p w14:paraId="6172CDE5" w14:textId="77777777" w:rsidR="0063596E" w:rsidRDefault="00123C20" w:rsidP="00A77FE8">
      <w:pPr>
        <w:spacing w:after="0" w:line="240" w:lineRule="auto"/>
        <w:jc w:val="both"/>
        <w:rPr>
          <w:rFonts w:ascii="Times New Roman" w:hAnsi="Times New Roman" w:cs="Times New Roman"/>
          <w:b/>
          <w:bCs/>
        </w:rPr>
      </w:pPr>
      <w:r>
        <w:rPr>
          <w:rFonts w:ascii="Times New Roman" w:hAnsi="Times New Roman" w:cs="Times New Roman"/>
          <w:b/>
          <w:bCs/>
        </w:rPr>
        <w:t>2.3. Empirical Review</w:t>
      </w:r>
    </w:p>
    <w:p w14:paraId="0C51A8E7" w14:textId="77777777" w:rsidR="0063596E" w:rsidRPr="001D5296" w:rsidRDefault="0063596E" w:rsidP="00A77FE8">
      <w:pPr>
        <w:autoSpaceDE w:val="0"/>
        <w:autoSpaceDN w:val="0"/>
        <w:adjustRightInd w:val="0"/>
        <w:spacing w:after="0" w:line="240" w:lineRule="auto"/>
        <w:jc w:val="both"/>
        <w:rPr>
          <w:rFonts w:ascii="Times New Roman" w:eastAsia="BookAntiqua-Bold" w:hAnsi="Times New Roman" w:cs="Times New Roman"/>
          <w:b/>
          <w:bCs/>
          <w:kern w:val="0"/>
        </w:rPr>
      </w:pPr>
      <w:r w:rsidRPr="001D5296">
        <w:rPr>
          <w:rFonts w:ascii="Times New Roman" w:hAnsi="Times New Roman" w:cs="Times New Roman"/>
          <w:bCs/>
          <w:kern w:val="0"/>
        </w:rPr>
        <w:t>Akinsola et al., (2025),</w:t>
      </w:r>
      <w:r w:rsidRPr="001D5296">
        <w:rPr>
          <w:rFonts w:ascii="Times New Roman" w:hAnsi="Times New Roman" w:cs="Times New Roman"/>
          <w:b/>
          <w:bCs/>
          <w:kern w:val="0"/>
        </w:rPr>
        <w:t xml:space="preserve"> </w:t>
      </w:r>
      <w:r w:rsidRPr="001D5296">
        <w:rPr>
          <w:rFonts w:ascii="Times New Roman" w:hAnsi="Times New Roman" w:cs="Times New Roman"/>
          <w:iCs/>
          <w:kern w:val="0"/>
        </w:rPr>
        <w:t xml:space="preserve">investigated the effect of corporate governance attributes on the market value of financial firms listed on the Nigerian Stock Exchange between 2015 and 2024. Using an ex-post facto research design, secondary data were collected from annual reports, corporate governance disclosures, and audit committee reports of 52 listed financial firms. The study employed a dynamic panel Generalized Method of Moments (GMM). The findings revealed that past market value significantly influences current market value, confirming the persistence of firm valuation over time. Board independence, board gender diversity, board financial expertise, audit committee competence, institutional ownership, and firm size all have positive and significant effects on market value. </w:t>
      </w:r>
      <w:r w:rsidRPr="001D5296">
        <w:rPr>
          <w:rFonts w:ascii="Times New Roman" w:eastAsia="BookAntiqua-Bold" w:hAnsi="Times New Roman" w:cs="Times New Roman"/>
          <w:bCs/>
          <w:kern w:val="0"/>
        </w:rPr>
        <w:t>Samuel and Ogege (2025),</w:t>
      </w:r>
      <w:r w:rsidRPr="001D5296">
        <w:rPr>
          <w:rFonts w:ascii="Times New Roman" w:eastAsia="BookAntiqua-Bold" w:hAnsi="Times New Roman" w:cs="Times New Roman"/>
          <w:b/>
          <w:bCs/>
          <w:kern w:val="0"/>
        </w:rPr>
        <w:t xml:space="preserve"> </w:t>
      </w:r>
      <w:r w:rsidR="00C64159" w:rsidRPr="00C64159">
        <w:rPr>
          <w:rFonts w:ascii="Times New Roman" w:eastAsia="BookAntiqua-Bold" w:hAnsi="Times New Roman" w:cs="Times New Roman"/>
          <w:bCs/>
          <w:kern w:val="0"/>
        </w:rPr>
        <w:t>examined</w:t>
      </w:r>
      <w:r w:rsidRPr="001D5296">
        <w:rPr>
          <w:rFonts w:ascii="Times New Roman" w:eastAsia="BookAntiqua" w:hAnsi="Times New Roman" w:cs="Times New Roman"/>
          <w:kern w:val="0"/>
        </w:rPr>
        <w:t xml:space="preserve"> how governance variables such as board independence, board</w:t>
      </w:r>
      <w:r w:rsidRPr="001D5296">
        <w:rPr>
          <w:rFonts w:ascii="Times New Roman" w:eastAsia="BookAntiqua-Bold" w:hAnsi="Times New Roman" w:cs="Times New Roman"/>
          <w:b/>
          <w:bCs/>
          <w:kern w:val="0"/>
        </w:rPr>
        <w:t xml:space="preserve"> </w:t>
      </w:r>
      <w:r w:rsidRPr="001D5296">
        <w:rPr>
          <w:rFonts w:ascii="Times New Roman" w:eastAsia="BookAntiqua" w:hAnsi="Times New Roman" w:cs="Times New Roman"/>
          <w:kern w:val="0"/>
        </w:rPr>
        <w:t>size, CEO ownership, and institutional ownership affect the firm value of companies listed on the Nigerian Exchange Group (NGX). By addressing the gap in understanding governance effectiveness within Nigeria's evolving regulatory landscape, the study employs a mixed-method approach, analy</w:t>
      </w:r>
      <w:r w:rsidR="00C64159">
        <w:rPr>
          <w:rFonts w:ascii="Times New Roman" w:eastAsia="BookAntiqua" w:hAnsi="Times New Roman" w:cs="Times New Roman"/>
          <w:kern w:val="0"/>
        </w:rPr>
        <w:t>z</w:t>
      </w:r>
      <w:r w:rsidRPr="001D5296">
        <w:rPr>
          <w:rFonts w:ascii="Times New Roman" w:eastAsia="BookAntiqua" w:hAnsi="Times New Roman" w:cs="Times New Roman"/>
          <w:kern w:val="0"/>
        </w:rPr>
        <w:t>ing 480 firm-year observations from 48 listed firms between 2012 and 2021. The findings reveal that board independence significantly</w:t>
      </w:r>
      <w:r w:rsidRPr="001D5296">
        <w:rPr>
          <w:rFonts w:ascii="Times New Roman" w:eastAsia="BookAntiqua-Bold" w:hAnsi="Times New Roman" w:cs="Times New Roman"/>
          <w:b/>
          <w:bCs/>
          <w:kern w:val="0"/>
        </w:rPr>
        <w:t xml:space="preserve"> </w:t>
      </w:r>
      <w:r w:rsidRPr="001D5296">
        <w:rPr>
          <w:rFonts w:ascii="Times New Roman" w:eastAsia="BookAntiqua" w:hAnsi="Times New Roman" w:cs="Times New Roman"/>
          <w:kern w:val="0"/>
        </w:rPr>
        <w:t>influences firm value. This underlines the important role independent boards' play in reducing managerial misconduct and aligning management decisions with the interests of shareholders. The study recommended regulatory bodies to enforce stricter standards for board independence, particularly by separating board leadership from CEO roles, to enhance investor confidence and firm value in Nigeria's capital market</w:t>
      </w:r>
    </w:p>
    <w:p w14:paraId="33C9702C" w14:textId="77777777" w:rsidR="0095249E" w:rsidRDefault="0095249E" w:rsidP="00A77FE8">
      <w:pPr>
        <w:pStyle w:val="Header"/>
        <w:jc w:val="both"/>
      </w:pPr>
    </w:p>
    <w:p w14:paraId="51E1220C" w14:textId="77777777" w:rsidR="0063596E" w:rsidRPr="00A04AFD" w:rsidRDefault="0063596E" w:rsidP="00A77FE8">
      <w:pPr>
        <w:pStyle w:val="Header"/>
        <w:jc w:val="both"/>
        <w:rPr>
          <w:rFonts w:ascii="Times New Roman" w:hAnsi="Times New Roman" w:cs="Times New Roman"/>
        </w:rPr>
      </w:pPr>
      <w:r w:rsidRPr="00A04AFD">
        <w:rPr>
          <w:rFonts w:ascii="Times New Roman" w:hAnsi="Times New Roman" w:cs="Times New Roman"/>
        </w:rPr>
        <w:t xml:space="preserve">Akinwumi and  Onmonya (2025), </w:t>
      </w:r>
      <w:r w:rsidR="000A5722">
        <w:rPr>
          <w:rFonts w:ascii="Times New Roman" w:hAnsi="Times New Roman" w:cs="Times New Roman"/>
        </w:rPr>
        <w:t xml:space="preserve">studied </w:t>
      </w:r>
      <w:r w:rsidRPr="00A04AFD">
        <w:rPr>
          <w:rFonts w:ascii="Times New Roman" w:hAnsi="Times New Roman" w:cs="Times New Roman"/>
        </w:rPr>
        <w:t xml:space="preserve">the impact of board characteristics (board size, board independence, gender diversity) on firm value (Market Capitalization and Earnings Per Share) for firms in the NGX 30 index in Nigeria over 2014–2023, using robust pooled regression analysis. They found that board independence exerts a significant positive influence on firm value under both models, while board size had a significant positive effect </w:t>
      </w:r>
      <w:r w:rsidRPr="00A04AFD">
        <w:rPr>
          <w:rFonts w:ascii="Times New Roman" w:hAnsi="Times New Roman" w:cs="Times New Roman"/>
        </w:rPr>
        <w:lastRenderedPageBreak/>
        <w:t xml:space="preserve">under MCAP but an insignificant effect under EPS. They recommended increasing the proportion of independent directors on boards to improve firm value. </w:t>
      </w:r>
    </w:p>
    <w:p w14:paraId="44E40CF0" w14:textId="77777777" w:rsidR="0063596E" w:rsidRPr="001D5296" w:rsidRDefault="0063596E" w:rsidP="00A77FE8">
      <w:pPr>
        <w:spacing w:line="240" w:lineRule="auto"/>
        <w:jc w:val="both"/>
        <w:rPr>
          <w:rFonts w:ascii="Times New Roman" w:hAnsi="Times New Roman" w:cs="Times New Roman"/>
        </w:rPr>
      </w:pPr>
      <w:r w:rsidRPr="00A04AFD">
        <w:rPr>
          <w:rFonts w:ascii="Times New Roman" w:hAnsi="Times New Roman" w:cs="Times New Roman"/>
        </w:rPr>
        <w:t>Akintaro, et al., (2025), examined corporate governance mechanisms (board size, board independence, gender diversity) on firm value of listed industrial manufacturing companies in Nigeria over 2014–2023, using panel multiple regression. They found that both board size and board independence have statistically significant positive effects on firm value; interestingly, board gender diversity had a significant negative effect on firm value in this manufacturing‑firms context. The study recommended that firms should calibrate board size and strengthen independence to enhance value</w:t>
      </w:r>
      <w:r w:rsidRPr="001D5296">
        <w:rPr>
          <w:rFonts w:ascii="Times New Roman" w:hAnsi="Times New Roman" w:cs="Times New Roman"/>
        </w:rPr>
        <w:t xml:space="preserve">. </w:t>
      </w:r>
    </w:p>
    <w:p w14:paraId="7BD12036" w14:textId="4BF4749C" w:rsidR="0063596E" w:rsidRPr="001D5296" w:rsidRDefault="0063596E" w:rsidP="00A77FE8">
      <w:pPr>
        <w:spacing w:line="240" w:lineRule="auto"/>
        <w:jc w:val="both"/>
        <w:rPr>
          <w:rFonts w:ascii="Times New Roman" w:hAnsi="Times New Roman" w:cs="Times New Roman"/>
        </w:rPr>
      </w:pPr>
      <w:r w:rsidRPr="00123C20">
        <w:rPr>
          <w:rFonts w:ascii="Times New Roman" w:hAnsi="Times New Roman" w:cs="Times New Roman"/>
        </w:rPr>
        <w:t>Bawa, et al., (2025</w:t>
      </w:r>
      <w:r w:rsidRPr="001D5296">
        <w:rPr>
          <w:rFonts w:ascii="Times New Roman" w:hAnsi="Times New Roman" w:cs="Times New Roman"/>
        </w:rPr>
        <w:t xml:space="preserve">), </w:t>
      </w:r>
      <w:r w:rsidR="00DB65A4">
        <w:rPr>
          <w:rFonts w:ascii="Times New Roman" w:hAnsi="Times New Roman" w:cs="Times New Roman"/>
        </w:rPr>
        <w:t>employing</w:t>
      </w:r>
      <w:r w:rsidRPr="001D5296">
        <w:rPr>
          <w:rFonts w:ascii="Times New Roman" w:hAnsi="Times New Roman" w:cs="Times New Roman"/>
        </w:rPr>
        <w:t xml:space="preserve"> 11 listed industrial goods f</w:t>
      </w:r>
      <w:r w:rsidR="00DB65A4">
        <w:rPr>
          <w:rFonts w:ascii="Times New Roman" w:hAnsi="Times New Roman" w:cs="Times New Roman"/>
        </w:rPr>
        <w:t xml:space="preserve">irms in Nigeria from2014–2023 </w:t>
      </w:r>
      <w:r w:rsidRPr="001D5296">
        <w:rPr>
          <w:rFonts w:ascii="Times New Roman" w:hAnsi="Times New Roman" w:cs="Times New Roman"/>
        </w:rPr>
        <w:t xml:space="preserve"> assess</w:t>
      </w:r>
      <w:r w:rsidR="00DB65A4">
        <w:rPr>
          <w:rFonts w:ascii="Times New Roman" w:hAnsi="Times New Roman" w:cs="Times New Roman"/>
        </w:rPr>
        <w:t>ed</w:t>
      </w:r>
      <w:r w:rsidRPr="001D5296">
        <w:rPr>
          <w:rFonts w:ascii="Times New Roman" w:hAnsi="Times New Roman" w:cs="Times New Roman"/>
        </w:rPr>
        <w:t xml:space="preserve"> the effect of board diversity (gender, nationality, expertise) on firm value, with particular focus on the moderating role of audit</w:t>
      </w:r>
      <w:r w:rsidRPr="001D5296">
        <w:rPr>
          <w:rFonts w:ascii="Cambria Math" w:hAnsi="Cambria Math" w:cs="Cambria Math"/>
        </w:rPr>
        <w:t>‑</w:t>
      </w:r>
      <w:r w:rsidRPr="001D5296">
        <w:rPr>
          <w:rFonts w:ascii="Times New Roman" w:hAnsi="Times New Roman" w:cs="Times New Roman"/>
        </w:rPr>
        <w:t>committee independence. The study adopted a panel regression model and found that board gender diversity and board expertise significantly enhance firm value; audit committee independence strengthens these positive effects. They recommended regulatory enforcement to institutionalize minimum female representation and emphasis on skilled board composi</w:t>
      </w:r>
      <w:r w:rsidR="002A4EEF">
        <w:rPr>
          <w:rFonts w:ascii="Times New Roman" w:hAnsi="Times New Roman" w:cs="Times New Roman"/>
        </w:rPr>
        <w:t xml:space="preserve">tion for better firm outcomes. </w:t>
      </w:r>
      <w:r>
        <w:rPr>
          <w:rFonts w:ascii="Times New Roman" w:hAnsi="Times New Roman" w:cs="Times New Roman"/>
        </w:rPr>
        <w:t xml:space="preserve">Balarabe, et al (2025), </w:t>
      </w:r>
      <w:r w:rsidRPr="001D5296">
        <w:rPr>
          <w:rFonts w:ascii="Times New Roman" w:hAnsi="Times New Roman" w:cs="Times New Roman"/>
        </w:rPr>
        <w:t>focused on Non-financial firms listed on the Nigerian Exchange Group between 2013 and 2023 of 76 firms, exploring board characteristics (board size, board independence, gender diversity, board meeting frequency) against firm performance (ROA, EPS, Market Capitalization) via fixed and random</w:t>
      </w:r>
      <w:r w:rsidRPr="001D5296">
        <w:rPr>
          <w:rFonts w:ascii="Cambria Math" w:hAnsi="Cambria Math" w:cs="Cambria Math"/>
        </w:rPr>
        <w:t>‑</w:t>
      </w:r>
      <w:r w:rsidRPr="001D5296">
        <w:rPr>
          <w:rFonts w:ascii="Times New Roman" w:hAnsi="Times New Roman" w:cs="Times New Roman"/>
        </w:rPr>
        <w:t>effects regression models. They found board size has a significant negative effect on ROA (suggesting large boards may hinder operational efficiency), while gender diversity showed a positive but insignificant relationship; board independence and meeting frequency had no significant effect. They recommend more nuanced, context specific corporate governance frameworks rather than “one</w:t>
      </w:r>
      <w:r w:rsidRPr="001D5296">
        <w:rPr>
          <w:rFonts w:ascii="Cambria Math" w:hAnsi="Cambria Math" w:cs="Cambria Math"/>
        </w:rPr>
        <w:t>‑</w:t>
      </w:r>
      <w:r w:rsidRPr="001D5296">
        <w:rPr>
          <w:rFonts w:ascii="Times New Roman" w:hAnsi="Times New Roman" w:cs="Times New Roman"/>
        </w:rPr>
        <w:t>size</w:t>
      </w:r>
      <w:r w:rsidR="005A6EB4">
        <w:rPr>
          <w:rFonts w:ascii="Times New Roman" w:hAnsi="Times New Roman" w:cs="Times New Roman"/>
        </w:rPr>
        <w:t xml:space="preserve"> </w:t>
      </w:r>
      <w:r w:rsidRPr="001D5296">
        <w:rPr>
          <w:rFonts w:ascii="Times New Roman" w:hAnsi="Times New Roman" w:cs="Times New Roman"/>
        </w:rPr>
        <w:t xml:space="preserve">fits-all” structures. </w:t>
      </w:r>
    </w:p>
    <w:p w14:paraId="20CDAD55" w14:textId="77777777" w:rsidR="0063596E" w:rsidRPr="002A4EEF" w:rsidRDefault="0063596E" w:rsidP="002A4EEF">
      <w:pPr>
        <w:spacing w:after="0" w:line="240" w:lineRule="auto"/>
        <w:jc w:val="both"/>
        <w:rPr>
          <w:rFonts w:ascii="Times New Roman" w:hAnsi="Times New Roman" w:cs="Times New Roman"/>
        </w:rPr>
      </w:pPr>
      <w:r w:rsidRPr="001D5296">
        <w:rPr>
          <w:rFonts w:ascii="Times New Roman" w:hAnsi="Times New Roman" w:cs="Times New Roman"/>
        </w:rPr>
        <w:t>Adeẉara, et al</w:t>
      </w:r>
      <w:r>
        <w:rPr>
          <w:rFonts w:ascii="Times New Roman" w:hAnsi="Times New Roman" w:cs="Times New Roman"/>
        </w:rPr>
        <w:t>.,</w:t>
      </w:r>
      <w:r w:rsidRPr="001D5296">
        <w:rPr>
          <w:rFonts w:ascii="Times New Roman" w:hAnsi="Times New Roman" w:cs="Times New Roman"/>
        </w:rPr>
        <w:t xml:space="preserve"> (2025), assessed board characteristics (size, independence, expertise, diversity, CEO duality) of 8 listed multinational firms in Nigeria using multiple regression on panel data drawn from annual reports. Their results indicated board characteristics positively impact financial performance and market value (ROA, ROE, Tobin’s Q), suggesting that a well</w:t>
      </w:r>
      <w:r w:rsidRPr="001D5296">
        <w:rPr>
          <w:rFonts w:ascii="Cambria Math" w:hAnsi="Cambria Math" w:cs="Cambria Math"/>
        </w:rPr>
        <w:t>‑</w:t>
      </w:r>
      <w:r w:rsidRPr="001D5296">
        <w:rPr>
          <w:rFonts w:ascii="Times New Roman" w:hAnsi="Times New Roman" w:cs="Times New Roman"/>
        </w:rPr>
        <w:t>structured, diverse, independent and expert board enhances firm success and valuation. They recommend that multinational firms prioritize balanced board size/composition, independence and expertise to maximize</w:t>
      </w:r>
      <w:r w:rsidR="00BD09F4">
        <w:rPr>
          <w:rFonts w:ascii="Times New Roman" w:hAnsi="Times New Roman" w:cs="Times New Roman"/>
        </w:rPr>
        <w:t xml:space="preserve"> market value. </w:t>
      </w:r>
    </w:p>
    <w:p w14:paraId="0D7F5725" w14:textId="77777777" w:rsidR="0063596E" w:rsidRPr="00AA3A64" w:rsidRDefault="0063596E" w:rsidP="004B21B0">
      <w:pPr>
        <w:pStyle w:val="ListParagraph"/>
        <w:spacing w:line="240" w:lineRule="auto"/>
        <w:ind w:left="0"/>
        <w:jc w:val="both"/>
        <w:rPr>
          <w:rFonts w:ascii="Times New Roman" w:hAnsi="Times New Roman" w:cs="Times New Roman"/>
        </w:rPr>
      </w:pPr>
      <w:r>
        <w:rPr>
          <w:rFonts w:ascii="Times New Roman" w:hAnsi="Times New Roman" w:cs="Times New Roman"/>
        </w:rPr>
        <w:t>Despite the growing body of research on corporate governance and firm value, several unresolved issues persist in the literature, particularly in the context of Nigerian listed firms.</w:t>
      </w:r>
      <w:r w:rsidR="002A4EEF">
        <w:rPr>
          <w:rFonts w:ascii="Times New Roman" w:hAnsi="Times New Roman" w:cs="Times New Roman"/>
        </w:rPr>
        <w:t xml:space="preserve"> Mo</w:t>
      </w:r>
      <w:r w:rsidRPr="00AA3A64">
        <w:rPr>
          <w:rFonts w:ascii="Times New Roman" w:hAnsi="Times New Roman" w:cs="Times New Roman"/>
        </w:rPr>
        <w:t xml:space="preserve">st empirical studies on corporate governance and firm value in Nigeria focus narrowly on banking or manufacturing firms, with little attention to other sectors such as consumer goods, industrial goods, or construction. This creates a knowledge gap regarding </w:t>
      </w:r>
      <w:r w:rsidR="002A4EEF">
        <w:rPr>
          <w:rFonts w:ascii="Times New Roman" w:hAnsi="Times New Roman" w:cs="Times New Roman"/>
        </w:rPr>
        <w:t xml:space="preserve">on how </w:t>
      </w:r>
      <w:r w:rsidRPr="00AA3A64">
        <w:rPr>
          <w:rFonts w:ascii="Times New Roman" w:hAnsi="Times New Roman" w:cs="Times New Roman"/>
        </w:rPr>
        <w:t>corporate governance mechanisms influence firm value</w:t>
      </w:r>
      <w:r w:rsidR="002A4EEF">
        <w:rPr>
          <w:rFonts w:ascii="Times New Roman" w:hAnsi="Times New Roman" w:cs="Times New Roman"/>
        </w:rPr>
        <w:t xml:space="preserve"> in other sectors</w:t>
      </w:r>
      <w:r w:rsidRPr="00AA3A64">
        <w:rPr>
          <w:rFonts w:ascii="Times New Roman" w:hAnsi="Times New Roman" w:cs="Times New Roman"/>
        </w:rPr>
        <w:t xml:space="preserve">. This study intends to fill this gap by examining </w:t>
      </w:r>
      <w:r w:rsidR="002A4EEF">
        <w:rPr>
          <w:rFonts w:ascii="Times New Roman" w:hAnsi="Times New Roman" w:cs="Times New Roman"/>
        </w:rPr>
        <w:t xml:space="preserve">holistically </w:t>
      </w:r>
      <w:r w:rsidRPr="00AA3A64">
        <w:rPr>
          <w:rFonts w:ascii="Times New Roman" w:hAnsi="Times New Roman" w:cs="Times New Roman"/>
        </w:rPr>
        <w:t>listed firms across multiple sectors in Nigeria, allowing for comparative insights on the effect of board size, independence, and expertise on firm value.</w:t>
      </w:r>
    </w:p>
    <w:p w14:paraId="693EE1EF" w14:textId="77777777" w:rsidR="0063596E" w:rsidRDefault="0095249E" w:rsidP="0095249E">
      <w:pPr>
        <w:spacing w:after="0" w:line="240" w:lineRule="auto"/>
        <w:rPr>
          <w:rFonts w:ascii="Times New Roman" w:hAnsi="Times New Roman" w:cs="Times New Roman"/>
          <w:b/>
        </w:rPr>
      </w:pPr>
      <w:r>
        <w:rPr>
          <w:rFonts w:ascii="Times New Roman" w:hAnsi="Times New Roman" w:cs="Times New Roman"/>
          <w:b/>
        </w:rPr>
        <w:t>3.0. Methodology</w:t>
      </w:r>
    </w:p>
    <w:p w14:paraId="2C6E7035" w14:textId="77777777" w:rsidR="0063596E" w:rsidRDefault="0063596E" w:rsidP="00A77FE8">
      <w:pPr>
        <w:spacing w:after="0" w:line="240" w:lineRule="auto"/>
        <w:jc w:val="both"/>
        <w:rPr>
          <w:rFonts w:ascii="Times New Roman" w:hAnsi="Times New Roman" w:cs="Times New Roman"/>
        </w:rPr>
      </w:pPr>
      <w:r>
        <w:rPr>
          <w:rFonts w:ascii="Times New Roman" w:hAnsi="Times New Roman" w:cs="Times New Roman"/>
        </w:rPr>
        <w:t xml:space="preserve">This study adopted an explanatory research design, which is a quantitative approach aimed at investigating and establishing the cause-and-effect relationships between corporate governance mechanisms and firm value of listed companies in Nigeria. The population </w:t>
      </w:r>
      <w:r>
        <w:rPr>
          <w:rFonts w:ascii="Times New Roman" w:hAnsi="Times New Roman" w:cs="Times New Roman"/>
        </w:rPr>
        <w:lastRenderedPageBreak/>
        <w:t xml:space="preserve">consists of all companies listed on the Nigerian Exchange Group as at 31st December 2025, totaling 126 firms spanning 11 sectors. </w:t>
      </w:r>
      <w:r>
        <w:rPr>
          <w:rFonts w:ascii="Times New Roman" w:hAnsi="Times New Roman" w:cs="Times New Roman"/>
          <w:b/>
        </w:rPr>
        <w:t xml:space="preserve"> </w:t>
      </w:r>
      <w:r>
        <w:rPr>
          <w:rFonts w:ascii="Times New Roman" w:hAnsi="Times New Roman" w:cs="Times New Roman"/>
        </w:rPr>
        <w:t xml:space="preserve">The study adopted a purposive sampling </w:t>
      </w:r>
      <w:r w:rsidR="00292AF4">
        <w:rPr>
          <w:rFonts w:ascii="Times New Roman" w:hAnsi="Times New Roman" w:cs="Times New Roman"/>
        </w:rPr>
        <w:t xml:space="preserve">technique </w:t>
      </w:r>
      <w:r w:rsidR="004B21B0">
        <w:rPr>
          <w:rFonts w:ascii="Times New Roman" w:hAnsi="Times New Roman" w:cs="Times New Roman"/>
        </w:rPr>
        <w:t xml:space="preserve">while </w:t>
      </w:r>
      <w:r w:rsidR="00292AF4">
        <w:rPr>
          <w:rFonts w:ascii="Times New Roman" w:hAnsi="Times New Roman" w:cs="Times New Roman"/>
        </w:rPr>
        <w:t>the</w:t>
      </w:r>
      <w:r>
        <w:rPr>
          <w:rFonts w:ascii="Times New Roman" w:hAnsi="Times New Roman" w:cs="Times New Roman"/>
        </w:rPr>
        <w:t xml:space="preserve"> study sample si</w:t>
      </w:r>
      <w:r w:rsidR="00292AF4">
        <w:rPr>
          <w:rFonts w:ascii="Times New Roman" w:hAnsi="Times New Roman" w:cs="Times New Roman"/>
        </w:rPr>
        <w:t>ze were 11 companies. The</w:t>
      </w:r>
      <w:r>
        <w:rPr>
          <w:rFonts w:ascii="Times New Roman" w:hAnsi="Times New Roman" w:cs="Times New Roman"/>
        </w:rPr>
        <w:t xml:space="preserve"> study </w:t>
      </w:r>
      <w:r w:rsidR="00A77FE8">
        <w:rPr>
          <w:rFonts w:ascii="Times New Roman" w:hAnsi="Times New Roman" w:cs="Times New Roman"/>
        </w:rPr>
        <w:t>data were sourced from the financial Statement of Study companies.</w:t>
      </w:r>
      <w:r w:rsidR="00292AF4">
        <w:rPr>
          <w:rFonts w:ascii="Times New Roman" w:hAnsi="Times New Roman" w:cs="Times New Roman"/>
        </w:rPr>
        <w:t xml:space="preserve"> </w:t>
      </w:r>
      <w:r>
        <w:rPr>
          <w:rFonts w:ascii="Times New Roman" w:hAnsi="Times New Roman" w:cs="Times New Roman"/>
        </w:rPr>
        <w:t xml:space="preserve">The study adopts a quantitative data analysis approach using panel data regression techniques </w:t>
      </w:r>
    </w:p>
    <w:p w14:paraId="02F14C0B" w14:textId="77777777" w:rsidR="00D66E3E" w:rsidRDefault="00D66E3E" w:rsidP="0095249E">
      <w:pPr>
        <w:spacing w:after="0" w:line="240" w:lineRule="auto"/>
        <w:jc w:val="both"/>
        <w:rPr>
          <w:rFonts w:ascii="Times New Roman" w:hAnsi="Times New Roman" w:cs="Times New Roman"/>
          <w:b/>
        </w:rPr>
      </w:pPr>
    </w:p>
    <w:p w14:paraId="23D367B0" w14:textId="77777777" w:rsidR="0063596E" w:rsidRPr="003C627C" w:rsidRDefault="00123C20" w:rsidP="0095249E">
      <w:pPr>
        <w:spacing w:after="0" w:line="240" w:lineRule="auto"/>
        <w:jc w:val="both"/>
        <w:rPr>
          <w:rFonts w:ascii="Times New Roman" w:hAnsi="Times New Roman" w:cs="Times New Roman"/>
          <w:b/>
        </w:rPr>
      </w:pPr>
      <w:r>
        <w:rPr>
          <w:rFonts w:ascii="Times New Roman" w:hAnsi="Times New Roman" w:cs="Times New Roman"/>
          <w:b/>
        </w:rPr>
        <w:t>3.1</w:t>
      </w:r>
      <w:r w:rsidR="0095249E" w:rsidRPr="003C627C">
        <w:rPr>
          <w:rFonts w:ascii="Times New Roman" w:hAnsi="Times New Roman" w:cs="Times New Roman"/>
          <w:b/>
        </w:rPr>
        <w:t>Model Specification</w:t>
      </w:r>
    </w:p>
    <w:p w14:paraId="6E127524" w14:textId="65C03799" w:rsidR="0063596E" w:rsidRPr="0095249E" w:rsidRDefault="0063596E" w:rsidP="0095249E">
      <w:pPr>
        <w:spacing w:line="240" w:lineRule="auto"/>
        <w:jc w:val="both"/>
        <w:rPr>
          <w:rFonts w:ascii="Times New Roman" w:eastAsia="Times New Roman" w:hAnsi="Times New Roman" w:cs="Times New Roman"/>
          <w:kern w:val="0"/>
        </w:rPr>
      </w:pPr>
      <w:r w:rsidRPr="0095249E">
        <w:rPr>
          <w:rFonts w:ascii="Times New Roman" w:eastAsia="Times New Roman" w:hAnsi="Times New Roman" w:cs="Times New Roman"/>
          <w:kern w:val="0"/>
        </w:rPr>
        <w:t xml:space="preserve">The study </w:t>
      </w:r>
      <w:r w:rsidR="00100981">
        <w:rPr>
          <w:rFonts w:ascii="Times New Roman" w:eastAsia="Times New Roman" w:hAnsi="Times New Roman" w:cs="Times New Roman"/>
          <w:kern w:val="0"/>
        </w:rPr>
        <w:t xml:space="preserve">adapts the corporate governance </w:t>
      </w:r>
      <w:r w:rsidRPr="0095249E">
        <w:rPr>
          <w:rFonts w:ascii="Times New Roman" w:eastAsia="Times New Roman" w:hAnsi="Times New Roman" w:cs="Times New Roman"/>
          <w:kern w:val="0"/>
        </w:rPr>
        <w:t xml:space="preserve">firm value model of </w:t>
      </w:r>
      <w:r w:rsidRPr="0095249E">
        <w:rPr>
          <w:rFonts w:ascii="Times New Roman" w:eastAsia="Times New Roman" w:hAnsi="Times New Roman" w:cs="Times New Roman"/>
          <w:bCs/>
          <w:kern w:val="0"/>
        </w:rPr>
        <w:t>Yermack, (1996</w:t>
      </w:r>
      <w:r w:rsidRPr="0095249E">
        <w:rPr>
          <w:rFonts w:ascii="Times New Roman" w:eastAsia="Times New Roman" w:hAnsi="Times New Roman" w:cs="Times New Roman"/>
          <w:kern w:val="0"/>
        </w:rPr>
        <w:t xml:space="preserve">) to examine the effect of </w:t>
      </w:r>
      <w:r w:rsidRPr="0095249E">
        <w:rPr>
          <w:rFonts w:ascii="Times New Roman" w:eastAsia="Times New Roman" w:hAnsi="Times New Roman" w:cs="Times New Roman"/>
          <w:bCs/>
          <w:kern w:val="0"/>
        </w:rPr>
        <w:t>board size, board independence, and board expertise</w:t>
      </w:r>
      <w:r w:rsidRPr="0095249E">
        <w:rPr>
          <w:rFonts w:ascii="Times New Roman" w:eastAsia="Times New Roman" w:hAnsi="Times New Roman" w:cs="Times New Roman"/>
          <w:kern w:val="0"/>
        </w:rPr>
        <w:t xml:space="preserve"> on firm value (Tobin’s Q and P/E ratio) of listed companies in Nigeria. </w:t>
      </w:r>
      <w:r w:rsidR="00D66E3E">
        <w:rPr>
          <w:rFonts w:ascii="Times New Roman" w:eastAsia="Times New Roman" w:hAnsi="Times New Roman" w:cs="Times New Roman"/>
          <w:kern w:val="0"/>
        </w:rPr>
        <w:t>However, for the purpose of the present study it was</w:t>
      </w:r>
      <w:r w:rsidRPr="0095249E">
        <w:rPr>
          <w:rFonts w:ascii="Times New Roman" w:eastAsia="Times New Roman" w:hAnsi="Times New Roman" w:cs="Times New Roman"/>
          <w:kern w:val="0"/>
        </w:rPr>
        <w:t xml:space="preserve"> re-structured to capture the influence of multiple governance mechanisms on two market- and accounting-based measures of firm value, allowing for a comprehensive assessment of board effectiveness.</w:t>
      </w:r>
      <w:r w:rsidR="0095249E">
        <w:rPr>
          <w:rFonts w:ascii="Times New Roman" w:eastAsia="Times New Roman" w:hAnsi="Times New Roman" w:cs="Times New Roman"/>
          <w:kern w:val="0"/>
        </w:rPr>
        <w:t xml:space="preserve"> </w:t>
      </w:r>
      <w:r w:rsidRPr="0095249E">
        <w:rPr>
          <w:rFonts w:ascii="Times New Roman" w:eastAsia="Times New Roman" w:hAnsi="Times New Roman" w:cs="Times New Roman"/>
          <w:kern w:val="0"/>
        </w:rPr>
        <w:t xml:space="preserve">To ensure robustness, </w:t>
      </w:r>
      <w:r w:rsidRPr="0095249E">
        <w:rPr>
          <w:rFonts w:ascii="Times New Roman" w:eastAsia="Times New Roman" w:hAnsi="Times New Roman" w:cs="Times New Roman"/>
          <w:bCs/>
          <w:kern w:val="0"/>
        </w:rPr>
        <w:t>separate models</w:t>
      </w:r>
      <w:r w:rsidR="00D66E3E">
        <w:rPr>
          <w:rFonts w:ascii="Times New Roman" w:eastAsia="Times New Roman" w:hAnsi="Times New Roman" w:cs="Times New Roman"/>
          <w:kern w:val="0"/>
        </w:rPr>
        <w:t xml:space="preserve"> was</w:t>
      </w:r>
      <w:r w:rsidRPr="0095249E">
        <w:rPr>
          <w:rFonts w:ascii="Times New Roman" w:eastAsia="Times New Roman" w:hAnsi="Times New Roman" w:cs="Times New Roman"/>
          <w:kern w:val="0"/>
        </w:rPr>
        <w:t xml:space="preserve"> estimated for each dependent variable:</w:t>
      </w:r>
    </w:p>
    <w:p w14:paraId="5524CFA7" w14:textId="77777777" w:rsidR="0063596E" w:rsidRDefault="0063596E" w:rsidP="0095249E">
      <w:pPr>
        <w:spacing w:line="240" w:lineRule="auto"/>
        <w:jc w:val="both"/>
        <w:rPr>
          <w:rFonts w:ascii="Times New Roman" w:eastAsia="Times New Roman" w:hAnsi="Times New Roman" w:cs="Times New Roman"/>
          <w:kern w:val="0"/>
          <w:vertAlign w:val="subscript"/>
        </w:rPr>
      </w:pPr>
      <w:r w:rsidRPr="0095249E">
        <w:rPr>
          <w:rFonts w:ascii="Times New Roman" w:eastAsia="Times New Roman" w:hAnsi="Times New Roman" w:cs="Times New Roman"/>
          <w:kern w:val="0"/>
        </w:rPr>
        <w:t>TQ</w:t>
      </w:r>
      <w:r w:rsidRPr="0095249E">
        <w:rPr>
          <w:rFonts w:ascii="Times New Roman" w:eastAsia="Times New Roman" w:hAnsi="Times New Roman" w:cs="Times New Roman"/>
          <w:kern w:val="0"/>
          <w:vertAlign w:val="subscript"/>
        </w:rPr>
        <w:t>it</w:t>
      </w:r>
      <w:r w:rsidRPr="0095249E">
        <w:rPr>
          <w:rFonts w:ascii="Times New Roman" w:eastAsia="Times New Roman" w:hAnsi="Times New Roman" w:cs="Times New Roman"/>
          <w:kern w:val="0"/>
        </w:rPr>
        <w:t>=β0+β1BS</w:t>
      </w:r>
      <w:r w:rsidRPr="0095249E">
        <w:rPr>
          <w:rFonts w:ascii="Times New Roman" w:eastAsia="Times New Roman" w:hAnsi="Times New Roman" w:cs="Times New Roman"/>
          <w:kern w:val="0"/>
          <w:vertAlign w:val="subscript"/>
        </w:rPr>
        <w:t>it</w:t>
      </w:r>
      <w:r w:rsidRPr="0095249E">
        <w:rPr>
          <w:rFonts w:ascii="Times New Roman" w:eastAsia="Times New Roman" w:hAnsi="Times New Roman" w:cs="Times New Roman"/>
          <w:kern w:val="0"/>
        </w:rPr>
        <w:t>+β2BI</w:t>
      </w:r>
      <w:r w:rsidRPr="0095249E">
        <w:rPr>
          <w:rFonts w:ascii="Times New Roman" w:eastAsia="Times New Roman" w:hAnsi="Times New Roman" w:cs="Times New Roman"/>
          <w:kern w:val="0"/>
          <w:vertAlign w:val="subscript"/>
        </w:rPr>
        <w:t>it</w:t>
      </w:r>
      <w:r w:rsidRPr="0095249E">
        <w:rPr>
          <w:rFonts w:ascii="Times New Roman" w:eastAsia="Times New Roman" w:hAnsi="Times New Roman" w:cs="Times New Roman"/>
          <w:kern w:val="0"/>
        </w:rPr>
        <w:t>+β3BE</w:t>
      </w:r>
      <w:r w:rsidRPr="0095249E">
        <w:rPr>
          <w:rFonts w:ascii="Times New Roman" w:eastAsia="Times New Roman" w:hAnsi="Times New Roman" w:cs="Times New Roman"/>
          <w:kern w:val="0"/>
          <w:vertAlign w:val="subscript"/>
        </w:rPr>
        <w:t>it</w:t>
      </w:r>
      <w:r w:rsidRPr="0095249E">
        <w:rPr>
          <w:rFonts w:ascii="Times New Roman" w:eastAsia="Times New Roman" w:hAnsi="Times New Roman" w:cs="Times New Roman"/>
          <w:kern w:val="0"/>
        </w:rPr>
        <w:t>+ϵ</w:t>
      </w:r>
      <w:r w:rsidRPr="0095249E">
        <w:rPr>
          <w:rFonts w:ascii="Times New Roman" w:eastAsia="Times New Roman" w:hAnsi="Times New Roman" w:cs="Times New Roman"/>
          <w:kern w:val="0"/>
          <w:vertAlign w:val="subscript"/>
        </w:rPr>
        <w:t>it</w:t>
      </w:r>
    </w:p>
    <w:p w14:paraId="6E9422C0" w14:textId="440609D9" w:rsidR="00D66E3E" w:rsidRPr="0095249E" w:rsidRDefault="00D66E3E" w:rsidP="0095249E">
      <w:pPr>
        <w:spacing w:line="240" w:lineRule="auto"/>
        <w:jc w:val="both"/>
        <w:rPr>
          <w:rFonts w:ascii="Times New Roman" w:eastAsia="Times New Roman" w:hAnsi="Times New Roman" w:cs="Times New Roman"/>
          <w:kern w:val="0"/>
        </w:rPr>
      </w:pPr>
      <w:r w:rsidRPr="008D0E93">
        <w:rPr>
          <w:rFonts w:ascii="Times New Roman" w:eastAsia="Times New Roman" w:hAnsi="Times New Roman" w:cs="Times New Roman"/>
          <w:kern w:val="0"/>
        </w:rPr>
        <w:t>PER</w:t>
      </w:r>
      <w:r w:rsidRPr="008D0E93">
        <w:rPr>
          <w:rFonts w:ascii="Times New Roman" w:eastAsia="Times New Roman" w:hAnsi="Times New Roman" w:cs="Times New Roman"/>
          <w:kern w:val="0"/>
          <w:vertAlign w:val="subscript"/>
        </w:rPr>
        <w:t>it</w:t>
      </w:r>
      <w:r w:rsidRPr="008D0E93">
        <w:rPr>
          <w:rFonts w:ascii="Times New Roman" w:eastAsia="Times New Roman" w:hAnsi="Times New Roman" w:cs="Times New Roman"/>
          <w:kern w:val="0"/>
        </w:rPr>
        <w:t>=β0+β1BS</w:t>
      </w:r>
      <w:r w:rsidRPr="008D0E93">
        <w:rPr>
          <w:rFonts w:ascii="Times New Roman" w:eastAsia="Times New Roman" w:hAnsi="Times New Roman" w:cs="Times New Roman"/>
          <w:kern w:val="0"/>
          <w:vertAlign w:val="subscript"/>
        </w:rPr>
        <w:t>it</w:t>
      </w:r>
      <w:r w:rsidRPr="008D0E93">
        <w:rPr>
          <w:rFonts w:ascii="Times New Roman" w:eastAsia="Times New Roman" w:hAnsi="Times New Roman" w:cs="Times New Roman"/>
          <w:kern w:val="0"/>
        </w:rPr>
        <w:t>+β2BI</w:t>
      </w:r>
      <w:r w:rsidRPr="008D0E93">
        <w:rPr>
          <w:rFonts w:ascii="Times New Roman" w:eastAsia="Times New Roman" w:hAnsi="Times New Roman" w:cs="Times New Roman"/>
          <w:kern w:val="0"/>
          <w:vertAlign w:val="subscript"/>
        </w:rPr>
        <w:t>it</w:t>
      </w:r>
      <w:r w:rsidRPr="008D0E93">
        <w:rPr>
          <w:rFonts w:ascii="Times New Roman" w:eastAsia="Times New Roman" w:hAnsi="Times New Roman" w:cs="Times New Roman"/>
          <w:kern w:val="0"/>
        </w:rPr>
        <w:t>+β3BE</w:t>
      </w:r>
      <w:r w:rsidRPr="008D0E93">
        <w:rPr>
          <w:rFonts w:ascii="Times New Roman" w:eastAsia="Times New Roman" w:hAnsi="Times New Roman" w:cs="Times New Roman"/>
          <w:kern w:val="0"/>
          <w:vertAlign w:val="subscript"/>
        </w:rPr>
        <w:t>it</w:t>
      </w:r>
      <w:r w:rsidRPr="008D0E93">
        <w:rPr>
          <w:rFonts w:ascii="Times New Roman" w:eastAsia="Times New Roman" w:hAnsi="Times New Roman" w:cs="Times New Roman"/>
          <w:kern w:val="0"/>
        </w:rPr>
        <w:t>+ϵ</w:t>
      </w:r>
      <w:r w:rsidRPr="008D0E93">
        <w:rPr>
          <w:rFonts w:ascii="Times New Roman" w:eastAsia="Times New Roman" w:hAnsi="Times New Roman" w:cs="Times New Roman"/>
          <w:kern w:val="0"/>
          <w:vertAlign w:val="subscript"/>
        </w:rPr>
        <w:t>it</w:t>
      </w:r>
    </w:p>
    <w:p w14:paraId="003F10F7" w14:textId="77777777" w:rsidR="0063596E" w:rsidRDefault="0063596E" w:rsidP="00292AF4">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Where:</w:t>
      </w:r>
    </w:p>
    <w:p w14:paraId="0E7A784D" w14:textId="77777777" w:rsidR="0063596E" w:rsidRDefault="0063596E" w:rsidP="00292AF4">
      <w:pPr>
        <w:numPr>
          <w:ilvl w:val="0"/>
          <w:numId w:val="12"/>
        </w:num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 xml:space="preserve">TQit​ = Tobin’s q of firm </w:t>
      </w:r>
      <w:r>
        <w:rPr>
          <w:rFonts w:ascii="Times New Roman" w:eastAsia="Times New Roman" w:hAnsi="Times New Roman" w:cs="Times New Roman"/>
          <w:i/>
          <w:iCs/>
          <w:kern w:val="0"/>
        </w:rPr>
        <w:t>i</w:t>
      </w:r>
      <w:r>
        <w:rPr>
          <w:rFonts w:ascii="Times New Roman" w:eastAsia="Times New Roman" w:hAnsi="Times New Roman" w:cs="Times New Roman"/>
          <w:kern w:val="0"/>
        </w:rPr>
        <w:t xml:space="preserve"> at time </w:t>
      </w:r>
      <w:r>
        <w:rPr>
          <w:rFonts w:ascii="Times New Roman" w:eastAsia="Times New Roman" w:hAnsi="Times New Roman" w:cs="Times New Roman"/>
          <w:i/>
          <w:iCs/>
          <w:kern w:val="0"/>
        </w:rPr>
        <w:t>t</w:t>
      </w:r>
      <w:r>
        <w:rPr>
          <w:rFonts w:ascii="Times New Roman" w:eastAsia="Times New Roman" w:hAnsi="Times New Roman" w:cs="Times New Roman"/>
          <w:kern w:val="0"/>
        </w:rPr>
        <w:t xml:space="preserve"> </w:t>
      </w:r>
    </w:p>
    <w:p w14:paraId="702A0148" w14:textId="1FD65B86" w:rsidR="00344CA1" w:rsidRDefault="00344CA1" w:rsidP="00292AF4">
      <w:pPr>
        <w:numPr>
          <w:ilvl w:val="0"/>
          <w:numId w:val="12"/>
        </w:num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 xml:space="preserve">PERit= Price Earnings Ratio of </w:t>
      </w:r>
      <w:r w:rsidR="004E31EF">
        <w:rPr>
          <w:rFonts w:ascii="Times New Roman" w:eastAsia="Times New Roman" w:hAnsi="Times New Roman" w:cs="Times New Roman"/>
          <w:kern w:val="0"/>
        </w:rPr>
        <w:t>a</w:t>
      </w:r>
    </w:p>
    <w:p w14:paraId="0B65C7AB" w14:textId="77777777" w:rsidR="0063596E" w:rsidRDefault="0063596E" w:rsidP="00A77FE8">
      <w:pPr>
        <w:numPr>
          <w:ilvl w:val="0"/>
          <w:numId w:val="12"/>
        </w:numPr>
        <w:spacing w:before="100" w:beforeAutospacing="1" w:after="100" w:afterAutospacing="1" w:line="240" w:lineRule="auto"/>
        <w:rPr>
          <w:rFonts w:ascii="Times New Roman" w:eastAsia="Times New Roman" w:hAnsi="Times New Roman" w:cs="Times New Roman"/>
          <w:kern w:val="0"/>
        </w:rPr>
      </w:pPr>
      <w:r>
        <w:rPr>
          <w:rFonts w:ascii="Times New Roman" w:eastAsia="Times New Roman" w:hAnsi="Times New Roman" w:cs="Times New Roman"/>
          <w:kern w:val="0"/>
        </w:rPr>
        <w:t xml:space="preserve">BSit​ = Board size of firm </w:t>
      </w:r>
      <w:r>
        <w:rPr>
          <w:rFonts w:ascii="Times New Roman" w:eastAsia="Times New Roman" w:hAnsi="Times New Roman" w:cs="Times New Roman"/>
          <w:i/>
          <w:iCs/>
          <w:kern w:val="0"/>
        </w:rPr>
        <w:t>i</w:t>
      </w:r>
      <w:r>
        <w:rPr>
          <w:rFonts w:ascii="Times New Roman" w:eastAsia="Times New Roman" w:hAnsi="Times New Roman" w:cs="Times New Roman"/>
          <w:kern w:val="0"/>
        </w:rPr>
        <w:t xml:space="preserve"> at time </w:t>
      </w:r>
      <w:r>
        <w:rPr>
          <w:rFonts w:ascii="Times New Roman" w:eastAsia="Times New Roman" w:hAnsi="Times New Roman" w:cs="Times New Roman"/>
          <w:i/>
          <w:iCs/>
          <w:kern w:val="0"/>
        </w:rPr>
        <w:t>t</w:t>
      </w:r>
      <w:r>
        <w:rPr>
          <w:rFonts w:ascii="Times New Roman" w:eastAsia="Times New Roman" w:hAnsi="Times New Roman" w:cs="Times New Roman"/>
          <w:kern w:val="0"/>
        </w:rPr>
        <w:t xml:space="preserve"> </w:t>
      </w:r>
    </w:p>
    <w:p w14:paraId="5AA9949D" w14:textId="77777777" w:rsidR="0063596E" w:rsidRDefault="0063596E" w:rsidP="00A77FE8">
      <w:pPr>
        <w:numPr>
          <w:ilvl w:val="0"/>
          <w:numId w:val="12"/>
        </w:numPr>
        <w:spacing w:before="100" w:beforeAutospacing="1" w:after="100" w:afterAutospacing="1" w:line="240" w:lineRule="auto"/>
        <w:rPr>
          <w:rFonts w:ascii="Times New Roman" w:eastAsia="Times New Roman" w:hAnsi="Times New Roman" w:cs="Times New Roman"/>
          <w:kern w:val="0"/>
        </w:rPr>
      </w:pPr>
      <w:r>
        <w:rPr>
          <w:rFonts w:ascii="Times New Roman" w:eastAsia="Times New Roman" w:hAnsi="Times New Roman" w:cs="Times New Roman"/>
          <w:kern w:val="0"/>
        </w:rPr>
        <w:t xml:space="preserve">BIit​ = Board independence of firm </w:t>
      </w:r>
      <w:r>
        <w:rPr>
          <w:rFonts w:ascii="Times New Roman" w:eastAsia="Times New Roman" w:hAnsi="Times New Roman" w:cs="Times New Roman"/>
          <w:i/>
          <w:iCs/>
          <w:kern w:val="0"/>
        </w:rPr>
        <w:t>i</w:t>
      </w:r>
      <w:r>
        <w:rPr>
          <w:rFonts w:ascii="Times New Roman" w:eastAsia="Times New Roman" w:hAnsi="Times New Roman" w:cs="Times New Roman"/>
          <w:kern w:val="0"/>
        </w:rPr>
        <w:t xml:space="preserve"> at time </w:t>
      </w:r>
      <w:r>
        <w:rPr>
          <w:rFonts w:ascii="Times New Roman" w:eastAsia="Times New Roman" w:hAnsi="Times New Roman" w:cs="Times New Roman"/>
          <w:i/>
          <w:iCs/>
          <w:kern w:val="0"/>
        </w:rPr>
        <w:t>t</w:t>
      </w:r>
      <w:r>
        <w:rPr>
          <w:rFonts w:ascii="Times New Roman" w:eastAsia="Times New Roman" w:hAnsi="Times New Roman" w:cs="Times New Roman"/>
          <w:kern w:val="0"/>
        </w:rPr>
        <w:t xml:space="preserve"> </w:t>
      </w:r>
    </w:p>
    <w:p w14:paraId="36B71E7D" w14:textId="77777777" w:rsidR="0063596E" w:rsidRDefault="0063596E" w:rsidP="00A77FE8">
      <w:pPr>
        <w:numPr>
          <w:ilvl w:val="0"/>
          <w:numId w:val="12"/>
        </w:numPr>
        <w:spacing w:before="100" w:beforeAutospacing="1" w:after="100" w:afterAutospacing="1" w:line="240" w:lineRule="auto"/>
        <w:rPr>
          <w:rFonts w:ascii="Times New Roman" w:eastAsia="Times New Roman" w:hAnsi="Times New Roman" w:cs="Times New Roman"/>
          <w:kern w:val="0"/>
        </w:rPr>
      </w:pPr>
      <w:r>
        <w:rPr>
          <w:rFonts w:ascii="Times New Roman" w:eastAsia="Times New Roman" w:hAnsi="Times New Roman" w:cs="Times New Roman"/>
          <w:kern w:val="0"/>
        </w:rPr>
        <w:t xml:space="preserve">BEit​ = Board expertise of firm </w:t>
      </w:r>
      <w:r>
        <w:rPr>
          <w:rFonts w:ascii="Times New Roman" w:eastAsia="Times New Roman" w:hAnsi="Times New Roman" w:cs="Times New Roman"/>
          <w:i/>
          <w:iCs/>
          <w:kern w:val="0"/>
        </w:rPr>
        <w:t>i</w:t>
      </w:r>
      <w:r>
        <w:rPr>
          <w:rFonts w:ascii="Times New Roman" w:eastAsia="Times New Roman" w:hAnsi="Times New Roman" w:cs="Times New Roman"/>
          <w:kern w:val="0"/>
        </w:rPr>
        <w:t xml:space="preserve"> at time </w:t>
      </w:r>
      <w:r>
        <w:rPr>
          <w:rFonts w:ascii="Times New Roman" w:eastAsia="Times New Roman" w:hAnsi="Times New Roman" w:cs="Times New Roman"/>
          <w:i/>
          <w:iCs/>
          <w:kern w:val="0"/>
        </w:rPr>
        <w:t>t</w:t>
      </w:r>
      <w:r>
        <w:rPr>
          <w:rFonts w:ascii="Times New Roman" w:eastAsia="Times New Roman" w:hAnsi="Times New Roman" w:cs="Times New Roman"/>
          <w:kern w:val="0"/>
        </w:rPr>
        <w:t xml:space="preserve"> </w:t>
      </w:r>
    </w:p>
    <w:p w14:paraId="2A196A18" w14:textId="77777777" w:rsidR="0063596E" w:rsidRDefault="0063596E" w:rsidP="00A77FE8">
      <w:pPr>
        <w:numPr>
          <w:ilvl w:val="0"/>
          <w:numId w:val="12"/>
        </w:numPr>
        <w:spacing w:before="100" w:beforeAutospacing="1" w:after="100" w:afterAutospacing="1" w:line="240" w:lineRule="auto"/>
        <w:rPr>
          <w:rFonts w:ascii="Times New Roman" w:eastAsia="Times New Roman" w:hAnsi="Times New Roman" w:cs="Times New Roman"/>
          <w:kern w:val="0"/>
        </w:rPr>
      </w:pPr>
      <w:r>
        <w:rPr>
          <w:rFonts w:ascii="Times New Roman" w:eastAsia="Times New Roman" w:hAnsi="Times New Roman" w:cs="Times New Roman"/>
          <w:kern w:val="0"/>
        </w:rPr>
        <w:t>β0​ = Intercept term</w:t>
      </w:r>
    </w:p>
    <w:p w14:paraId="2C07D58A" w14:textId="77777777" w:rsidR="0063596E" w:rsidRDefault="0063596E" w:rsidP="00A77FE8">
      <w:pPr>
        <w:numPr>
          <w:ilvl w:val="0"/>
          <w:numId w:val="12"/>
        </w:numPr>
        <w:spacing w:before="100" w:beforeAutospacing="1" w:after="100" w:afterAutospacing="1" w:line="240" w:lineRule="auto"/>
        <w:rPr>
          <w:rFonts w:ascii="Times New Roman" w:eastAsia="Times New Roman" w:hAnsi="Times New Roman" w:cs="Times New Roman"/>
          <w:kern w:val="0"/>
        </w:rPr>
      </w:pPr>
      <w:r>
        <w:rPr>
          <w:rFonts w:ascii="Times New Roman" w:eastAsia="Times New Roman" w:hAnsi="Times New Roman" w:cs="Times New Roman"/>
          <w:kern w:val="0"/>
        </w:rPr>
        <w:t>β1​–β3​ = Coefficients measuring the effect of each governance variable on firm value</w:t>
      </w:r>
    </w:p>
    <w:p w14:paraId="23ADC00C" w14:textId="3AEC8C7D" w:rsidR="00344CA1" w:rsidRPr="004E31EF" w:rsidRDefault="0063596E" w:rsidP="004E31EF">
      <w:pPr>
        <w:numPr>
          <w:ilvl w:val="0"/>
          <w:numId w:val="12"/>
        </w:numPr>
        <w:spacing w:before="100" w:beforeAutospacing="1" w:after="100" w:afterAutospacing="1" w:line="240" w:lineRule="auto"/>
        <w:rPr>
          <w:rFonts w:ascii="Times New Roman" w:eastAsia="Times New Roman" w:hAnsi="Times New Roman" w:cs="Times New Roman"/>
          <w:kern w:val="0"/>
        </w:rPr>
      </w:pPr>
      <w:r>
        <w:rPr>
          <w:rFonts w:ascii="Times New Roman" w:eastAsia="Times New Roman" w:hAnsi="Times New Roman" w:cs="Times New Roman"/>
          <w:kern w:val="0"/>
        </w:rPr>
        <w:t>ϵit​ = Error term capturing unobserved factors</w:t>
      </w:r>
    </w:p>
    <w:p w14:paraId="3372E56B" w14:textId="5C1F0F19" w:rsidR="0063596E" w:rsidRDefault="006B3F29" w:rsidP="0095249E">
      <w:pPr>
        <w:spacing w:before="40" w:after="40" w:line="240" w:lineRule="auto"/>
        <w:rPr>
          <w:rFonts w:ascii="Times New Roman" w:hAnsi="Times New Roman" w:cs="Times New Roman"/>
          <w:b/>
        </w:rPr>
      </w:pPr>
      <w:r>
        <w:rPr>
          <w:rFonts w:ascii="Times New Roman" w:hAnsi="Times New Roman" w:cs="Times New Roman"/>
        </w:rPr>
        <w:t>4.</w:t>
      </w:r>
      <w:r w:rsidR="00DD6E22">
        <w:rPr>
          <w:rFonts w:ascii="Times New Roman" w:hAnsi="Times New Roman" w:cs="Times New Roman"/>
        </w:rPr>
        <w:t xml:space="preserve"> </w:t>
      </w:r>
      <w:r w:rsidR="00DD6E22">
        <w:rPr>
          <w:rFonts w:ascii="Times New Roman" w:hAnsi="Times New Roman" w:cs="Times New Roman"/>
          <w:b/>
        </w:rPr>
        <w:t xml:space="preserve">Results </w:t>
      </w:r>
      <w:r w:rsidR="0095249E">
        <w:rPr>
          <w:rFonts w:ascii="Times New Roman" w:hAnsi="Times New Roman" w:cs="Times New Roman"/>
          <w:b/>
        </w:rPr>
        <w:t>and Discussions</w:t>
      </w:r>
    </w:p>
    <w:p w14:paraId="4F7C35AE" w14:textId="2E930900" w:rsidR="0063596E" w:rsidRDefault="006B3F29" w:rsidP="00A77FE8">
      <w:pPr>
        <w:spacing w:after="0" w:line="240" w:lineRule="auto"/>
        <w:ind w:left="990" w:hanging="990"/>
        <w:rPr>
          <w:rFonts w:ascii="Times New Roman" w:hAnsi="Times New Roman" w:cs="Times New Roman"/>
          <w:b/>
        </w:rPr>
      </w:pPr>
      <w:r>
        <w:rPr>
          <w:rFonts w:ascii="Times New Roman" w:hAnsi="Times New Roman" w:cs="Times New Roman"/>
          <w:b/>
        </w:rPr>
        <w:t xml:space="preserve">4.1 </w:t>
      </w:r>
      <w:r w:rsidR="0063596E">
        <w:rPr>
          <w:rFonts w:ascii="Times New Roman" w:hAnsi="Times New Roman" w:cs="Times New Roman"/>
          <w:b/>
        </w:rPr>
        <w:t>Descriptive Analysis</w:t>
      </w:r>
    </w:p>
    <w:p w14:paraId="5E6B498F" w14:textId="77777777" w:rsidR="00BA620B" w:rsidRDefault="0063596E" w:rsidP="00A77FE8">
      <w:pPr>
        <w:spacing w:after="0" w:line="240" w:lineRule="auto"/>
        <w:rPr>
          <w:rFonts w:ascii="Times New Roman" w:hAnsi="Times New Roman" w:cs="Times New Roman"/>
        </w:rPr>
      </w:pPr>
      <w:r>
        <w:rPr>
          <w:rFonts w:ascii="Times New Roman" w:hAnsi="Times New Roman" w:cs="Times New Roman"/>
        </w:rPr>
        <w:t>The descriptive analysis displayed the basic featur</w:t>
      </w:r>
      <w:r w:rsidR="004D7FED">
        <w:rPr>
          <w:rFonts w:ascii="Times New Roman" w:hAnsi="Times New Roman" w:cs="Times New Roman"/>
        </w:rPr>
        <w:t xml:space="preserve">es of the cross sectional data </w:t>
      </w:r>
      <w:r w:rsidR="002D489B">
        <w:rPr>
          <w:rFonts w:ascii="Times New Roman" w:hAnsi="Times New Roman" w:cs="Times New Roman"/>
        </w:rPr>
        <w:t xml:space="preserve">presented in table </w:t>
      </w:r>
      <w:r>
        <w:rPr>
          <w:rFonts w:ascii="Times New Roman" w:hAnsi="Times New Roman" w:cs="Times New Roman"/>
        </w:rPr>
        <w:t xml:space="preserve">1 </w:t>
      </w:r>
    </w:p>
    <w:p w14:paraId="6B242E1F" w14:textId="710AF3E5" w:rsidR="0063596E" w:rsidRDefault="00BA620B" w:rsidP="00A77FE8">
      <w:pPr>
        <w:spacing w:after="0" w:line="240" w:lineRule="auto"/>
        <w:rPr>
          <w:rFonts w:ascii="Times New Roman" w:hAnsi="Times New Roman" w:cs="Times New Roman"/>
        </w:rPr>
      </w:pPr>
      <w:r>
        <w:rPr>
          <w:rFonts w:ascii="Times New Roman" w:hAnsi="Times New Roman" w:cs="Times New Roman"/>
        </w:rPr>
        <w:t>Table 1: Descriptive Analysis for all variables</w:t>
      </w:r>
    </w:p>
    <w:tbl>
      <w:tblPr>
        <w:tblW w:w="8263" w:type="dxa"/>
        <w:tblLook w:val="04A0" w:firstRow="1" w:lastRow="0" w:firstColumn="1" w:lastColumn="0" w:noHBand="0" w:noVBand="1"/>
      </w:tblPr>
      <w:tblGrid>
        <w:gridCol w:w="1397"/>
        <w:gridCol w:w="418"/>
        <w:gridCol w:w="682"/>
        <w:gridCol w:w="418"/>
        <w:gridCol w:w="802"/>
        <w:gridCol w:w="418"/>
        <w:gridCol w:w="742"/>
        <w:gridCol w:w="418"/>
        <w:gridCol w:w="1110"/>
        <w:gridCol w:w="418"/>
        <w:gridCol w:w="1022"/>
        <w:gridCol w:w="418"/>
      </w:tblGrid>
      <w:tr w:rsidR="00BA620B" w:rsidRPr="008D0E93" w14:paraId="70BA6921" w14:textId="77777777" w:rsidTr="005D2F05">
        <w:trPr>
          <w:gridAfter w:val="1"/>
          <w:wAfter w:w="418" w:type="dxa"/>
          <w:trHeight w:val="315"/>
        </w:trPr>
        <w:tc>
          <w:tcPr>
            <w:tcW w:w="1397" w:type="dxa"/>
            <w:tcBorders>
              <w:top w:val="single" w:sz="4" w:space="0" w:color="auto"/>
              <w:left w:val="nil"/>
              <w:bottom w:val="single" w:sz="8" w:space="0" w:color="auto"/>
              <w:right w:val="nil"/>
            </w:tcBorders>
            <w:shd w:val="clear" w:color="auto" w:fill="auto"/>
            <w:noWrap/>
            <w:vAlign w:val="bottom"/>
            <w:hideMark/>
          </w:tcPr>
          <w:p w14:paraId="60D6DC7F" w14:textId="77777777" w:rsidR="00BA620B" w:rsidRPr="008D0E93" w:rsidRDefault="00BA620B" w:rsidP="005D2F05">
            <w:pPr>
              <w:spacing w:after="0" w:line="240" w:lineRule="auto"/>
              <w:rPr>
                <w:rFonts w:ascii="Times New Roman" w:eastAsia="Times New Roman" w:hAnsi="Times New Roman" w:cs="Times New Roman"/>
                <w:color w:val="000000"/>
                <w:kern w:val="0"/>
              </w:rPr>
            </w:pPr>
            <w:r w:rsidRPr="008D0E93">
              <w:rPr>
                <w:rFonts w:ascii="Times New Roman" w:eastAsia="Times New Roman" w:hAnsi="Times New Roman" w:cs="Times New Roman"/>
                <w:color w:val="000000"/>
                <w:kern w:val="0"/>
              </w:rPr>
              <w:t> </w:t>
            </w:r>
          </w:p>
        </w:tc>
        <w:tc>
          <w:tcPr>
            <w:tcW w:w="1100" w:type="dxa"/>
            <w:gridSpan w:val="2"/>
            <w:tcBorders>
              <w:top w:val="single" w:sz="4" w:space="0" w:color="auto"/>
              <w:left w:val="nil"/>
              <w:bottom w:val="single" w:sz="8" w:space="0" w:color="auto"/>
              <w:right w:val="nil"/>
            </w:tcBorders>
            <w:shd w:val="clear" w:color="auto" w:fill="auto"/>
            <w:noWrap/>
            <w:vAlign w:val="bottom"/>
            <w:hideMark/>
          </w:tcPr>
          <w:p w14:paraId="2DD5E9B3" w14:textId="2F6DC746" w:rsidR="00BA620B" w:rsidRPr="008D0E93" w:rsidRDefault="00BA620B" w:rsidP="00BA620B">
            <w:pPr>
              <w:spacing w:after="0" w:line="240" w:lineRule="auto"/>
              <w:ind w:firstLine="40"/>
              <w:jc w:val="center"/>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       </w:t>
            </w:r>
            <w:r w:rsidRPr="008D0E93">
              <w:rPr>
                <w:rFonts w:ascii="Times New Roman" w:eastAsia="Times New Roman" w:hAnsi="Times New Roman" w:cs="Times New Roman"/>
                <w:color w:val="000000"/>
                <w:kern w:val="0"/>
              </w:rPr>
              <w:t>T</w:t>
            </w:r>
            <w:r>
              <w:rPr>
                <w:rFonts w:ascii="Times New Roman" w:eastAsia="Times New Roman" w:hAnsi="Times New Roman" w:cs="Times New Roman"/>
                <w:color w:val="000000"/>
                <w:kern w:val="0"/>
              </w:rPr>
              <w:t>Q</w:t>
            </w:r>
          </w:p>
        </w:tc>
        <w:tc>
          <w:tcPr>
            <w:tcW w:w="1220" w:type="dxa"/>
            <w:gridSpan w:val="2"/>
            <w:tcBorders>
              <w:top w:val="single" w:sz="4" w:space="0" w:color="auto"/>
              <w:left w:val="nil"/>
              <w:bottom w:val="single" w:sz="8" w:space="0" w:color="auto"/>
              <w:right w:val="nil"/>
            </w:tcBorders>
            <w:shd w:val="clear" w:color="auto" w:fill="auto"/>
            <w:noWrap/>
            <w:vAlign w:val="bottom"/>
            <w:hideMark/>
          </w:tcPr>
          <w:p w14:paraId="027351A5" w14:textId="2315FD25" w:rsidR="00BA620B" w:rsidRPr="008D0E93" w:rsidRDefault="00190FE6" w:rsidP="005D2F05">
            <w:pPr>
              <w:spacing w:after="0" w:line="240" w:lineRule="auto"/>
              <w:jc w:val="center"/>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        </w:t>
            </w:r>
            <w:r w:rsidR="00BA620B" w:rsidRPr="008D0E93">
              <w:rPr>
                <w:rFonts w:ascii="Times New Roman" w:eastAsia="Times New Roman" w:hAnsi="Times New Roman" w:cs="Times New Roman"/>
                <w:color w:val="000000"/>
                <w:kern w:val="0"/>
              </w:rPr>
              <w:t>PER</w:t>
            </w:r>
          </w:p>
        </w:tc>
        <w:tc>
          <w:tcPr>
            <w:tcW w:w="1160" w:type="dxa"/>
            <w:gridSpan w:val="2"/>
            <w:tcBorders>
              <w:top w:val="single" w:sz="4" w:space="0" w:color="auto"/>
              <w:left w:val="nil"/>
              <w:bottom w:val="single" w:sz="8" w:space="0" w:color="auto"/>
              <w:right w:val="nil"/>
            </w:tcBorders>
            <w:shd w:val="clear" w:color="auto" w:fill="auto"/>
            <w:noWrap/>
            <w:vAlign w:val="bottom"/>
            <w:hideMark/>
          </w:tcPr>
          <w:p w14:paraId="1D0FE3B6" w14:textId="1D9D4BA9" w:rsidR="00BA620B" w:rsidRPr="008D0E93" w:rsidRDefault="00190FE6" w:rsidP="005D2F05">
            <w:pPr>
              <w:spacing w:after="0" w:line="240" w:lineRule="auto"/>
              <w:jc w:val="center"/>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          </w:t>
            </w:r>
            <w:r w:rsidR="00BA620B" w:rsidRPr="008D0E93">
              <w:rPr>
                <w:rFonts w:ascii="Times New Roman" w:eastAsia="Times New Roman" w:hAnsi="Times New Roman" w:cs="Times New Roman"/>
                <w:color w:val="000000"/>
                <w:kern w:val="0"/>
              </w:rPr>
              <w:t>BS</w:t>
            </w:r>
          </w:p>
        </w:tc>
        <w:tc>
          <w:tcPr>
            <w:tcW w:w="1528" w:type="dxa"/>
            <w:gridSpan w:val="2"/>
            <w:tcBorders>
              <w:top w:val="single" w:sz="4" w:space="0" w:color="auto"/>
              <w:left w:val="nil"/>
              <w:bottom w:val="single" w:sz="8" w:space="0" w:color="auto"/>
              <w:right w:val="nil"/>
            </w:tcBorders>
            <w:shd w:val="clear" w:color="auto" w:fill="auto"/>
            <w:noWrap/>
            <w:vAlign w:val="bottom"/>
            <w:hideMark/>
          </w:tcPr>
          <w:p w14:paraId="059F7C83" w14:textId="77777777" w:rsidR="00BA620B" w:rsidRPr="008D0E93" w:rsidRDefault="00BA620B" w:rsidP="005D2F05">
            <w:pPr>
              <w:spacing w:after="0" w:line="240" w:lineRule="auto"/>
              <w:jc w:val="center"/>
              <w:rPr>
                <w:rFonts w:ascii="Times New Roman" w:eastAsia="Times New Roman" w:hAnsi="Times New Roman" w:cs="Times New Roman"/>
                <w:color w:val="000000"/>
                <w:kern w:val="0"/>
              </w:rPr>
            </w:pPr>
            <w:r w:rsidRPr="008D0E93">
              <w:rPr>
                <w:rFonts w:ascii="Times New Roman" w:eastAsia="Times New Roman" w:hAnsi="Times New Roman" w:cs="Times New Roman"/>
                <w:color w:val="000000"/>
                <w:kern w:val="0"/>
              </w:rPr>
              <w:t>BI</w:t>
            </w:r>
          </w:p>
        </w:tc>
        <w:tc>
          <w:tcPr>
            <w:tcW w:w="1440" w:type="dxa"/>
            <w:gridSpan w:val="2"/>
            <w:tcBorders>
              <w:top w:val="single" w:sz="4" w:space="0" w:color="auto"/>
              <w:left w:val="nil"/>
              <w:bottom w:val="single" w:sz="8" w:space="0" w:color="auto"/>
              <w:right w:val="nil"/>
            </w:tcBorders>
            <w:shd w:val="clear" w:color="auto" w:fill="auto"/>
            <w:noWrap/>
            <w:vAlign w:val="bottom"/>
            <w:hideMark/>
          </w:tcPr>
          <w:p w14:paraId="52786B54" w14:textId="77777777" w:rsidR="00BA620B" w:rsidRPr="008D0E93" w:rsidRDefault="00BA620B" w:rsidP="005D2F05">
            <w:pPr>
              <w:spacing w:after="0" w:line="240" w:lineRule="auto"/>
              <w:jc w:val="center"/>
              <w:rPr>
                <w:rFonts w:ascii="Times New Roman" w:eastAsia="Times New Roman" w:hAnsi="Times New Roman" w:cs="Times New Roman"/>
                <w:color w:val="000000"/>
                <w:kern w:val="0"/>
              </w:rPr>
            </w:pPr>
            <w:r w:rsidRPr="008D0E93">
              <w:rPr>
                <w:rFonts w:ascii="Times New Roman" w:eastAsia="Times New Roman" w:hAnsi="Times New Roman" w:cs="Times New Roman"/>
                <w:color w:val="000000"/>
                <w:kern w:val="0"/>
              </w:rPr>
              <w:t>BE</w:t>
            </w:r>
          </w:p>
        </w:tc>
      </w:tr>
      <w:tr w:rsidR="00BA620B" w:rsidRPr="008D0E93" w14:paraId="4612A83B" w14:textId="77777777" w:rsidTr="005D2F05">
        <w:trPr>
          <w:trHeight w:val="300"/>
        </w:trPr>
        <w:tc>
          <w:tcPr>
            <w:tcW w:w="1815" w:type="dxa"/>
            <w:gridSpan w:val="2"/>
            <w:tcBorders>
              <w:top w:val="nil"/>
              <w:left w:val="nil"/>
              <w:bottom w:val="nil"/>
              <w:right w:val="nil"/>
            </w:tcBorders>
            <w:shd w:val="clear" w:color="auto" w:fill="auto"/>
            <w:noWrap/>
            <w:vAlign w:val="bottom"/>
            <w:hideMark/>
          </w:tcPr>
          <w:p w14:paraId="3A5FFB3E" w14:textId="77777777" w:rsidR="00BA620B" w:rsidRPr="00BA620B" w:rsidRDefault="00BA620B" w:rsidP="005D2F05">
            <w:pPr>
              <w:spacing w:after="0" w:line="240" w:lineRule="auto"/>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 xml:space="preserve"> Mean</w:t>
            </w:r>
          </w:p>
        </w:tc>
        <w:tc>
          <w:tcPr>
            <w:tcW w:w="1100" w:type="dxa"/>
            <w:gridSpan w:val="2"/>
            <w:tcBorders>
              <w:top w:val="nil"/>
              <w:left w:val="nil"/>
              <w:bottom w:val="nil"/>
              <w:right w:val="nil"/>
            </w:tcBorders>
            <w:shd w:val="clear" w:color="auto" w:fill="auto"/>
            <w:noWrap/>
            <w:vAlign w:val="bottom"/>
            <w:hideMark/>
          </w:tcPr>
          <w:p w14:paraId="0F3654DD" w14:textId="77777777" w:rsidR="00BA620B" w:rsidRPr="00BA620B" w:rsidRDefault="00BA620B" w:rsidP="005D2F05">
            <w:pPr>
              <w:spacing w:after="0" w:line="240" w:lineRule="auto"/>
              <w:ind w:firstLine="40"/>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0.979636</w:t>
            </w:r>
          </w:p>
        </w:tc>
        <w:tc>
          <w:tcPr>
            <w:tcW w:w="1220" w:type="dxa"/>
            <w:gridSpan w:val="2"/>
            <w:tcBorders>
              <w:top w:val="nil"/>
              <w:left w:val="nil"/>
              <w:bottom w:val="nil"/>
              <w:right w:val="nil"/>
            </w:tcBorders>
            <w:shd w:val="clear" w:color="auto" w:fill="auto"/>
            <w:noWrap/>
            <w:vAlign w:val="bottom"/>
            <w:hideMark/>
          </w:tcPr>
          <w:p w14:paraId="326265DF"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0.097909</w:t>
            </w:r>
          </w:p>
        </w:tc>
        <w:tc>
          <w:tcPr>
            <w:tcW w:w="1160" w:type="dxa"/>
            <w:gridSpan w:val="2"/>
            <w:tcBorders>
              <w:top w:val="nil"/>
              <w:left w:val="nil"/>
              <w:bottom w:val="nil"/>
              <w:right w:val="nil"/>
            </w:tcBorders>
            <w:shd w:val="clear" w:color="auto" w:fill="auto"/>
            <w:noWrap/>
            <w:vAlign w:val="bottom"/>
            <w:hideMark/>
          </w:tcPr>
          <w:p w14:paraId="03EAEFB6"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10.73636</w:t>
            </w:r>
          </w:p>
        </w:tc>
        <w:tc>
          <w:tcPr>
            <w:tcW w:w="1528" w:type="dxa"/>
            <w:gridSpan w:val="2"/>
            <w:tcBorders>
              <w:top w:val="nil"/>
              <w:left w:val="nil"/>
              <w:bottom w:val="nil"/>
              <w:right w:val="nil"/>
            </w:tcBorders>
            <w:shd w:val="clear" w:color="auto" w:fill="auto"/>
            <w:noWrap/>
            <w:vAlign w:val="bottom"/>
            <w:hideMark/>
          </w:tcPr>
          <w:p w14:paraId="66FAC878"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22.88205</w:t>
            </w:r>
          </w:p>
        </w:tc>
        <w:tc>
          <w:tcPr>
            <w:tcW w:w="1440" w:type="dxa"/>
            <w:gridSpan w:val="2"/>
            <w:tcBorders>
              <w:top w:val="nil"/>
              <w:left w:val="nil"/>
              <w:bottom w:val="nil"/>
              <w:right w:val="nil"/>
            </w:tcBorders>
            <w:shd w:val="clear" w:color="auto" w:fill="auto"/>
            <w:noWrap/>
            <w:vAlign w:val="bottom"/>
            <w:hideMark/>
          </w:tcPr>
          <w:p w14:paraId="3DE99C01"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7.590909</w:t>
            </w:r>
          </w:p>
        </w:tc>
      </w:tr>
      <w:tr w:rsidR="00BA620B" w:rsidRPr="008D0E93" w14:paraId="08C84B6D" w14:textId="77777777" w:rsidTr="005D2F05">
        <w:trPr>
          <w:trHeight w:val="300"/>
        </w:trPr>
        <w:tc>
          <w:tcPr>
            <w:tcW w:w="1815" w:type="dxa"/>
            <w:gridSpan w:val="2"/>
            <w:tcBorders>
              <w:top w:val="nil"/>
              <w:left w:val="nil"/>
              <w:bottom w:val="nil"/>
              <w:right w:val="nil"/>
            </w:tcBorders>
            <w:shd w:val="clear" w:color="auto" w:fill="auto"/>
            <w:noWrap/>
            <w:vAlign w:val="bottom"/>
            <w:hideMark/>
          </w:tcPr>
          <w:p w14:paraId="54CC6823" w14:textId="77777777" w:rsidR="00BA620B" w:rsidRPr="00BA620B" w:rsidRDefault="00BA620B" w:rsidP="005D2F05">
            <w:pPr>
              <w:spacing w:after="0" w:line="240" w:lineRule="auto"/>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 xml:space="preserve"> Maximum</w:t>
            </w:r>
          </w:p>
        </w:tc>
        <w:tc>
          <w:tcPr>
            <w:tcW w:w="1100" w:type="dxa"/>
            <w:gridSpan w:val="2"/>
            <w:tcBorders>
              <w:top w:val="nil"/>
              <w:left w:val="nil"/>
              <w:bottom w:val="nil"/>
              <w:right w:val="nil"/>
            </w:tcBorders>
            <w:shd w:val="clear" w:color="auto" w:fill="auto"/>
            <w:noWrap/>
            <w:vAlign w:val="bottom"/>
            <w:hideMark/>
          </w:tcPr>
          <w:p w14:paraId="40C3F3D0" w14:textId="77777777" w:rsidR="00BA620B" w:rsidRPr="00BA620B" w:rsidRDefault="00BA620B" w:rsidP="005D2F05">
            <w:pPr>
              <w:spacing w:after="0" w:line="240" w:lineRule="auto"/>
              <w:ind w:firstLine="40"/>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1.82</w:t>
            </w:r>
          </w:p>
        </w:tc>
        <w:tc>
          <w:tcPr>
            <w:tcW w:w="1220" w:type="dxa"/>
            <w:gridSpan w:val="2"/>
            <w:tcBorders>
              <w:top w:val="nil"/>
              <w:left w:val="nil"/>
              <w:bottom w:val="nil"/>
              <w:right w:val="nil"/>
            </w:tcBorders>
            <w:shd w:val="clear" w:color="auto" w:fill="auto"/>
            <w:noWrap/>
            <w:vAlign w:val="bottom"/>
            <w:hideMark/>
          </w:tcPr>
          <w:p w14:paraId="386D3806"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0.21</w:t>
            </w:r>
          </w:p>
        </w:tc>
        <w:tc>
          <w:tcPr>
            <w:tcW w:w="1160" w:type="dxa"/>
            <w:gridSpan w:val="2"/>
            <w:tcBorders>
              <w:top w:val="nil"/>
              <w:left w:val="nil"/>
              <w:bottom w:val="nil"/>
              <w:right w:val="nil"/>
            </w:tcBorders>
            <w:shd w:val="clear" w:color="auto" w:fill="auto"/>
            <w:noWrap/>
            <w:vAlign w:val="bottom"/>
            <w:hideMark/>
          </w:tcPr>
          <w:p w14:paraId="510B0044"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18</w:t>
            </w:r>
          </w:p>
        </w:tc>
        <w:tc>
          <w:tcPr>
            <w:tcW w:w="1528" w:type="dxa"/>
            <w:gridSpan w:val="2"/>
            <w:tcBorders>
              <w:top w:val="nil"/>
              <w:left w:val="nil"/>
              <w:bottom w:val="nil"/>
              <w:right w:val="nil"/>
            </w:tcBorders>
            <w:shd w:val="clear" w:color="auto" w:fill="auto"/>
            <w:noWrap/>
            <w:vAlign w:val="bottom"/>
            <w:hideMark/>
          </w:tcPr>
          <w:p w14:paraId="2E16127C"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71.4286</w:t>
            </w:r>
          </w:p>
        </w:tc>
        <w:tc>
          <w:tcPr>
            <w:tcW w:w="1440" w:type="dxa"/>
            <w:gridSpan w:val="2"/>
            <w:tcBorders>
              <w:top w:val="nil"/>
              <w:left w:val="nil"/>
              <w:bottom w:val="nil"/>
              <w:right w:val="nil"/>
            </w:tcBorders>
            <w:shd w:val="clear" w:color="auto" w:fill="auto"/>
            <w:noWrap/>
            <w:vAlign w:val="bottom"/>
            <w:hideMark/>
          </w:tcPr>
          <w:p w14:paraId="1FCFFA76"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12</w:t>
            </w:r>
          </w:p>
        </w:tc>
      </w:tr>
      <w:tr w:rsidR="00BA620B" w:rsidRPr="008D0E93" w14:paraId="6D5FACF0" w14:textId="77777777" w:rsidTr="005D2F05">
        <w:trPr>
          <w:trHeight w:val="300"/>
        </w:trPr>
        <w:tc>
          <w:tcPr>
            <w:tcW w:w="1815" w:type="dxa"/>
            <w:gridSpan w:val="2"/>
            <w:tcBorders>
              <w:top w:val="nil"/>
              <w:left w:val="nil"/>
              <w:bottom w:val="nil"/>
              <w:right w:val="nil"/>
            </w:tcBorders>
            <w:shd w:val="clear" w:color="auto" w:fill="auto"/>
            <w:noWrap/>
            <w:vAlign w:val="bottom"/>
            <w:hideMark/>
          </w:tcPr>
          <w:p w14:paraId="07023DD0" w14:textId="77777777" w:rsidR="00BA620B" w:rsidRPr="00BA620B" w:rsidRDefault="00BA620B" w:rsidP="005D2F05">
            <w:pPr>
              <w:spacing w:after="0" w:line="240" w:lineRule="auto"/>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 xml:space="preserve"> Minimum</w:t>
            </w:r>
          </w:p>
        </w:tc>
        <w:tc>
          <w:tcPr>
            <w:tcW w:w="1100" w:type="dxa"/>
            <w:gridSpan w:val="2"/>
            <w:tcBorders>
              <w:top w:val="nil"/>
              <w:left w:val="nil"/>
              <w:bottom w:val="nil"/>
              <w:right w:val="nil"/>
            </w:tcBorders>
            <w:shd w:val="clear" w:color="auto" w:fill="auto"/>
            <w:noWrap/>
            <w:vAlign w:val="bottom"/>
            <w:hideMark/>
          </w:tcPr>
          <w:p w14:paraId="7C0A044A" w14:textId="77777777" w:rsidR="00BA620B" w:rsidRPr="00BA620B" w:rsidRDefault="00BA620B" w:rsidP="005D2F05">
            <w:pPr>
              <w:spacing w:after="0" w:line="240" w:lineRule="auto"/>
              <w:ind w:firstLine="40"/>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0.17</w:t>
            </w:r>
          </w:p>
        </w:tc>
        <w:tc>
          <w:tcPr>
            <w:tcW w:w="1220" w:type="dxa"/>
            <w:gridSpan w:val="2"/>
            <w:tcBorders>
              <w:top w:val="nil"/>
              <w:left w:val="nil"/>
              <w:bottom w:val="nil"/>
              <w:right w:val="nil"/>
            </w:tcBorders>
            <w:shd w:val="clear" w:color="auto" w:fill="auto"/>
            <w:noWrap/>
            <w:vAlign w:val="bottom"/>
            <w:hideMark/>
          </w:tcPr>
          <w:p w14:paraId="27537FC6"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0.01</w:t>
            </w:r>
          </w:p>
        </w:tc>
        <w:tc>
          <w:tcPr>
            <w:tcW w:w="1160" w:type="dxa"/>
            <w:gridSpan w:val="2"/>
            <w:tcBorders>
              <w:top w:val="nil"/>
              <w:left w:val="nil"/>
              <w:bottom w:val="nil"/>
              <w:right w:val="nil"/>
            </w:tcBorders>
            <w:shd w:val="clear" w:color="auto" w:fill="auto"/>
            <w:noWrap/>
            <w:vAlign w:val="bottom"/>
            <w:hideMark/>
          </w:tcPr>
          <w:p w14:paraId="49599031"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6</w:t>
            </w:r>
          </w:p>
        </w:tc>
        <w:tc>
          <w:tcPr>
            <w:tcW w:w="1528" w:type="dxa"/>
            <w:gridSpan w:val="2"/>
            <w:tcBorders>
              <w:top w:val="nil"/>
              <w:left w:val="nil"/>
              <w:bottom w:val="nil"/>
              <w:right w:val="nil"/>
            </w:tcBorders>
            <w:shd w:val="clear" w:color="auto" w:fill="auto"/>
            <w:noWrap/>
            <w:vAlign w:val="bottom"/>
            <w:hideMark/>
          </w:tcPr>
          <w:p w14:paraId="0BFD89A9"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6.66667</w:t>
            </w:r>
          </w:p>
        </w:tc>
        <w:tc>
          <w:tcPr>
            <w:tcW w:w="1440" w:type="dxa"/>
            <w:gridSpan w:val="2"/>
            <w:tcBorders>
              <w:top w:val="nil"/>
              <w:left w:val="nil"/>
              <w:bottom w:val="nil"/>
              <w:right w:val="nil"/>
            </w:tcBorders>
            <w:shd w:val="clear" w:color="auto" w:fill="auto"/>
            <w:noWrap/>
            <w:vAlign w:val="bottom"/>
            <w:hideMark/>
          </w:tcPr>
          <w:p w14:paraId="1896D46A"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3.0</w:t>
            </w:r>
          </w:p>
        </w:tc>
      </w:tr>
      <w:tr w:rsidR="00BA620B" w:rsidRPr="008D0E93" w14:paraId="2430BB88" w14:textId="77777777" w:rsidTr="005D2F05">
        <w:trPr>
          <w:trHeight w:val="300"/>
        </w:trPr>
        <w:tc>
          <w:tcPr>
            <w:tcW w:w="1815" w:type="dxa"/>
            <w:gridSpan w:val="2"/>
            <w:tcBorders>
              <w:top w:val="nil"/>
              <w:left w:val="nil"/>
              <w:bottom w:val="nil"/>
              <w:right w:val="nil"/>
            </w:tcBorders>
            <w:shd w:val="clear" w:color="auto" w:fill="auto"/>
            <w:noWrap/>
            <w:vAlign w:val="bottom"/>
            <w:hideMark/>
          </w:tcPr>
          <w:p w14:paraId="0A7A6981" w14:textId="77777777" w:rsidR="00BA620B" w:rsidRPr="00BA620B" w:rsidRDefault="00BA620B" w:rsidP="005D2F05">
            <w:pPr>
              <w:spacing w:after="0" w:line="240" w:lineRule="auto"/>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 xml:space="preserve"> Std. Dev.</w:t>
            </w:r>
          </w:p>
        </w:tc>
        <w:tc>
          <w:tcPr>
            <w:tcW w:w="1100" w:type="dxa"/>
            <w:gridSpan w:val="2"/>
            <w:tcBorders>
              <w:top w:val="nil"/>
              <w:left w:val="nil"/>
              <w:bottom w:val="nil"/>
              <w:right w:val="nil"/>
            </w:tcBorders>
            <w:shd w:val="clear" w:color="auto" w:fill="auto"/>
            <w:noWrap/>
            <w:vAlign w:val="bottom"/>
            <w:hideMark/>
          </w:tcPr>
          <w:p w14:paraId="152E2626" w14:textId="77777777" w:rsidR="00BA620B" w:rsidRPr="00BA620B" w:rsidRDefault="00BA620B" w:rsidP="005D2F05">
            <w:pPr>
              <w:spacing w:after="0" w:line="240" w:lineRule="auto"/>
              <w:ind w:firstLine="40"/>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0.333879</w:t>
            </w:r>
          </w:p>
        </w:tc>
        <w:tc>
          <w:tcPr>
            <w:tcW w:w="1220" w:type="dxa"/>
            <w:gridSpan w:val="2"/>
            <w:tcBorders>
              <w:top w:val="nil"/>
              <w:left w:val="nil"/>
              <w:bottom w:val="nil"/>
              <w:right w:val="nil"/>
            </w:tcBorders>
            <w:shd w:val="clear" w:color="auto" w:fill="auto"/>
            <w:noWrap/>
            <w:vAlign w:val="bottom"/>
            <w:hideMark/>
          </w:tcPr>
          <w:p w14:paraId="267A40B2"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0.040025</w:t>
            </w:r>
          </w:p>
        </w:tc>
        <w:tc>
          <w:tcPr>
            <w:tcW w:w="1160" w:type="dxa"/>
            <w:gridSpan w:val="2"/>
            <w:tcBorders>
              <w:top w:val="nil"/>
              <w:left w:val="nil"/>
              <w:bottom w:val="nil"/>
              <w:right w:val="nil"/>
            </w:tcBorders>
            <w:shd w:val="clear" w:color="auto" w:fill="auto"/>
            <w:noWrap/>
            <w:vAlign w:val="bottom"/>
            <w:hideMark/>
          </w:tcPr>
          <w:p w14:paraId="3B10ABAE"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2.49652</w:t>
            </w:r>
          </w:p>
        </w:tc>
        <w:tc>
          <w:tcPr>
            <w:tcW w:w="1528" w:type="dxa"/>
            <w:gridSpan w:val="2"/>
            <w:tcBorders>
              <w:top w:val="nil"/>
              <w:left w:val="nil"/>
              <w:bottom w:val="nil"/>
              <w:right w:val="nil"/>
            </w:tcBorders>
            <w:shd w:val="clear" w:color="auto" w:fill="auto"/>
            <w:noWrap/>
            <w:vAlign w:val="bottom"/>
            <w:hideMark/>
          </w:tcPr>
          <w:p w14:paraId="099702D6"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11.18144</w:t>
            </w:r>
          </w:p>
        </w:tc>
        <w:tc>
          <w:tcPr>
            <w:tcW w:w="1440" w:type="dxa"/>
            <w:gridSpan w:val="2"/>
            <w:tcBorders>
              <w:top w:val="nil"/>
              <w:left w:val="nil"/>
              <w:bottom w:val="nil"/>
              <w:right w:val="nil"/>
            </w:tcBorders>
            <w:shd w:val="clear" w:color="auto" w:fill="auto"/>
            <w:noWrap/>
            <w:vAlign w:val="bottom"/>
            <w:hideMark/>
          </w:tcPr>
          <w:p w14:paraId="0154904E"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2.099784</w:t>
            </w:r>
          </w:p>
        </w:tc>
      </w:tr>
      <w:tr w:rsidR="00BA620B" w:rsidRPr="008D0E93" w14:paraId="315F1A3E" w14:textId="77777777" w:rsidTr="005D2F05">
        <w:trPr>
          <w:trHeight w:val="300"/>
        </w:trPr>
        <w:tc>
          <w:tcPr>
            <w:tcW w:w="1815" w:type="dxa"/>
            <w:gridSpan w:val="2"/>
            <w:tcBorders>
              <w:top w:val="nil"/>
              <w:left w:val="nil"/>
              <w:bottom w:val="nil"/>
              <w:right w:val="nil"/>
            </w:tcBorders>
            <w:shd w:val="clear" w:color="auto" w:fill="auto"/>
            <w:noWrap/>
            <w:vAlign w:val="bottom"/>
            <w:hideMark/>
          </w:tcPr>
          <w:p w14:paraId="7C9716E9" w14:textId="77777777" w:rsidR="00BA620B" w:rsidRPr="00BA620B" w:rsidRDefault="00BA620B" w:rsidP="005D2F05">
            <w:pPr>
              <w:spacing w:after="0" w:line="240" w:lineRule="auto"/>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Skewness</w:t>
            </w:r>
          </w:p>
        </w:tc>
        <w:tc>
          <w:tcPr>
            <w:tcW w:w="1100" w:type="dxa"/>
            <w:gridSpan w:val="2"/>
            <w:tcBorders>
              <w:top w:val="nil"/>
              <w:left w:val="nil"/>
              <w:bottom w:val="nil"/>
              <w:right w:val="nil"/>
            </w:tcBorders>
            <w:shd w:val="clear" w:color="auto" w:fill="auto"/>
            <w:noWrap/>
            <w:vAlign w:val="bottom"/>
            <w:hideMark/>
          </w:tcPr>
          <w:p w14:paraId="4B56F16D" w14:textId="77777777" w:rsidR="00BA620B" w:rsidRPr="00BA620B" w:rsidRDefault="00BA620B" w:rsidP="005D2F05">
            <w:pPr>
              <w:spacing w:after="0" w:line="240" w:lineRule="auto"/>
              <w:ind w:firstLine="40"/>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0.024252</w:t>
            </w:r>
          </w:p>
        </w:tc>
        <w:tc>
          <w:tcPr>
            <w:tcW w:w="1220" w:type="dxa"/>
            <w:gridSpan w:val="2"/>
            <w:tcBorders>
              <w:top w:val="nil"/>
              <w:left w:val="nil"/>
              <w:bottom w:val="nil"/>
              <w:right w:val="nil"/>
            </w:tcBorders>
            <w:shd w:val="clear" w:color="auto" w:fill="auto"/>
            <w:noWrap/>
            <w:vAlign w:val="bottom"/>
            <w:hideMark/>
          </w:tcPr>
          <w:p w14:paraId="6178BFBB"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0.004218</w:t>
            </w:r>
          </w:p>
        </w:tc>
        <w:tc>
          <w:tcPr>
            <w:tcW w:w="1160" w:type="dxa"/>
            <w:gridSpan w:val="2"/>
            <w:tcBorders>
              <w:top w:val="nil"/>
              <w:left w:val="nil"/>
              <w:bottom w:val="nil"/>
              <w:right w:val="nil"/>
            </w:tcBorders>
            <w:shd w:val="clear" w:color="auto" w:fill="auto"/>
            <w:noWrap/>
            <w:vAlign w:val="bottom"/>
            <w:hideMark/>
          </w:tcPr>
          <w:p w14:paraId="706060AB"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0.359133</w:t>
            </w:r>
          </w:p>
        </w:tc>
        <w:tc>
          <w:tcPr>
            <w:tcW w:w="1528" w:type="dxa"/>
            <w:gridSpan w:val="2"/>
            <w:tcBorders>
              <w:top w:val="nil"/>
              <w:left w:val="nil"/>
              <w:bottom w:val="nil"/>
              <w:right w:val="nil"/>
            </w:tcBorders>
            <w:shd w:val="clear" w:color="auto" w:fill="auto"/>
            <w:noWrap/>
            <w:vAlign w:val="bottom"/>
            <w:hideMark/>
          </w:tcPr>
          <w:p w14:paraId="3C696400"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0.945252</w:t>
            </w:r>
          </w:p>
        </w:tc>
        <w:tc>
          <w:tcPr>
            <w:tcW w:w="1440" w:type="dxa"/>
            <w:gridSpan w:val="2"/>
            <w:tcBorders>
              <w:top w:val="nil"/>
              <w:left w:val="nil"/>
              <w:bottom w:val="nil"/>
              <w:right w:val="nil"/>
            </w:tcBorders>
            <w:shd w:val="clear" w:color="auto" w:fill="auto"/>
            <w:noWrap/>
            <w:vAlign w:val="bottom"/>
            <w:hideMark/>
          </w:tcPr>
          <w:p w14:paraId="322E32C9"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0.197451</w:t>
            </w:r>
          </w:p>
        </w:tc>
      </w:tr>
      <w:tr w:rsidR="00BA620B" w:rsidRPr="008D0E93" w14:paraId="34753F72" w14:textId="77777777" w:rsidTr="005D2F05">
        <w:trPr>
          <w:trHeight w:val="300"/>
        </w:trPr>
        <w:tc>
          <w:tcPr>
            <w:tcW w:w="1815" w:type="dxa"/>
            <w:gridSpan w:val="2"/>
            <w:tcBorders>
              <w:top w:val="nil"/>
              <w:left w:val="nil"/>
              <w:bottom w:val="nil"/>
              <w:right w:val="nil"/>
            </w:tcBorders>
            <w:shd w:val="clear" w:color="auto" w:fill="auto"/>
            <w:noWrap/>
            <w:vAlign w:val="bottom"/>
            <w:hideMark/>
          </w:tcPr>
          <w:p w14:paraId="287E9278" w14:textId="77777777" w:rsidR="00BA620B" w:rsidRPr="00BA620B" w:rsidRDefault="00BA620B" w:rsidP="005D2F05">
            <w:pPr>
              <w:spacing w:after="0" w:line="240" w:lineRule="auto"/>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 xml:space="preserve"> Kurtosis</w:t>
            </w:r>
          </w:p>
        </w:tc>
        <w:tc>
          <w:tcPr>
            <w:tcW w:w="1100" w:type="dxa"/>
            <w:gridSpan w:val="2"/>
            <w:tcBorders>
              <w:top w:val="nil"/>
              <w:left w:val="nil"/>
              <w:bottom w:val="nil"/>
              <w:right w:val="nil"/>
            </w:tcBorders>
            <w:shd w:val="clear" w:color="auto" w:fill="auto"/>
            <w:noWrap/>
            <w:vAlign w:val="bottom"/>
            <w:hideMark/>
          </w:tcPr>
          <w:p w14:paraId="1AC5C62F" w14:textId="77777777" w:rsidR="00BA620B" w:rsidRPr="00BA620B" w:rsidRDefault="00BA620B" w:rsidP="005D2F05">
            <w:pPr>
              <w:spacing w:after="0" w:line="240" w:lineRule="auto"/>
              <w:ind w:firstLine="40"/>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2.722371</w:t>
            </w:r>
          </w:p>
        </w:tc>
        <w:tc>
          <w:tcPr>
            <w:tcW w:w="1220" w:type="dxa"/>
            <w:gridSpan w:val="2"/>
            <w:tcBorders>
              <w:top w:val="nil"/>
              <w:left w:val="nil"/>
              <w:bottom w:val="nil"/>
              <w:right w:val="nil"/>
            </w:tcBorders>
            <w:shd w:val="clear" w:color="auto" w:fill="auto"/>
            <w:noWrap/>
            <w:vAlign w:val="bottom"/>
            <w:hideMark/>
          </w:tcPr>
          <w:p w14:paraId="3050C295"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2.9852</w:t>
            </w:r>
          </w:p>
        </w:tc>
        <w:tc>
          <w:tcPr>
            <w:tcW w:w="1160" w:type="dxa"/>
            <w:gridSpan w:val="2"/>
            <w:tcBorders>
              <w:top w:val="nil"/>
              <w:left w:val="nil"/>
              <w:bottom w:val="nil"/>
              <w:right w:val="nil"/>
            </w:tcBorders>
            <w:shd w:val="clear" w:color="auto" w:fill="auto"/>
            <w:noWrap/>
            <w:vAlign w:val="bottom"/>
            <w:hideMark/>
          </w:tcPr>
          <w:p w14:paraId="254588E0"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2.4336</w:t>
            </w:r>
          </w:p>
        </w:tc>
        <w:tc>
          <w:tcPr>
            <w:tcW w:w="1528" w:type="dxa"/>
            <w:gridSpan w:val="2"/>
            <w:tcBorders>
              <w:top w:val="nil"/>
              <w:left w:val="nil"/>
              <w:bottom w:val="nil"/>
              <w:right w:val="nil"/>
            </w:tcBorders>
            <w:shd w:val="clear" w:color="auto" w:fill="auto"/>
            <w:noWrap/>
            <w:vAlign w:val="bottom"/>
            <w:hideMark/>
          </w:tcPr>
          <w:p w14:paraId="77A0BC6F"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4.800928</w:t>
            </w:r>
          </w:p>
        </w:tc>
        <w:tc>
          <w:tcPr>
            <w:tcW w:w="1440" w:type="dxa"/>
            <w:gridSpan w:val="2"/>
            <w:tcBorders>
              <w:top w:val="nil"/>
              <w:left w:val="nil"/>
              <w:bottom w:val="nil"/>
              <w:right w:val="nil"/>
            </w:tcBorders>
            <w:shd w:val="clear" w:color="auto" w:fill="auto"/>
            <w:noWrap/>
            <w:vAlign w:val="bottom"/>
            <w:hideMark/>
          </w:tcPr>
          <w:p w14:paraId="6C69DDF7"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2.646995</w:t>
            </w:r>
          </w:p>
        </w:tc>
      </w:tr>
      <w:tr w:rsidR="00BA620B" w:rsidRPr="008D0E93" w14:paraId="4CDF47E1" w14:textId="77777777" w:rsidTr="005D2F05">
        <w:trPr>
          <w:trHeight w:val="300"/>
        </w:trPr>
        <w:tc>
          <w:tcPr>
            <w:tcW w:w="1815" w:type="dxa"/>
            <w:gridSpan w:val="2"/>
            <w:tcBorders>
              <w:top w:val="nil"/>
              <w:left w:val="nil"/>
              <w:bottom w:val="nil"/>
              <w:right w:val="nil"/>
            </w:tcBorders>
            <w:shd w:val="clear" w:color="auto" w:fill="auto"/>
            <w:noWrap/>
            <w:vAlign w:val="bottom"/>
            <w:hideMark/>
          </w:tcPr>
          <w:p w14:paraId="110FD5DA" w14:textId="77777777" w:rsidR="00BA620B" w:rsidRPr="00BA620B" w:rsidRDefault="00BA620B" w:rsidP="005D2F05">
            <w:pPr>
              <w:spacing w:after="0" w:line="240" w:lineRule="auto"/>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Jarque-Bera</w:t>
            </w:r>
          </w:p>
        </w:tc>
        <w:tc>
          <w:tcPr>
            <w:tcW w:w="1100" w:type="dxa"/>
            <w:gridSpan w:val="2"/>
            <w:tcBorders>
              <w:top w:val="nil"/>
              <w:left w:val="nil"/>
              <w:bottom w:val="nil"/>
              <w:right w:val="nil"/>
            </w:tcBorders>
            <w:shd w:val="clear" w:color="auto" w:fill="auto"/>
            <w:noWrap/>
            <w:vAlign w:val="bottom"/>
            <w:hideMark/>
          </w:tcPr>
          <w:p w14:paraId="278BD314" w14:textId="77777777" w:rsidR="00BA620B" w:rsidRPr="00BA620B" w:rsidRDefault="00BA620B" w:rsidP="005D2F05">
            <w:pPr>
              <w:spacing w:after="0" w:line="240" w:lineRule="auto"/>
              <w:ind w:firstLine="40"/>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0.364057</w:t>
            </w:r>
          </w:p>
        </w:tc>
        <w:tc>
          <w:tcPr>
            <w:tcW w:w="1220" w:type="dxa"/>
            <w:gridSpan w:val="2"/>
            <w:tcBorders>
              <w:top w:val="nil"/>
              <w:left w:val="nil"/>
              <w:bottom w:val="nil"/>
              <w:right w:val="nil"/>
            </w:tcBorders>
            <w:shd w:val="clear" w:color="auto" w:fill="auto"/>
            <w:noWrap/>
            <w:vAlign w:val="bottom"/>
            <w:hideMark/>
          </w:tcPr>
          <w:p w14:paraId="3A2D79A9"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0.00133</w:t>
            </w:r>
          </w:p>
        </w:tc>
        <w:tc>
          <w:tcPr>
            <w:tcW w:w="1160" w:type="dxa"/>
            <w:gridSpan w:val="2"/>
            <w:tcBorders>
              <w:top w:val="nil"/>
              <w:left w:val="nil"/>
              <w:bottom w:val="nil"/>
              <w:right w:val="nil"/>
            </w:tcBorders>
            <w:shd w:val="clear" w:color="auto" w:fill="auto"/>
            <w:noWrap/>
            <w:vAlign w:val="bottom"/>
            <w:hideMark/>
          </w:tcPr>
          <w:p w14:paraId="7DA12899"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3.834952</w:t>
            </w:r>
          </w:p>
        </w:tc>
        <w:tc>
          <w:tcPr>
            <w:tcW w:w="1528" w:type="dxa"/>
            <w:gridSpan w:val="2"/>
            <w:tcBorders>
              <w:top w:val="nil"/>
              <w:left w:val="nil"/>
              <w:bottom w:val="nil"/>
              <w:right w:val="nil"/>
            </w:tcBorders>
            <w:shd w:val="clear" w:color="auto" w:fill="auto"/>
            <w:noWrap/>
            <w:vAlign w:val="bottom"/>
            <w:hideMark/>
          </w:tcPr>
          <w:p w14:paraId="2A9F7E7A"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31.24618</w:t>
            </w:r>
          </w:p>
        </w:tc>
        <w:tc>
          <w:tcPr>
            <w:tcW w:w="1440" w:type="dxa"/>
            <w:gridSpan w:val="2"/>
            <w:tcBorders>
              <w:top w:val="nil"/>
              <w:left w:val="nil"/>
              <w:bottom w:val="nil"/>
              <w:right w:val="nil"/>
            </w:tcBorders>
            <w:shd w:val="clear" w:color="auto" w:fill="auto"/>
            <w:noWrap/>
            <w:vAlign w:val="bottom"/>
            <w:hideMark/>
          </w:tcPr>
          <w:p w14:paraId="43C3E2C4"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1.285899</w:t>
            </w:r>
          </w:p>
        </w:tc>
      </w:tr>
      <w:tr w:rsidR="00BA620B" w:rsidRPr="008D0E93" w14:paraId="2B42BCC4" w14:textId="77777777" w:rsidTr="005D2F05">
        <w:trPr>
          <w:trHeight w:val="300"/>
        </w:trPr>
        <w:tc>
          <w:tcPr>
            <w:tcW w:w="1815" w:type="dxa"/>
            <w:gridSpan w:val="2"/>
            <w:tcBorders>
              <w:top w:val="nil"/>
              <w:left w:val="nil"/>
              <w:bottom w:val="nil"/>
              <w:right w:val="nil"/>
            </w:tcBorders>
            <w:shd w:val="clear" w:color="auto" w:fill="auto"/>
            <w:noWrap/>
            <w:vAlign w:val="bottom"/>
            <w:hideMark/>
          </w:tcPr>
          <w:p w14:paraId="2CD551F0" w14:textId="77777777" w:rsidR="00BA620B" w:rsidRPr="00BA620B" w:rsidRDefault="00BA620B" w:rsidP="005D2F05">
            <w:pPr>
              <w:spacing w:after="0" w:line="240" w:lineRule="auto"/>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 xml:space="preserve"> Probability</w:t>
            </w:r>
          </w:p>
        </w:tc>
        <w:tc>
          <w:tcPr>
            <w:tcW w:w="1100" w:type="dxa"/>
            <w:gridSpan w:val="2"/>
            <w:tcBorders>
              <w:top w:val="nil"/>
              <w:left w:val="nil"/>
              <w:bottom w:val="nil"/>
              <w:right w:val="nil"/>
            </w:tcBorders>
            <w:shd w:val="clear" w:color="auto" w:fill="auto"/>
            <w:noWrap/>
            <w:vAlign w:val="bottom"/>
            <w:hideMark/>
          </w:tcPr>
          <w:p w14:paraId="0EB53DCE" w14:textId="77777777" w:rsidR="00BA620B" w:rsidRPr="00BA620B" w:rsidRDefault="00BA620B" w:rsidP="005D2F05">
            <w:pPr>
              <w:spacing w:after="0" w:line="240" w:lineRule="auto"/>
              <w:ind w:firstLine="40"/>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0.833578</w:t>
            </w:r>
          </w:p>
        </w:tc>
        <w:tc>
          <w:tcPr>
            <w:tcW w:w="1220" w:type="dxa"/>
            <w:gridSpan w:val="2"/>
            <w:tcBorders>
              <w:top w:val="nil"/>
              <w:left w:val="nil"/>
              <w:bottom w:val="nil"/>
              <w:right w:val="nil"/>
            </w:tcBorders>
            <w:shd w:val="clear" w:color="auto" w:fill="auto"/>
            <w:noWrap/>
            <w:vAlign w:val="bottom"/>
            <w:hideMark/>
          </w:tcPr>
          <w:p w14:paraId="5A10C49A"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0.999335</w:t>
            </w:r>
          </w:p>
        </w:tc>
        <w:tc>
          <w:tcPr>
            <w:tcW w:w="1160" w:type="dxa"/>
            <w:gridSpan w:val="2"/>
            <w:tcBorders>
              <w:top w:val="nil"/>
              <w:left w:val="nil"/>
              <w:bottom w:val="nil"/>
              <w:right w:val="nil"/>
            </w:tcBorders>
            <w:shd w:val="clear" w:color="auto" w:fill="auto"/>
            <w:noWrap/>
            <w:vAlign w:val="bottom"/>
            <w:hideMark/>
          </w:tcPr>
          <w:p w14:paraId="50532DB2"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0.146977</w:t>
            </w:r>
          </w:p>
        </w:tc>
        <w:tc>
          <w:tcPr>
            <w:tcW w:w="1528" w:type="dxa"/>
            <w:gridSpan w:val="2"/>
            <w:tcBorders>
              <w:top w:val="nil"/>
              <w:left w:val="nil"/>
              <w:bottom w:val="nil"/>
              <w:right w:val="nil"/>
            </w:tcBorders>
            <w:shd w:val="clear" w:color="auto" w:fill="auto"/>
            <w:noWrap/>
            <w:vAlign w:val="bottom"/>
            <w:hideMark/>
          </w:tcPr>
          <w:p w14:paraId="220CF921"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0.000</w:t>
            </w:r>
          </w:p>
        </w:tc>
        <w:tc>
          <w:tcPr>
            <w:tcW w:w="1440" w:type="dxa"/>
            <w:gridSpan w:val="2"/>
            <w:tcBorders>
              <w:top w:val="nil"/>
              <w:left w:val="nil"/>
              <w:bottom w:val="nil"/>
              <w:right w:val="nil"/>
            </w:tcBorders>
            <w:shd w:val="clear" w:color="auto" w:fill="auto"/>
            <w:noWrap/>
            <w:vAlign w:val="bottom"/>
            <w:hideMark/>
          </w:tcPr>
          <w:p w14:paraId="66BE3D4E"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0.525739</w:t>
            </w:r>
          </w:p>
        </w:tc>
      </w:tr>
      <w:tr w:rsidR="00BA620B" w:rsidRPr="008D0E93" w14:paraId="51C4972D" w14:textId="77777777" w:rsidTr="005D2F05">
        <w:trPr>
          <w:trHeight w:val="315"/>
        </w:trPr>
        <w:tc>
          <w:tcPr>
            <w:tcW w:w="1815" w:type="dxa"/>
            <w:gridSpan w:val="2"/>
            <w:tcBorders>
              <w:top w:val="nil"/>
              <w:left w:val="nil"/>
              <w:bottom w:val="single" w:sz="8" w:space="0" w:color="auto"/>
              <w:right w:val="nil"/>
            </w:tcBorders>
            <w:shd w:val="clear" w:color="auto" w:fill="auto"/>
            <w:noWrap/>
            <w:vAlign w:val="bottom"/>
            <w:hideMark/>
          </w:tcPr>
          <w:p w14:paraId="2316B8C2" w14:textId="45CDB3A8" w:rsidR="00BA620B" w:rsidRPr="00BA620B" w:rsidRDefault="00BA620B" w:rsidP="005D2F05">
            <w:pPr>
              <w:spacing w:after="0" w:line="240" w:lineRule="auto"/>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Observations</w:t>
            </w:r>
          </w:p>
        </w:tc>
        <w:tc>
          <w:tcPr>
            <w:tcW w:w="1100" w:type="dxa"/>
            <w:gridSpan w:val="2"/>
            <w:tcBorders>
              <w:top w:val="nil"/>
              <w:left w:val="nil"/>
              <w:bottom w:val="single" w:sz="8" w:space="0" w:color="auto"/>
              <w:right w:val="nil"/>
            </w:tcBorders>
            <w:shd w:val="clear" w:color="auto" w:fill="auto"/>
            <w:noWrap/>
            <w:vAlign w:val="bottom"/>
            <w:hideMark/>
          </w:tcPr>
          <w:p w14:paraId="39BA9DBA" w14:textId="77777777" w:rsidR="00BA620B" w:rsidRPr="00BA620B" w:rsidRDefault="00BA620B" w:rsidP="005D2F05">
            <w:pPr>
              <w:spacing w:after="0" w:line="240" w:lineRule="auto"/>
              <w:ind w:firstLine="40"/>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110</w:t>
            </w:r>
          </w:p>
        </w:tc>
        <w:tc>
          <w:tcPr>
            <w:tcW w:w="1220" w:type="dxa"/>
            <w:gridSpan w:val="2"/>
            <w:tcBorders>
              <w:top w:val="nil"/>
              <w:left w:val="nil"/>
              <w:bottom w:val="single" w:sz="8" w:space="0" w:color="auto"/>
              <w:right w:val="nil"/>
            </w:tcBorders>
            <w:shd w:val="clear" w:color="auto" w:fill="auto"/>
            <w:noWrap/>
            <w:vAlign w:val="bottom"/>
            <w:hideMark/>
          </w:tcPr>
          <w:p w14:paraId="4741CBB3"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110</w:t>
            </w:r>
          </w:p>
        </w:tc>
        <w:tc>
          <w:tcPr>
            <w:tcW w:w="1160" w:type="dxa"/>
            <w:gridSpan w:val="2"/>
            <w:tcBorders>
              <w:top w:val="nil"/>
              <w:left w:val="nil"/>
              <w:bottom w:val="single" w:sz="8" w:space="0" w:color="auto"/>
              <w:right w:val="nil"/>
            </w:tcBorders>
            <w:shd w:val="clear" w:color="auto" w:fill="auto"/>
            <w:noWrap/>
            <w:vAlign w:val="bottom"/>
            <w:hideMark/>
          </w:tcPr>
          <w:p w14:paraId="423077C8"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110</w:t>
            </w:r>
          </w:p>
        </w:tc>
        <w:tc>
          <w:tcPr>
            <w:tcW w:w="1528" w:type="dxa"/>
            <w:gridSpan w:val="2"/>
            <w:tcBorders>
              <w:top w:val="nil"/>
              <w:left w:val="nil"/>
              <w:bottom w:val="single" w:sz="8" w:space="0" w:color="auto"/>
              <w:right w:val="nil"/>
            </w:tcBorders>
            <w:shd w:val="clear" w:color="auto" w:fill="auto"/>
            <w:noWrap/>
            <w:vAlign w:val="bottom"/>
            <w:hideMark/>
          </w:tcPr>
          <w:p w14:paraId="587000C2"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110</w:t>
            </w:r>
          </w:p>
        </w:tc>
        <w:tc>
          <w:tcPr>
            <w:tcW w:w="1440" w:type="dxa"/>
            <w:gridSpan w:val="2"/>
            <w:tcBorders>
              <w:top w:val="nil"/>
              <w:left w:val="nil"/>
              <w:bottom w:val="single" w:sz="8" w:space="0" w:color="auto"/>
              <w:right w:val="nil"/>
            </w:tcBorders>
            <w:shd w:val="clear" w:color="auto" w:fill="auto"/>
            <w:noWrap/>
            <w:vAlign w:val="bottom"/>
            <w:hideMark/>
          </w:tcPr>
          <w:p w14:paraId="5BD9E8CB" w14:textId="77777777" w:rsidR="00BA620B" w:rsidRPr="00BA620B" w:rsidRDefault="00BA620B" w:rsidP="005D2F05">
            <w:pPr>
              <w:spacing w:after="0" w:line="240" w:lineRule="auto"/>
              <w:jc w:val="both"/>
              <w:rPr>
                <w:rFonts w:ascii="Times New Roman" w:eastAsia="Times New Roman" w:hAnsi="Times New Roman" w:cs="Times New Roman"/>
                <w:color w:val="000000"/>
                <w:kern w:val="0"/>
                <w:sz w:val="22"/>
                <w:szCs w:val="22"/>
              </w:rPr>
            </w:pPr>
            <w:r w:rsidRPr="00BA620B">
              <w:rPr>
                <w:rFonts w:ascii="Times New Roman" w:eastAsia="Times New Roman" w:hAnsi="Times New Roman" w:cs="Times New Roman"/>
                <w:color w:val="000000"/>
                <w:kern w:val="0"/>
                <w:sz w:val="22"/>
                <w:szCs w:val="22"/>
              </w:rPr>
              <w:t>110</w:t>
            </w:r>
          </w:p>
        </w:tc>
      </w:tr>
    </w:tbl>
    <w:p w14:paraId="4D7ABA6D" w14:textId="77777777" w:rsidR="00D756F0" w:rsidRDefault="00BA620B" w:rsidP="00D756F0">
      <w:pPr>
        <w:spacing w:after="0" w:line="480" w:lineRule="auto"/>
        <w:jc w:val="both"/>
        <w:rPr>
          <w:rFonts w:ascii="Times New Roman" w:hAnsi="Times New Roman" w:cs="Times New Roman"/>
        </w:rPr>
      </w:pPr>
      <w:r w:rsidRPr="008D0E93">
        <w:rPr>
          <w:rFonts w:ascii="Times New Roman" w:hAnsi="Times New Roman" w:cs="Times New Roman"/>
          <w:b/>
        </w:rPr>
        <w:t>Source: Researcher computation from E-View 12.</w:t>
      </w:r>
    </w:p>
    <w:p w14:paraId="3F2D78A3" w14:textId="607D8323" w:rsidR="0063596E" w:rsidRPr="00D756F0" w:rsidRDefault="0063596E" w:rsidP="00D756F0">
      <w:pPr>
        <w:spacing w:after="0" w:line="240" w:lineRule="auto"/>
        <w:jc w:val="both"/>
        <w:rPr>
          <w:rFonts w:ascii="Times New Roman" w:hAnsi="Times New Roman" w:cs="Times New Roman"/>
        </w:rPr>
      </w:pPr>
      <w:r w:rsidRPr="00D756F0">
        <w:rPr>
          <w:rFonts w:ascii="Times New Roman" w:hAnsi="Times New Roman" w:cs="Times New Roman"/>
        </w:rPr>
        <w:lastRenderedPageBreak/>
        <w:t>From th</w:t>
      </w:r>
      <w:r w:rsidR="00D756F0">
        <w:rPr>
          <w:rFonts w:ascii="Times New Roman" w:hAnsi="Times New Roman" w:cs="Times New Roman"/>
        </w:rPr>
        <w:t>e descriptive analysis in table 1</w:t>
      </w:r>
      <w:r w:rsidRPr="00D756F0">
        <w:rPr>
          <w:rFonts w:ascii="Times New Roman" w:hAnsi="Times New Roman" w:cs="Times New Roman"/>
        </w:rPr>
        <w:t xml:space="preserve">, the mean value of </w:t>
      </w:r>
      <w:r w:rsidRPr="00D756F0">
        <w:rPr>
          <w:rFonts w:ascii="Times New Roman" w:eastAsia="Times New Roman" w:hAnsi="Times New Roman" w:cs="Times New Roman"/>
          <w:bCs/>
          <w:color w:val="000000"/>
        </w:rPr>
        <w:t>T</w:t>
      </w:r>
      <w:r w:rsidR="004D7FED" w:rsidRPr="00D756F0">
        <w:rPr>
          <w:rFonts w:ascii="Times New Roman" w:eastAsia="Times New Roman" w:hAnsi="Times New Roman" w:cs="Times New Roman"/>
          <w:bCs/>
          <w:color w:val="000000"/>
        </w:rPr>
        <w:t>Q</w:t>
      </w:r>
      <w:r w:rsidR="00D756F0">
        <w:rPr>
          <w:rFonts w:ascii="Times New Roman" w:eastAsia="Times New Roman" w:hAnsi="Times New Roman" w:cs="Times New Roman"/>
          <w:bCs/>
          <w:color w:val="000000"/>
        </w:rPr>
        <w:t xml:space="preserve"> and </w:t>
      </w:r>
      <w:r w:rsidR="00B404A1">
        <w:rPr>
          <w:rFonts w:ascii="Times New Roman" w:eastAsia="Times New Roman" w:hAnsi="Times New Roman" w:cs="Times New Roman"/>
          <w:bCs/>
          <w:color w:val="000000"/>
        </w:rPr>
        <w:t>PER</w:t>
      </w:r>
      <w:r w:rsidRPr="00D756F0">
        <w:rPr>
          <w:rFonts w:ascii="Times New Roman" w:hAnsi="Times New Roman" w:cs="Times New Roman"/>
        </w:rPr>
        <w:t xml:space="preserve"> for the period is </w:t>
      </w:r>
      <w:r w:rsidR="00B404A1">
        <w:rPr>
          <w:rFonts w:ascii="Times New Roman" w:eastAsia="Times New Roman" w:hAnsi="Times New Roman" w:cs="Times New Roman"/>
          <w:color w:val="000000"/>
          <w:kern w:val="0"/>
        </w:rPr>
        <w:t>0.9796 and 0.0979</w:t>
      </w:r>
      <w:r w:rsidRPr="00D756F0">
        <w:rPr>
          <w:rFonts w:ascii="Times New Roman" w:hAnsi="Times New Roman" w:cs="Times New Roman"/>
        </w:rPr>
        <w:t xml:space="preserve"> indicating that on average the listed companies in the sample have a market value that is </w:t>
      </w:r>
      <w:r w:rsidRPr="00D756F0">
        <w:rPr>
          <w:rStyle w:val="Strong"/>
          <w:rFonts w:ascii="Times New Roman" w:hAnsi="Times New Roman" w:cs="Times New Roman"/>
          <w:b w:val="0"/>
        </w:rPr>
        <w:t>approximately equal to their replacement cost of assets</w:t>
      </w:r>
      <w:r w:rsidRPr="00D756F0">
        <w:rPr>
          <w:rFonts w:ascii="Times New Roman" w:hAnsi="Times New Roman" w:cs="Times New Roman"/>
        </w:rPr>
        <w:t xml:space="preserve">. A mean value close to </w:t>
      </w:r>
      <w:r w:rsidRPr="00D756F0">
        <w:rPr>
          <w:rStyle w:val="Strong"/>
          <w:rFonts w:ascii="Times New Roman" w:hAnsi="Times New Roman" w:cs="Times New Roman"/>
          <w:b w:val="0"/>
        </w:rPr>
        <w:t>1</w:t>
      </w:r>
      <w:r w:rsidRPr="00D756F0">
        <w:rPr>
          <w:rFonts w:ascii="Times New Roman" w:hAnsi="Times New Roman" w:cs="Times New Roman"/>
        </w:rPr>
        <w:t xml:space="preserve"> suggests that the market valuation of the listed companies is nearly the same as the value of their assets, implying </w:t>
      </w:r>
      <w:r w:rsidRPr="00D756F0">
        <w:rPr>
          <w:rStyle w:val="Strong"/>
          <w:rFonts w:ascii="Times New Roman" w:hAnsi="Times New Roman" w:cs="Times New Roman"/>
          <w:b w:val="0"/>
        </w:rPr>
        <w:t>moderate firm performance and investment efficiency</w:t>
      </w:r>
      <w:r w:rsidRPr="00D756F0">
        <w:rPr>
          <w:rFonts w:ascii="Times New Roman" w:hAnsi="Times New Roman" w:cs="Times New Roman"/>
        </w:rPr>
        <w:t>.</w:t>
      </w:r>
      <w:r w:rsidR="00D756F0">
        <w:rPr>
          <w:rFonts w:ascii="Times New Roman" w:hAnsi="Times New Roman" w:cs="Times New Roman"/>
        </w:rPr>
        <w:t xml:space="preserve"> </w:t>
      </w:r>
      <w:r w:rsidRPr="00D756F0">
        <w:rPr>
          <w:rFonts w:ascii="Times New Roman" w:hAnsi="Times New Roman" w:cs="Times New Roman"/>
        </w:rPr>
        <w:t>The maximum value</w:t>
      </w:r>
      <w:r w:rsidR="00B404A1">
        <w:rPr>
          <w:rFonts w:ascii="Times New Roman" w:hAnsi="Times New Roman" w:cs="Times New Roman"/>
        </w:rPr>
        <w:t>s</w:t>
      </w:r>
      <w:r w:rsidRPr="00D756F0">
        <w:rPr>
          <w:rFonts w:ascii="Times New Roman" w:hAnsi="Times New Roman" w:cs="Times New Roman"/>
        </w:rPr>
        <w:t xml:space="preserve"> of </w:t>
      </w:r>
      <w:r w:rsidRPr="00D756F0">
        <w:rPr>
          <w:rFonts w:ascii="Times New Roman" w:eastAsia="Times New Roman" w:hAnsi="Times New Roman" w:cs="Times New Roman"/>
          <w:bCs/>
          <w:color w:val="000000"/>
        </w:rPr>
        <w:t>T</w:t>
      </w:r>
      <w:r w:rsidR="004D7FED" w:rsidRPr="00D756F0">
        <w:rPr>
          <w:rFonts w:ascii="Times New Roman" w:eastAsia="Times New Roman" w:hAnsi="Times New Roman" w:cs="Times New Roman"/>
          <w:bCs/>
          <w:color w:val="000000"/>
        </w:rPr>
        <w:t>Q</w:t>
      </w:r>
      <w:r w:rsidR="00B404A1">
        <w:rPr>
          <w:rFonts w:ascii="Times New Roman" w:eastAsia="Times New Roman" w:hAnsi="Times New Roman" w:cs="Times New Roman"/>
          <w:bCs/>
          <w:color w:val="000000"/>
        </w:rPr>
        <w:t xml:space="preserve"> and PER as shown is</w:t>
      </w:r>
      <w:r w:rsidRPr="00D756F0">
        <w:rPr>
          <w:rFonts w:ascii="Times New Roman" w:hAnsi="Times New Roman" w:cs="Times New Roman"/>
        </w:rPr>
        <w:t xml:space="preserve"> </w:t>
      </w:r>
      <w:r w:rsidRPr="00D756F0">
        <w:rPr>
          <w:rFonts w:ascii="Times New Roman" w:eastAsia="Times New Roman" w:hAnsi="Times New Roman" w:cs="Times New Roman"/>
          <w:color w:val="000000"/>
          <w:kern w:val="0"/>
        </w:rPr>
        <w:t>1.82</w:t>
      </w:r>
      <w:r w:rsidR="00B404A1">
        <w:rPr>
          <w:rFonts w:ascii="Times New Roman" w:eastAsia="Times New Roman" w:hAnsi="Times New Roman" w:cs="Times New Roman"/>
          <w:color w:val="000000"/>
          <w:kern w:val="0"/>
        </w:rPr>
        <w:t xml:space="preserve"> and 0.21 respectively</w:t>
      </w:r>
      <w:r w:rsidRPr="00D756F0">
        <w:rPr>
          <w:rFonts w:ascii="Times New Roman" w:eastAsia="Times New Roman" w:hAnsi="Times New Roman" w:cs="Times New Roman"/>
          <w:color w:val="000000"/>
          <w:kern w:val="0"/>
        </w:rPr>
        <w:t xml:space="preserve">. This </w:t>
      </w:r>
      <w:r w:rsidRPr="00D756F0">
        <w:rPr>
          <w:rFonts w:ascii="Times New Roman" w:hAnsi="Times New Roman" w:cs="Times New Roman"/>
        </w:rPr>
        <w:t xml:space="preserve">indicated that at some point during the study period, certain listed companies had a market value </w:t>
      </w:r>
      <w:r w:rsidRPr="00D756F0">
        <w:rPr>
          <w:rStyle w:val="Strong"/>
          <w:rFonts w:ascii="Times New Roman" w:hAnsi="Times New Roman" w:cs="Times New Roman"/>
          <w:b w:val="0"/>
        </w:rPr>
        <w:t>significantly higher than the replacement cost of their assets</w:t>
      </w:r>
      <w:r w:rsidRPr="00D756F0">
        <w:rPr>
          <w:rFonts w:ascii="Times New Roman" w:hAnsi="Times New Roman" w:cs="Times New Roman"/>
          <w:b/>
        </w:rPr>
        <w:t>.</w:t>
      </w:r>
      <w:r w:rsidRPr="00D756F0">
        <w:rPr>
          <w:rFonts w:ascii="Times New Roman" w:hAnsi="Times New Roman" w:cs="Times New Roman"/>
        </w:rPr>
        <w:t xml:space="preserve"> This suggests that investors placed a </w:t>
      </w:r>
      <w:r w:rsidRPr="00D756F0">
        <w:rPr>
          <w:rStyle w:val="Strong"/>
          <w:rFonts w:ascii="Times New Roman" w:hAnsi="Times New Roman" w:cs="Times New Roman"/>
          <w:b w:val="0"/>
        </w:rPr>
        <w:t xml:space="preserve">high valuation on those </w:t>
      </w:r>
      <w:r w:rsidRPr="00D756F0">
        <w:rPr>
          <w:rFonts w:ascii="Times New Roman" w:hAnsi="Times New Roman" w:cs="Times New Roman"/>
        </w:rPr>
        <w:t>listed companies</w:t>
      </w:r>
      <w:r w:rsidRPr="00D756F0">
        <w:rPr>
          <w:rFonts w:ascii="Times New Roman" w:hAnsi="Times New Roman" w:cs="Times New Roman"/>
          <w:b/>
        </w:rPr>
        <w:t>,</w:t>
      </w:r>
      <w:r w:rsidRPr="00D756F0">
        <w:rPr>
          <w:rFonts w:ascii="Times New Roman" w:hAnsi="Times New Roman" w:cs="Times New Roman"/>
        </w:rPr>
        <w:t xml:space="preserve"> which may reflect strong growth prospects, high profitability, or positive market expectations. The minimum value of </w:t>
      </w:r>
      <w:r w:rsidRPr="00D756F0">
        <w:rPr>
          <w:rFonts w:ascii="Times New Roman" w:eastAsia="Times New Roman" w:hAnsi="Times New Roman" w:cs="Times New Roman"/>
          <w:bCs/>
          <w:color w:val="000000"/>
        </w:rPr>
        <w:t>T</w:t>
      </w:r>
      <w:r w:rsidR="004D7FED" w:rsidRPr="00D756F0">
        <w:rPr>
          <w:rFonts w:ascii="Times New Roman" w:eastAsia="Times New Roman" w:hAnsi="Times New Roman" w:cs="Times New Roman"/>
          <w:bCs/>
          <w:color w:val="000000"/>
        </w:rPr>
        <w:t>Q</w:t>
      </w:r>
      <w:r w:rsidRPr="00D756F0">
        <w:rPr>
          <w:rFonts w:ascii="Times New Roman" w:hAnsi="Times New Roman" w:cs="Times New Roman"/>
        </w:rPr>
        <w:t xml:space="preserve"> was </w:t>
      </w:r>
      <w:r w:rsidRPr="00D756F0">
        <w:rPr>
          <w:rFonts w:ascii="Times New Roman" w:eastAsia="Times New Roman" w:hAnsi="Times New Roman" w:cs="Times New Roman"/>
          <w:color w:val="000000"/>
          <w:kern w:val="0"/>
        </w:rPr>
        <w:t>0.17</w:t>
      </w:r>
      <w:r w:rsidRPr="00D756F0">
        <w:rPr>
          <w:rFonts w:ascii="Times New Roman" w:hAnsi="Times New Roman" w:cs="Times New Roman"/>
        </w:rPr>
        <w:t xml:space="preserve"> shows that some listed companies recorded a market value </w:t>
      </w:r>
      <w:r w:rsidRPr="00D756F0">
        <w:rPr>
          <w:rStyle w:val="Strong"/>
          <w:rFonts w:ascii="Times New Roman" w:hAnsi="Times New Roman" w:cs="Times New Roman"/>
          <w:b w:val="0"/>
        </w:rPr>
        <w:t>far below the value of their assets</w:t>
      </w:r>
      <w:r w:rsidRPr="00D756F0">
        <w:rPr>
          <w:rFonts w:ascii="Times New Roman" w:hAnsi="Times New Roman" w:cs="Times New Roman"/>
          <w:b/>
        </w:rPr>
        <w:t xml:space="preserve">. </w:t>
      </w:r>
      <w:r w:rsidRPr="00D756F0">
        <w:rPr>
          <w:rFonts w:ascii="Times New Roman" w:hAnsi="Times New Roman" w:cs="Times New Roman"/>
        </w:rPr>
        <w:t>This implies that the market may have</w:t>
      </w:r>
      <w:r w:rsidRPr="00D756F0">
        <w:rPr>
          <w:rFonts w:ascii="Times New Roman" w:hAnsi="Times New Roman" w:cs="Times New Roman"/>
          <w:b/>
        </w:rPr>
        <w:t xml:space="preserve"> </w:t>
      </w:r>
      <w:r w:rsidRPr="00D756F0">
        <w:rPr>
          <w:rStyle w:val="Strong"/>
          <w:rFonts w:ascii="Times New Roman" w:hAnsi="Times New Roman" w:cs="Times New Roman"/>
          <w:b w:val="0"/>
        </w:rPr>
        <w:t xml:space="preserve">undervalued these </w:t>
      </w:r>
      <w:r w:rsidRPr="00D756F0">
        <w:rPr>
          <w:rFonts w:ascii="Times New Roman" w:hAnsi="Times New Roman" w:cs="Times New Roman"/>
        </w:rPr>
        <w:t>listed companies</w:t>
      </w:r>
      <w:r w:rsidRPr="00D756F0">
        <w:rPr>
          <w:rStyle w:val="Strong"/>
          <w:rFonts w:ascii="Times New Roman" w:hAnsi="Times New Roman" w:cs="Times New Roman"/>
          <w:b w:val="0"/>
        </w:rPr>
        <w:t xml:space="preserve"> or perceived them as having weak performance or poor future prospects</w:t>
      </w:r>
      <w:r w:rsidRPr="00D756F0">
        <w:rPr>
          <w:rFonts w:ascii="Times New Roman" w:hAnsi="Times New Roman" w:cs="Times New Roman"/>
        </w:rPr>
        <w:t>. He</w:t>
      </w:r>
      <w:r w:rsidR="004D7FED" w:rsidRPr="00D756F0">
        <w:rPr>
          <w:rFonts w:ascii="Times New Roman" w:hAnsi="Times New Roman" w:cs="Times New Roman"/>
        </w:rPr>
        <w:t xml:space="preserve">nce, the standard deviation of </w:t>
      </w:r>
      <w:r w:rsidRPr="00D756F0">
        <w:rPr>
          <w:rFonts w:ascii="Times New Roman" w:eastAsia="Times New Roman" w:hAnsi="Times New Roman" w:cs="Times New Roman"/>
          <w:bCs/>
          <w:color w:val="000000"/>
        </w:rPr>
        <w:t>T</w:t>
      </w:r>
      <w:r w:rsidR="004D7FED" w:rsidRPr="00D756F0">
        <w:rPr>
          <w:rFonts w:ascii="Times New Roman" w:eastAsia="Times New Roman" w:hAnsi="Times New Roman" w:cs="Times New Roman"/>
          <w:bCs/>
          <w:color w:val="000000"/>
        </w:rPr>
        <w:t>Q</w:t>
      </w:r>
      <w:r w:rsidRPr="00D756F0">
        <w:rPr>
          <w:rFonts w:ascii="Times New Roman" w:eastAsia="Times New Roman" w:hAnsi="Times New Roman" w:cs="Times New Roman"/>
          <w:bCs/>
          <w:color w:val="000000"/>
        </w:rPr>
        <w:t xml:space="preserve"> </w:t>
      </w:r>
      <w:r w:rsidRPr="00D756F0">
        <w:rPr>
          <w:rFonts w:ascii="Times New Roman" w:hAnsi="Times New Roman" w:cs="Times New Roman"/>
        </w:rPr>
        <w:t xml:space="preserve">for the period of this study was </w:t>
      </w:r>
      <w:r w:rsidRPr="00D756F0">
        <w:rPr>
          <w:rFonts w:ascii="Times New Roman" w:eastAsia="Times New Roman" w:hAnsi="Times New Roman" w:cs="Times New Roman"/>
          <w:color w:val="000000"/>
          <w:kern w:val="0"/>
        </w:rPr>
        <w:t xml:space="preserve">0.33 </w:t>
      </w:r>
      <w:r w:rsidRPr="00D756F0">
        <w:rPr>
          <w:rFonts w:ascii="Times New Roman" w:hAnsi="Times New Roman" w:cs="Times New Roman"/>
        </w:rPr>
        <w:t xml:space="preserve">which show that the standard deviation was low, and that the data are clustered around the mean over the period.  This means that the data set has outliers or extreme values in its distribution. Also, the skewness of the data set shows a negative value of </w:t>
      </w:r>
      <w:r w:rsidRPr="00D756F0">
        <w:rPr>
          <w:rFonts w:ascii="Times New Roman" w:eastAsia="Times New Roman" w:hAnsi="Times New Roman" w:cs="Times New Roman"/>
          <w:color w:val="000000"/>
          <w:kern w:val="0"/>
        </w:rPr>
        <w:t>0.024252</w:t>
      </w:r>
      <w:r w:rsidRPr="00D756F0">
        <w:rPr>
          <w:rFonts w:ascii="Times New Roman" w:eastAsia="Times New Roman" w:hAnsi="Times New Roman" w:cs="Times New Roman"/>
          <w:color w:val="000000"/>
        </w:rPr>
        <w:t xml:space="preserve">, </w:t>
      </w:r>
      <w:r w:rsidRPr="00D756F0">
        <w:rPr>
          <w:rFonts w:ascii="Times New Roman" w:hAnsi="Times New Roman" w:cs="Times New Roman"/>
        </w:rPr>
        <w:t xml:space="preserve">meaning the data is skewed to the right. Based on the data set above the Kurtosis was </w:t>
      </w:r>
      <w:r w:rsidRPr="00D756F0">
        <w:rPr>
          <w:rFonts w:ascii="Times New Roman" w:eastAsia="Times New Roman" w:hAnsi="Times New Roman" w:cs="Times New Roman"/>
          <w:color w:val="000000"/>
          <w:kern w:val="0"/>
        </w:rPr>
        <w:t>2.722371</w:t>
      </w:r>
      <w:r w:rsidRPr="00D756F0">
        <w:rPr>
          <w:rFonts w:ascii="Times New Roman" w:hAnsi="Times New Roman" w:cs="Times New Roman"/>
        </w:rPr>
        <w:t xml:space="preserve">&lt;3, being less than the benchmark value of </w:t>
      </w:r>
      <w:r w:rsidRPr="00D756F0">
        <w:rPr>
          <w:rStyle w:val="Strong"/>
          <w:rFonts w:ascii="Times New Roman" w:hAnsi="Times New Roman" w:cs="Times New Roman"/>
          <w:b w:val="0"/>
        </w:rPr>
        <w:t>3</w:t>
      </w:r>
      <w:r w:rsidRPr="00D756F0">
        <w:rPr>
          <w:rFonts w:ascii="Times New Roman" w:hAnsi="Times New Roman" w:cs="Times New Roman"/>
        </w:rPr>
        <w:t xml:space="preserve">, indicates a </w:t>
      </w:r>
      <w:r w:rsidRPr="00D756F0">
        <w:rPr>
          <w:rStyle w:val="Strong"/>
          <w:rFonts w:ascii="Times New Roman" w:hAnsi="Times New Roman" w:cs="Times New Roman"/>
          <w:b w:val="0"/>
        </w:rPr>
        <w:t>platykurtic distribution</w:t>
      </w:r>
      <w:r w:rsidRPr="00D756F0">
        <w:rPr>
          <w:rFonts w:ascii="Times New Roman" w:hAnsi="Times New Roman" w:cs="Times New Roman"/>
          <w:b/>
        </w:rPr>
        <w:t xml:space="preserve">, </w:t>
      </w:r>
      <w:r w:rsidRPr="00D756F0">
        <w:rPr>
          <w:rFonts w:ascii="Times New Roman" w:hAnsi="Times New Roman" w:cs="Times New Roman"/>
        </w:rPr>
        <w:t>implying that the data</w:t>
      </w:r>
      <w:r w:rsidRPr="00D756F0">
        <w:rPr>
          <w:rFonts w:ascii="Times New Roman" w:hAnsi="Times New Roman" w:cs="Times New Roman"/>
          <w:b/>
        </w:rPr>
        <w:t xml:space="preserve"> </w:t>
      </w:r>
      <w:r w:rsidRPr="00D756F0">
        <w:rPr>
          <w:rFonts w:ascii="Times New Roman" w:hAnsi="Times New Roman" w:cs="Times New Roman"/>
        </w:rPr>
        <w:t>are</w:t>
      </w:r>
      <w:r w:rsidRPr="00D756F0">
        <w:rPr>
          <w:rFonts w:ascii="Times New Roman" w:hAnsi="Times New Roman" w:cs="Times New Roman"/>
          <w:b/>
        </w:rPr>
        <w:t xml:space="preserve"> </w:t>
      </w:r>
      <w:r w:rsidRPr="00D756F0">
        <w:rPr>
          <w:rStyle w:val="Strong"/>
          <w:rFonts w:ascii="Times New Roman" w:hAnsi="Times New Roman" w:cs="Times New Roman"/>
          <w:b w:val="0"/>
        </w:rPr>
        <w:t>relatively flatter and exhibit fewer extreme observations compared to a normal distribution</w:t>
      </w:r>
      <w:r w:rsidRPr="00D756F0">
        <w:rPr>
          <w:rFonts w:ascii="Times New Roman" w:hAnsi="Times New Roman" w:cs="Times New Roman"/>
          <w:b/>
        </w:rPr>
        <w:t>.</w:t>
      </w:r>
    </w:p>
    <w:p w14:paraId="4E79D95C" w14:textId="77777777" w:rsidR="0063596E" w:rsidRDefault="0063596E" w:rsidP="00A77FE8">
      <w:pPr>
        <w:spacing w:after="0" w:line="240" w:lineRule="auto"/>
        <w:jc w:val="both"/>
        <w:rPr>
          <w:rFonts w:ascii="Times New Roman" w:hAnsi="Times New Roman" w:cs="Times New Roman"/>
        </w:rPr>
      </w:pPr>
      <w:r>
        <w:rPr>
          <w:rFonts w:ascii="Times New Roman" w:hAnsi="Times New Roman" w:cs="Times New Roman"/>
        </w:rPr>
        <w:t xml:space="preserve">The mean value of </w:t>
      </w:r>
      <w:r>
        <w:rPr>
          <w:rFonts w:ascii="Times New Roman" w:eastAsia="Times New Roman" w:hAnsi="Times New Roman" w:cs="Times New Roman"/>
          <w:bCs/>
          <w:color w:val="000000"/>
          <w:kern w:val="0"/>
        </w:rPr>
        <w:t>BI</w:t>
      </w:r>
      <w:r>
        <w:rPr>
          <w:rFonts w:ascii="Times New Roman" w:hAnsi="Times New Roman" w:cs="Times New Roman"/>
        </w:rPr>
        <w:t xml:space="preserve"> for the period was </w:t>
      </w:r>
      <w:r>
        <w:rPr>
          <w:rFonts w:ascii="Times New Roman" w:eastAsia="Times New Roman" w:hAnsi="Times New Roman" w:cs="Times New Roman"/>
          <w:color w:val="000000"/>
          <w:kern w:val="0"/>
        </w:rPr>
        <w:t>22.88205</w:t>
      </w:r>
      <w:r>
        <w:rPr>
          <w:rFonts w:ascii="Times New Roman" w:hAnsi="Times New Roman" w:cs="Times New Roman"/>
        </w:rPr>
        <w:t xml:space="preserve">. The maximum value of </w:t>
      </w:r>
      <w:r>
        <w:rPr>
          <w:rFonts w:ascii="Times New Roman" w:eastAsia="Times New Roman" w:hAnsi="Times New Roman" w:cs="Times New Roman"/>
          <w:bCs/>
          <w:color w:val="000000"/>
          <w:kern w:val="0"/>
        </w:rPr>
        <w:t>BI</w:t>
      </w:r>
      <w:r>
        <w:rPr>
          <w:rFonts w:ascii="Times New Roman" w:hAnsi="Times New Roman" w:cs="Times New Roman"/>
        </w:rPr>
        <w:t xml:space="preserve"> was </w:t>
      </w:r>
      <w:r>
        <w:rPr>
          <w:rFonts w:ascii="Times New Roman" w:eastAsia="Times New Roman" w:hAnsi="Times New Roman" w:cs="Times New Roman"/>
          <w:color w:val="000000"/>
          <w:kern w:val="0"/>
        </w:rPr>
        <w:t xml:space="preserve">71.42860 </w:t>
      </w:r>
      <w:r>
        <w:rPr>
          <w:rFonts w:ascii="Times New Roman" w:hAnsi="Times New Roman" w:cs="Times New Roman"/>
        </w:rPr>
        <w:t xml:space="preserve">while the minimum value of </w:t>
      </w:r>
      <w:r>
        <w:rPr>
          <w:rFonts w:ascii="Times New Roman" w:eastAsia="Times New Roman" w:hAnsi="Times New Roman" w:cs="Times New Roman"/>
          <w:bCs/>
          <w:color w:val="000000"/>
          <w:kern w:val="0"/>
        </w:rPr>
        <w:t>BI</w:t>
      </w:r>
      <w:r>
        <w:rPr>
          <w:rFonts w:ascii="Times New Roman" w:hAnsi="Times New Roman" w:cs="Times New Roman"/>
        </w:rPr>
        <w:t xml:space="preserve"> was </w:t>
      </w:r>
      <w:r>
        <w:rPr>
          <w:rFonts w:ascii="Times New Roman" w:eastAsia="Times New Roman" w:hAnsi="Times New Roman" w:cs="Times New Roman"/>
          <w:color w:val="000000"/>
          <w:kern w:val="0"/>
        </w:rPr>
        <w:t>6.666670</w:t>
      </w:r>
      <w:r>
        <w:rPr>
          <w:rFonts w:ascii="Times New Roman" w:eastAsia="Times New Roman" w:hAnsi="Times New Roman" w:cs="Times New Roman"/>
          <w:color w:val="000000"/>
        </w:rPr>
        <w:t>.</w:t>
      </w:r>
      <w:r>
        <w:rPr>
          <w:rFonts w:ascii="Times New Roman" w:hAnsi="Times New Roman" w:cs="Times New Roman"/>
        </w:rPr>
        <w:t xml:space="preserve"> The standard deviation of</w:t>
      </w:r>
      <w:r>
        <w:rPr>
          <w:rFonts w:ascii="Times New Roman" w:eastAsia="Times New Roman" w:hAnsi="Times New Roman" w:cs="Times New Roman"/>
          <w:bCs/>
          <w:color w:val="000000"/>
          <w:kern w:val="0"/>
        </w:rPr>
        <w:t xml:space="preserve"> BI</w:t>
      </w:r>
      <w:r>
        <w:rPr>
          <w:rFonts w:ascii="Times New Roman" w:hAnsi="Times New Roman" w:cs="Times New Roman"/>
        </w:rPr>
        <w:t xml:space="preserve"> for the period of this study was </w:t>
      </w:r>
      <w:r>
        <w:rPr>
          <w:rFonts w:ascii="Times New Roman" w:eastAsia="Times New Roman" w:hAnsi="Times New Roman" w:cs="Times New Roman"/>
          <w:color w:val="000000"/>
          <w:kern w:val="0"/>
        </w:rPr>
        <w:t xml:space="preserve">11.18144 </w:t>
      </w:r>
      <w:r>
        <w:rPr>
          <w:rFonts w:ascii="Times New Roman" w:hAnsi="Times New Roman" w:cs="Times New Roman"/>
        </w:rPr>
        <w:t xml:space="preserve">which shows that the standard deviation was low and that the data are far from the mean over the period. The skewness shows an imbalance of a normal distribution. Also, the skewness of the data set shows a right value of </w:t>
      </w:r>
      <w:r>
        <w:rPr>
          <w:rFonts w:ascii="Times New Roman" w:eastAsia="Times New Roman" w:hAnsi="Times New Roman" w:cs="Times New Roman"/>
          <w:color w:val="000000"/>
          <w:kern w:val="0"/>
        </w:rPr>
        <w:t xml:space="preserve">0.945252 </w:t>
      </w:r>
      <w:r>
        <w:rPr>
          <w:rFonts w:ascii="Times New Roman" w:hAnsi="Times New Roman" w:cs="Times New Roman"/>
        </w:rPr>
        <w:t xml:space="preserve">meaning the data is skewed to the left. Based on the data set above the Kurtosis was </w:t>
      </w:r>
      <w:r>
        <w:rPr>
          <w:rFonts w:ascii="Times New Roman" w:eastAsia="Times New Roman" w:hAnsi="Times New Roman" w:cs="Times New Roman"/>
          <w:color w:val="000000"/>
          <w:kern w:val="0"/>
        </w:rPr>
        <w:t>4.800928</w:t>
      </w:r>
      <w:r>
        <w:rPr>
          <w:rFonts w:ascii="Times New Roman" w:hAnsi="Times New Roman" w:cs="Times New Roman"/>
        </w:rPr>
        <w:t>&gt;3, which is the normal value, this indicates which indicates the dataset has heavy tails than a normal distribution</w:t>
      </w:r>
    </w:p>
    <w:p w14:paraId="33947796" w14:textId="2CC64F52" w:rsidR="0063596E" w:rsidRDefault="008E0F4B" w:rsidP="00A77FE8">
      <w:pPr>
        <w:spacing w:after="0" w:line="240" w:lineRule="auto"/>
        <w:jc w:val="both"/>
        <w:rPr>
          <w:rFonts w:ascii="Times New Roman" w:hAnsi="Times New Roman" w:cs="Times New Roman"/>
        </w:rPr>
      </w:pPr>
      <w:r>
        <w:rPr>
          <w:rFonts w:ascii="Times New Roman" w:hAnsi="Times New Roman" w:cs="Times New Roman"/>
        </w:rPr>
        <w:t>T</w:t>
      </w:r>
      <w:r w:rsidR="0063596E">
        <w:rPr>
          <w:rFonts w:ascii="Times New Roman" w:hAnsi="Times New Roman" w:cs="Times New Roman"/>
        </w:rPr>
        <w:t>he mean value of</w:t>
      </w:r>
      <w:r w:rsidR="0063596E">
        <w:rPr>
          <w:rFonts w:ascii="Times New Roman" w:eastAsia="Times New Roman" w:hAnsi="Times New Roman" w:cs="Times New Roman"/>
          <w:bCs/>
          <w:color w:val="000000"/>
          <w:kern w:val="0"/>
        </w:rPr>
        <w:t xml:space="preserve"> BE</w:t>
      </w:r>
      <w:r w:rsidR="0063596E">
        <w:rPr>
          <w:rFonts w:ascii="Times New Roman" w:hAnsi="Times New Roman" w:cs="Times New Roman"/>
        </w:rPr>
        <w:t xml:space="preserve"> for the period was </w:t>
      </w:r>
      <w:r w:rsidR="0063596E">
        <w:rPr>
          <w:rFonts w:ascii="Times New Roman" w:eastAsia="Times New Roman" w:hAnsi="Times New Roman" w:cs="Times New Roman"/>
          <w:color w:val="000000"/>
          <w:kern w:val="0"/>
        </w:rPr>
        <w:t>7.590909</w:t>
      </w:r>
      <w:r w:rsidR="0063596E">
        <w:rPr>
          <w:rFonts w:ascii="Times New Roman" w:hAnsi="Times New Roman" w:cs="Times New Roman"/>
        </w:rPr>
        <w:t xml:space="preserve">. The maximum value of </w:t>
      </w:r>
      <w:r w:rsidR="0063596E">
        <w:rPr>
          <w:rFonts w:ascii="Times New Roman" w:eastAsia="Times New Roman" w:hAnsi="Times New Roman" w:cs="Times New Roman"/>
          <w:bCs/>
          <w:color w:val="000000"/>
          <w:kern w:val="0"/>
        </w:rPr>
        <w:t>BE</w:t>
      </w:r>
      <w:r w:rsidR="0063596E">
        <w:rPr>
          <w:rFonts w:ascii="Times New Roman" w:hAnsi="Times New Roman" w:cs="Times New Roman"/>
        </w:rPr>
        <w:t xml:space="preserve"> was </w:t>
      </w:r>
      <w:r w:rsidR="00D756F0">
        <w:rPr>
          <w:rFonts w:ascii="Times New Roman" w:eastAsia="Times New Roman" w:hAnsi="Times New Roman" w:cs="Times New Roman"/>
          <w:color w:val="000000"/>
          <w:kern w:val="0"/>
        </w:rPr>
        <w:t xml:space="preserve">12 </w:t>
      </w:r>
      <w:r w:rsidR="0063596E">
        <w:rPr>
          <w:rFonts w:ascii="Times New Roman" w:hAnsi="Times New Roman" w:cs="Times New Roman"/>
        </w:rPr>
        <w:t xml:space="preserve">while the minimum value of </w:t>
      </w:r>
      <w:r w:rsidR="0063596E">
        <w:rPr>
          <w:rFonts w:ascii="Times New Roman" w:eastAsia="Times New Roman" w:hAnsi="Times New Roman" w:cs="Times New Roman"/>
          <w:bCs/>
          <w:color w:val="000000"/>
          <w:kern w:val="0"/>
        </w:rPr>
        <w:t>BE</w:t>
      </w:r>
      <w:r w:rsidR="0063596E">
        <w:rPr>
          <w:rFonts w:ascii="Times New Roman" w:hAnsi="Times New Roman" w:cs="Times New Roman"/>
        </w:rPr>
        <w:t xml:space="preserve"> was </w:t>
      </w:r>
      <w:r w:rsidR="0063596E">
        <w:rPr>
          <w:rFonts w:ascii="Times New Roman" w:eastAsia="Times New Roman" w:hAnsi="Times New Roman" w:cs="Times New Roman"/>
          <w:color w:val="000000"/>
          <w:kern w:val="0"/>
        </w:rPr>
        <w:t>3</w:t>
      </w:r>
      <w:r w:rsidR="0063596E">
        <w:rPr>
          <w:rFonts w:ascii="Times New Roman" w:eastAsia="Times New Roman" w:hAnsi="Times New Roman" w:cs="Times New Roman"/>
          <w:color w:val="000000"/>
        </w:rPr>
        <w:t>.</w:t>
      </w:r>
      <w:r w:rsidR="0063596E">
        <w:rPr>
          <w:rFonts w:ascii="Times New Roman" w:hAnsi="Times New Roman" w:cs="Times New Roman"/>
        </w:rPr>
        <w:t xml:space="preserve"> The standard deviation of </w:t>
      </w:r>
      <w:r w:rsidR="0063596E">
        <w:rPr>
          <w:rFonts w:ascii="Times New Roman" w:eastAsia="Times New Roman" w:hAnsi="Times New Roman" w:cs="Times New Roman"/>
          <w:bCs/>
          <w:color w:val="000000"/>
          <w:kern w:val="0"/>
        </w:rPr>
        <w:t>BE</w:t>
      </w:r>
      <w:r w:rsidR="0063596E">
        <w:rPr>
          <w:rFonts w:ascii="Times New Roman" w:hAnsi="Times New Roman" w:cs="Times New Roman"/>
        </w:rPr>
        <w:t xml:space="preserve"> for the period of this study was </w:t>
      </w:r>
      <w:r w:rsidR="0063596E">
        <w:rPr>
          <w:rFonts w:ascii="Times New Roman" w:eastAsia="Times New Roman" w:hAnsi="Times New Roman" w:cs="Times New Roman"/>
          <w:color w:val="000000"/>
          <w:kern w:val="0"/>
        </w:rPr>
        <w:t xml:space="preserve">2.099784 </w:t>
      </w:r>
      <w:r w:rsidR="0063596E">
        <w:rPr>
          <w:rFonts w:ascii="Times New Roman" w:hAnsi="Times New Roman" w:cs="Times New Roman"/>
        </w:rPr>
        <w:t xml:space="preserve">which shows that the standard deviation was low and that the data are far from the mean over the period.. This means that the data set has outliers or extreme values in its distribution. Also, the skewness of the data set shows a  positive  value of  </w:t>
      </w:r>
      <w:r w:rsidR="0063596E">
        <w:rPr>
          <w:rFonts w:ascii="Times New Roman" w:eastAsia="Times New Roman" w:hAnsi="Times New Roman" w:cs="Times New Roman"/>
          <w:color w:val="000000"/>
          <w:kern w:val="0"/>
        </w:rPr>
        <w:t xml:space="preserve">0.197451 </w:t>
      </w:r>
      <w:r w:rsidR="0063596E">
        <w:rPr>
          <w:rFonts w:ascii="Times New Roman" w:hAnsi="Times New Roman" w:cs="Times New Roman"/>
        </w:rPr>
        <w:t xml:space="preserve">meaning the data is skewed to the right Based on the data set above the Kurtosis was </w:t>
      </w:r>
      <w:r w:rsidR="0063596E">
        <w:rPr>
          <w:rFonts w:ascii="Times New Roman" w:eastAsia="Times New Roman" w:hAnsi="Times New Roman" w:cs="Times New Roman"/>
          <w:color w:val="000000"/>
          <w:kern w:val="0"/>
        </w:rPr>
        <w:t>2.646995</w:t>
      </w:r>
      <w:r w:rsidR="0063596E">
        <w:rPr>
          <w:rFonts w:ascii="Times New Roman" w:hAnsi="Times New Roman" w:cs="Times New Roman"/>
        </w:rPr>
        <w:t xml:space="preserve">&lt;3, this indicates </w:t>
      </w:r>
      <w:r w:rsidR="0063596E" w:rsidRPr="003E048D">
        <w:rPr>
          <w:rFonts w:ascii="Times New Roman" w:hAnsi="Times New Roman" w:cs="Times New Roman"/>
        </w:rPr>
        <w:t xml:space="preserve">the distribution is </w:t>
      </w:r>
      <w:r w:rsidR="0063596E" w:rsidRPr="003E048D">
        <w:rPr>
          <w:rStyle w:val="Strong"/>
          <w:rFonts w:ascii="Times New Roman" w:hAnsi="Times New Roman" w:cs="Times New Roman"/>
          <w:b w:val="0"/>
        </w:rPr>
        <w:t>platykurtic</w:t>
      </w:r>
      <w:r w:rsidR="0063596E" w:rsidRPr="003E048D">
        <w:rPr>
          <w:rFonts w:ascii="Times New Roman" w:hAnsi="Times New Roman" w:cs="Times New Roman"/>
        </w:rPr>
        <w:t xml:space="preserve">. The distribution is </w:t>
      </w:r>
      <w:r w:rsidR="0063596E" w:rsidRPr="003E048D">
        <w:rPr>
          <w:rStyle w:val="Strong"/>
          <w:rFonts w:ascii="Times New Roman" w:hAnsi="Times New Roman" w:cs="Times New Roman"/>
          <w:b w:val="0"/>
        </w:rPr>
        <w:t>slightly flatter than a normal distribution</w:t>
      </w:r>
    </w:p>
    <w:p w14:paraId="61BC952D" w14:textId="77777777" w:rsidR="0063596E" w:rsidRDefault="0063596E" w:rsidP="00A77FE8">
      <w:pPr>
        <w:spacing w:after="0" w:line="240" w:lineRule="auto"/>
        <w:jc w:val="both"/>
        <w:rPr>
          <w:rFonts w:ascii="Times New Roman" w:hAnsi="Times New Roman" w:cs="Times New Roman"/>
        </w:rPr>
      </w:pPr>
    </w:p>
    <w:p w14:paraId="1AB3B777" w14:textId="6413E8C0" w:rsidR="0063596E" w:rsidRPr="004725C5" w:rsidRDefault="008E0F4B" w:rsidP="00A77FE8">
      <w:pPr>
        <w:spacing w:after="0" w:line="240" w:lineRule="auto"/>
        <w:rPr>
          <w:rFonts w:ascii="Times New Roman" w:hAnsi="Times New Roman" w:cs="Times New Roman"/>
          <w:b/>
        </w:rPr>
      </w:pPr>
      <w:r>
        <w:rPr>
          <w:rFonts w:ascii="Times New Roman" w:hAnsi="Times New Roman" w:cs="Times New Roman"/>
          <w:b/>
        </w:rPr>
        <w:t>Table 2</w:t>
      </w:r>
      <w:r w:rsidR="0063596E">
        <w:rPr>
          <w:rFonts w:ascii="Times New Roman" w:hAnsi="Times New Roman" w:cs="Times New Roman"/>
          <w:b/>
        </w:rPr>
        <w:t xml:space="preserve">. Hausman Test for Model one </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63596E" w14:paraId="5B122506" w14:textId="77777777" w:rsidTr="00A77FE8">
        <w:trPr>
          <w:trHeight w:val="225"/>
        </w:trPr>
        <w:tc>
          <w:tcPr>
            <w:tcW w:w="5535" w:type="dxa"/>
            <w:gridSpan w:val="4"/>
            <w:tcBorders>
              <w:top w:val="nil"/>
              <w:left w:val="nil"/>
              <w:bottom w:val="nil"/>
              <w:right w:val="nil"/>
            </w:tcBorders>
            <w:vAlign w:val="bottom"/>
          </w:tcPr>
          <w:p w14:paraId="7B921B15" w14:textId="77777777" w:rsidR="0063596E" w:rsidRDefault="0063596E" w:rsidP="00A77FE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Correlated Random Effects - Hausman Test</w:t>
            </w:r>
          </w:p>
        </w:tc>
        <w:tc>
          <w:tcPr>
            <w:tcW w:w="997" w:type="dxa"/>
            <w:tcBorders>
              <w:top w:val="nil"/>
              <w:left w:val="nil"/>
              <w:bottom w:val="nil"/>
              <w:right w:val="nil"/>
            </w:tcBorders>
            <w:vAlign w:val="bottom"/>
          </w:tcPr>
          <w:p w14:paraId="2F25E014"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r>
      <w:tr w:rsidR="0063596E" w14:paraId="17AD53DA" w14:textId="77777777" w:rsidTr="00A77FE8">
        <w:trPr>
          <w:trHeight w:val="225"/>
        </w:trPr>
        <w:tc>
          <w:tcPr>
            <w:tcW w:w="4327" w:type="dxa"/>
            <w:gridSpan w:val="3"/>
            <w:tcBorders>
              <w:top w:val="nil"/>
              <w:left w:val="nil"/>
              <w:bottom w:val="nil"/>
              <w:right w:val="nil"/>
            </w:tcBorders>
            <w:vAlign w:val="bottom"/>
          </w:tcPr>
          <w:p w14:paraId="62233523" w14:textId="77777777" w:rsidR="0063596E" w:rsidRDefault="0063596E" w:rsidP="00A77FE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Equation: Untitled</w:t>
            </w:r>
          </w:p>
        </w:tc>
        <w:tc>
          <w:tcPr>
            <w:tcW w:w="1208" w:type="dxa"/>
            <w:tcBorders>
              <w:top w:val="nil"/>
              <w:left w:val="nil"/>
              <w:bottom w:val="nil"/>
              <w:right w:val="nil"/>
            </w:tcBorders>
            <w:vAlign w:val="bottom"/>
          </w:tcPr>
          <w:p w14:paraId="7BBA775F"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B827AC9"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r>
      <w:tr w:rsidR="0063596E" w14:paraId="3E252A4E" w14:textId="77777777" w:rsidTr="00A77FE8">
        <w:trPr>
          <w:trHeight w:val="225"/>
        </w:trPr>
        <w:tc>
          <w:tcPr>
            <w:tcW w:w="5535" w:type="dxa"/>
            <w:gridSpan w:val="4"/>
            <w:tcBorders>
              <w:top w:val="nil"/>
              <w:left w:val="nil"/>
              <w:bottom w:val="nil"/>
              <w:right w:val="nil"/>
            </w:tcBorders>
            <w:vAlign w:val="bottom"/>
          </w:tcPr>
          <w:p w14:paraId="6F769C12" w14:textId="77777777" w:rsidR="0063596E" w:rsidRDefault="0063596E" w:rsidP="00A77FE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cross-section random effects</w:t>
            </w:r>
          </w:p>
        </w:tc>
        <w:tc>
          <w:tcPr>
            <w:tcW w:w="997" w:type="dxa"/>
            <w:tcBorders>
              <w:top w:val="nil"/>
              <w:left w:val="nil"/>
              <w:bottom w:val="nil"/>
              <w:right w:val="nil"/>
            </w:tcBorders>
            <w:vAlign w:val="bottom"/>
          </w:tcPr>
          <w:p w14:paraId="344E627D"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r>
      <w:tr w:rsidR="0063596E" w14:paraId="44BF1B4D" w14:textId="77777777" w:rsidTr="00A77FE8">
        <w:trPr>
          <w:trHeight w:hRule="exact" w:val="90"/>
        </w:trPr>
        <w:tc>
          <w:tcPr>
            <w:tcW w:w="2017" w:type="dxa"/>
            <w:tcBorders>
              <w:top w:val="nil"/>
              <w:left w:val="nil"/>
              <w:bottom w:val="double" w:sz="6" w:space="2" w:color="auto"/>
              <w:right w:val="nil"/>
            </w:tcBorders>
            <w:vAlign w:val="bottom"/>
          </w:tcPr>
          <w:p w14:paraId="32D4C475"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7819958"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1E47A78"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53B1B99"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679E736D"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r>
      <w:tr w:rsidR="0063596E" w14:paraId="6211B561" w14:textId="77777777" w:rsidTr="00A77FE8">
        <w:trPr>
          <w:trHeight w:hRule="exact" w:val="135"/>
        </w:trPr>
        <w:tc>
          <w:tcPr>
            <w:tcW w:w="2017" w:type="dxa"/>
            <w:tcBorders>
              <w:top w:val="nil"/>
              <w:left w:val="nil"/>
              <w:bottom w:val="nil"/>
              <w:right w:val="nil"/>
            </w:tcBorders>
            <w:vAlign w:val="bottom"/>
          </w:tcPr>
          <w:p w14:paraId="728738BA"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48983D04"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1369AFA0"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883598D"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20F5A8D"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r>
      <w:tr w:rsidR="0063596E" w14:paraId="3807EF6F" w14:textId="77777777" w:rsidTr="00A77FE8">
        <w:trPr>
          <w:trHeight w:val="225"/>
        </w:trPr>
        <w:tc>
          <w:tcPr>
            <w:tcW w:w="3120" w:type="dxa"/>
            <w:gridSpan w:val="2"/>
            <w:tcBorders>
              <w:top w:val="nil"/>
              <w:left w:val="nil"/>
              <w:bottom w:val="nil"/>
              <w:right w:val="nil"/>
            </w:tcBorders>
            <w:vAlign w:val="bottom"/>
          </w:tcPr>
          <w:p w14:paraId="5C682221" w14:textId="77777777" w:rsidR="0063596E" w:rsidRDefault="0063596E" w:rsidP="00A77FE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Summary</w:t>
            </w:r>
          </w:p>
        </w:tc>
        <w:tc>
          <w:tcPr>
            <w:tcW w:w="1207" w:type="dxa"/>
            <w:tcBorders>
              <w:top w:val="nil"/>
              <w:left w:val="nil"/>
              <w:bottom w:val="nil"/>
              <w:right w:val="nil"/>
            </w:tcBorders>
            <w:vAlign w:val="bottom"/>
          </w:tcPr>
          <w:p w14:paraId="21F2284D" w14:textId="77777777" w:rsidR="0063596E" w:rsidRDefault="0063596E" w:rsidP="00A77FE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Chi-Sq. Statistic</w:t>
            </w:r>
          </w:p>
        </w:tc>
        <w:tc>
          <w:tcPr>
            <w:tcW w:w="1208" w:type="dxa"/>
            <w:tcBorders>
              <w:top w:val="nil"/>
              <w:left w:val="nil"/>
              <w:bottom w:val="nil"/>
              <w:right w:val="nil"/>
            </w:tcBorders>
            <w:vAlign w:val="bottom"/>
          </w:tcPr>
          <w:p w14:paraId="6200E36B" w14:textId="77777777" w:rsidR="0063596E" w:rsidRDefault="0063596E" w:rsidP="00A77FE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Chi-Sq. d.f.</w:t>
            </w:r>
          </w:p>
        </w:tc>
        <w:tc>
          <w:tcPr>
            <w:tcW w:w="997" w:type="dxa"/>
            <w:tcBorders>
              <w:top w:val="nil"/>
              <w:left w:val="nil"/>
              <w:bottom w:val="nil"/>
              <w:right w:val="nil"/>
            </w:tcBorders>
            <w:vAlign w:val="bottom"/>
          </w:tcPr>
          <w:p w14:paraId="57216AB8" w14:textId="77777777" w:rsidR="0063596E" w:rsidRDefault="0063596E" w:rsidP="00A77FE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63596E" w14:paraId="36CEDCAA" w14:textId="77777777" w:rsidTr="00A77FE8">
        <w:trPr>
          <w:trHeight w:hRule="exact" w:val="90"/>
        </w:trPr>
        <w:tc>
          <w:tcPr>
            <w:tcW w:w="2017" w:type="dxa"/>
            <w:tcBorders>
              <w:top w:val="nil"/>
              <w:left w:val="nil"/>
              <w:bottom w:val="double" w:sz="6" w:space="2" w:color="auto"/>
              <w:right w:val="nil"/>
            </w:tcBorders>
            <w:vAlign w:val="bottom"/>
          </w:tcPr>
          <w:p w14:paraId="23793FF4"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7D974A2E"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005BF0C"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77EFE68"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0DF2CDD3"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r>
      <w:tr w:rsidR="0063596E" w14:paraId="602F327B" w14:textId="77777777" w:rsidTr="00A77FE8">
        <w:trPr>
          <w:trHeight w:hRule="exact" w:val="135"/>
        </w:trPr>
        <w:tc>
          <w:tcPr>
            <w:tcW w:w="2017" w:type="dxa"/>
            <w:tcBorders>
              <w:top w:val="nil"/>
              <w:left w:val="nil"/>
              <w:bottom w:val="nil"/>
              <w:right w:val="nil"/>
            </w:tcBorders>
            <w:vAlign w:val="bottom"/>
          </w:tcPr>
          <w:p w14:paraId="38F42466"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9253134"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72DD4AB0"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E8747FC"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6E166BE"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r>
      <w:tr w:rsidR="0063596E" w14:paraId="184D2685" w14:textId="77777777" w:rsidTr="00A77FE8">
        <w:trPr>
          <w:trHeight w:val="225"/>
        </w:trPr>
        <w:tc>
          <w:tcPr>
            <w:tcW w:w="3120" w:type="dxa"/>
            <w:gridSpan w:val="2"/>
            <w:tcBorders>
              <w:top w:val="nil"/>
              <w:left w:val="nil"/>
              <w:bottom w:val="nil"/>
              <w:right w:val="nil"/>
            </w:tcBorders>
            <w:vAlign w:val="bottom"/>
          </w:tcPr>
          <w:p w14:paraId="0DB08003" w14:textId="77777777" w:rsidR="0063596E" w:rsidRDefault="0063596E" w:rsidP="00A77FE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 random</w:t>
            </w:r>
          </w:p>
        </w:tc>
        <w:tc>
          <w:tcPr>
            <w:tcW w:w="1207" w:type="dxa"/>
            <w:tcBorders>
              <w:top w:val="nil"/>
              <w:left w:val="nil"/>
              <w:bottom w:val="nil"/>
              <w:right w:val="nil"/>
            </w:tcBorders>
            <w:vAlign w:val="bottom"/>
          </w:tcPr>
          <w:p w14:paraId="472BB913" w14:textId="77777777" w:rsidR="0063596E" w:rsidRDefault="0063596E" w:rsidP="00A77FE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1.641595</w:t>
            </w:r>
          </w:p>
        </w:tc>
        <w:tc>
          <w:tcPr>
            <w:tcW w:w="1208" w:type="dxa"/>
            <w:tcBorders>
              <w:top w:val="nil"/>
              <w:left w:val="nil"/>
              <w:bottom w:val="nil"/>
              <w:right w:val="nil"/>
            </w:tcBorders>
            <w:vAlign w:val="bottom"/>
          </w:tcPr>
          <w:p w14:paraId="7367DA67" w14:textId="77777777" w:rsidR="0063596E" w:rsidRDefault="0063596E" w:rsidP="00A77FE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w:t>
            </w:r>
          </w:p>
        </w:tc>
        <w:tc>
          <w:tcPr>
            <w:tcW w:w="997" w:type="dxa"/>
            <w:tcBorders>
              <w:top w:val="nil"/>
              <w:left w:val="nil"/>
              <w:bottom w:val="nil"/>
              <w:right w:val="nil"/>
            </w:tcBorders>
            <w:vAlign w:val="bottom"/>
          </w:tcPr>
          <w:p w14:paraId="72328CB6" w14:textId="77777777" w:rsidR="0063596E" w:rsidRDefault="0063596E" w:rsidP="00A77FE8">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0.8868</w:t>
            </w:r>
          </w:p>
        </w:tc>
      </w:tr>
      <w:tr w:rsidR="0063596E" w14:paraId="18C84DD0" w14:textId="77777777" w:rsidTr="00A77FE8">
        <w:trPr>
          <w:trHeight w:hRule="exact" w:val="90"/>
        </w:trPr>
        <w:tc>
          <w:tcPr>
            <w:tcW w:w="2017" w:type="dxa"/>
            <w:tcBorders>
              <w:top w:val="nil"/>
              <w:left w:val="nil"/>
              <w:bottom w:val="double" w:sz="6" w:space="2" w:color="auto"/>
              <w:right w:val="nil"/>
            </w:tcBorders>
            <w:vAlign w:val="bottom"/>
          </w:tcPr>
          <w:p w14:paraId="62CB6E4B"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31531301"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B0CEC72"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19D7BE83"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04B46D0D" w14:textId="77777777" w:rsidR="0063596E" w:rsidRDefault="0063596E" w:rsidP="00A77FE8">
            <w:pPr>
              <w:autoSpaceDE w:val="0"/>
              <w:autoSpaceDN w:val="0"/>
              <w:adjustRightInd w:val="0"/>
              <w:spacing w:after="0" w:line="240" w:lineRule="auto"/>
              <w:jc w:val="center"/>
              <w:rPr>
                <w:rFonts w:ascii="Arial" w:hAnsi="Arial" w:cs="Arial"/>
                <w:color w:val="000000"/>
                <w:sz w:val="18"/>
                <w:szCs w:val="18"/>
              </w:rPr>
            </w:pPr>
          </w:p>
        </w:tc>
      </w:tr>
    </w:tbl>
    <w:p w14:paraId="575DDFFB" w14:textId="77777777" w:rsidR="0063596E" w:rsidRDefault="0063596E" w:rsidP="00A77FE8">
      <w:pPr>
        <w:spacing w:before="40" w:after="40" w:line="240" w:lineRule="auto"/>
        <w:rPr>
          <w:rFonts w:ascii="Times New Roman" w:hAnsi="Times New Roman" w:cs="Times New Roman"/>
          <w:b/>
        </w:rPr>
      </w:pPr>
      <w:r>
        <w:rPr>
          <w:rFonts w:ascii="Times New Roman" w:hAnsi="Times New Roman" w:cs="Times New Roman"/>
          <w:b/>
        </w:rPr>
        <w:t xml:space="preserve">Source: Researcher computation from E-View 12. </w:t>
      </w:r>
    </w:p>
    <w:p w14:paraId="6AD4EA36" w14:textId="2A2A9085" w:rsidR="008E0F4B" w:rsidRDefault="0063596E" w:rsidP="008E0F4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For the Hausman test, the null hypothesis is that the preferred model is random effect, while the alternative hypothesis is that the fixed effect model is preferred (Green, 2008). Based on this premise, the random effect model was selected since the p-value of Hausman's test is greater than 0.05. </w:t>
      </w:r>
    </w:p>
    <w:p w14:paraId="566093BF" w14:textId="77777777" w:rsidR="00CE6989" w:rsidRDefault="00CE6989" w:rsidP="008E0F4B">
      <w:pPr>
        <w:autoSpaceDE w:val="0"/>
        <w:autoSpaceDN w:val="0"/>
        <w:adjustRightInd w:val="0"/>
        <w:spacing w:after="0" w:line="240" w:lineRule="auto"/>
        <w:jc w:val="both"/>
        <w:rPr>
          <w:rFonts w:ascii="Times New Roman" w:hAnsi="Times New Roman" w:cs="Times New Roman"/>
        </w:rPr>
      </w:pPr>
    </w:p>
    <w:p w14:paraId="5FE69951" w14:textId="2C94A0A7" w:rsidR="006A0F3A" w:rsidRPr="006A0F3A" w:rsidRDefault="006A0F3A" w:rsidP="008E0F4B">
      <w:pPr>
        <w:autoSpaceDE w:val="0"/>
        <w:autoSpaceDN w:val="0"/>
        <w:adjustRightInd w:val="0"/>
        <w:spacing w:after="0" w:line="240" w:lineRule="auto"/>
        <w:jc w:val="both"/>
        <w:rPr>
          <w:rFonts w:ascii="Times New Roman" w:hAnsi="Times New Roman" w:cs="Times New Roman"/>
          <w:b/>
        </w:rPr>
      </w:pPr>
      <w:r w:rsidRPr="006A0F3A">
        <w:rPr>
          <w:rFonts w:ascii="Times New Roman" w:hAnsi="Times New Roman" w:cs="Times New Roman"/>
          <w:b/>
        </w:rPr>
        <w:t xml:space="preserve">4.2 Regression Results </w:t>
      </w:r>
    </w:p>
    <w:p w14:paraId="321F83BF" w14:textId="4708BD1B" w:rsidR="003D06DE" w:rsidRPr="008D0E93" w:rsidRDefault="00CE6989" w:rsidP="003D06DE">
      <w:pPr>
        <w:rPr>
          <w:rFonts w:ascii="Times New Roman" w:hAnsi="Times New Roman" w:cs="Times New Roman"/>
          <w:b/>
        </w:rPr>
      </w:pPr>
      <w:r>
        <w:rPr>
          <w:rFonts w:ascii="Times New Roman" w:hAnsi="Times New Roman" w:cs="Times New Roman"/>
          <w:b/>
        </w:rPr>
        <w:t xml:space="preserve">Table </w:t>
      </w:r>
      <w:r w:rsidRPr="008D0E93">
        <w:rPr>
          <w:rFonts w:ascii="Times New Roman" w:hAnsi="Times New Roman" w:cs="Times New Roman"/>
          <w:b/>
        </w:rPr>
        <w:t xml:space="preserve">3: Summary of Panel Regression (dependent variable, </w:t>
      </w:r>
      <w:r w:rsidRPr="008D0E93">
        <w:rPr>
          <w:rFonts w:ascii="Times New Roman" w:hAnsi="Times New Roman" w:cs="Times New Roman"/>
          <w:iCs/>
        </w:rPr>
        <w:t>T</w:t>
      </w:r>
      <w:r w:rsidR="001929F4">
        <w:rPr>
          <w:rFonts w:ascii="Times New Roman" w:hAnsi="Times New Roman" w:cs="Times New Roman"/>
          <w:iCs/>
        </w:rPr>
        <w:t>Q</w:t>
      </w:r>
      <w:r w:rsidRPr="008D0E93">
        <w:rPr>
          <w:rFonts w:ascii="Times New Roman" w:hAnsi="Times New Roman" w:cs="Times New Roman"/>
          <w:b/>
        </w:rPr>
        <w:t>)</w:t>
      </w:r>
    </w:p>
    <w:tbl>
      <w:tblPr>
        <w:tblW w:w="8625" w:type="dxa"/>
        <w:jc w:val="center"/>
        <w:tblLook w:val="04A0" w:firstRow="1" w:lastRow="0" w:firstColumn="1" w:lastColumn="0" w:noHBand="0" w:noVBand="1"/>
      </w:tblPr>
      <w:tblGrid>
        <w:gridCol w:w="2085"/>
        <w:gridCol w:w="3300"/>
        <w:gridCol w:w="3240"/>
      </w:tblGrid>
      <w:tr w:rsidR="003D06DE" w:rsidRPr="008D0E93" w14:paraId="6B5371D6" w14:textId="77777777" w:rsidTr="005D2F05">
        <w:trPr>
          <w:trHeight w:val="390"/>
          <w:jc w:val="center"/>
        </w:trPr>
        <w:tc>
          <w:tcPr>
            <w:tcW w:w="2085" w:type="dxa"/>
            <w:tcBorders>
              <w:top w:val="single" w:sz="4" w:space="0" w:color="auto"/>
              <w:bottom w:val="single" w:sz="4" w:space="0" w:color="auto"/>
            </w:tcBorders>
            <w:noWrap/>
            <w:vAlign w:val="bottom"/>
            <w:hideMark/>
          </w:tcPr>
          <w:p w14:paraId="7E0E035F" w14:textId="77777777" w:rsidR="003D06DE" w:rsidRPr="008D0E93" w:rsidRDefault="003D06DE" w:rsidP="005D2F05">
            <w:pPr>
              <w:spacing w:after="0" w:line="240" w:lineRule="auto"/>
              <w:jc w:val="center"/>
              <w:rPr>
                <w:rFonts w:ascii="Times New Roman" w:eastAsia="Times New Roman" w:hAnsi="Times New Roman" w:cs="Times New Roman"/>
                <w:b/>
                <w:bCs/>
                <w:color w:val="000000"/>
              </w:rPr>
            </w:pPr>
            <w:r w:rsidRPr="008D0E93">
              <w:rPr>
                <w:rFonts w:ascii="Times New Roman" w:eastAsia="Times New Roman" w:hAnsi="Times New Roman" w:cs="Times New Roman"/>
                <w:b/>
                <w:bCs/>
                <w:color w:val="000000"/>
              </w:rPr>
              <w:t>Variables</w:t>
            </w:r>
          </w:p>
        </w:tc>
        <w:tc>
          <w:tcPr>
            <w:tcW w:w="3300" w:type="dxa"/>
            <w:tcBorders>
              <w:top w:val="single" w:sz="4" w:space="0" w:color="auto"/>
              <w:bottom w:val="single" w:sz="4" w:space="0" w:color="auto"/>
            </w:tcBorders>
            <w:noWrap/>
            <w:vAlign w:val="bottom"/>
            <w:hideMark/>
          </w:tcPr>
          <w:p w14:paraId="7AA458EB" w14:textId="77777777" w:rsidR="003D06DE" w:rsidRPr="008D0E93" w:rsidRDefault="003D06DE" w:rsidP="005D2F05">
            <w:pPr>
              <w:spacing w:after="0" w:line="240" w:lineRule="auto"/>
              <w:jc w:val="center"/>
              <w:rPr>
                <w:rFonts w:ascii="Times New Roman" w:eastAsia="Times New Roman" w:hAnsi="Times New Roman" w:cs="Times New Roman"/>
                <w:b/>
                <w:bCs/>
                <w:color w:val="000000"/>
              </w:rPr>
            </w:pPr>
            <w:r w:rsidRPr="008D0E93">
              <w:rPr>
                <w:rFonts w:ascii="Times New Roman" w:eastAsia="Times New Roman" w:hAnsi="Times New Roman" w:cs="Times New Roman"/>
                <w:b/>
                <w:bCs/>
                <w:color w:val="000000"/>
              </w:rPr>
              <w:t xml:space="preserve">Fixed   Impact Model </w:t>
            </w:r>
          </w:p>
        </w:tc>
        <w:tc>
          <w:tcPr>
            <w:tcW w:w="3240" w:type="dxa"/>
            <w:tcBorders>
              <w:top w:val="single" w:sz="4" w:space="0" w:color="auto"/>
              <w:bottom w:val="single" w:sz="4" w:space="0" w:color="auto"/>
            </w:tcBorders>
            <w:noWrap/>
            <w:vAlign w:val="bottom"/>
            <w:hideMark/>
          </w:tcPr>
          <w:p w14:paraId="0DF42C48" w14:textId="77777777" w:rsidR="003D06DE" w:rsidRPr="008D0E93" w:rsidRDefault="003D06DE" w:rsidP="005D2F05">
            <w:pPr>
              <w:spacing w:after="0" w:line="240" w:lineRule="auto"/>
              <w:jc w:val="center"/>
              <w:rPr>
                <w:rFonts w:ascii="Times New Roman" w:eastAsia="Times New Roman" w:hAnsi="Times New Roman" w:cs="Times New Roman"/>
                <w:b/>
                <w:bCs/>
                <w:color w:val="000000"/>
              </w:rPr>
            </w:pPr>
            <w:r w:rsidRPr="008D0E93">
              <w:rPr>
                <w:rFonts w:ascii="Times New Roman" w:eastAsia="Times New Roman" w:hAnsi="Times New Roman" w:cs="Times New Roman"/>
                <w:b/>
                <w:bCs/>
                <w:color w:val="000000"/>
              </w:rPr>
              <w:t xml:space="preserve">Random Effect Model++ </w:t>
            </w:r>
          </w:p>
        </w:tc>
      </w:tr>
      <w:tr w:rsidR="003D06DE" w:rsidRPr="008D0E93" w14:paraId="35E2FF3C" w14:textId="77777777" w:rsidTr="005D2F05">
        <w:trPr>
          <w:trHeight w:val="385"/>
          <w:jc w:val="center"/>
        </w:trPr>
        <w:tc>
          <w:tcPr>
            <w:tcW w:w="2085" w:type="dxa"/>
            <w:tcBorders>
              <w:top w:val="single" w:sz="4" w:space="0" w:color="auto"/>
            </w:tcBorders>
            <w:noWrap/>
            <w:vAlign w:val="bottom"/>
            <w:hideMark/>
          </w:tcPr>
          <w:p w14:paraId="7B431AF8" w14:textId="77777777" w:rsidR="003D06DE" w:rsidRPr="008D0E93" w:rsidRDefault="003D06DE"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BS</w:t>
            </w:r>
          </w:p>
        </w:tc>
        <w:tc>
          <w:tcPr>
            <w:tcW w:w="3300" w:type="dxa"/>
            <w:tcBorders>
              <w:top w:val="single" w:sz="4" w:space="0" w:color="auto"/>
            </w:tcBorders>
            <w:noWrap/>
            <w:vAlign w:val="bottom"/>
            <w:hideMark/>
          </w:tcPr>
          <w:p w14:paraId="586EA297" w14:textId="77777777" w:rsidR="003D06DE" w:rsidRPr="008D0E93" w:rsidRDefault="003D06DE"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-0.006464</w:t>
            </w:r>
          </w:p>
        </w:tc>
        <w:tc>
          <w:tcPr>
            <w:tcW w:w="3240" w:type="dxa"/>
            <w:tcBorders>
              <w:top w:val="single" w:sz="4" w:space="0" w:color="auto"/>
            </w:tcBorders>
            <w:noWrap/>
            <w:vAlign w:val="bottom"/>
            <w:hideMark/>
          </w:tcPr>
          <w:p w14:paraId="2760567F" w14:textId="77777777" w:rsidR="003D06DE" w:rsidRPr="008D0E93" w:rsidRDefault="003D06DE"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-0.000148</w:t>
            </w:r>
          </w:p>
        </w:tc>
      </w:tr>
      <w:tr w:rsidR="003D06DE" w:rsidRPr="008D0E93" w14:paraId="1C4F5B8D" w14:textId="77777777" w:rsidTr="005D2F05">
        <w:trPr>
          <w:trHeight w:val="315"/>
          <w:jc w:val="center"/>
        </w:trPr>
        <w:tc>
          <w:tcPr>
            <w:tcW w:w="2085" w:type="dxa"/>
            <w:noWrap/>
            <w:vAlign w:val="bottom"/>
          </w:tcPr>
          <w:p w14:paraId="60666402" w14:textId="77777777" w:rsidR="003D06DE" w:rsidRPr="008D0E93" w:rsidRDefault="003D06DE" w:rsidP="005D2F05">
            <w:pPr>
              <w:spacing w:after="0" w:line="240" w:lineRule="auto"/>
              <w:jc w:val="center"/>
              <w:rPr>
                <w:rFonts w:ascii="Times New Roman" w:eastAsia="Times New Roman" w:hAnsi="Times New Roman" w:cs="Times New Roman"/>
                <w:color w:val="000000"/>
              </w:rPr>
            </w:pPr>
          </w:p>
        </w:tc>
        <w:tc>
          <w:tcPr>
            <w:tcW w:w="3300" w:type="dxa"/>
            <w:noWrap/>
            <w:vAlign w:val="bottom"/>
            <w:hideMark/>
          </w:tcPr>
          <w:p w14:paraId="531777F1" w14:textId="77777777" w:rsidR="003D06DE" w:rsidRPr="008D0E93" w:rsidRDefault="003D06DE" w:rsidP="005D2F05">
            <w:pPr>
              <w:spacing w:after="0" w:line="240" w:lineRule="auto"/>
              <w:jc w:val="center"/>
              <w:rPr>
                <w:rFonts w:ascii="Times New Roman" w:eastAsia="Times New Roman" w:hAnsi="Times New Roman" w:cs="Times New Roman"/>
                <w:color w:val="000000"/>
              </w:rPr>
            </w:pPr>
            <w:r w:rsidRPr="008D0E93">
              <w:rPr>
                <w:rFonts w:ascii="Times New Roman" w:eastAsia="Times New Roman" w:hAnsi="Times New Roman" w:cs="Times New Roman"/>
                <w:color w:val="000000"/>
              </w:rPr>
              <w:t>(</w:t>
            </w:r>
            <w:r w:rsidRPr="008D0E93">
              <w:rPr>
                <w:rFonts w:ascii="Times New Roman" w:hAnsi="Times New Roman" w:cs="Times New Roman"/>
                <w:color w:val="000000"/>
              </w:rPr>
              <w:t>-0.308766</w:t>
            </w:r>
            <w:r w:rsidRPr="008D0E93">
              <w:rPr>
                <w:rFonts w:ascii="Times New Roman" w:eastAsia="Times New Roman" w:hAnsi="Times New Roman" w:cs="Times New Roman"/>
                <w:color w:val="000000"/>
              </w:rPr>
              <w:t>)</w:t>
            </w:r>
          </w:p>
        </w:tc>
        <w:tc>
          <w:tcPr>
            <w:tcW w:w="3240" w:type="dxa"/>
            <w:noWrap/>
            <w:vAlign w:val="bottom"/>
            <w:hideMark/>
          </w:tcPr>
          <w:p w14:paraId="466142E0" w14:textId="77777777" w:rsidR="003D06DE" w:rsidRPr="008D0E93" w:rsidRDefault="003D06DE" w:rsidP="005D2F05">
            <w:pPr>
              <w:spacing w:after="0" w:line="240" w:lineRule="auto"/>
              <w:jc w:val="center"/>
              <w:rPr>
                <w:rFonts w:ascii="Times New Roman" w:eastAsia="Times New Roman" w:hAnsi="Times New Roman" w:cs="Times New Roman"/>
                <w:color w:val="000000"/>
              </w:rPr>
            </w:pPr>
            <w:r w:rsidRPr="008D0E93">
              <w:rPr>
                <w:rFonts w:ascii="Times New Roman" w:eastAsia="Times New Roman" w:hAnsi="Times New Roman" w:cs="Times New Roman"/>
                <w:color w:val="000000"/>
              </w:rPr>
              <w:t xml:space="preserve"> (</w:t>
            </w:r>
            <w:r w:rsidRPr="008D0E93">
              <w:rPr>
                <w:rFonts w:ascii="Times New Roman" w:hAnsi="Times New Roman" w:cs="Times New Roman"/>
                <w:color w:val="000000"/>
              </w:rPr>
              <w:t>-0.007911</w:t>
            </w:r>
            <w:r w:rsidRPr="008D0E93">
              <w:rPr>
                <w:rFonts w:ascii="Times New Roman" w:eastAsia="Times New Roman" w:hAnsi="Times New Roman" w:cs="Times New Roman"/>
                <w:color w:val="000000"/>
              </w:rPr>
              <w:t>)</w:t>
            </w:r>
          </w:p>
        </w:tc>
      </w:tr>
      <w:tr w:rsidR="003D06DE" w:rsidRPr="008D0E93" w14:paraId="42328B00" w14:textId="77777777" w:rsidTr="005D2F05">
        <w:trPr>
          <w:trHeight w:val="780"/>
          <w:jc w:val="center"/>
        </w:trPr>
        <w:tc>
          <w:tcPr>
            <w:tcW w:w="2085" w:type="dxa"/>
            <w:noWrap/>
            <w:vAlign w:val="bottom"/>
          </w:tcPr>
          <w:p w14:paraId="2B77F156" w14:textId="77777777" w:rsidR="003D06DE" w:rsidRPr="008D0E93" w:rsidRDefault="003D06DE"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B1</w:t>
            </w:r>
          </w:p>
        </w:tc>
        <w:tc>
          <w:tcPr>
            <w:tcW w:w="3300" w:type="dxa"/>
            <w:noWrap/>
            <w:vAlign w:val="bottom"/>
            <w:hideMark/>
          </w:tcPr>
          <w:p w14:paraId="3372442A" w14:textId="77777777" w:rsidR="003D06DE" w:rsidRPr="008D0E93" w:rsidRDefault="003D06DE"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0.00172</w:t>
            </w:r>
          </w:p>
        </w:tc>
        <w:tc>
          <w:tcPr>
            <w:tcW w:w="3240" w:type="dxa"/>
            <w:noWrap/>
            <w:vAlign w:val="bottom"/>
            <w:hideMark/>
          </w:tcPr>
          <w:p w14:paraId="41ADC385" w14:textId="77777777" w:rsidR="003D06DE" w:rsidRPr="008D0E93" w:rsidRDefault="003D06DE"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 xml:space="preserve">    0.002653</w:t>
            </w:r>
          </w:p>
        </w:tc>
      </w:tr>
      <w:tr w:rsidR="003D06DE" w:rsidRPr="008D0E93" w14:paraId="4BAF0818" w14:textId="77777777" w:rsidTr="005D2F05">
        <w:trPr>
          <w:trHeight w:val="315"/>
          <w:jc w:val="center"/>
        </w:trPr>
        <w:tc>
          <w:tcPr>
            <w:tcW w:w="2085" w:type="dxa"/>
            <w:noWrap/>
            <w:vAlign w:val="bottom"/>
          </w:tcPr>
          <w:p w14:paraId="280B55FE" w14:textId="77777777" w:rsidR="003D06DE" w:rsidRPr="008D0E93" w:rsidRDefault="003D06DE" w:rsidP="005D2F05">
            <w:pPr>
              <w:spacing w:after="0" w:line="240" w:lineRule="auto"/>
              <w:jc w:val="center"/>
              <w:rPr>
                <w:rFonts w:ascii="Times New Roman" w:eastAsia="Times New Roman" w:hAnsi="Times New Roman" w:cs="Times New Roman"/>
                <w:color w:val="000000"/>
              </w:rPr>
            </w:pPr>
          </w:p>
        </w:tc>
        <w:tc>
          <w:tcPr>
            <w:tcW w:w="3300" w:type="dxa"/>
            <w:noWrap/>
            <w:vAlign w:val="bottom"/>
            <w:hideMark/>
          </w:tcPr>
          <w:p w14:paraId="55EEC6B1" w14:textId="77777777" w:rsidR="003D06DE" w:rsidRPr="008D0E93" w:rsidRDefault="003D06DE" w:rsidP="005D2F05">
            <w:pPr>
              <w:spacing w:after="0" w:line="240" w:lineRule="auto"/>
              <w:jc w:val="center"/>
              <w:rPr>
                <w:rFonts w:ascii="Times New Roman" w:eastAsia="Times New Roman" w:hAnsi="Times New Roman" w:cs="Times New Roman"/>
                <w:color w:val="000000"/>
              </w:rPr>
            </w:pPr>
            <w:r w:rsidRPr="008D0E93">
              <w:rPr>
                <w:rFonts w:ascii="Times New Roman" w:eastAsia="Times New Roman" w:hAnsi="Times New Roman" w:cs="Times New Roman"/>
                <w:color w:val="000000"/>
              </w:rPr>
              <w:t xml:space="preserve"> (</w:t>
            </w:r>
            <w:r w:rsidRPr="008D0E93">
              <w:rPr>
                <w:rFonts w:ascii="Times New Roman" w:hAnsi="Times New Roman" w:cs="Times New Roman"/>
                <w:color w:val="000000"/>
              </w:rPr>
              <w:t>0.535211</w:t>
            </w:r>
            <w:r w:rsidRPr="008D0E93">
              <w:rPr>
                <w:rFonts w:ascii="Times New Roman" w:eastAsia="Times New Roman" w:hAnsi="Times New Roman" w:cs="Times New Roman"/>
                <w:color w:val="000000"/>
              </w:rPr>
              <w:t xml:space="preserve">) </w:t>
            </w:r>
          </w:p>
        </w:tc>
        <w:tc>
          <w:tcPr>
            <w:tcW w:w="3240" w:type="dxa"/>
            <w:noWrap/>
            <w:vAlign w:val="bottom"/>
            <w:hideMark/>
          </w:tcPr>
          <w:p w14:paraId="444950D6" w14:textId="77777777" w:rsidR="003D06DE" w:rsidRPr="008D0E93" w:rsidRDefault="003D06DE" w:rsidP="005D2F05">
            <w:pPr>
              <w:spacing w:after="0" w:line="240" w:lineRule="auto"/>
              <w:jc w:val="center"/>
              <w:rPr>
                <w:rFonts w:ascii="Times New Roman" w:eastAsia="Times New Roman" w:hAnsi="Times New Roman" w:cs="Times New Roman"/>
                <w:color w:val="000000"/>
              </w:rPr>
            </w:pPr>
            <w:r w:rsidRPr="008D0E93">
              <w:rPr>
                <w:rFonts w:ascii="Times New Roman" w:eastAsia="Times New Roman" w:hAnsi="Times New Roman" w:cs="Times New Roman"/>
                <w:color w:val="000000"/>
              </w:rPr>
              <w:t xml:space="preserve">    (</w:t>
            </w:r>
            <w:r w:rsidRPr="008D0E93">
              <w:rPr>
                <w:rFonts w:ascii="Times New Roman" w:hAnsi="Times New Roman" w:cs="Times New Roman"/>
                <w:color w:val="000000"/>
              </w:rPr>
              <w:t>0.887291</w:t>
            </w:r>
            <w:r w:rsidRPr="008D0E93">
              <w:rPr>
                <w:rFonts w:ascii="Times New Roman" w:eastAsia="Times New Roman" w:hAnsi="Times New Roman" w:cs="Times New Roman"/>
                <w:color w:val="000000"/>
              </w:rPr>
              <w:t xml:space="preserve">) </w:t>
            </w:r>
          </w:p>
        </w:tc>
      </w:tr>
      <w:tr w:rsidR="003D06DE" w:rsidRPr="008D0E93" w14:paraId="1867549C" w14:textId="77777777" w:rsidTr="005D2F05">
        <w:trPr>
          <w:trHeight w:val="315"/>
          <w:jc w:val="center"/>
        </w:trPr>
        <w:tc>
          <w:tcPr>
            <w:tcW w:w="2085" w:type="dxa"/>
            <w:noWrap/>
            <w:vAlign w:val="bottom"/>
          </w:tcPr>
          <w:p w14:paraId="14D65F35" w14:textId="7E993F67" w:rsidR="003D06DE" w:rsidRPr="008D0E93" w:rsidRDefault="003D06DE" w:rsidP="005D2F0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BE</w:t>
            </w:r>
          </w:p>
          <w:p w14:paraId="7F0F2999" w14:textId="58224DD3" w:rsidR="003D06DE" w:rsidRPr="008D0E93" w:rsidRDefault="003D06DE" w:rsidP="005D2F05">
            <w:pPr>
              <w:spacing w:after="0" w:line="240" w:lineRule="auto"/>
              <w:jc w:val="center"/>
              <w:rPr>
                <w:rFonts w:ascii="Times New Roman" w:eastAsia="Times New Roman" w:hAnsi="Times New Roman" w:cs="Times New Roman"/>
                <w:color w:val="000000"/>
              </w:rPr>
            </w:pPr>
          </w:p>
        </w:tc>
        <w:tc>
          <w:tcPr>
            <w:tcW w:w="3300" w:type="dxa"/>
            <w:noWrap/>
            <w:vAlign w:val="bottom"/>
          </w:tcPr>
          <w:p w14:paraId="03BBDF60" w14:textId="77777777" w:rsidR="003D06DE" w:rsidRPr="008D0E93" w:rsidRDefault="003D06DE" w:rsidP="005D2F05">
            <w:pPr>
              <w:spacing w:after="0" w:line="240" w:lineRule="auto"/>
              <w:jc w:val="center"/>
              <w:rPr>
                <w:rFonts w:ascii="Times New Roman" w:hAnsi="Times New Roman" w:cs="Times New Roman"/>
                <w:color w:val="000000"/>
              </w:rPr>
            </w:pPr>
          </w:p>
          <w:p w14:paraId="5975250A" w14:textId="77777777" w:rsidR="003D06DE" w:rsidRPr="008D0E93" w:rsidRDefault="003D06DE" w:rsidP="005D2F05">
            <w:pPr>
              <w:spacing w:after="0" w:line="240" w:lineRule="auto"/>
              <w:jc w:val="center"/>
              <w:rPr>
                <w:rFonts w:ascii="Times New Roman" w:hAnsi="Times New Roman" w:cs="Times New Roman"/>
                <w:color w:val="000000"/>
              </w:rPr>
            </w:pPr>
            <w:r w:rsidRPr="008D0E93">
              <w:rPr>
                <w:rFonts w:ascii="Times New Roman" w:hAnsi="Times New Roman" w:cs="Times New Roman"/>
                <w:color w:val="000000"/>
              </w:rPr>
              <w:t>0.023890</w:t>
            </w:r>
          </w:p>
          <w:p w14:paraId="7E1ACF30" w14:textId="77777777" w:rsidR="003D06DE" w:rsidRPr="008D0E93" w:rsidRDefault="003D06DE" w:rsidP="005D2F05">
            <w:pPr>
              <w:spacing w:after="0" w:line="240" w:lineRule="auto"/>
              <w:jc w:val="center"/>
              <w:rPr>
                <w:rFonts w:ascii="Times New Roman" w:eastAsia="Times New Roman" w:hAnsi="Times New Roman" w:cs="Times New Roman"/>
                <w:color w:val="000000"/>
              </w:rPr>
            </w:pPr>
            <w:r w:rsidRPr="008D0E93">
              <w:rPr>
                <w:rFonts w:ascii="Times New Roman" w:eastAsia="Times New Roman" w:hAnsi="Times New Roman" w:cs="Times New Roman"/>
                <w:color w:val="000000"/>
              </w:rPr>
              <w:t xml:space="preserve"> (</w:t>
            </w:r>
            <w:r w:rsidRPr="008D0E93">
              <w:rPr>
                <w:rFonts w:ascii="Times New Roman" w:hAnsi="Times New Roman" w:cs="Times New Roman"/>
                <w:color w:val="000000"/>
              </w:rPr>
              <w:t>1.090111</w:t>
            </w:r>
            <w:r w:rsidRPr="008D0E93">
              <w:rPr>
                <w:rFonts w:ascii="Times New Roman" w:eastAsia="Times New Roman" w:hAnsi="Times New Roman" w:cs="Times New Roman"/>
                <w:color w:val="000000"/>
              </w:rPr>
              <w:t>)</w:t>
            </w:r>
          </w:p>
        </w:tc>
        <w:tc>
          <w:tcPr>
            <w:tcW w:w="3240" w:type="dxa"/>
            <w:noWrap/>
            <w:vAlign w:val="bottom"/>
            <w:hideMark/>
          </w:tcPr>
          <w:p w14:paraId="658B6D7B" w14:textId="77777777" w:rsidR="003D06DE" w:rsidRPr="008D0E93" w:rsidRDefault="003D06DE" w:rsidP="005D2F05">
            <w:pPr>
              <w:spacing w:after="0" w:line="240" w:lineRule="auto"/>
              <w:jc w:val="center"/>
              <w:rPr>
                <w:rFonts w:ascii="Times New Roman" w:hAnsi="Times New Roman" w:cs="Times New Roman"/>
                <w:color w:val="000000"/>
              </w:rPr>
            </w:pPr>
            <w:r w:rsidRPr="008D0E93">
              <w:rPr>
                <w:rFonts w:ascii="Times New Roman" w:hAnsi="Times New Roman" w:cs="Times New Roman"/>
                <w:color w:val="000000"/>
              </w:rPr>
              <w:t>0.025799</w:t>
            </w:r>
          </w:p>
          <w:p w14:paraId="30F3EA11" w14:textId="77777777" w:rsidR="003D06DE" w:rsidRPr="008D0E93" w:rsidRDefault="003D06DE" w:rsidP="005D2F05">
            <w:pPr>
              <w:spacing w:after="0" w:line="240" w:lineRule="auto"/>
              <w:jc w:val="center"/>
              <w:rPr>
                <w:rFonts w:ascii="Times New Roman" w:eastAsia="Times New Roman" w:hAnsi="Times New Roman" w:cs="Times New Roman"/>
                <w:b/>
                <w:color w:val="000000"/>
              </w:rPr>
            </w:pPr>
            <w:r w:rsidRPr="008D0E93">
              <w:rPr>
                <w:rFonts w:ascii="Times New Roman" w:eastAsia="Times New Roman" w:hAnsi="Times New Roman" w:cs="Times New Roman"/>
                <w:color w:val="000000"/>
              </w:rPr>
              <w:t xml:space="preserve"> (</w:t>
            </w:r>
            <w:r w:rsidRPr="008D0E93">
              <w:rPr>
                <w:rFonts w:ascii="Times New Roman" w:hAnsi="Times New Roman" w:cs="Times New Roman"/>
                <w:color w:val="000000"/>
              </w:rPr>
              <w:t>1.249849</w:t>
            </w:r>
            <w:r w:rsidRPr="008D0E93">
              <w:rPr>
                <w:rFonts w:ascii="Times New Roman" w:eastAsia="Times New Roman" w:hAnsi="Times New Roman" w:cs="Times New Roman"/>
                <w:color w:val="000000"/>
              </w:rPr>
              <w:t>)</w:t>
            </w:r>
          </w:p>
        </w:tc>
      </w:tr>
      <w:tr w:rsidR="003D06DE" w:rsidRPr="008D0E93" w14:paraId="7BF54EDA" w14:textId="77777777" w:rsidTr="005D2F05">
        <w:trPr>
          <w:trHeight w:val="315"/>
          <w:jc w:val="center"/>
        </w:trPr>
        <w:tc>
          <w:tcPr>
            <w:tcW w:w="2085" w:type="dxa"/>
            <w:noWrap/>
            <w:vAlign w:val="bottom"/>
          </w:tcPr>
          <w:p w14:paraId="4F25B49F" w14:textId="371077C9" w:rsidR="003D06DE" w:rsidRPr="008D0E93" w:rsidRDefault="003D06DE" w:rsidP="005D2F0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p w14:paraId="748F0A54" w14:textId="07A46D9F" w:rsidR="003D06DE" w:rsidRPr="008D0E93" w:rsidRDefault="003D06DE" w:rsidP="005D2F0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300" w:type="dxa"/>
            <w:noWrap/>
            <w:vAlign w:val="bottom"/>
          </w:tcPr>
          <w:p w14:paraId="2E8C3F2A" w14:textId="77777777" w:rsidR="003D06DE" w:rsidRPr="008D0E93" w:rsidRDefault="003D06DE" w:rsidP="005D2F05">
            <w:pPr>
              <w:spacing w:after="0" w:line="240" w:lineRule="auto"/>
              <w:jc w:val="center"/>
              <w:rPr>
                <w:rFonts w:ascii="Times New Roman" w:hAnsi="Times New Roman" w:cs="Times New Roman"/>
                <w:color w:val="000000"/>
              </w:rPr>
            </w:pPr>
            <w:r w:rsidRPr="008D0E93">
              <w:rPr>
                <w:rFonts w:ascii="Times New Roman" w:hAnsi="Times New Roman" w:cs="Times New Roman"/>
                <w:color w:val="000000"/>
              </w:rPr>
              <w:t>0.828138</w:t>
            </w:r>
          </w:p>
          <w:p w14:paraId="555FF178" w14:textId="4A0E3418" w:rsidR="003D06DE" w:rsidRPr="008D0E93" w:rsidRDefault="003D06DE" w:rsidP="005D2F05">
            <w:pPr>
              <w:spacing w:after="0" w:line="240" w:lineRule="auto"/>
              <w:jc w:val="center"/>
              <w:rPr>
                <w:rFonts w:ascii="Times New Roman" w:hAnsi="Times New Roman" w:cs="Times New Roman"/>
                <w:color w:val="000000"/>
              </w:rPr>
            </w:pPr>
            <w:r w:rsidRPr="008D0E93">
              <w:rPr>
                <w:rFonts w:ascii="Times New Roman" w:hAnsi="Times New Roman" w:cs="Times New Roman"/>
                <w:color w:val="000000"/>
              </w:rPr>
              <w:t xml:space="preserve"> </w:t>
            </w:r>
            <w:r>
              <w:rPr>
                <w:rFonts w:ascii="Times New Roman" w:hAnsi="Times New Roman" w:cs="Times New Roman"/>
                <w:color w:val="000000"/>
              </w:rPr>
              <w:t xml:space="preserve">     </w:t>
            </w:r>
            <w:r w:rsidRPr="008D0E93">
              <w:rPr>
                <w:rFonts w:ascii="Times New Roman" w:hAnsi="Times New Roman" w:cs="Times New Roman"/>
                <w:color w:val="000000"/>
              </w:rPr>
              <w:t>(3.031617)***</w:t>
            </w:r>
          </w:p>
        </w:tc>
        <w:tc>
          <w:tcPr>
            <w:tcW w:w="3240" w:type="dxa"/>
            <w:noWrap/>
            <w:vAlign w:val="bottom"/>
          </w:tcPr>
          <w:p w14:paraId="5CBF5FCF" w14:textId="77777777" w:rsidR="003D06DE" w:rsidRPr="008D0E93" w:rsidRDefault="003D06DE" w:rsidP="005D2F05">
            <w:pPr>
              <w:spacing w:after="0" w:line="240" w:lineRule="auto"/>
              <w:jc w:val="center"/>
              <w:rPr>
                <w:rFonts w:ascii="Times New Roman" w:hAnsi="Times New Roman" w:cs="Times New Roman"/>
                <w:color w:val="000000"/>
              </w:rPr>
            </w:pPr>
            <w:r w:rsidRPr="008D0E93">
              <w:rPr>
                <w:rFonts w:ascii="Times New Roman" w:hAnsi="Times New Roman" w:cs="Times New Roman"/>
                <w:color w:val="000000"/>
              </w:rPr>
              <w:t>0.724571</w:t>
            </w:r>
          </w:p>
          <w:p w14:paraId="34CB7286" w14:textId="1DF15390" w:rsidR="003D06DE" w:rsidRPr="008D0E93" w:rsidRDefault="003D06DE" w:rsidP="005D2F05">
            <w:pPr>
              <w:spacing w:after="0" w:line="240" w:lineRule="auto"/>
              <w:jc w:val="center"/>
              <w:rPr>
                <w:rFonts w:ascii="Times New Roman" w:hAnsi="Times New Roman" w:cs="Times New Roman"/>
                <w:color w:val="000000"/>
              </w:rPr>
            </w:pPr>
            <w:r w:rsidRPr="008D0E93">
              <w:rPr>
                <w:rFonts w:ascii="Times New Roman" w:hAnsi="Times New Roman" w:cs="Times New Roman"/>
                <w:color w:val="000000"/>
              </w:rPr>
              <w:t xml:space="preserve"> </w:t>
            </w:r>
            <w:r>
              <w:rPr>
                <w:rFonts w:ascii="Times New Roman" w:hAnsi="Times New Roman" w:cs="Times New Roman"/>
                <w:color w:val="000000"/>
              </w:rPr>
              <w:t xml:space="preserve">    </w:t>
            </w:r>
            <w:r w:rsidRPr="008D0E93">
              <w:rPr>
                <w:rFonts w:ascii="Times New Roman" w:hAnsi="Times New Roman" w:cs="Times New Roman"/>
                <w:color w:val="000000"/>
              </w:rPr>
              <w:t>(3.15669)***</w:t>
            </w:r>
          </w:p>
        </w:tc>
      </w:tr>
      <w:tr w:rsidR="003D06DE" w:rsidRPr="008D0E93" w14:paraId="5FC6FEAB" w14:textId="77777777" w:rsidTr="005D2F05">
        <w:trPr>
          <w:trHeight w:val="315"/>
          <w:jc w:val="center"/>
        </w:trPr>
        <w:tc>
          <w:tcPr>
            <w:tcW w:w="2085" w:type="dxa"/>
            <w:noWrap/>
            <w:vAlign w:val="bottom"/>
          </w:tcPr>
          <w:p w14:paraId="0CDEE8AD" w14:textId="77777777" w:rsidR="003D06DE" w:rsidRPr="008D0E93" w:rsidRDefault="003D06DE" w:rsidP="005D2F05">
            <w:pPr>
              <w:spacing w:after="0" w:line="240" w:lineRule="auto"/>
              <w:jc w:val="center"/>
              <w:rPr>
                <w:rFonts w:ascii="Times New Roman" w:eastAsia="Times New Roman" w:hAnsi="Times New Roman" w:cs="Times New Roman"/>
                <w:color w:val="000000"/>
              </w:rPr>
            </w:pPr>
          </w:p>
          <w:p w14:paraId="5E90E27A" w14:textId="77777777" w:rsidR="003D06DE" w:rsidRPr="008D0E93" w:rsidRDefault="003D06DE" w:rsidP="005D2F05">
            <w:pPr>
              <w:spacing w:after="0" w:line="240" w:lineRule="auto"/>
              <w:jc w:val="center"/>
              <w:rPr>
                <w:rFonts w:ascii="Times New Roman" w:eastAsia="Times New Roman" w:hAnsi="Times New Roman" w:cs="Times New Roman"/>
                <w:color w:val="000000"/>
              </w:rPr>
            </w:pPr>
            <w:r w:rsidRPr="008D0E93">
              <w:rPr>
                <w:rFonts w:ascii="Times New Roman" w:eastAsia="Times New Roman" w:hAnsi="Times New Roman" w:cs="Times New Roman"/>
                <w:color w:val="000000"/>
              </w:rPr>
              <w:t>R-Squared</w:t>
            </w:r>
          </w:p>
          <w:p w14:paraId="774D53E9" w14:textId="77777777" w:rsidR="003D06DE" w:rsidRPr="008D0E93" w:rsidRDefault="003D06DE" w:rsidP="005D2F05">
            <w:pPr>
              <w:spacing w:after="0" w:line="240" w:lineRule="auto"/>
              <w:jc w:val="center"/>
              <w:rPr>
                <w:rFonts w:ascii="Times New Roman" w:eastAsia="Times New Roman" w:hAnsi="Times New Roman" w:cs="Times New Roman"/>
                <w:color w:val="000000"/>
              </w:rPr>
            </w:pPr>
            <w:r w:rsidRPr="008D0E93">
              <w:rPr>
                <w:rFonts w:ascii="Times New Roman" w:eastAsia="Times New Roman" w:hAnsi="Times New Roman" w:cs="Times New Roman"/>
                <w:color w:val="000000"/>
              </w:rPr>
              <w:t xml:space="preserve">Adjusted  R-Squared </w:t>
            </w:r>
          </w:p>
        </w:tc>
        <w:tc>
          <w:tcPr>
            <w:tcW w:w="3300" w:type="dxa"/>
            <w:noWrap/>
            <w:vAlign w:val="bottom"/>
            <w:hideMark/>
          </w:tcPr>
          <w:p w14:paraId="6C98F991" w14:textId="77777777" w:rsidR="003D06DE" w:rsidRPr="008D0E93" w:rsidRDefault="003D06DE" w:rsidP="005D2F05">
            <w:pPr>
              <w:spacing w:after="0" w:line="240" w:lineRule="auto"/>
              <w:jc w:val="center"/>
              <w:rPr>
                <w:rFonts w:ascii="Times New Roman" w:hAnsi="Times New Roman" w:cs="Times New Roman"/>
                <w:color w:val="000000"/>
              </w:rPr>
            </w:pPr>
            <w:r w:rsidRPr="008D0E93">
              <w:rPr>
                <w:rFonts w:ascii="Times New Roman" w:hAnsi="Times New Roman" w:cs="Times New Roman"/>
                <w:color w:val="000000"/>
              </w:rPr>
              <w:t>0.484858</w:t>
            </w:r>
          </w:p>
          <w:p w14:paraId="43AB2D7B" w14:textId="77777777" w:rsidR="003D06DE" w:rsidRPr="008D0E93" w:rsidRDefault="003D06DE" w:rsidP="005D2F05">
            <w:pPr>
              <w:spacing w:after="0" w:line="240" w:lineRule="auto"/>
              <w:jc w:val="center"/>
              <w:rPr>
                <w:rFonts w:ascii="Times New Roman" w:hAnsi="Times New Roman" w:cs="Times New Roman"/>
                <w:color w:val="000000"/>
              </w:rPr>
            </w:pPr>
          </w:p>
          <w:p w14:paraId="18FCA0A0" w14:textId="77777777" w:rsidR="003D06DE" w:rsidRPr="008D0E93" w:rsidRDefault="003D06DE"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0.453432</w:t>
            </w:r>
          </w:p>
        </w:tc>
        <w:tc>
          <w:tcPr>
            <w:tcW w:w="3240" w:type="dxa"/>
            <w:noWrap/>
            <w:vAlign w:val="bottom"/>
            <w:hideMark/>
          </w:tcPr>
          <w:p w14:paraId="2EAAE4E8" w14:textId="77777777" w:rsidR="003D06DE" w:rsidRPr="008D0E93" w:rsidRDefault="003D06DE" w:rsidP="005D2F05">
            <w:pPr>
              <w:spacing w:after="0" w:line="240" w:lineRule="auto"/>
              <w:jc w:val="center"/>
              <w:rPr>
                <w:rFonts w:ascii="Times New Roman" w:hAnsi="Times New Roman" w:cs="Times New Roman"/>
                <w:color w:val="000000"/>
              </w:rPr>
            </w:pPr>
            <w:r w:rsidRPr="008D0E93">
              <w:rPr>
                <w:rFonts w:ascii="Times New Roman" w:hAnsi="Times New Roman" w:cs="Times New Roman"/>
                <w:color w:val="000000"/>
              </w:rPr>
              <w:t>0.492502</w:t>
            </w:r>
          </w:p>
          <w:p w14:paraId="6D1C5665" w14:textId="77777777" w:rsidR="003D06DE" w:rsidRPr="008D0E93" w:rsidRDefault="003D06DE" w:rsidP="005D2F05">
            <w:pPr>
              <w:spacing w:after="0" w:line="240" w:lineRule="auto"/>
              <w:jc w:val="center"/>
              <w:rPr>
                <w:rFonts w:ascii="Times New Roman" w:hAnsi="Times New Roman" w:cs="Times New Roman"/>
                <w:color w:val="000000"/>
              </w:rPr>
            </w:pPr>
          </w:p>
          <w:p w14:paraId="732B50C8" w14:textId="77777777" w:rsidR="003D06DE" w:rsidRPr="008D0E93" w:rsidRDefault="003D06DE"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0.465163</w:t>
            </w:r>
          </w:p>
        </w:tc>
      </w:tr>
      <w:tr w:rsidR="003D06DE" w:rsidRPr="008D0E93" w14:paraId="0DC2B412" w14:textId="77777777" w:rsidTr="005D2F05">
        <w:trPr>
          <w:trHeight w:val="315"/>
          <w:jc w:val="center"/>
        </w:trPr>
        <w:tc>
          <w:tcPr>
            <w:tcW w:w="2085" w:type="dxa"/>
            <w:noWrap/>
            <w:vAlign w:val="bottom"/>
            <w:hideMark/>
          </w:tcPr>
          <w:p w14:paraId="7024C341" w14:textId="77777777" w:rsidR="003D06DE" w:rsidRPr="008D0E93" w:rsidRDefault="003D06DE" w:rsidP="005D2F05">
            <w:pPr>
              <w:spacing w:after="0" w:line="240" w:lineRule="auto"/>
              <w:jc w:val="center"/>
              <w:rPr>
                <w:rFonts w:ascii="Times New Roman" w:eastAsia="Times New Roman" w:hAnsi="Times New Roman" w:cs="Times New Roman"/>
                <w:color w:val="000000"/>
              </w:rPr>
            </w:pPr>
            <w:r w:rsidRPr="008D0E93">
              <w:rPr>
                <w:rFonts w:ascii="Times New Roman" w:eastAsia="Times New Roman" w:hAnsi="Times New Roman" w:cs="Times New Roman"/>
                <w:color w:val="000000"/>
              </w:rPr>
              <w:t>F-Statistics</w:t>
            </w:r>
          </w:p>
        </w:tc>
        <w:tc>
          <w:tcPr>
            <w:tcW w:w="3300" w:type="dxa"/>
            <w:noWrap/>
            <w:vAlign w:val="bottom"/>
            <w:hideMark/>
          </w:tcPr>
          <w:p w14:paraId="4D638C59" w14:textId="77777777" w:rsidR="003D06DE" w:rsidRPr="008D0E93" w:rsidRDefault="003D06DE"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3.553249</w:t>
            </w:r>
          </w:p>
        </w:tc>
        <w:tc>
          <w:tcPr>
            <w:tcW w:w="3240" w:type="dxa"/>
            <w:noWrap/>
            <w:vAlign w:val="bottom"/>
            <w:hideMark/>
          </w:tcPr>
          <w:p w14:paraId="7F0C165C" w14:textId="77777777" w:rsidR="003D06DE" w:rsidRPr="008D0E93" w:rsidRDefault="003D06DE"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0.813388</w:t>
            </w:r>
          </w:p>
        </w:tc>
      </w:tr>
      <w:tr w:rsidR="003D06DE" w:rsidRPr="008D0E93" w14:paraId="4347C0EC" w14:textId="77777777" w:rsidTr="005D2F05">
        <w:trPr>
          <w:trHeight w:val="330"/>
          <w:jc w:val="center"/>
        </w:trPr>
        <w:tc>
          <w:tcPr>
            <w:tcW w:w="2085" w:type="dxa"/>
            <w:tcBorders>
              <w:bottom w:val="single" w:sz="4" w:space="0" w:color="auto"/>
            </w:tcBorders>
            <w:noWrap/>
            <w:vAlign w:val="bottom"/>
            <w:hideMark/>
          </w:tcPr>
          <w:p w14:paraId="0182D8B4" w14:textId="77777777" w:rsidR="003D06DE" w:rsidRPr="008D0E93" w:rsidRDefault="003D06DE" w:rsidP="005D2F05">
            <w:pPr>
              <w:spacing w:after="0" w:line="240" w:lineRule="auto"/>
              <w:jc w:val="center"/>
              <w:rPr>
                <w:rFonts w:ascii="Times New Roman" w:eastAsia="Times New Roman" w:hAnsi="Times New Roman" w:cs="Times New Roman"/>
                <w:color w:val="000000"/>
              </w:rPr>
            </w:pPr>
            <w:r w:rsidRPr="008D0E93">
              <w:rPr>
                <w:rFonts w:ascii="Times New Roman" w:eastAsia="Times New Roman" w:hAnsi="Times New Roman" w:cs="Times New Roman"/>
                <w:color w:val="000000"/>
              </w:rPr>
              <w:t>Prob (F-Statistic</w:t>
            </w:r>
          </w:p>
        </w:tc>
        <w:tc>
          <w:tcPr>
            <w:tcW w:w="3300" w:type="dxa"/>
            <w:tcBorders>
              <w:bottom w:val="single" w:sz="4" w:space="0" w:color="auto"/>
            </w:tcBorders>
            <w:noWrap/>
            <w:vAlign w:val="bottom"/>
            <w:hideMark/>
          </w:tcPr>
          <w:p w14:paraId="13C033C8" w14:textId="77777777" w:rsidR="003D06DE" w:rsidRPr="008D0E93" w:rsidRDefault="003D06DE"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0.000150</w:t>
            </w:r>
          </w:p>
        </w:tc>
        <w:tc>
          <w:tcPr>
            <w:tcW w:w="3240" w:type="dxa"/>
            <w:tcBorders>
              <w:bottom w:val="single" w:sz="4" w:space="0" w:color="auto"/>
            </w:tcBorders>
            <w:noWrap/>
            <w:vAlign w:val="bottom"/>
            <w:hideMark/>
          </w:tcPr>
          <w:p w14:paraId="4F8F3096" w14:textId="77777777" w:rsidR="003D06DE" w:rsidRPr="008D0E93" w:rsidRDefault="003D06DE"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0.489217</w:t>
            </w:r>
          </w:p>
        </w:tc>
      </w:tr>
    </w:tbl>
    <w:p w14:paraId="32C0F866" w14:textId="5CF725B9" w:rsidR="003D06DE" w:rsidRPr="008D0E93" w:rsidRDefault="003D06DE" w:rsidP="003D06DE">
      <w:pPr>
        <w:spacing w:before="40" w:after="0"/>
        <w:jc w:val="both"/>
        <w:rPr>
          <w:rFonts w:ascii="Times New Roman" w:hAnsi="Times New Roman" w:cs="Times New Roman"/>
        </w:rPr>
      </w:pPr>
      <w:r w:rsidRPr="008D0E93">
        <w:rPr>
          <w:rFonts w:ascii="Times New Roman" w:hAnsi="Times New Roman" w:cs="Times New Roman"/>
          <w:b/>
          <w:bCs/>
        </w:rPr>
        <w:t>Source: Author's com</w:t>
      </w:r>
      <w:r>
        <w:rPr>
          <w:rFonts w:ascii="Times New Roman" w:hAnsi="Times New Roman" w:cs="Times New Roman"/>
          <w:b/>
          <w:bCs/>
        </w:rPr>
        <w:t>putations from E-views 12</w:t>
      </w:r>
    </w:p>
    <w:p w14:paraId="3DF6FDC8" w14:textId="77777777" w:rsidR="008E0F4B" w:rsidRPr="008E0F4B" w:rsidRDefault="008E0F4B" w:rsidP="008E0F4B">
      <w:pPr>
        <w:autoSpaceDE w:val="0"/>
        <w:autoSpaceDN w:val="0"/>
        <w:adjustRightInd w:val="0"/>
        <w:spacing w:after="0" w:line="240" w:lineRule="auto"/>
        <w:jc w:val="both"/>
        <w:rPr>
          <w:rFonts w:ascii="Times New Roman" w:hAnsi="Times New Roman" w:cs="Times New Roman"/>
          <w:b/>
          <w:bCs/>
        </w:rPr>
      </w:pPr>
    </w:p>
    <w:p w14:paraId="4D987AA0" w14:textId="1FD61C9F" w:rsidR="00706D13" w:rsidRPr="00292AF4" w:rsidRDefault="00706D13" w:rsidP="00292AF4">
      <w:pPr>
        <w:spacing w:line="240" w:lineRule="auto"/>
        <w:jc w:val="both"/>
        <w:rPr>
          <w:rFonts w:ascii="Times New Roman" w:hAnsi="Times New Roman" w:cs="Times New Roman"/>
        </w:rPr>
      </w:pPr>
      <w:r w:rsidRPr="00292AF4">
        <w:rPr>
          <w:rFonts w:ascii="Times New Roman" w:hAnsi="Times New Roman" w:cs="Times New Roman"/>
        </w:rPr>
        <w:t xml:space="preserve">Based on the Hausman test presented above, the chosen model was the random effect model because the random effect model was </w:t>
      </w:r>
      <w:r w:rsidR="00CE6989">
        <w:rPr>
          <w:rFonts w:ascii="Times New Roman" w:hAnsi="Times New Roman" w:cs="Times New Roman"/>
        </w:rPr>
        <w:t>the preferred model for analysis</w:t>
      </w:r>
      <w:r w:rsidRPr="00292AF4">
        <w:rPr>
          <w:rFonts w:ascii="Times New Roman" w:hAnsi="Times New Roman" w:cs="Times New Roman"/>
        </w:rPr>
        <w:t>. Based on the random effect model, the adjusted R-</w:t>
      </w:r>
      <w:r w:rsidRPr="00292AF4">
        <w:rPr>
          <w:rFonts w:ascii="Times New Roman" w:hAnsi="Times New Roman" w:cs="Times New Roman"/>
          <w:bCs/>
        </w:rPr>
        <w:t xml:space="preserve">squared </w:t>
      </w:r>
      <w:r w:rsidRPr="00292AF4">
        <w:rPr>
          <w:rFonts w:ascii="Times New Roman" w:hAnsi="Times New Roman" w:cs="Times New Roman"/>
          <w:b/>
          <w:bCs/>
        </w:rPr>
        <w:t>(</w:t>
      </w:r>
      <w:r w:rsidRPr="00292AF4">
        <w:rPr>
          <w:rFonts w:ascii="Times New Roman" w:hAnsi="Times New Roman" w:cs="Times New Roman"/>
          <w:color w:val="000000"/>
        </w:rPr>
        <w:t>0.465163</w:t>
      </w:r>
      <w:r w:rsidRPr="00292AF4">
        <w:rPr>
          <w:rFonts w:ascii="Times New Roman" w:hAnsi="Times New Roman" w:cs="Times New Roman"/>
          <w:b/>
          <w:bCs/>
        </w:rPr>
        <w:t>)</w:t>
      </w:r>
      <w:r w:rsidRPr="00292AF4">
        <w:rPr>
          <w:rFonts w:ascii="Times New Roman" w:hAnsi="Times New Roman" w:cs="Times New Roman"/>
        </w:rPr>
        <w:t xml:space="preserve"> indicates that </w:t>
      </w:r>
      <w:r w:rsidR="008A27AD" w:rsidRPr="00292AF4">
        <w:rPr>
          <w:rFonts w:ascii="Times New Roman" w:hAnsi="Times New Roman" w:cs="Times New Roman"/>
        </w:rPr>
        <w:t xml:space="preserve">BS, BI, BE </w:t>
      </w:r>
      <w:r w:rsidRPr="00292AF4">
        <w:rPr>
          <w:rFonts w:ascii="Times New Roman" w:hAnsi="Times New Roman" w:cs="Times New Roman"/>
        </w:rPr>
        <w:t xml:space="preserve">accounted for </w:t>
      </w:r>
      <w:r w:rsidR="002B43EA">
        <w:rPr>
          <w:rFonts w:ascii="Times New Roman" w:hAnsi="Times New Roman" w:cs="Times New Roman"/>
        </w:rPr>
        <w:t xml:space="preserve">about </w:t>
      </w:r>
      <w:r w:rsidR="008A27AD" w:rsidRPr="00292AF4">
        <w:rPr>
          <w:rFonts w:ascii="Times New Roman" w:hAnsi="Times New Roman" w:cs="Times New Roman"/>
          <w:color w:val="000000"/>
        </w:rPr>
        <w:t>47</w:t>
      </w:r>
      <w:r w:rsidRPr="00292AF4">
        <w:rPr>
          <w:rFonts w:ascii="Times New Roman" w:hAnsi="Times New Roman" w:cs="Times New Roman"/>
        </w:rPr>
        <w:t xml:space="preserve">% of the </w:t>
      </w:r>
      <w:r w:rsidR="002B43EA">
        <w:rPr>
          <w:rFonts w:ascii="Times New Roman" w:hAnsi="Times New Roman" w:cs="Times New Roman"/>
        </w:rPr>
        <w:t xml:space="preserve">variations in </w:t>
      </w:r>
      <w:r w:rsidR="008A27AD" w:rsidRPr="00292AF4">
        <w:rPr>
          <w:rFonts w:ascii="Times New Roman" w:hAnsi="Times New Roman" w:cs="Times New Roman"/>
        </w:rPr>
        <w:t>T</w:t>
      </w:r>
      <w:r w:rsidR="002B43EA">
        <w:rPr>
          <w:rFonts w:ascii="Times New Roman" w:hAnsi="Times New Roman" w:cs="Times New Roman"/>
        </w:rPr>
        <w:t>Q</w:t>
      </w:r>
      <w:r w:rsidR="008A27AD" w:rsidRPr="00292AF4">
        <w:rPr>
          <w:rFonts w:ascii="Times New Roman" w:hAnsi="Times New Roman" w:cs="Times New Roman"/>
        </w:rPr>
        <w:t xml:space="preserve"> </w:t>
      </w:r>
      <w:r w:rsidRPr="00292AF4">
        <w:rPr>
          <w:rFonts w:ascii="Times New Roman" w:hAnsi="Times New Roman" w:cs="Times New Roman"/>
        </w:rPr>
        <w:t>as the dependent</w:t>
      </w:r>
      <w:r w:rsidR="008A27AD" w:rsidRPr="00292AF4">
        <w:rPr>
          <w:rFonts w:ascii="Times New Roman" w:hAnsi="Times New Roman" w:cs="Times New Roman"/>
        </w:rPr>
        <w:t xml:space="preserve"> variable while the remaining 53</w:t>
      </w:r>
      <w:r w:rsidRPr="00292AF4">
        <w:rPr>
          <w:rFonts w:ascii="Times New Roman" w:hAnsi="Times New Roman" w:cs="Times New Roman"/>
        </w:rPr>
        <w:t xml:space="preserve">% </w:t>
      </w:r>
      <w:r w:rsidR="002B43EA">
        <w:rPr>
          <w:rFonts w:ascii="Times New Roman" w:hAnsi="Times New Roman" w:cs="Times New Roman"/>
        </w:rPr>
        <w:t xml:space="preserve">could be explained by other variables not included in the analysis and represented by the </w:t>
      </w:r>
      <w:r w:rsidRPr="00292AF4">
        <w:rPr>
          <w:rFonts w:ascii="Times New Roman" w:hAnsi="Times New Roman" w:cs="Times New Roman"/>
        </w:rPr>
        <w:t>error term</w:t>
      </w:r>
    </w:p>
    <w:p w14:paraId="043E410D" w14:textId="26E9CE88" w:rsidR="009D671F" w:rsidRPr="005F37E2" w:rsidRDefault="00706D13" w:rsidP="005F37E2">
      <w:pPr>
        <w:spacing w:line="240" w:lineRule="auto"/>
        <w:jc w:val="both"/>
        <w:rPr>
          <w:rFonts w:ascii="Times New Roman" w:hAnsi="Times New Roman" w:cs="Times New Roman"/>
          <w:color w:val="000000"/>
        </w:rPr>
      </w:pPr>
      <w:r w:rsidRPr="00292AF4">
        <w:rPr>
          <w:rFonts w:ascii="Times New Roman" w:hAnsi="Times New Roman" w:cs="Times New Roman"/>
        </w:rPr>
        <w:t xml:space="preserve">The coefficient of </w:t>
      </w:r>
      <w:r w:rsidR="008A27AD" w:rsidRPr="00292AF4">
        <w:rPr>
          <w:rFonts w:ascii="Times New Roman" w:hAnsi="Times New Roman" w:cs="Times New Roman"/>
          <w:color w:val="000000"/>
        </w:rPr>
        <w:t>BS was -0.000148</w:t>
      </w:r>
      <w:r w:rsidRPr="00292AF4">
        <w:rPr>
          <w:rFonts w:ascii="Times New Roman" w:hAnsi="Times New Roman" w:cs="Times New Roman"/>
          <w:color w:val="000000"/>
        </w:rPr>
        <w:t xml:space="preserve">. This implies a unit increases in </w:t>
      </w:r>
      <w:r w:rsidR="008A27AD" w:rsidRPr="00292AF4">
        <w:rPr>
          <w:rFonts w:ascii="Times New Roman" w:hAnsi="Times New Roman" w:cs="Times New Roman"/>
          <w:color w:val="000000"/>
        </w:rPr>
        <w:t xml:space="preserve">BS </w:t>
      </w:r>
      <w:r w:rsidRPr="00292AF4">
        <w:rPr>
          <w:rFonts w:ascii="Times New Roman" w:hAnsi="Times New Roman" w:cs="Times New Roman"/>
          <w:color w:val="000000"/>
        </w:rPr>
        <w:t xml:space="preserve">led to </w:t>
      </w:r>
      <w:r w:rsidR="008A27AD" w:rsidRPr="00292AF4">
        <w:rPr>
          <w:rFonts w:ascii="Times New Roman" w:hAnsi="Times New Roman" w:cs="Times New Roman"/>
          <w:color w:val="000000"/>
        </w:rPr>
        <w:t>-0.000148 decrease in</w:t>
      </w:r>
      <w:r w:rsidRPr="00292AF4">
        <w:rPr>
          <w:rFonts w:ascii="Times New Roman" w:hAnsi="Times New Roman" w:cs="Times New Roman"/>
          <w:color w:val="000000"/>
        </w:rPr>
        <w:t xml:space="preserve"> </w:t>
      </w:r>
      <w:r w:rsidR="008A27AD" w:rsidRPr="00292AF4">
        <w:rPr>
          <w:rFonts w:ascii="Times New Roman" w:hAnsi="Times New Roman" w:cs="Times New Roman"/>
          <w:iCs/>
        </w:rPr>
        <w:t>T</w:t>
      </w:r>
      <w:r w:rsidR="002B43EA">
        <w:rPr>
          <w:rFonts w:ascii="Times New Roman" w:hAnsi="Times New Roman" w:cs="Times New Roman"/>
          <w:iCs/>
        </w:rPr>
        <w:t>Q</w:t>
      </w:r>
      <w:r w:rsidR="008A27AD" w:rsidRPr="00292AF4">
        <w:rPr>
          <w:rFonts w:ascii="Times New Roman" w:hAnsi="Times New Roman" w:cs="Times New Roman"/>
          <w:iCs/>
        </w:rPr>
        <w:t xml:space="preserve">. </w:t>
      </w:r>
      <w:r w:rsidRPr="00292AF4">
        <w:rPr>
          <w:rFonts w:ascii="Times New Roman" w:hAnsi="Times New Roman" w:cs="Times New Roman"/>
          <w:iCs/>
        </w:rPr>
        <w:t xml:space="preserve">Also, the coefficient of </w:t>
      </w:r>
      <w:r w:rsidR="008A27AD" w:rsidRPr="00292AF4">
        <w:rPr>
          <w:rFonts w:ascii="Times New Roman" w:hAnsi="Times New Roman" w:cs="Times New Roman"/>
          <w:color w:val="000000"/>
        </w:rPr>
        <w:t xml:space="preserve">BI </w:t>
      </w:r>
      <w:r w:rsidRPr="00292AF4">
        <w:rPr>
          <w:rFonts w:ascii="Times New Roman" w:hAnsi="Times New Roman" w:cs="Times New Roman"/>
          <w:color w:val="000000"/>
        </w:rPr>
        <w:t xml:space="preserve">and </w:t>
      </w:r>
      <w:r w:rsidR="008A27AD" w:rsidRPr="00292AF4">
        <w:rPr>
          <w:rFonts w:ascii="Times New Roman" w:hAnsi="Times New Roman" w:cs="Times New Roman"/>
          <w:color w:val="000000"/>
        </w:rPr>
        <w:t xml:space="preserve">BE </w:t>
      </w:r>
      <w:r w:rsidRPr="00292AF4">
        <w:rPr>
          <w:rFonts w:ascii="Times New Roman" w:hAnsi="Times New Roman" w:cs="Times New Roman"/>
          <w:color w:val="000000"/>
        </w:rPr>
        <w:t xml:space="preserve">were </w:t>
      </w:r>
      <w:r w:rsidR="008A27AD" w:rsidRPr="00292AF4">
        <w:rPr>
          <w:rFonts w:ascii="Times New Roman" w:hAnsi="Times New Roman" w:cs="Times New Roman"/>
          <w:color w:val="000000"/>
        </w:rPr>
        <w:t xml:space="preserve">0.002653 </w:t>
      </w:r>
      <w:r w:rsidRPr="00292AF4">
        <w:rPr>
          <w:rFonts w:ascii="Times New Roman" w:hAnsi="Times New Roman" w:cs="Times New Roman"/>
          <w:color w:val="000000"/>
        </w:rPr>
        <w:t xml:space="preserve">and </w:t>
      </w:r>
      <w:r w:rsidR="008A27AD" w:rsidRPr="00292AF4">
        <w:rPr>
          <w:rFonts w:ascii="Times New Roman" w:hAnsi="Times New Roman" w:cs="Times New Roman"/>
          <w:color w:val="000000"/>
        </w:rPr>
        <w:t>0.025799</w:t>
      </w:r>
      <w:r w:rsidRPr="00292AF4">
        <w:rPr>
          <w:rFonts w:ascii="Times New Roman" w:hAnsi="Times New Roman" w:cs="Times New Roman"/>
          <w:color w:val="000000"/>
        </w:rPr>
        <w:t xml:space="preserve">. This implies that a unit increase in </w:t>
      </w:r>
      <w:r w:rsidR="008A27AD" w:rsidRPr="00292AF4">
        <w:rPr>
          <w:rFonts w:ascii="Times New Roman" w:hAnsi="Times New Roman" w:cs="Times New Roman"/>
          <w:color w:val="000000"/>
        </w:rPr>
        <w:t>BI and B</w:t>
      </w:r>
      <w:r w:rsidR="008E751E" w:rsidRPr="00292AF4">
        <w:rPr>
          <w:rFonts w:ascii="Times New Roman" w:hAnsi="Times New Roman" w:cs="Times New Roman"/>
          <w:color w:val="000000"/>
        </w:rPr>
        <w:t>E</w:t>
      </w:r>
      <w:r w:rsidR="008A27AD" w:rsidRPr="00292AF4">
        <w:rPr>
          <w:rFonts w:ascii="Times New Roman" w:hAnsi="Times New Roman" w:cs="Times New Roman"/>
          <w:color w:val="000000"/>
        </w:rPr>
        <w:t xml:space="preserve"> </w:t>
      </w:r>
      <w:r w:rsidRPr="00292AF4">
        <w:rPr>
          <w:rFonts w:ascii="Times New Roman" w:hAnsi="Times New Roman" w:cs="Times New Roman"/>
          <w:color w:val="000000"/>
        </w:rPr>
        <w:t xml:space="preserve">led to </w:t>
      </w:r>
      <w:r w:rsidR="008A27AD" w:rsidRPr="00292AF4">
        <w:rPr>
          <w:rFonts w:ascii="Times New Roman" w:hAnsi="Times New Roman" w:cs="Times New Roman"/>
          <w:color w:val="000000"/>
        </w:rPr>
        <w:t xml:space="preserve">002653 and 0.025799 </w:t>
      </w:r>
      <w:r w:rsidRPr="00292AF4">
        <w:rPr>
          <w:rFonts w:ascii="Times New Roman" w:hAnsi="Times New Roman" w:cs="Times New Roman"/>
          <w:color w:val="000000"/>
        </w:rPr>
        <w:t xml:space="preserve">increase in </w:t>
      </w:r>
      <w:r w:rsidR="008A27AD" w:rsidRPr="00292AF4">
        <w:rPr>
          <w:rFonts w:ascii="Times New Roman" w:hAnsi="Times New Roman" w:cs="Times New Roman"/>
          <w:iCs/>
        </w:rPr>
        <w:t>T</w:t>
      </w:r>
      <w:r w:rsidR="002B43EA">
        <w:rPr>
          <w:rFonts w:ascii="Times New Roman" w:hAnsi="Times New Roman" w:cs="Times New Roman"/>
          <w:iCs/>
        </w:rPr>
        <w:t>Q</w:t>
      </w:r>
      <w:r w:rsidRPr="00292AF4">
        <w:rPr>
          <w:rFonts w:ascii="Times New Roman" w:hAnsi="Times New Roman" w:cs="Times New Roman"/>
          <w:iCs/>
        </w:rPr>
        <w:t>.</w:t>
      </w:r>
      <w:r w:rsidR="008E751E" w:rsidRPr="00292AF4">
        <w:rPr>
          <w:rFonts w:ascii="Times New Roman" w:hAnsi="Times New Roman" w:cs="Times New Roman"/>
          <w:color w:val="000000"/>
        </w:rPr>
        <w:t xml:space="preserve"> The probability value of BS</w:t>
      </w:r>
      <w:r w:rsidRPr="00292AF4">
        <w:rPr>
          <w:rFonts w:ascii="Times New Roman" w:hAnsi="Times New Roman" w:cs="Times New Roman"/>
          <w:color w:val="000000"/>
        </w:rPr>
        <w:t xml:space="preserve">, </w:t>
      </w:r>
      <w:r w:rsidR="008E751E" w:rsidRPr="00292AF4">
        <w:rPr>
          <w:rFonts w:ascii="Times New Roman" w:hAnsi="Times New Roman" w:cs="Times New Roman"/>
          <w:color w:val="000000"/>
        </w:rPr>
        <w:t>BI</w:t>
      </w:r>
      <w:r w:rsidRPr="00292AF4">
        <w:rPr>
          <w:rFonts w:ascii="Times New Roman" w:hAnsi="Times New Roman" w:cs="Times New Roman"/>
          <w:color w:val="000000"/>
        </w:rPr>
        <w:t xml:space="preserve"> and </w:t>
      </w:r>
      <w:r w:rsidR="00292AF4" w:rsidRPr="00292AF4">
        <w:rPr>
          <w:rFonts w:ascii="Times New Roman" w:hAnsi="Times New Roman" w:cs="Times New Roman"/>
          <w:color w:val="000000"/>
        </w:rPr>
        <w:t>BE</w:t>
      </w:r>
      <w:r w:rsidRPr="00292AF4">
        <w:rPr>
          <w:rFonts w:ascii="Times New Roman" w:hAnsi="Times New Roman" w:cs="Times New Roman"/>
          <w:color w:val="000000"/>
        </w:rPr>
        <w:t xml:space="preserve"> were </w:t>
      </w:r>
      <w:r w:rsidR="008E751E" w:rsidRPr="00292AF4">
        <w:rPr>
          <w:rFonts w:ascii="Times New Roman" w:hAnsi="Times New Roman" w:cs="Times New Roman"/>
          <w:color w:val="000000"/>
        </w:rPr>
        <w:t>0.9937</w:t>
      </w:r>
      <w:r w:rsidRPr="00292AF4">
        <w:rPr>
          <w:rFonts w:ascii="Times New Roman" w:hAnsi="Times New Roman" w:cs="Times New Roman"/>
          <w:color w:val="000000"/>
        </w:rPr>
        <w:t xml:space="preserve">, </w:t>
      </w:r>
      <w:r w:rsidR="008E751E" w:rsidRPr="00292AF4">
        <w:rPr>
          <w:rFonts w:ascii="Times New Roman" w:hAnsi="Times New Roman" w:cs="Times New Roman"/>
          <w:color w:val="000000"/>
        </w:rPr>
        <w:t xml:space="preserve">0.3769 </w:t>
      </w:r>
      <w:r w:rsidRPr="00292AF4">
        <w:rPr>
          <w:rFonts w:ascii="Times New Roman" w:hAnsi="Times New Roman" w:cs="Times New Roman"/>
          <w:color w:val="000000"/>
        </w:rPr>
        <w:t xml:space="preserve">and </w:t>
      </w:r>
      <w:r w:rsidR="008E751E" w:rsidRPr="00292AF4">
        <w:rPr>
          <w:rFonts w:ascii="Times New Roman" w:hAnsi="Times New Roman" w:cs="Times New Roman"/>
          <w:color w:val="000000"/>
        </w:rPr>
        <w:t>0.2141</w:t>
      </w:r>
      <w:r w:rsidRPr="00292AF4">
        <w:rPr>
          <w:rFonts w:ascii="Times New Roman" w:hAnsi="Times New Roman" w:cs="Times New Roman"/>
          <w:color w:val="000000"/>
        </w:rPr>
        <w:t xml:space="preserve">.  This implies that </w:t>
      </w:r>
      <w:r w:rsidR="008E751E" w:rsidRPr="00292AF4">
        <w:rPr>
          <w:rFonts w:ascii="Times New Roman" w:hAnsi="Times New Roman" w:cs="Times New Roman"/>
          <w:color w:val="000000"/>
        </w:rPr>
        <w:t>BS</w:t>
      </w:r>
      <w:r w:rsidRPr="00292AF4">
        <w:rPr>
          <w:rFonts w:ascii="Times New Roman" w:hAnsi="Times New Roman" w:cs="Times New Roman"/>
          <w:color w:val="000000"/>
        </w:rPr>
        <w:t xml:space="preserve"> </w:t>
      </w:r>
      <w:r w:rsidR="008E751E" w:rsidRPr="00292AF4">
        <w:rPr>
          <w:rFonts w:ascii="Times New Roman" w:hAnsi="Times New Roman" w:cs="Times New Roman"/>
          <w:color w:val="000000"/>
        </w:rPr>
        <w:t>BI</w:t>
      </w:r>
      <w:r w:rsidRPr="00292AF4">
        <w:rPr>
          <w:rFonts w:ascii="Times New Roman" w:hAnsi="Times New Roman" w:cs="Times New Roman"/>
          <w:color w:val="000000"/>
        </w:rPr>
        <w:t xml:space="preserve"> and</w:t>
      </w:r>
      <w:r w:rsidR="00292AF4" w:rsidRPr="00292AF4">
        <w:rPr>
          <w:rFonts w:ascii="Times New Roman" w:hAnsi="Times New Roman" w:cs="Times New Roman"/>
          <w:color w:val="000000"/>
        </w:rPr>
        <w:t xml:space="preserve"> BE</w:t>
      </w:r>
      <w:r w:rsidRPr="00292AF4">
        <w:rPr>
          <w:rFonts w:ascii="Times New Roman" w:hAnsi="Times New Roman" w:cs="Times New Roman"/>
          <w:color w:val="000000"/>
        </w:rPr>
        <w:t xml:space="preserve"> were all insignificant since their value were greater than 0.05.</w:t>
      </w:r>
      <w:r w:rsidRPr="00292AF4">
        <w:rPr>
          <w:rFonts w:ascii="Times New Roman" w:hAnsi="Times New Roman" w:cs="Times New Roman"/>
        </w:rPr>
        <w:t xml:space="preserve"> Finally</w:t>
      </w:r>
      <w:r w:rsidRPr="00292AF4">
        <w:rPr>
          <w:rFonts w:ascii="Times New Roman" w:hAnsi="Times New Roman" w:cs="Times New Roman"/>
          <w:b/>
        </w:rPr>
        <w:t xml:space="preserve">, </w:t>
      </w:r>
      <w:r w:rsidRPr="00292AF4">
        <w:rPr>
          <w:rFonts w:ascii="Times New Roman" w:hAnsi="Times New Roman" w:cs="Times New Roman"/>
        </w:rPr>
        <w:t xml:space="preserve">the probability of F-statistic was </w:t>
      </w:r>
      <w:r w:rsidR="00292AF4" w:rsidRPr="00292AF4">
        <w:rPr>
          <w:rFonts w:ascii="Times New Roman" w:hAnsi="Times New Roman" w:cs="Times New Roman"/>
          <w:color w:val="000000"/>
        </w:rPr>
        <w:t>0.489217</w:t>
      </w:r>
      <w:r w:rsidRPr="00292AF4">
        <w:rPr>
          <w:rFonts w:ascii="Times New Roman" w:hAnsi="Times New Roman" w:cs="Times New Roman"/>
          <w:color w:val="000000"/>
        </w:rPr>
        <w:t xml:space="preserve">. </w:t>
      </w:r>
    </w:p>
    <w:p w14:paraId="4355A42B" w14:textId="77777777" w:rsidR="00185A21" w:rsidRDefault="00185A21" w:rsidP="005D2F05">
      <w:pPr>
        <w:spacing w:after="0" w:line="240" w:lineRule="auto"/>
        <w:jc w:val="both"/>
        <w:rPr>
          <w:rFonts w:ascii="Times New Roman" w:hAnsi="Times New Roman" w:cs="Times New Roman"/>
        </w:rPr>
      </w:pPr>
    </w:p>
    <w:p w14:paraId="4787E0A9" w14:textId="77777777" w:rsidR="00185A21" w:rsidRDefault="00185A21" w:rsidP="005D2F05">
      <w:pPr>
        <w:spacing w:after="0" w:line="240" w:lineRule="auto"/>
        <w:jc w:val="both"/>
        <w:rPr>
          <w:rFonts w:ascii="Times New Roman" w:hAnsi="Times New Roman" w:cs="Times New Roman"/>
        </w:rPr>
      </w:pPr>
    </w:p>
    <w:p w14:paraId="42C28178" w14:textId="77777777" w:rsidR="00185A21" w:rsidRDefault="00185A21" w:rsidP="005D2F05">
      <w:pPr>
        <w:spacing w:after="0" w:line="240" w:lineRule="auto"/>
        <w:jc w:val="both"/>
        <w:rPr>
          <w:rFonts w:ascii="Times New Roman" w:hAnsi="Times New Roman" w:cs="Times New Roman"/>
        </w:rPr>
      </w:pPr>
    </w:p>
    <w:p w14:paraId="00A77B90" w14:textId="1FA2CB15" w:rsidR="005D2F05" w:rsidRDefault="005F37E2" w:rsidP="005D2F05">
      <w:pPr>
        <w:spacing w:after="0" w:line="240" w:lineRule="auto"/>
        <w:jc w:val="both"/>
        <w:rPr>
          <w:rFonts w:ascii="Times New Roman" w:hAnsi="Times New Roman" w:cs="Times New Roman"/>
        </w:rPr>
      </w:pPr>
      <w:r>
        <w:rPr>
          <w:rFonts w:ascii="Times New Roman" w:hAnsi="Times New Roman" w:cs="Times New Roman"/>
        </w:rPr>
        <w:t xml:space="preserve">. </w:t>
      </w:r>
    </w:p>
    <w:p w14:paraId="7C8D5BD7" w14:textId="02830348" w:rsidR="009C0821" w:rsidRPr="005D2F05" w:rsidRDefault="005D2F05" w:rsidP="005D2F05">
      <w:pPr>
        <w:spacing w:after="0" w:line="240" w:lineRule="auto"/>
        <w:jc w:val="both"/>
        <w:rPr>
          <w:rFonts w:ascii="Times New Roman" w:hAnsi="Times New Roman" w:cs="Times New Roman"/>
        </w:rPr>
      </w:pPr>
      <w:r>
        <w:rPr>
          <w:rFonts w:ascii="Times New Roman" w:hAnsi="Times New Roman" w:cs="Times New Roman"/>
          <w:b/>
        </w:rPr>
        <w:lastRenderedPageBreak/>
        <w:t xml:space="preserve">Table 4: </w:t>
      </w:r>
      <w:r w:rsidR="009C0821" w:rsidRPr="008D0E93">
        <w:rPr>
          <w:rFonts w:ascii="Times New Roman" w:hAnsi="Times New Roman" w:cs="Times New Roman"/>
          <w:b/>
        </w:rPr>
        <w:t>Hausman Test for Model Two</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9C0821" w:rsidRPr="008D0E93" w14:paraId="3C6BF497" w14:textId="77777777" w:rsidTr="005D2F05">
        <w:trPr>
          <w:trHeight w:val="225"/>
        </w:trPr>
        <w:tc>
          <w:tcPr>
            <w:tcW w:w="5535" w:type="dxa"/>
            <w:gridSpan w:val="4"/>
            <w:tcBorders>
              <w:top w:val="nil"/>
              <w:left w:val="nil"/>
              <w:bottom w:val="nil"/>
              <w:right w:val="nil"/>
            </w:tcBorders>
            <w:vAlign w:val="bottom"/>
          </w:tcPr>
          <w:p w14:paraId="56095265" w14:textId="77777777" w:rsidR="009C0821" w:rsidRPr="008D0E93" w:rsidRDefault="009C0821" w:rsidP="005D2F05">
            <w:pPr>
              <w:autoSpaceDE w:val="0"/>
              <w:autoSpaceDN w:val="0"/>
              <w:adjustRightInd w:val="0"/>
              <w:spacing w:after="0" w:line="240" w:lineRule="auto"/>
              <w:rPr>
                <w:rFonts w:ascii="Times New Roman" w:hAnsi="Times New Roman" w:cs="Times New Roman"/>
                <w:color w:val="000000"/>
              </w:rPr>
            </w:pPr>
            <w:r w:rsidRPr="008D0E93">
              <w:rPr>
                <w:rFonts w:ascii="Times New Roman" w:hAnsi="Times New Roman" w:cs="Times New Roman"/>
                <w:color w:val="000000"/>
              </w:rPr>
              <w:t>Correlated Random Effects - Hausman Test</w:t>
            </w:r>
          </w:p>
        </w:tc>
        <w:tc>
          <w:tcPr>
            <w:tcW w:w="997" w:type="dxa"/>
            <w:tcBorders>
              <w:top w:val="nil"/>
              <w:left w:val="nil"/>
              <w:bottom w:val="nil"/>
              <w:right w:val="nil"/>
            </w:tcBorders>
            <w:vAlign w:val="bottom"/>
          </w:tcPr>
          <w:p w14:paraId="3EAAE04E"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r>
      <w:tr w:rsidR="009C0821" w:rsidRPr="008D0E93" w14:paraId="0D1B88CE" w14:textId="77777777" w:rsidTr="005D2F05">
        <w:trPr>
          <w:trHeight w:val="225"/>
        </w:trPr>
        <w:tc>
          <w:tcPr>
            <w:tcW w:w="4327" w:type="dxa"/>
            <w:gridSpan w:val="3"/>
            <w:tcBorders>
              <w:top w:val="nil"/>
              <w:left w:val="nil"/>
              <w:bottom w:val="nil"/>
              <w:right w:val="nil"/>
            </w:tcBorders>
            <w:vAlign w:val="bottom"/>
          </w:tcPr>
          <w:p w14:paraId="1493200C" w14:textId="77777777" w:rsidR="009C0821" w:rsidRPr="008D0E93" w:rsidRDefault="009C0821" w:rsidP="005D2F05">
            <w:pPr>
              <w:autoSpaceDE w:val="0"/>
              <w:autoSpaceDN w:val="0"/>
              <w:adjustRightInd w:val="0"/>
              <w:spacing w:after="0" w:line="240" w:lineRule="auto"/>
              <w:rPr>
                <w:rFonts w:ascii="Times New Roman" w:hAnsi="Times New Roman" w:cs="Times New Roman"/>
                <w:color w:val="000000"/>
              </w:rPr>
            </w:pPr>
            <w:r w:rsidRPr="008D0E93">
              <w:rPr>
                <w:rFonts w:ascii="Times New Roman" w:hAnsi="Times New Roman" w:cs="Times New Roman"/>
                <w:color w:val="000000"/>
              </w:rPr>
              <w:t>Equation: Untitled</w:t>
            </w:r>
          </w:p>
        </w:tc>
        <w:tc>
          <w:tcPr>
            <w:tcW w:w="1208" w:type="dxa"/>
            <w:tcBorders>
              <w:top w:val="nil"/>
              <w:left w:val="nil"/>
              <w:bottom w:val="nil"/>
              <w:right w:val="nil"/>
            </w:tcBorders>
            <w:vAlign w:val="bottom"/>
          </w:tcPr>
          <w:p w14:paraId="6B412201"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c>
          <w:tcPr>
            <w:tcW w:w="997" w:type="dxa"/>
            <w:tcBorders>
              <w:top w:val="nil"/>
              <w:left w:val="nil"/>
              <w:bottom w:val="nil"/>
              <w:right w:val="nil"/>
            </w:tcBorders>
            <w:vAlign w:val="bottom"/>
          </w:tcPr>
          <w:p w14:paraId="3CC282AA"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r>
      <w:tr w:rsidR="009C0821" w:rsidRPr="008D0E93" w14:paraId="2C5D7AB0" w14:textId="77777777" w:rsidTr="005D2F05">
        <w:trPr>
          <w:trHeight w:val="225"/>
        </w:trPr>
        <w:tc>
          <w:tcPr>
            <w:tcW w:w="5535" w:type="dxa"/>
            <w:gridSpan w:val="4"/>
            <w:tcBorders>
              <w:top w:val="nil"/>
              <w:left w:val="nil"/>
              <w:bottom w:val="nil"/>
              <w:right w:val="nil"/>
            </w:tcBorders>
            <w:vAlign w:val="bottom"/>
          </w:tcPr>
          <w:p w14:paraId="745C0087" w14:textId="77777777" w:rsidR="009C0821" w:rsidRPr="008D0E93" w:rsidRDefault="009C0821" w:rsidP="005D2F05">
            <w:pPr>
              <w:autoSpaceDE w:val="0"/>
              <w:autoSpaceDN w:val="0"/>
              <w:adjustRightInd w:val="0"/>
              <w:spacing w:after="0" w:line="240" w:lineRule="auto"/>
              <w:rPr>
                <w:rFonts w:ascii="Times New Roman" w:hAnsi="Times New Roman" w:cs="Times New Roman"/>
                <w:color w:val="000000"/>
              </w:rPr>
            </w:pPr>
            <w:r w:rsidRPr="008D0E93">
              <w:rPr>
                <w:rFonts w:ascii="Times New Roman" w:hAnsi="Times New Roman" w:cs="Times New Roman"/>
                <w:color w:val="000000"/>
              </w:rPr>
              <w:t>Test cross-section random effects</w:t>
            </w:r>
          </w:p>
        </w:tc>
        <w:tc>
          <w:tcPr>
            <w:tcW w:w="997" w:type="dxa"/>
            <w:tcBorders>
              <w:top w:val="nil"/>
              <w:left w:val="nil"/>
              <w:bottom w:val="nil"/>
              <w:right w:val="nil"/>
            </w:tcBorders>
            <w:vAlign w:val="bottom"/>
          </w:tcPr>
          <w:p w14:paraId="088D3601"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r>
      <w:tr w:rsidR="009C0821" w:rsidRPr="008D0E93" w14:paraId="4E19F21C" w14:textId="77777777" w:rsidTr="005D2F05">
        <w:trPr>
          <w:trHeight w:hRule="exact" w:val="90"/>
        </w:trPr>
        <w:tc>
          <w:tcPr>
            <w:tcW w:w="2017" w:type="dxa"/>
            <w:tcBorders>
              <w:top w:val="nil"/>
              <w:left w:val="nil"/>
              <w:bottom w:val="double" w:sz="6" w:space="2" w:color="auto"/>
              <w:right w:val="nil"/>
            </w:tcBorders>
            <w:vAlign w:val="bottom"/>
          </w:tcPr>
          <w:p w14:paraId="19387FDE"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c>
          <w:tcPr>
            <w:tcW w:w="1103" w:type="dxa"/>
            <w:tcBorders>
              <w:top w:val="nil"/>
              <w:left w:val="nil"/>
              <w:bottom w:val="double" w:sz="6" w:space="2" w:color="auto"/>
              <w:right w:val="nil"/>
            </w:tcBorders>
            <w:vAlign w:val="bottom"/>
          </w:tcPr>
          <w:p w14:paraId="278E1788"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c>
          <w:tcPr>
            <w:tcW w:w="1207" w:type="dxa"/>
            <w:tcBorders>
              <w:top w:val="nil"/>
              <w:left w:val="nil"/>
              <w:bottom w:val="double" w:sz="6" w:space="2" w:color="auto"/>
              <w:right w:val="nil"/>
            </w:tcBorders>
            <w:vAlign w:val="bottom"/>
          </w:tcPr>
          <w:p w14:paraId="11297282"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c>
          <w:tcPr>
            <w:tcW w:w="1208" w:type="dxa"/>
            <w:tcBorders>
              <w:top w:val="nil"/>
              <w:left w:val="nil"/>
              <w:bottom w:val="double" w:sz="6" w:space="2" w:color="auto"/>
              <w:right w:val="nil"/>
            </w:tcBorders>
            <w:vAlign w:val="bottom"/>
          </w:tcPr>
          <w:p w14:paraId="7E1A9E3E"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c>
          <w:tcPr>
            <w:tcW w:w="997" w:type="dxa"/>
            <w:tcBorders>
              <w:top w:val="nil"/>
              <w:left w:val="nil"/>
              <w:bottom w:val="double" w:sz="6" w:space="2" w:color="auto"/>
              <w:right w:val="nil"/>
            </w:tcBorders>
            <w:vAlign w:val="bottom"/>
          </w:tcPr>
          <w:p w14:paraId="5E35B97E"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r>
      <w:tr w:rsidR="009C0821" w:rsidRPr="008D0E93" w14:paraId="1E7D930A" w14:textId="77777777" w:rsidTr="005D2F05">
        <w:trPr>
          <w:trHeight w:hRule="exact" w:val="135"/>
        </w:trPr>
        <w:tc>
          <w:tcPr>
            <w:tcW w:w="2017" w:type="dxa"/>
            <w:tcBorders>
              <w:top w:val="nil"/>
              <w:left w:val="nil"/>
              <w:bottom w:val="nil"/>
              <w:right w:val="nil"/>
            </w:tcBorders>
            <w:vAlign w:val="bottom"/>
          </w:tcPr>
          <w:p w14:paraId="546A061F"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c>
          <w:tcPr>
            <w:tcW w:w="1103" w:type="dxa"/>
            <w:tcBorders>
              <w:top w:val="nil"/>
              <w:left w:val="nil"/>
              <w:bottom w:val="nil"/>
              <w:right w:val="nil"/>
            </w:tcBorders>
            <w:vAlign w:val="bottom"/>
          </w:tcPr>
          <w:p w14:paraId="0279A6F6"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c>
          <w:tcPr>
            <w:tcW w:w="1207" w:type="dxa"/>
            <w:tcBorders>
              <w:top w:val="nil"/>
              <w:left w:val="nil"/>
              <w:bottom w:val="nil"/>
              <w:right w:val="nil"/>
            </w:tcBorders>
            <w:vAlign w:val="bottom"/>
          </w:tcPr>
          <w:p w14:paraId="1006DABA"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c>
          <w:tcPr>
            <w:tcW w:w="1208" w:type="dxa"/>
            <w:tcBorders>
              <w:top w:val="nil"/>
              <w:left w:val="nil"/>
              <w:bottom w:val="nil"/>
              <w:right w:val="nil"/>
            </w:tcBorders>
            <w:vAlign w:val="bottom"/>
          </w:tcPr>
          <w:p w14:paraId="7201BD41"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c>
          <w:tcPr>
            <w:tcW w:w="997" w:type="dxa"/>
            <w:tcBorders>
              <w:top w:val="nil"/>
              <w:left w:val="nil"/>
              <w:bottom w:val="nil"/>
              <w:right w:val="nil"/>
            </w:tcBorders>
            <w:vAlign w:val="bottom"/>
          </w:tcPr>
          <w:p w14:paraId="47C6537C"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r>
      <w:tr w:rsidR="009C0821" w:rsidRPr="008D0E93" w14:paraId="15CE7DB7" w14:textId="77777777" w:rsidTr="005D2F05">
        <w:trPr>
          <w:trHeight w:val="225"/>
        </w:trPr>
        <w:tc>
          <w:tcPr>
            <w:tcW w:w="3120" w:type="dxa"/>
            <w:gridSpan w:val="2"/>
            <w:tcBorders>
              <w:top w:val="nil"/>
              <w:left w:val="nil"/>
              <w:bottom w:val="nil"/>
              <w:right w:val="nil"/>
            </w:tcBorders>
            <w:vAlign w:val="bottom"/>
          </w:tcPr>
          <w:p w14:paraId="527EBC0D" w14:textId="77777777" w:rsidR="009C0821" w:rsidRPr="008D0E93" w:rsidRDefault="009C0821" w:rsidP="005D2F05">
            <w:pPr>
              <w:autoSpaceDE w:val="0"/>
              <w:autoSpaceDN w:val="0"/>
              <w:adjustRightInd w:val="0"/>
              <w:spacing w:after="0" w:line="240" w:lineRule="auto"/>
              <w:rPr>
                <w:rFonts w:ascii="Times New Roman" w:hAnsi="Times New Roman" w:cs="Times New Roman"/>
                <w:color w:val="000000"/>
              </w:rPr>
            </w:pPr>
            <w:r w:rsidRPr="008D0E93">
              <w:rPr>
                <w:rFonts w:ascii="Times New Roman" w:hAnsi="Times New Roman" w:cs="Times New Roman"/>
                <w:color w:val="000000"/>
              </w:rPr>
              <w:t>Test Summary</w:t>
            </w:r>
          </w:p>
        </w:tc>
        <w:tc>
          <w:tcPr>
            <w:tcW w:w="1207" w:type="dxa"/>
            <w:tcBorders>
              <w:top w:val="nil"/>
              <w:left w:val="nil"/>
              <w:bottom w:val="nil"/>
              <w:right w:val="nil"/>
            </w:tcBorders>
            <w:vAlign w:val="bottom"/>
          </w:tcPr>
          <w:p w14:paraId="63011B42" w14:textId="77777777" w:rsidR="009C0821" w:rsidRPr="008D0E93" w:rsidRDefault="009C0821" w:rsidP="005D2F05">
            <w:pPr>
              <w:autoSpaceDE w:val="0"/>
              <w:autoSpaceDN w:val="0"/>
              <w:adjustRightInd w:val="0"/>
              <w:spacing w:after="0" w:line="240" w:lineRule="auto"/>
              <w:ind w:right="10"/>
              <w:jc w:val="right"/>
              <w:rPr>
                <w:rFonts w:ascii="Times New Roman" w:hAnsi="Times New Roman" w:cs="Times New Roman"/>
                <w:color w:val="000000"/>
              </w:rPr>
            </w:pPr>
            <w:r w:rsidRPr="008D0E93">
              <w:rPr>
                <w:rFonts w:ascii="Times New Roman" w:hAnsi="Times New Roman" w:cs="Times New Roman"/>
                <w:color w:val="000000"/>
              </w:rPr>
              <w:t>Chi-Sq. Statistic</w:t>
            </w:r>
          </w:p>
        </w:tc>
        <w:tc>
          <w:tcPr>
            <w:tcW w:w="1208" w:type="dxa"/>
            <w:tcBorders>
              <w:top w:val="nil"/>
              <w:left w:val="nil"/>
              <w:bottom w:val="nil"/>
              <w:right w:val="nil"/>
            </w:tcBorders>
            <w:vAlign w:val="bottom"/>
          </w:tcPr>
          <w:p w14:paraId="3C7F9954" w14:textId="77777777" w:rsidR="009C0821" w:rsidRPr="008D0E93" w:rsidRDefault="009C0821" w:rsidP="005D2F05">
            <w:pPr>
              <w:autoSpaceDE w:val="0"/>
              <w:autoSpaceDN w:val="0"/>
              <w:adjustRightInd w:val="0"/>
              <w:spacing w:after="0" w:line="240" w:lineRule="auto"/>
              <w:ind w:right="10"/>
              <w:jc w:val="right"/>
              <w:rPr>
                <w:rFonts w:ascii="Times New Roman" w:hAnsi="Times New Roman" w:cs="Times New Roman"/>
                <w:color w:val="000000"/>
              </w:rPr>
            </w:pPr>
            <w:r w:rsidRPr="008D0E93">
              <w:rPr>
                <w:rFonts w:ascii="Times New Roman" w:hAnsi="Times New Roman" w:cs="Times New Roman"/>
                <w:color w:val="000000"/>
              </w:rPr>
              <w:t>Chi-Sq. d.f.</w:t>
            </w:r>
          </w:p>
        </w:tc>
        <w:tc>
          <w:tcPr>
            <w:tcW w:w="997" w:type="dxa"/>
            <w:tcBorders>
              <w:top w:val="nil"/>
              <w:left w:val="nil"/>
              <w:bottom w:val="nil"/>
              <w:right w:val="nil"/>
            </w:tcBorders>
            <w:vAlign w:val="bottom"/>
          </w:tcPr>
          <w:p w14:paraId="062A0A01" w14:textId="77777777" w:rsidR="009C0821" w:rsidRPr="008D0E93" w:rsidRDefault="009C0821" w:rsidP="005D2F05">
            <w:pPr>
              <w:autoSpaceDE w:val="0"/>
              <w:autoSpaceDN w:val="0"/>
              <w:adjustRightInd w:val="0"/>
              <w:spacing w:after="0" w:line="240" w:lineRule="auto"/>
              <w:ind w:right="10"/>
              <w:jc w:val="right"/>
              <w:rPr>
                <w:rFonts w:ascii="Times New Roman" w:hAnsi="Times New Roman" w:cs="Times New Roman"/>
                <w:color w:val="000000"/>
              </w:rPr>
            </w:pPr>
            <w:r w:rsidRPr="008D0E93">
              <w:rPr>
                <w:rFonts w:ascii="Times New Roman" w:hAnsi="Times New Roman" w:cs="Times New Roman"/>
                <w:color w:val="000000"/>
              </w:rPr>
              <w:t>Prob. </w:t>
            </w:r>
          </w:p>
        </w:tc>
      </w:tr>
      <w:tr w:rsidR="009C0821" w:rsidRPr="008D0E93" w14:paraId="4155941A" w14:textId="77777777" w:rsidTr="005D2F05">
        <w:trPr>
          <w:trHeight w:hRule="exact" w:val="90"/>
        </w:trPr>
        <w:tc>
          <w:tcPr>
            <w:tcW w:w="2017" w:type="dxa"/>
            <w:tcBorders>
              <w:top w:val="nil"/>
              <w:left w:val="nil"/>
              <w:bottom w:val="double" w:sz="6" w:space="2" w:color="auto"/>
              <w:right w:val="nil"/>
            </w:tcBorders>
            <w:vAlign w:val="bottom"/>
          </w:tcPr>
          <w:p w14:paraId="2DB9958C"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c>
          <w:tcPr>
            <w:tcW w:w="1103" w:type="dxa"/>
            <w:tcBorders>
              <w:top w:val="nil"/>
              <w:left w:val="nil"/>
              <w:bottom w:val="double" w:sz="6" w:space="2" w:color="auto"/>
              <w:right w:val="nil"/>
            </w:tcBorders>
            <w:vAlign w:val="bottom"/>
          </w:tcPr>
          <w:p w14:paraId="43AADAF3"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c>
          <w:tcPr>
            <w:tcW w:w="1207" w:type="dxa"/>
            <w:tcBorders>
              <w:top w:val="nil"/>
              <w:left w:val="nil"/>
              <w:bottom w:val="double" w:sz="6" w:space="2" w:color="auto"/>
              <w:right w:val="nil"/>
            </w:tcBorders>
            <w:vAlign w:val="bottom"/>
          </w:tcPr>
          <w:p w14:paraId="0C9E73DF"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c>
          <w:tcPr>
            <w:tcW w:w="1208" w:type="dxa"/>
            <w:tcBorders>
              <w:top w:val="nil"/>
              <w:left w:val="nil"/>
              <w:bottom w:val="double" w:sz="6" w:space="2" w:color="auto"/>
              <w:right w:val="nil"/>
            </w:tcBorders>
            <w:vAlign w:val="bottom"/>
          </w:tcPr>
          <w:p w14:paraId="35CFF273"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c>
          <w:tcPr>
            <w:tcW w:w="997" w:type="dxa"/>
            <w:tcBorders>
              <w:top w:val="nil"/>
              <w:left w:val="nil"/>
              <w:bottom w:val="double" w:sz="6" w:space="2" w:color="auto"/>
              <w:right w:val="nil"/>
            </w:tcBorders>
            <w:vAlign w:val="bottom"/>
          </w:tcPr>
          <w:p w14:paraId="059507B6"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r>
      <w:tr w:rsidR="009C0821" w:rsidRPr="008D0E93" w14:paraId="11A7E687" w14:textId="77777777" w:rsidTr="005D2F05">
        <w:trPr>
          <w:trHeight w:hRule="exact" w:val="135"/>
        </w:trPr>
        <w:tc>
          <w:tcPr>
            <w:tcW w:w="2017" w:type="dxa"/>
            <w:tcBorders>
              <w:top w:val="nil"/>
              <w:left w:val="nil"/>
              <w:bottom w:val="nil"/>
              <w:right w:val="nil"/>
            </w:tcBorders>
            <w:vAlign w:val="bottom"/>
          </w:tcPr>
          <w:p w14:paraId="0B1F9220"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c>
          <w:tcPr>
            <w:tcW w:w="1103" w:type="dxa"/>
            <w:tcBorders>
              <w:top w:val="nil"/>
              <w:left w:val="nil"/>
              <w:bottom w:val="nil"/>
              <w:right w:val="nil"/>
            </w:tcBorders>
            <w:vAlign w:val="bottom"/>
          </w:tcPr>
          <w:p w14:paraId="55357F95"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c>
          <w:tcPr>
            <w:tcW w:w="1207" w:type="dxa"/>
            <w:tcBorders>
              <w:top w:val="nil"/>
              <w:left w:val="nil"/>
              <w:bottom w:val="nil"/>
              <w:right w:val="nil"/>
            </w:tcBorders>
            <w:vAlign w:val="bottom"/>
          </w:tcPr>
          <w:p w14:paraId="006C6C8C"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c>
          <w:tcPr>
            <w:tcW w:w="1208" w:type="dxa"/>
            <w:tcBorders>
              <w:top w:val="nil"/>
              <w:left w:val="nil"/>
              <w:bottom w:val="nil"/>
              <w:right w:val="nil"/>
            </w:tcBorders>
            <w:vAlign w:val="bottom"/>
          </w:tcPr>
          <w:p w14:paraId="5A8CDC2C"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c>
          <w:tcPr>
            <w:tcW w:w="997" w:type="dxa"/>
            <w:tcBorders>
              <w:top w:val="nil"/>
              <w:left w:val="nil"/>
              <w:bottom w:val="nil"/>
              <w:right w:val="nil"/>
            </w:tcBorders>
            <w:vAlign w:val="bottom"/>
          </w:tcPr>
          <w:p w14:paraId="68E76F5B"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r>
      <w:tr w:rsidR="009C0821" w:rsidRPr="008D0E93" w14:paraId="7DA1AC91" w14:textId="77777777" w:rsidTr="005D2F05">
        <w:trPr>
          <w:trHeight w:val="225"/>
        </w:trPr>
        <w:tc>
          <w:tcPr>
            <w:tcW w:w="3120" w:type="dxa"/>
            <w:gridSpan w:val="2"/>
            <w:tcBorders>
              <w:top w:val="nil"/>
              <w:left w:val="nil"/>
              <w:bottom w:val="nil"/>
              <w:right w:val="nil"/>
            </w:tcBorders>
            <w:vAlign w:val="bottom"/>
          </w:tcPr>
          <w:p w14:paraId="7143952B" w14:textId="77777777" w:rsidR="009C0821" w:rsidRPr="008D0E93" w:rsidRDefault="009C0821" w:rsidP="005D2F05">
            <w:pPr>
              <w:autoSpaceDE w:val="0"/>
              <w:autoSpaceDN w:val="0"/>
              <w:adjustRightInd w:val="0"/>
              <w:spacing w:after="0" w:line="240" w:lineRule="auto"/>
              <w:rPr>
                <w:rFonts w:ascii="Times New Roman" w:hAnsi="Times New Roman" w:cs="Times New Roman"/>
                <w:color w:val="000000"/>
              </w:rPr>
            </w:pPr>
            <w:r w:rsidRPr="008D0E93">
              <w:rPr>
                <w:rFonts w:ascii="Times New Roman" w:hAnsi="Times New Roman" w:cs="Times New Roman"/>
                <w:color w:val="000000"/>
              </w:rPr>
              <w:t>Cross-section random</w:t>
            </w:r>
          </w:p>
        </w:tc>
        <w:tc>
          <w:tcPr>
            <w:tcW w:w="1207" w:type="dxa"/>
            <w:tcBorders>
              <w:top w:val="nil"/>
              <w:left w:val="nil"/>
              <w:bottom w:val="nil"/>
              <w:right w:val="nil"/>
            </w:tcBorders>
            <w:vAlign w:val="bottom"/>
          </w:tcPr>
          <w:p w14:paraId="48BE8171" w14:textId="77777777" w:rsidR="009C0821" w:rsidRPr="008D0E93" w:rsidRDefault="009C0821" w:rsidP="005D2F05">
            <w:pPr>
              <w:autoSpaceDE w:val="0"/>
              <w:autoSpaceDN w:val="0"/>
              <w:adjustRightInd w:val="0"/>
              <w:spacing w:after="0" w:line="240" w:lineRule="auto"/>
              <w:ind w:right="10"/>
              <w:jc w:val="right"/>
              <w:rPr>
                <w:rFonts w:ascii="Times New Roman" w:hAnsi="Times New Roman" w:cs="Times New Roman"/>
                <w:color w:val="000000"/>
              </w:rPr>
            </w:pPr>
            <w:r w:rsidRPr="008D0E93">
              <w:rPr>
                <w:rFonts w:ascii="Times New Roman" w:hAnsi="Times New Roman" w:cs="Times New Roman"/>
                <w:color w:val="000000"/>
              </w:rPr>
              <w:t>2.482065</w:t>
            </w:r>
          </w:p>
        </w:tc>
        <w:tc>
          <w:tcPr>
            <w:tcW w:w="1208" w:type="dxa"/>
            <w:tcBorders>
              <w:top w:val="nil"/>
              <w:left w:val="nil"/>
              <w:bottom w:val="nil"/>
              <w:right w:val="nil"/>
            </w:tcBorders>
            <w:vAlign w:val="bottom"/>
          </w:tcPr>
          <w:p w14:paraId="4F789867" w14:textId="77777777" w:rsidR="009C0821" w:rsidRPr="008D0E93" w:rsidRDefault="009C0821" w:rsidP="005D2F05">
            <w:pPr>
              <w:autoSpaceDE w:val="0"/>
              <w:autoSpaceDN w:val="0"/>
              <w:adjustRightInd w:val="0"/>
              <w:spacing w:after="0" w:line="240" w:lineRule="auto"/>
              <w:ind w:right="10"/>
              <w:jc w:val="right"/>
              <w:rPr>
                <w:rFonts w:ascii="Times New Roman" w:hAnsi="Times New Roman" w:cs="Times New Roman"/>
                <w:color w:val="000000"/>
              </w:rPr>
            </w:pPr>
            <w:r w:rsidRPr="008D0E93">
              <w:rPr>
                <w:rFonts w:ascii="Times New Roman" w:hAnsi="Times New Roman" w:cs="Times New Roman"/>
                <w:color w:val="000000"/>
              </w:rPr>
              <w:t>3</w:t>
            </w:r>
          </w:p>
        </w:tc>
        <w:tc>
          <w:tcPr>
            <w:tcW w:w="997" w:type="dxa"/>
            <w:tcBorders>
              <w:top w:val="nil"/>
              <w:left w:val="nil"/>
              <w:bottom w:val="nil"/>
              <w:right w:val="nil"/>
            </w:tcBorders>
            <w:vAlign w:val="bottom"/>
          </w:tcPr>
          <w:p w14:paraId="607B84C7" w14:textId="77777777" w:rsidR="009C0821" w:rsidRPr="008D0E93" w:rsidRDefault="009C0821" w:rsidP="005D2F05">
            <w:pPr>
              <w:autoSpaceDE w:val="0"/>
              <w:autoSpaceDN w:val="0"/>
              <w:adjustRightInd w:val="0"/>
              <w:spacing w:after="0" w:line="240" w:lineRule="auto"/>
              <w:ind w:right="10"/>
              <w:jc w:val="right"/>
              <w:rPr>
                <w:rFonts w:ascii="Times New Roman" w:hAnsi="Times New Roman" w:cs="Times New Roman"/>
                <w:color w:val="000000"/>
              </w:rPr>
            </w:pPr>
            <w:r w:rsidRPr="008D0E93">
              <w:rPr>
                <w:rFonts w:ascii="Times New Roman" w:hAnsi="Times New Roman" w:cs="Times New Roman"/>
                <w:color w:val="000000"/>
              </w:rPr>
              <w:t>0.4785</w:t>
            </w:r>
          </w:p>
        </w:tc>
      </w:tr>
      <w:tr w:rsidR="009C0821" w:rsidRPr="008D0E93" w14:paraId="3862B8FD" w14:textId="77777777" w:rsidTr="005D2F05">
        <w:trPr>
          <w:trHeight w:hRule="exact" w:val="90"/>
        </w:trPr>
        <w:tc>
          <w:tcPr>
            <w:tcW w:w="2017" w:type="dxa"/>
            <w:tcBorders>
              <w:top w:val="nil"/>
              <w:left w:val="nil"/>
              <w:bottom w:val="double" w:sz="6" w:space="2" w:color="auto"/>
              <w:right w:val="nil"/>
            </w:tcBorders>
            <w:vAlign w:val="bottom"/>
          </w:tcPr>
          <w:p w14:paraId="3E66348E"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c>
          <w:tcPr>
            <w:tcW w:w="1103" w:type="dxa"/>
            <w:tcBorders>
              <w:top w:val="nil"/>
              <w:left w:val="nil"/>
              <w:bottom w:val="double" w:sz="6" w:space="2" w:color="auto"/>
              <w:right w:val="nil"/>
            </w:tcBorders>
            <w:vAlign w:val="bottom"/>
          </w:tcPr>
          <w:p w14:paraId="71FB0B6B"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c>
          <w:tcPr>
            <w:tcW w:w="1207" w:type="dxa"/>
            <w:tcBorders>
              <w:top w:val="nil"/>
              <w:left w:val="nil"/>
              <w:bottom w:val="double" w:sz="6" w:space="2" w:color="auto"/>
              <w:right w:val="nil"/>
            </w:tcBorders>
            <w:vAlign w:val="bottom"/>
          </w:tcPr>
          <w:p w14:paraId="46F1EDEC"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c>
          <w:tcPr>
            <w:tcW w:w="1208" w:type="dxa"/>
            <w:tcBorders>
              <w:top w:val="nil"/>
              <w:left w:val="nil"/>
              <w:bottom w:val="double" w:sz="6" w:space="2" w:color="auto"/>
              <w:right w:val="nil"/>
            </w:tcBorders>
            <w:vAlign w:val="bottom"/>
          </w:tcPr>
          <w:p w14:paraId="4A415FDC"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c>
          <w:tcPr>
            <w:tcW w:w="997" w:type="dxa"/>
            <w:tcBorders>
              <w:top w:val="nil"/>
              <w:left w:val="nil"/>
              <w:bottom w:val="double" w:sz="6" w:space="2" w:color="auto"/>
              <w:right w:val="nil"/>
            </w:tcBorders>
            <w:vAlign w:val="bottom"/>
          </w:tcPr>
          <w:p w14:paraId="49074EB1" w14:textId="77777777" w:rsidR="009C0821" w:rsidRPr="008D0E93" w:rsidRDefault="009C0821" w:rsidP="005D2F05">
            <w:pPr>
              <w:autoSpaceDE w:val="0"/>
              <w:autoSpaceDN w:val="0"/>
              <w:adjustRightInd w:val="0"/>
              <w:spacing w:after="0" w:line="240" w:lineRule="auto"/>
              <w:jc w:val="center"/>
              <w:rPr>
                <w:rFonts w:ascii="Times New Roman" w:hAnsi="Times New Roman" w:cs="Times New Roman"/>
                <w:color w:val="000000"/>
              </w:rPr>
            </w:pPr>
          </w:p>
        </w:tc>
      </w:tr>
    </w:tbl>
    <w:p w14:paraId="3E5F8FD6" w14:textId="7C0215B5" w:rsidR="009C0821" w:rsidRPr="008D0E93" w:rsidRDefault="009C0821" w:rsidP="009C0821">
      <w:pPr>
        <w:spacing w:before="40" w:after="40" w:line="480" w:lineRule="auto"/>
        <w:rPr>
          <w:rFonts w:ascii="Times New Roman" w:hAnsi="Times New Roman" w:cs="Times New Roman"/>
          <w:b/>
        </w:rPr>
      </w:pPr>
      <w:r w:rsidRPr="008D0E93">
        <w:rPr>
          <w:rFonts w:ascii="Times New Roman" w:hAnsi="Times New Roman" w:cs="Times New Roman"/>
          <w:b/>
        </w:rPr>
        <w:t>Source: Researc</w:t>
      </w:r>
      <w:r w:rsidR="005D2F05">
        <w:rPr>
          <w:rFonts w:ascii="Times New Roman" w:hAnsi="Times New Roman" w:cs="Times New Roman"/>
          <w:b/>
        </w:rPr>
        <w:t>her computation from E-View 12</w:t>
      </w:r>
    </w:p>
    <w:p w14:paraId="731DDAFB" w14:textId="77777777" w:rsidR="009C0821" w:rsidRPr="00A20540" w:rsidRDefault="009C0821" w:rsidP="009C0821">
      <w:pPr>
        <w:autoSpaceDE w:val="0"/>
        <w:autoSpaceDN w:val="0"/>
        <w:adjustRightInd w:val="0"/>
        <w:spacing w:after="0" w:line="480" w:lineRule="auto"/>
        <w:jc w:val="both"/>
        <w:rPr>
          <w:rFonts w:ascii="Times New Roman" w:hAnsi="Times New Roman" w:cs="Times New Roman"/>
          <w:sz w:val="10"/>
        </w:rPr>
      </w:pPr>
    </w:p>
    <w:p w14:paraId="5B66D202" w14:textId="64C12EC0" w:rsidR="009C0821" w:rsidRPr="008D0E93" w:rsidRDefault="009C0821" w:rsidP="009C0821">
      <w:pPr>
        <w:autoSpaceDE w:val="0"/>
        <w:autoSpaceDN w:val="0"/>
        <w:adjustRightInd w:val="0"/>
        <w:spacing w:after="0" w:line="240" w:lineRule="auto"/>
        <w:jc w:val="both"/>
        <w:rPr>
          <w:rFonts w:ascii="Times New Roman" w:hAnsi="Times New Roman" w:cs="Times New Roman"/>
          <w:b/>
          <w:bCs/>
        </w:rPr>
      </w:pPr>
      <w:r w:rsidRPr="008D0E93">
        <w:rPr>
          <w:rFonts w:ascii="Times New Roman" w:hAnsi="Times New Roman" w:cs="Times New Roman"/>
        </w:rPr>
        <w:t xml:space="preserve">For the Hausman test, the null hypothesis is that the preferred model is random effect, while the alternative hypothesis is that the fixed effect model is preferred (Green, 2008). Based on this premise, the random effect model was selected since the p-value of Hausman's test is greater than 0.05. This implies that the study accepts the null hypothesis </w:t>
      </w:r>
      <w:r w:rsidR="005D2F05">
        <w:rPr>
          <w:rFonts w:ascii="Times New Roman" w:hAnsi="Times New Roman" w:cs="Times New Roman"/>
        </w:rPr>
        <w:t>a</w:t>
      </w:r>
      <w:r w:rsidRPr="008D0E93">
        <w:rPr>
          <w:rFonts w:ascii="Times New Roman" w:hAnsi="Times New Roman" w:cs="Times New Roman"/>
        </w:rPr>
        <w:t xml:space="preserve">nd rejects the alternative hypothesis that the </w:t>
      </w:r>
      <w:r w:rsidR="005D2F05">
        <w:rPr>
          <w:rFonts w:ascii="Times New Roman" w:hAnsi="Times New Roman" w:cs="Times New Roman"/>
        </w:rPr>
        <w:t xml:space="preserve">fixed </w:t>
      </w:r>
      <w:r w:rsidRPr="008D0E93">
        <w:rPr>
          <w:rFonts w:ascii="Times New Roman" w:hAnsi="Times New Roman" w:cs="Times New Roman"/>
        </w:rPr>
        <w:t>effect model is preferred. Hence, the random effect model was</w:t>
      </w:r>
      <w:r w:rsidR="005D2F05">
        <w:rPr>
          <w:rFonts w:ascii="Times New Roman" w:hAnsi="Times New Roman" w:cs="Times New Roman"/>
        </w:rPr>
        <w:t xml:space="preserve"> used as the best estimator of </w:t>
      </w:r>
      <w:r w:rsidRPr="008D0E93">
        <w:rPr>
          <w:rFonts w:ascii="Times New Roman" w:hAnsi="Times New Roman" w:cs="Times New Roman"/>
        </w:rPr>
        <w:t>the</w:t>
      </w:r>
      <w:r w:rsidR="005D2F05">
        <w:rPr>
          <w:rFonts w:ascii="Times New Roman" w:hAnsi="Times New Roman" w:cs="Times New Roman"/>
        </w:rPr>
        <w:t xml:space="preserve"> study model.</w:t>
      </w:r>
    </w:p>
    <w:p w14:paraId="233327DF" w14:textId="77777777" w:rsidR="009C0821" w:rsidRDefault="009C0821" w:rsidP="00A77FE8">
      <w:pPr>
        <w:spacing w:after="0" w:line="240" w:lineRule="auto"/>
        <w:jc w:val="both"/>
        <w:rPr>
          <w:rFonts w:ascii="Times New Roman" w:hAnsi="Times New Roman" w:cs="Times New Roman"/>
        </w:rPr>
      </w:pPr>
    </w:p>
    <w:p w14:paraId="59E32E68" w14:textId="15D589AC" w:rsidR="005D2F05" w:rsidRPr="008D0E93" w:rsidRDefault="00AC1B02" w:rsidP="005D2F05">
      <w:pPr>
        <w:rPr>
          <w:rFonts w:ascii="Times New Roman" w:hAnsi="Times New Roman" w:cs="Times New Roman"/>
          <w:b/>
        </w:rPr>
      </w:pPr>
      <w:r>
        <w:rPr>
          <w:rFonts w:ascii="Times New Roman" w:hAnsi="Times New Roman" w:cs="Times New Roman"/>
          <w:b/>
        </w:rPr>
        <w:t>Table 5</w:t>
      </w:r>
      <w:r w:rsidR="005D2F05" w:rsidRPr="008D0E93">
        <w:rPr>
          <w:rFonts w:ascii="Times New Roman" w:hAnsi="Times New Roman" w:cs="Times New Roman"/>
          <w:b/>
        </w:rPr>
        <w:t xml:space="preserve">: Summary of Panel Regression (dependent variable, </w:t>
      </w:r>
      <w:r w:rsidR="005D2F05" w:rsidRPr="008D0E93">
        <w:rPr>
          <w:rFonts w:ascii="Times New Roman" w:hAnsi="Times New Roman" w:cs="Times New Roman"/>
          <w:iCs/>
        </w:rPr>
        <w:t>PER</w:t>
      </w:r>
      <w:r w:rsidR="005D2F05" w:rsidRPr="008D0E93">
        <w:rPr>
          <w:rFonts w:ascii="Times New Roman" w:hAnsi="Times New Roman" w:cs="Times New Roman"/>
          <w:b/>
        </w:rPr>
        <w:t>)</w:t>
      </w:r>
    </w:p>
    <w:tbl>
      <w:tblPr>
        <w:tblW w:w="8625" w:type="dxa"/>
        <w:tblInd w:w="93" w:type="dxa"/>
        <w:tblLook w:val="04A0" w:firstRow="1" w:lastRow="0" w:firstColumn="1" w:lastColumn="0" w:noHBand="0" w:noVBand="1"/>
      </w:tblPr>
      <w:tblGrid>
        <w:gridCol w:w="2085"/>
        <w:gridCol w:w="3300"/>
        <w:gridCol w:w="3240"/>
      </w:tblGrid>
      <w:tr w:rsidR="005D2F05" w:rsidRPr="008D0E93" w14:paraId="5178CAC4" w14:textId="77777777" w:rsidTr="005D2F05">
        <w:trPr>
          <w:trHeight w:val="390"/>
        </w:trPr>
        <w:tc>
          <w:tcPr>
            <w:tcW w:w="2085" w:type="dxa"/>
            <w:tcBorders>
              <w:top w:val="single" w:sz="4" w:space="0" w:color="auto"/>
              <w:bottom w:val="single" w:sz="4" w:space="0" w:color="auto"/>
            </w:tcBorders>
            <w:noWrap/>
            <w:vAlign w:val="bottom"/>
            <w:hideMark/>
          </w:tcPr>
          <w:p w14:paraId="7B783594" w14:textId="77777777" w:rsidR="005D2F05" w:rsidRPr="008D0E93" w:rsidRDefault="005D2F05" w:rsidP="005D2F05">
            <w:pPr>
              <w:spacing w:after="0" w:line="240" w:lineRule="auto"/>
              <w:jc w:val="center"/>
              <w:rPr>
                <w:rFonts w:ascii="Times New Roman" w:eastAsia="Times New Roman" w:hAnsi="Times New Roman" w:cs="Times New Roman"/>
                <w:b/>
                <w:bCs/>
                <w:color w:val="000000"/>
              </w:rPr>
            </w:pPr>
            <w:r w:rsidRPr="008D0E93">
              <w:rPr>
                <w:rFonts w:ascii="Times New Roman" w:eastAsia="Times New Roman" w:hAnsi="Times New Roman" w:cs="Times New Roman"/>
                <w:b/>
                <w:bCs/>
                <w:color w:val="000000"/>
              </w:rPr>
              <w:t>Variables</w:t>
            </w:r>
          </w:p>
        </w:tc>
        <w:tc>
          <w:tcPr>
            <w:tcW w:w="3300" w:type="dxa"/>
            <w:tcBorders>
              <w:top w:val="single" w:sz="4" w:space="0" w:color="auto"/>
              <w:bottom w:val="single" w:sz="4" w:space="0" w:color="auto"/>
            </w:tcBorders>
            <w:noWrap/>
            <w:vAlign w:val="bottom"/>
            <w:hideMark/>
          </w:tcPr>
          <w:p w14:paraId="4DAC5AE3" w14:textId="4B6DF6A8" w:rsidR="005D2F05" w:rsidRPr="008D0E93" w:rsidRDefault="00925567" w:rsidP="0092556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Fixed Effect</w:t>
            </w:r>
            <w:r w:rsidR="005D2F05" w:rsidRPr="008D0E93">
              <w:rPr>
                <w:rFonts w:ascii="Times New Roman" w:eastAsia="Times New Roman" w:hAnsi="Times New Roman" w:cs="Times New Roman"/>
                <w:b/>
                <w:bCs/>
                <w:color w:val="000000"/>
              </w:rPr>
              <w:t xml:space="preserve"> Model </w:t>
            </w:r>
          </w:p>
        </w:tc>
        <w:tc>
          <w:tcPr>
            <w:tcW w:w="3240" w:type="dxa"/>
            <w:tcBorders>
              <w:top w:val="single" w:sz="4" w:space="0" w:color="auto"/>
              <w:bottom w:val="single" w:sz="4" w:space="0" w:color="auto"/>
            </w:tcBorders>
            <w:noWrap/>
            <w:vAlign w:val="bottom"/>
            <w:hideMark/>
          </w:tcPr>
          <w:p w14:paraId="6827947F" w14:textId="0D276416" w:rsidR="005D2F05" w:rsidRPr="008D0E93" w:rsidRDefault="005D2F05" w:rsidP="005D2F05">
            <w:pPr>
              <w:spacing w:after="0" w:line="240" w:lineRule="auto"/>
              <w:jc w:val="center"/>
              <w:rPr>
                <w:rFonts w:ascii="Times New Roman" w:eastAsia="Times New Roman" w:hAnsi="Times New Roman" w:cs="Times New Roman"/>
                <w:b/>
                <w:bCs/>
                <w:color w:val="000000"/>
              </w:rPr>
            </w:pPr>
            <w:r w:rsidRPr="008D0E93">
              <w:rPr>
                <w:rFonts w:ascii="Times New Roman" w:eastAsia="Times New Roman" w:hAnsi="Times New Roman" w:cs="Times New Roman"/>
                <w:b/>
                <w:bCs/>
                <w:color w:val="000000"/>
              </w:rPr>
              <w:t>R</w:t>
            </w:r>
            <w:r w:rsidR="00925567">
              <w:rPr>
                <w:rFonts w:ascii="Times New Roman" w:eastAsia="Times New Roman" w:hAnsi="Times New Roman" w:cs="Times New Roman"/>
                <w:b/>
                <w:bCs/>
                <w:color w:val="000000"/>
              </w:rPr>
              <w:t>andom Effect Model</w:t>
            </w:r>
          </w:p>
        </w:tc>
      </w:tr>
      <w:tr w:rsidR="005D2F05" w:rsidRPr="008D0E93" w14:paraId="115877FB" w14:textId="77777777" w:rsidTr="005D2F05">
        <w:trPr>
          <w:trHeight w:val="385"/>
        </w:trPr>
        <w:tc>
          <w:tcPr>
            <w:tcW w:w="2085" w:type="dxa"/>
            <w:tcBorders>
              <w:top w:val="single" w:sz="4" w:space="0" w:color="auto"/>
            </w:tcBorders>
            <w:noWrap/>
            <w:vAlign w:val="bottom"/>
            <w:hideMark/>
          </w:tcPr>
          <w:p w14:paraId="220799FF" w14:textId="77777777" w:rsidR="005D2F05" w:rsidRPr="008D0E93" w:rsidRDefault="005D2F05"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BS</w:t>
            </w:r>
          </w:p>
        </w:tc>
        <w:tc>
          <w:tcPr>
            <w:tcW w:w="3300" w:type="dxa"/>
            <w:tcBorders>
              <w:top w:val="single" w:sz="4" w:space="0" w:color="auto"/>
            </w:tcBorders>
            <w:noWrap/>
            <w:vAlign w:val="bottom"/>
            <w:hideMark/>
          </w:tcPr>
          <w:p w14:paraId="18AB887B" w14:textId="77777777" w:rsidR="005D2F05" w:rsidRPr="008D0E93" w:rsidRDefault="005D2F05"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0.001606</w:t>
            </w:r>
          </w:p>
        </w:tc>
        <w:tc>
          <w:tcPr>
            <w:tcW w:w="3240" w:type="dxa"/>
            <w:tcBorders>
              <w:top w:val="single" w:sz="4" w:space="0" w:color="auto"/>
            </w:tcBorders>
            <w:noWrap/>
            <w:vAlign w:val="bottom"/>
            <w:hideMark/>
          </w:tcPr>
          <w:p w14:paraId="079F9D0C" w14:textId="77777777" w:rsidR="005D2F05" w:rsidRPr="008D0E93" w:rsidRDefault="005D2F05"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0.002509</w:t>
            </w:r>
          </w:p>
        </w:tc>
      </w:tr>
      <w:tr w:rsidR="005D2F05" w:rsidRPr="008D0E93" w14:paraId="2B0CD563" w14:textId="77777777" w:rsidTr="005D2F05">
        <w:trPr>
          <w:trHeight w:val="315"/>
        </w:trPr>
        <w:tc>
          <w:tcPr>
            <w:tcW w:w="2085" w:type="dxa"/>
            <w:noWrap/>
            <w:vAlign w:val="bottom"/>
          </w:tcPr>
          <w:p w14:paraId="09FF8884" w14:textId="77777777" w:rsidR="005D2F05" w:rsidRPr="008D0E93" w:rsidRDefault="005D2F05" w:rsidP="005D2F05">
            <w:pPr>
              <w:spacing w:after="0" w:line="240" w:lineRule="auto"/>
              <w:jc w:val="center"/>
              <w:rPr>
                <w:rFonts w:ascii="Times New Roman" w:eastAsia="Times New Roman" w:hAnsi="Times New Roman" w:cs="Times New Roman"/>
                <w:color w:val="000000"/>
              </w:rPr>
            </w:pPr>
          </w:p>
        </w:tc>
        <w:tc>
          <w:tcPr>
            <w:tcW w:w="3300" w:type="dxa"/>
            <w:noWrap/>
            <w:vAlign w:val="bottom"/>
            <w:hideMark/>
          </w:tcPr>
          <w:p w14:paraId="2B24E980" w14:textId="77777777" w:rsidR="005D2F05" w:rsidRPr="008D0E93" w:rsidRDefault="005D2F05" w:rsidP="005D2F05">
            <w:pPr>
              <w:spacing w:after="0" w:line="240" w:lineRule="auto"/>
              <w:jc w:val="center"/>
              <w:rPr>
                <w:rFonts w:ascii="Times New Roman" w:eastAsia="Times New Roman" w:hAnsi="Times New Roman" w:cs="Times New Roman"/>
                <w:color w:val="000000"/>
              </w:rPr>
            </w:pPr>
            <w:r w:rsidRPr="008D0E93">
              <w:rPr>
                <w:rFonts w:ascii="Times New Roman" w:eastAsia="Times New Roman" w:hAnsi="Times New Roman" w:cs="Times New Roman"/>
                <w:color w:val="000000"/>
              </w:rPr>
              <w:t>(</w:t>
            </w:r>
            <w:r w:rsidRPr="008D0E93">
              <w:rPr>
                <w:rFonts w:ascii="Times New Roman" w:hAnsi="Times New Roman" w:cs="Times New Roman"/>
                <w:color w:val="000000"/>
              </w:rPr>
              <w:t>0.710222</w:t>
            </w:r>
            <w:r w:rsidRPr="008D0E93">
              <w:rPr>
                <w:rFonts w:ascii="Times New Roman" w:eastAsia="Times New Roman" w:hAnsi="Times New Roman" w:cs="Times New Roman"/>
                <w:color w:val="000000"/>
              </w:rPr>
              <w:t>)</w:t>
            </w:r>
          </w:p>
        </w:tc>
        <w:tc>
          <w:tcPr>
            <w:tcW w:w="3240" w:type="dxa"/>
            <w:noWrap/>
            <w:vAlign w:val="bottom"/>
            <w:hideMark/>
          </w:tcPr>
          <w:p w14:paraId="421E9A28" w14:textId="77777777" w:rsidR="005D2F05" w:rsidRPr="008D0E93" w:rsidRDefault="005D2F05" w:rsidP="005D2F05">
            <w:pPr>
              <w:spacing w:after="0" w:line="240" w:lineRule="auto"/>
              <w:jc w:val="center"/>
              <w:rPr>
                <w:rFonts w:ascii="Times New Roman" w:eastAsia="Times New Roman" w:hAnsi="Times New Roman" w:cs="Times New Roman"/>
                <w:color w:val="000000"/>
              </w:rPr>
            </w:pPr>
            <w:r w:rsidRPr="008D0E93">
              <w:rPr>
                <w:rFonts w:ascii="Times New Roman" w:eastAsia="Times New Roman" w:hAnsi="Times New Roman" w:cs="Times New Roman"/>
                <w:color w:val="000000"/>
              </w:rPr>
              <w:t xml:space="preserve"> (</w:t>
            </w:r>
            <w:r w:rsidRPr="008D0E93">
              <w:rPr>
                <w:rFonts w:ascii="Times New Roman" w:hAnsi="Times New Roman" w:cs="Times New Roman"/>
                <w:color w:val="000000"/>
              </w:rPr>
              <w:t>1.200820</w:t>
            </w:r>
            <w:r w:rsidRPr="008D0E93">
              <w:rPr>
                <w:rFonts w:ascii="Times New Roman" w:eastAsia="Times New Roman" w:hAnsi="Times New Roman" w:cs="Times New Roman"/>
                <w:color w:val="000000"/>
              </w:rPr>
              <w:t>)</w:t>
            </w:r>
          </w:p>
        </w:tc>
      </w:tr>
      <w:tr w:rsidR="005D2F05" w:rsidRPr="008D0E93" w14:paraId="1CED6A80" w14:textId="77777777" w:rsidTr="005D2F05">
        <w:trPr>
          <w:trHeight w:val="780"/>
        </w:trPr>
        <w:tc>
          <w:tcPr>
            <w:tcW w:w="2085" w:type="dxa"/>
            <w:noWrap/>
            <w:vAlign w:val="bottom"/>
          </w:tcPr>
          <w:p w14:paraId="2662FD2D" w14:textId="77777777" w:rsidR="005D2F05" w:rsidRPr="008D0E93" w:rsidRDefault="005D2F05"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B1</w:t>
            </w:r>
          </w:p>
        </w:tc>
        <w:tc>
          <w:tcPr>
            <w:tcW w:w="3300" w:type="dxa"/>
            <w:noWrap/>
            <w:vAlign w:val="bottom"/>
            <w:hideMark/>
          </w:tcPr>
          <w:p w14:paraId="3E976264" w14:textId="77777777" w:rsidR="005D2F05" w:rsidRPr="008D0E93" w:rsidRDefault="005D2F05"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-0.000436</w:t>
            </w:r>
          </w:p>
        </w:tc>
        <w:tc>
          <w:tcPr>
            <w:tcW w:w="3240" w:type="dxa"/>
            <w:noWrap/>
            <w:vAlign w:val="bottom"/>
            <w:hideMark/>
          </w:tcPr>
          <w:p w14:paraId="50A67543" w14:textId="77777777" w:rsidR="005D2F05" w:rsidRPr="008D0E93" w:rsidRDefault="005D2F05"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- 0.000263</w:t>
            </w:r>
          </w:p>
        </w:tc>
      </w:tr>
      <w:tr w:rsidR="005D2F05" w:rsidRPr="008D0E93" w14:paraId="25352674" w14:textId="77777777" w:rsidTr="005D2F05">
        <w:trPr>
          <w:trHeight w:val="315"/>
        </w:trPr>
        <w:tc>
          <w:tcPr>
            <w:tcW w:w="2085" w:type="dxa"/>
            <w:noWrap/>
            <w:vAlign w:val="bottom"/>
          </w:tcPr>
          <w:p w14:paraId="5B1B7E33" w14:textId="77777777" w:rsidR="005D2F05" w:rsidRPr="008D0E93" w:rsidRDefault="005D2F05" w:rsidP="005D2F05">
            <w:pPr>
              <w:spacing w:after="0" w:line="240" w:lineRule="auto"/>
              <w:jc w:val="center"/>
              <w:rPr>
                <w:rFonts w:ascii="Times New Roman" w:eastAsia="Times New Roman" w:hAnsi="Times New Roman" w:cs="Times New Roman"/>
                <w:color w:val="000000"/>
              </w:rPr>
            </w:pPr>
          </w:p>
        </w:tc>
        <w:tc>
          <w:tcPr>
            <w:tcW w:w="3300" w:type="dxa"/>
            <w:noWrap/>
            <w:vAlign w:val="bottom"/>
            <w:hideMark/>
          </w:tcPr>
          <w:p w14:paraId="48C5523A" w14:textId="77777777" w:rsidR="005D2F05" w:rsidRPr="008D0E93" w:rsidRDefault="005D2F05" w:rsidP="005D2F05">
            <w:pPr>
              <w:spacing w:after="0" w:line="240" w:lineRule="auto"/>
              <w:jc w:val="center"/>
              <w:rPr>
                <w:rFonts w:ascii="Times New Roman" w:eastAsia="Times New Roman" w:hAnsi="Times New Roman" w:cs="Times New Roman"/>
                <w:color w:val="000000"/>
              </w:rPr>
            </w:pPr>
            <w:r w:rsidRPr="008D0E93">
              <w:rPr>
                <w:rFonts w:ascii="Times New Roman" w:eastAsia="Times New Roman" w:hAnsi="Times New Roman" w:cs="Times New Roman"/>
                <w:color w:val="000000"/>
              </w:rPr>
              <w:t xml:space="preserve"> (</w:t>
            </w:r>
            <w:r w:rsidRPr="008D0E93">
              <w:rPr>
                <w:rFonts w:ascii="Times New Roman" w:hAnsi="Times New Roman" w:cs="Times New Roman"/>
                <w:color w:val="000000"/>
              </w:rPr>
              <w:t>-1.248503</w:t>
            </w:r>
            <w:r w:rsidRPr="008D0E93">
              <w:rPr>
                <w:rFonts w:ascii="Times New Roman" w:eastAsia="Times New Roman" w:hAnsi="Times New Roman" w:cs="Times New Roman"/>
                <w:color w:val="000000"/>
              </w:rPr>
              <w:t xml:space="preserve">) </w:t>
            </w:r>
          </w:p>
        </w:tc>
        <w:tc>
          <w:tcPr>
            <w:tcW w:w="3240" w:type="dxa"/>
            <w:noWrap/>
            <w:vAlign w:val="bottom"/>
            <w:hideMark/>
          </w:tcPr>
          <w:p w14:paraId="54F063E5" w14:textId="77777777" w:rsidR="005D2F05" w:rsidRPr="008D0E93" w:rsidRDefault="005D2F05" w:rsidP="005D2F05">
            <w:pPr>
              <w:spacing w:after="0" w:line="240" w:lineRule="auto"/>
              <w:jc w:val="center"/>
              <w:rPr>
                <w:rFonts w:ascii="Times New Roman" w:eastAsia="Times New Roman" w:hAnsi="Times New Roman" w:cs="Times New Roman"/>
                <w:color w:val="000000"/>
              </w:rPr>
            </w:pPr>
            <w:r w:rsidRPr="008D0E93">
              <w:rPr>
                <w:rFonts w:ascii="Times New Roman" w:eastAsia="Times New Roman" w:hAnsi="Times New Roman" w:cs="Times New Roman"/>
                <w:color w:val="000000"/>
              </w:rPr>
              <w:t xml:space="preserve">    (</w:t>
            </w:r>
            <w:r w:rsidRPr="008D0E93">
              <w:rPr>
                <w:rFonts w:ascii="Times New Roman" w:hAnsi="Times New Roman" w:cs="Times New Roman"/>
                <w:color w:val="000000"/>
              </w:rPr>
              <w:t>0.7944575</w:t>
            </w:r>
            <w:r w:rsidRPr="008D0E93">
              <w:rPr>
                <w:rFonts w:ascii="Times New Roman" w:eastAsia="Times New Roman" w:hAnsi="Times New Roman" w:cs="Times New Roman"/>
                <w:color w:val="000000"/>
              </w:rPr>
              <w:t xml:space="preserve">) </w:t>
            </w:r>
          </w:p>
        </w:tc>
      </w:tr>
      <w:tr w:rsidR="005D2F05" w:rsidRPr="008D0E93" w14:paraId="063F27D0" w14:textId="77777777" w:rsidTr="005D2F05">
        <w:trPr>
          <w:trHeight w:val="315"/>
        </w:trPr>
        <w:tc>
          <w:tcPr>
            <w:tcW w:w="2085" w:type="dxa"/>
            <w:noWrap/>
            <w:vAlign w:val="bottom"/>
          </w:tcPr>
          <w:p w14:paraId="0310F6F4" w14:textId="77777777" w:rsidR="005D2F05" w:rsidRPr="008D0E93" w:rsidRDefault="005D2F05" w:rsidP="005D2F05">
            <w:pPr>
              <w:spacing w:after="0" w:line="240" w:lineRule="auto"/>
              <w:jc w:val="center"/>
              <w:rPr>
                <w:rFonts w:ascii="Times New Roman" w:eastAsia="Times New Roman" w:hAnsi="Times New Roman" w:cs="Times New Roman"/>
                <w:color w:val="000000"/>
              </w:rPr>
            </w:pPr>
          </w:p>
          <w:p w14:paraId="3CDE94B4" w14:textId="77777777" w:rsidR="005D2F05" w:rsidRPr="008D0E93" w:rsidRDefault="005D2F05"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BE</w:t>
            </w:r>
          </w:p>
        </w:tc>
        <w:tc>
          <w:tcPr>
            <w:tcW w:w="3300" w:type="dxa"/>
            <w:noWrap/>
            <w:vAlign w:val="bottom"/>
          </w:tcPr>
          <w:p w14:paraId="41FBA1B9" w14:textId="77777777" w:rsidR="005D2F05" w:rsidRPr="008D0E93" w:rsidRDefault="005D2F05" w:rsidP="005D2F05">
            <w:pPr>
              <w:spacing w:after="0" w:line="240" w:lineRule="auto"/>
              <w:jc w:val="center"/>
              <w:rPr>
                <w:rFonts w:ascii="Times New Roman" w:hAnsi="Times New Roman" w:cs="Times New Roman"/>
                <w:color w:val="000000"/>
              </w:rPr>
            </w:pPr>
          </w:p>
          <w:p w14:paraId="6D780900" w14:textId="77777777" w:rsidR="005D2F05" w:rsidRPr="008D0E93" w:rsidRDefault="005D2F05" w:rsidP="005D2F05">
            <w:pPr>
              <w:spacing w:after="0" w:line="240" w:lineRule="auto"/>
              <w:jc w:val="center"/>
              <w:rPr>
                <w:rFonts w:ascii="Times New Roman" w:hAnsi="Times New Roman" w:cs="Times New Roman"/>
                <w:color w:val="000000"/>
              </w:rPr>
            </w:pPr>
            <w:r w:rsidRPr="008D0E93">
              <w:rPr>
                <w:rFonts w:ascii="Times New Roman" w:hAnsi="Times New Roman" w:cs="Times New Roman"/>
                <w:color w:val="000000"/>
              </w:rPr>
              <w:t>-0.000778</w:t>
            </w:r>
          </w:p>
          <w:p w14:paraId="30FE3A30" w14:textId="77777777" w:rsidR="005D2F05" w:rsidRPr="008D0E93" w:rsidRDefault="005D2F05" w:rsidP="005D2F05">
            <w:pPr>
              <w:spacing w:after="0" w:line="240" w:lineRule="auto"/>
              <w:jc w:val="center"/>
              <w:rPr>
                <w:rFonts w:ascii="Times New Roman" w:eastAsia="Times New Roman" w:hAnsi="Times New Roman" w:cs="Times New Roman"/>
                <w:color w:val="000000"/>
              </w:rPr>
            </w:pPr>
            <w:r w:rsidRPr="008D0E93">
              <w:rPr>
                <w:rFonts w:ascii="Times New Roman" w:eastAsia="Times New Roman" w:hAnsi="Times New Roman" w:cs="Times New Roman"/>
                <w:color w:val="000000"/>
              </w:rPr>
              <w:t xml:space="preserve"> (</w:t>
            </w:r>
            <w:r w:rsidRPr="008D0E93">
              <w:rPr>
                <w:rFonts w:ascii="Times New Roman" w:hAnsi="Times New Roman" w:cs="Times New Roman"/>
                <w:color w:val="000000"/>
              </w:rPr>
              <w:t>-0.328685</w:t>
            </w:r>
            <w:r w:rsidRPr="008D0E93">
              <w:rPr>
                <w:rFonts w:ascii="Times New Roman" w:eastAsia="Times New Roman" w:hAnsi="Times New Roman" w:cs="Times New Roman"/>
                <w:color w:val="000000"/>
              </w:rPr>
              <w:t>)</w:t>
            </w:r>
          </w:p>
        </w:tc>
        <w:tc>
          <w:tcPr>
            <w:tcW w:w="3240" w:type="dxa"/>
            <w:noWrap/>
            <w:vAlign w:val="bottom"/>
            <w:hideMark/>
          </w:tcPr>
          <w:p w14:paraId="240B2093" w14:textId="77777777" w:rsidR="005D2F05" w:rsidRPr="008D0E93" w:rsidRDefault="005D2F05" w:rsidP="005D2F05">
            <w:pPr>
              <w:spacing w:after="0" w:line="240" w:lineRule="auto"/>
              <w:jc w:val="center"/>
              <w:rPr>
                <w:rFonts w:ascii="Times New Roman" w:hAnsi="Times New Roman" w:cs="Times New Roman"/>
                <w:color w:val="000000"/>
              </w:rPr>
            </w:pPr>
            <w:r w:rsidRPr="008D0E93">
              <w:rPr>
                <w:rFonts w:ascii="Times New Roman" w:hAnsi="Times New Roman" w:cs="Times New Roman"/>
                <w:color w:val="000000"/>
              </w:rPr>
              <w:t>-0.000275</w:t>
            </w:r>
          </w:p>
          <w:p w14:paraId="59ED78C6" w14:textId="77777777" w:rsidR="005D2F05" w:rsidRPr="008D0E93" w:rsidRDefault="005D2F05" w:rsidP="005D2F05">
            <w:pPr>
              <w:spacing w:after="0" w:line="240" w:lineRule="auto"/>
              <w:jc w:val="center"/>
              <w:rPr>
                <w:rFonts w:ascii="Times New Roman" w:eastAsia="Times New Roman" w:hAnsi="Times New Roman" w:cs="Times New Roman"/>
                <w:b/>
                <w:color w:val="000000"/>
              </w:rPr>
            </w:pPr>
            <w:r w:rsidRPr="008D0E93">
              <w:rPr>
                <w:rFonts w:ascii="Times New Roman" w:eastAsia="Times New Roman" w:hAnsi="Times New Roman" w:cs="Times New Roman"/>
                <w:color w:val="000000"/>
              </w:rPr>
              <w:t xml:space="preserve"> (</w:t>
            </w:r>
            <w:r w:rsidRPr="008D0E93">
              <w:rPr>
                <w:rFonts w:ascii="Times New Roman" w:hAnsi="Times New Roman" w:cs="Times New Roman"/>
                <w:color w:val="000000"/>
              </w:rPr>
              <w:t>-0.121221</w:t>
            </w:r>
            <w:r w:rsidRPr="008D0E93">
              <w:rPr>
                <w:rFonts w:ascii="Times New Roman" w:eastAsia="Times New Roman" w:hAnsi="Times New Roman" w:cs="Times New Roman"/>
                <w:color w:val="000000"/>
              </w:rPr>
              <w:t>)</w:t>
            </w:r>
          </w:p>
        </w:tc>
      </w:tr>
      <w:tr w:rsidR="005D2F05" w:rsidRPr="008D0E93" w14:paraId="1101ED44" w14:textId="77777777" w:rsidTr="005D2F05">
        <w:trPr>
          <w:trHeight w:val="315"/>
        </w:trPr>
        <w:tc>
          <w:tcPr>
            <w:tcW w:w="2085" w:type="dxa"/>
            <w:noWrap/>
            <w:vAlign w:val="bottom"/>
          </w:tcPr>
          <w:p w14:paraId="3FE70EE9" w14:textId="77777777" w:rsidR="005D2F05" w:rsidRPr="008D0E93" w:rsidRDefault="005D2F05" w:rsidP="005D2F05">
            <w:pPr>
              <w:spacing w:after="0" w:line="240" w:lineRule="auto"/>
              <w:jc w:val="center"/>
              <w:rPr>
                <w:rFonts w:ascii="Times New Roman" w:eastAsia="Times New Roman" w:hAnsi="Times New Roman" w:cs="Times New Roman"/>
                <w:color w:val="000000"/>
              </w:rPr>
            </w:pPr>
          </w:p>
          <w:p w14:paraId="1E33CAE7" w14:textId="77777777" w:rsidR="005D2F05" w:rsidRPr="008D0E93" w:rsidRDefault="005D2F05" w:rsidP="005D2F05">
            <w:pPr>
              <w:spacing w:after="0" w:line="240" w:lineRule="auto"/>
              <w:jc w:val="center"/>
              <w:rPr>
                <w:rFonts w:ascii="Times New Roman" w:eastAsia="Times New Roman" w:hAnsi="Times New Roman" w:cs="Times New Roman"/>
                <w:color w:val="000000"/>
              </w:rPr>
            </w:pPr>
            <w:r w:rsidRPr="008D0E93">
              <w:rPr>
                <w:rFonts w:ascii="Times New Roman" w:eastAsia="Times New Roman" w:hAnsi="Times New Roman" w:cs="Times New Roman"/>
                <w:color w:val="000000"/>
              </w:rPr>
              <w:t>C</w:t>
            </w:r>
          </w:p>
        </w:tc>
        <w:tc>
          <w:tcPr>
            <w:tcW w:w="3300" w:type="dxa"/>
            <w:noWrap/>
            <w:vAlign w:val="bottom"/>
          </w:tcPr>
          <w:p w14:paraId="43FBB39E" w14:textId="77777777" w:rsidR="005D2F05" w:rsidRPr="008D0E93" w:rsidRDefault="005D2F05" w:rsidP="005D2F05">
            <w:pPr>
              <w:spacing w:after="0" w:line="240" w:lineRule="auto"/>
              <w:jc w:val="center"/>
              <w:rPr>
                <w:rFonts w:ascii="Times New Roman" w:hAnsi="Times New Roman" w:cs="Times New Roman"/>
                <w:color w:val="000000"/>
              </w:rPr>
            </w:pPr>
            <w:r w:rsidRPr="008D0E93">
              <w:rPr>
                <w:rFonts w:ascii="Times New Roman" w:hAnsi="Times New Roman" w:cs="Times New Roman"/>
                <w:color w:val="000000"/>
              </w:rPr>
              <w:t>0.096539</w:t>
            </w:r>
          </w:p>
          <w:p w14:paraId="2A269AFA" w14:textId="77777777" w:rsidR="005D2F05" w:rsidRPr="008D0E93" w:rsidRDefault="005D2F05" w:rsidP="005D2F05">
            <w:pPr>
              <w:spacing w:after="0" w:line="240" w:lineRule="auto"/>
              <w:jc w:val="center"/>
              <w:rPr>
                <w:rFonts w:ascii="Times New Roman" w:hAnsi="Times New Roman" w:cs="Times New Roman"/>
                <w:color w:val="000000"/>
              </w:rPr>
            </w:pPr>
            <w:r w:rsidRPr="008D0E93">
              <w:rPr>
                <w:rFonts w:ascii="Times New Roman" w:hAnsi="Times New Roman" w:cs="Times New Roman"/>
                <w:color w:val="000000"/>
              </w:rPr>
              <w:t xml:space="preserve">    (3.271947)***</w:t>
            </w:r>
          </w:p>
        </w:tc>
        <w:tc>
          <w:tcPr>
            <w:tcW w:w="3240" w:type="dxa"/>
            <w:noWrap/>
            <w:vAlign w:val="bottom"/>
          </w:tcPr>
          <w:p w14:paraId="261435D9" w14:textId="77777777" w:rsidR="005D2F05" w:rsidRPr="008D0E93" w:rsidRDefault="005D2F05" w:rsidP="005D2F05">
            <w:pPr>
              <w:spacing w:after="0" w:line="240" w:lineRule="auto"/>
              <w:jc w:val="center"/>
              <w:rPr>
                <w:rFonts w:ascii="Times New Roman" w:hAnsi="Times New Roman" w:cs="Times New Roman"/>
                <w:color w:val="000000"/>
              </w:rPr>
            </w:pPr>
            <w:r w:rsidRPr="008D0E93">
              <w:rPr>
                <w:rFonts w:ascii="Times New Roman" w:hAnsi="Times New Roman" w:cs="Times New Roman"/>
                <w:color w:val="000000"/>
              </w:rPr>
              <w:t>0.0079066</w:t>
            </w:r>
          </w:p>
          <w:p w14:paraId="7062952E" w14:textId="77777777" w:rsidR="005D2F05" w:rsidRPr="008D0E93" w:rsidRDefault="005D2F05" w:rsidP="005D2F05">
            <w:pPr>
              <w:spacing w:after="0" w:line="240" w:lineRule="auto"/>
              <w:jc w:val="center"/>
              <w:rPr>
                <w:rFonts w:ascii="Times New Roman" w:hAnsi="Times New Roman" w:cs="Times New Roman"/>
                <w:color w:val="000000"/>
              </w:rPr>
            </w:pPr>
            <w:r w:rsidRPr="008D0E93">
              <w:rPr>
                <w:rFonts w:ascii="Times New Roman" w:hAnsi="Times New Roman" w:cs="Times New Roman"/>
                <w:color w:val="000000"/>
              </w:rPr>
              <w:t xml:space="preserve"> </w:t>
            </w:r>
            <w:r>
              <w:rPr>
                <w:rFonts w:ascii="Times New Roman" w:hAnsi="Times New Roman" w:cs="Times New Roman"/>
                <w:color w:val="000000"/>
              </w:rPr>
              <w:t xml:space="preserve">    </w:t>
            </w:r>
            <w:r w:rsidRPr="008D0E93">
              <w:rPr>
                <w:rFonts w:ascii="Times New Roman" w:hAnsi="Times New Roman" w:cs="Times New Roman"/>
                <w:color w:val="000000"/>
              </w:rPr>
              <w:t>(2.957965)***</w:t>
            </w:r>
          </w:p>
        </w:tc>
      </w:tr>
      <w:tr w:rsidR="005D2F05" w:rsidRPr="008D0E93" w14:paraId="6CD3CBE5" w14:textId="77777777" w:rsidTr="005D2F05">
        <w:trPr>
          <w:trHeight w:val="315"/>
        </w:trPr>
        <w:tc>
          <w:tcPr>
            <w:tcW w:w="2085" w:type="dxa"/>
            <w:noWrap/>
            <w:vAlign w:val="bottom"/>
          </w:tcPr>
          <w:p w14:paraId="11F7FE61" w14:textId="77777777" w:rsidR="005D2F05" w:rsidRPr="008D0E93" w:rsidRDefault="005D2F05" w:rsidP="005D2F05">
            <w:pPr>
              <w:spacing w:after="0" w:line="240" w:lineRule="auto"/>
              <w:jc w:val="center"/>
              <w:rPr>
                <w:rFonts w:ascii="Times New Roman" w:eastAsia="Times New Roman" w:hAnsi="Times New Roman" w:cs="Times New Roman"/>
                <w:color w:val="000000"/>
              </w:rPr>
            </w:pPr>
          </w:p>
          <w:p w14:paraId="71E69D50" w14:textId="77777777" w:rsidR="005D2F05" w:rsidRPr="008D0E93" w:rsidRDefault="005D2F05" w:rsidP="005D2F05">
            <w:pPr>
              <w:spacing w:after="0" w:line="240" w:lineRule="auto"/>
              <w:jc w:val="center"/>
              <w:rPr>
                <w:rFonts w:ascii="Times New Roman" w:eastAsia="Times New Roman" w:hAnsi="Times New Roman" w:cs="Times New Roman"/>
                <w:color w:val="000000"/>
              </w:rPr>
            </w:pPr>
            <w:r w:rsidRPr="008D0E93">
              <w:rPr>
                <w:rFonts w:ascii="Times New Roman" w:eastAsia="Times New Roman" w:hAnsi="Times New Roman" w:cs="Times New Roman"/>
                <w:color w:val="000000"/>
              </w:rPr>
              <w:t>R-Squared</w:t>
            </w:r>
          </w:p>
          <w:p w14:paraId="372DEA3E" w14:textId="77777777" w:rsidR="005D2F05" w:rsidRPr="008D0E93" w:rsidRDefault="005D2F05" w:rsidP="005D2F05">
            <w:pPr>
              <w:spacing w:after="0" w:line="240" w:lineRule="auto"/>
              <w:jc w:val="center"/>
              <w:rPr>
                <w:rFonts w:ascii="Times New Roman" w:eastAsia="Times New Roman" w:hAnsi="Times New Roman" w:cs="Times New Roman"/>
                <w:color w:val="000000"/>
              </w:rPr>
            </w:pPr>
            <w:r w:rsidRPr="008D0E93">
              <w:rPr>
                <w:rFonts w:ascii="Times New Roman" w:eastAsia="Times New Roman" w:hAnsi="Times New Roman" w:cs="Times New Roman"/>
                <w:color w:val="000000"/>
              </w:rPr>
              <w:t xml:space="preserve">Adjusted  R-Squared </w:t>
            </w:r>
          </w:p>
        </w:tc>
        <w:tc>
          <w:tcPr>
            <w:tcW w:w="3300" w:type="dxa"/>
            <w:noWrap/>
            <w:vAlign w:val="bottom"/>
            <w:hideMark/>
          </w:tcPr>
          <w:p w14:paraId="778020D1" w14:textId="77777777" w:rsidR="005D2F05" w:rsidRPr="008D0E93" w:rsidRDefault="005D2F05" w:rsidP="005D2F05">
            <w:pPr>
              <w:spacing w:after="0" w:line="240" w:lineRule="auto"/>
              <w:jc w:val="center"/>
              <w:rPr>
                <w:rFonts w:ascii="Times New Roman" w:hAnsi="Times New Roman" w:cs="Times New Roman"/>
                <w:color w:val="000000"/>
              </w:rPr>
            </w:pPr>
            <w:r w:rsidRPr="008D0E93">
              <w:rPr>
                <w:rFonts w:ascii="Times New Roman" w:hAnsi="Times New Roman" w:cs="Times New Roman"/>
                <w:color w:val="000000"/>
              </w:rPr>
              <w:t>0.451919</w:t>
            </w:r>
          </w:p>
          <w:p w14:paraId="0977D908" w14:textId="77777777" w:rsidR="005D2F05" w:rsidRPr="008D0E93" w:rsidRDefault="005D2F05" w:rsidP="005D2F05">
            <w:pPr>
              <w:spacing w:after="0" w:line="240" w:lineRule="auto"/>
              <w:jc w:val="center"/>
              <w:rPr>
                <w:rFonts w:ascii="Times New Roman" w:hAnsi="Times New Roman" w:cs="Times New Roman"/>
                <w:color w:val="000000"/>
              </w:rPr>
            </w:pPr>
          </w:p>
          <w:p w14:paraId="55CDB8FC" w14:textId="77777777" w:rsidR="005D2F05" w:rsidRPr="008D0E93" w:rsidRDefault="005D2F05"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0.377700</w:t>
            </w:r>
          </w:p>
        </w:tc>
        <w:tc>
          <w:tcPr>
            <w:tcW w:w="3240" w:type="dxa"/>
            <w:noWrap/>
            <w:vAlign w:val="bottom"/>
            <w:hideMark/>
          </w:tcPr>
          <w:p w14:paraId="503E7469" w14:textId="77777777" w:rsidR="005D2F05" w:rsidRPr="008D0E93" w:rsidRDefault="005D2F05" w:rsidP="005D2F05">
            <w:pPr>
              <w:spacing w:after="0" w:line="240" w:lineRule="auto"/>
              <w:jc w:val="center"/>
              <w:rPr>
                <w:rFonts w:ascii="Times New Roman" w:hAnsi="Times New Roman" w:cs="Times New Roman"/>
                <w:color w:val="000000"/>
              </w:rPr>
            </w:pPr>
            <w:r w:rsidRPr="008D0E93">
              <w:rPr>
                <w:rFonts w:ascii="Times New Roman" w:hAnsi="Times New Roman" w:cs="Times New Roman"/>
                <w:color w:val="000000"/>
              </w:rPr>
              <w:t>0.459199</w:t>
            </w:r>
          </w:p>
          <w:p w14:paraId="0704CA52" w14:textId="77777777" w:rsidR="005D2F05" w:rsidRPr="008D0E93" w:rsidRDefault="005D2F05" w:rsidP="005D2F05">
            <w:pPr>
              <w:spacing w:after="0" w:line="240" w:lineRule="auto"/>
              <w:jc w:val="center"/>
              <w:rPr>
                <w:rFonts w:ascii="Times New Roman" w:hAnsi="Times New Roman" w:cs="Times New Roman"/>
                <w:color w:val="000000"/>
              </w:rPr>
            </w:pPr>
          </w:p>
          <w:p w14:paraId="5DD26E06" w14:textId="77777777" w:rsidR="005D2F05" w:rsidRPr="008D0E93" w:rsidRDefault="005D2F05"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0.401723</w:t>
            </w:r>
          </w:p>
        </w:tc>
      </w:tr>
      <w:tr w:rsidR="005D2F05" w:rsidRPr="008D0E93" w14:paraId="4E8A674F" w14:textId="77777777" w:rsidTr="005D2F05">
        <w:trPr>
          <w:trHeight w:val="315"/>
        </w:trPr>
        <w:tc>
          <w:tcPr>
            <w:tcW w:w="2085" w:type="dxa"/>
            <w:noWrap/>
            <w:vAlign w:val="bottom"/>
            <w:hideMark/>
          </w:tcPr>
          <w:p w14:paraId="144209BA" w14:textId="77777777" w:rsidR="005D2F05" w:rsidRPr="008D0E93" w:rsidRDefault="005D2F05" w:rsidP="005D2F05">
            <w:pPr>
              <w:spacing w:after="0" w:line="240" w:lineRule="auto"/>
              <w:jc w:val="center"/>
              <w:rPr>
                <w:rFonts w:ascii="Times New Roman" w:eastAsia="Times New Roman" w:hAnsi="Times New Roman" w:cs="Times New Roman"/>
                <w:color w:val="000000"/>
              </w:rPr>
            </w:pPr>
            <w:r w:rsidRPr="008D0E93">
              <w:rPr>
                <w:rFonts w:ascii="Times New Roman" w:eastAsia="Times New Roman" w:hAnsi="Times New Roman" w:cs="Times New Roman"/>
                <w:color w:val="000000"/>
              </w:rPr>
              <w:t>F-Statistics</w:t>
            </w:r>
          </w:p>
        </w:tc>
        <w:tc>
          <w:tcPr>
            <w:tcW w:w="3300" w:type="dxa"/>
            <w:noWrap/>
            <w:vAlign w:val="bottom"/>
            <w:hideMark/>
          </w:tcPr>
          <w:p w14:paraId="447BF006" w14:textId="77777777" w:rsidR="005D2F05" w:rsidRPr="008D0E93" w:rsidRDefault="005D2F05"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6.088971</w:t>
            </w:r>
          </w:p>
        </w:tc>
        <w:tc>
          <w:tcPr>
            <w:tcW w:w="3240" w:type="dxa"/>
            <w:noWrap/>
            <w:vAlign w:val="bottom"/>
            <w:hideMark/>
          </w:tcPr>
          <w:p w14:paraId="61B3ECA5" w14:textId="77777777" w:rsidR="005D2F05" w:rsidRPr="008D0E93" w:rsidRDefault="005D2F05"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1.062718</w:t>
            </w:r>
          </w:p>
        </w:tc>
      </w:tr>
      <w:tr w:rsidR="005D2F05" w:rsidRPr="008D0E93" w14:paraId="23A112D9" w14:textId="77777777" w:rsidTr="005D2F05">
        <w:trPr>
          <w:trHeight w:val="330"/>
        </w:trPr>
        <w:tc>
          <w:tcPr>
            <w:tcW w:w="2085" w:type="dxa"/>
            <w:tcBorders>
              <w:bottom w:val="single" w:sz="4" w:space="0" w:color="auto"/>
            </w:tcBorders>
            <w:noWrap/>
            <w:vAlign w:val="bottom"/>
            <w:hideMark/>
          </w:tcPr>
          <w:p w14:paraId="2EAA14B9" w14:textId="77777777" w:rsidR="005D2F05" w:rsidRPr="008D0E93" w:rsidRDefault="005D2F05" w:rsidP="005D2F05">
            <w:pPr>
              <w:spacing w:after="0" w:line="240" w:lineRule="auto"/>
              <w:jc w:val="center"/>
              <w:rPr>
                <w:rFonts w:ascii="Times New Roman" w:eastAsia="Times New Roman" w:hAnsi="Times New Roman" w:cs="Times New Roman"/>
                <w:color w:val="000000"/>
              </w:rPr>
            </w:pPr>
            <w:r w:rsidRPr="008D0E93">
              <w:rPr>
                <w:rFonts w:ascii="Times New Roman" w:eastAsia="Times New Roman" w:hAnsi="Times New Roman" w:cs="Times New Roman"/>
                <w:color w:val="000000"/>
              </w:rPr>
              <w:t>Prob (F-Statistic</w:t>
            </w:r>
          </w:p>
        </w:tc>
        <w:tc>
          <w:tcPr>
            <w:tcW w:w="3300" w:type="dxa"/>
            <w:tcBorders>
              <w:bottom w:val="single" w:sz="4" w:space="0" w:color="auto"/>
            </w:tcBorders>
            <w:noWrap/>
            <w:vAlign w:val="bottom"/>
            <w:hideMark/>
          </w:tcPr>
          <w:p w14:paraId="4DE9BA93" w14:textId="77777777" w:rsidR="005D2F05" w:rsidRPr="008D0E93" w:rsidRDefault="005D2F05"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0.00000</w:t>
            </w:r>
          </w:p>
        </w:tc>
        <w:tc>
          <w:tcPr>
            <w:tcW w:w="3240" w:type="dxa"/>
            <w:tcBorders>
              <w:bottom w:val="single" w:sz="4" w:space="0" w:color="auto"/>
            </w:tcBorders>
            <w:noWrap/>
            <w:vAlign w:val="bottom"/>
            <w:hideMark/>
          </w:tcPr>
          <w:p w14:paraId="1AA76A2D" w14:textId="77777777" w:rsidR="005D2F05" w:rsidRPr="008D0E93" w:rsidRDefault="005D2F05" w:rsidP="005D2F05">
            <w:pPr>
              <w:spacing w:after="0" w:line="240" w:lineRule="auto"/>
              <w:jc w:val="center"/>
              <w:rPr>
                <w:rFonts w:ascii="Times New Roman" w:eastAsia="Times New Roman" w:hAnsi="Times New Roman" w:cs="Times New Roman"/>
                <w:color w:val="000000"/>
              </w:rPr>
            </w:pPr>
            <w:r w:rsidRPr="008D0E93">
              <w:rPr>
                <w:rFonts w:ascii="Times New Roman" w:hAnsi="Times New Roman" w:cs="Times New Roman"/>
                <w:color w:val="000000"/>
              </w:rPr>
              <w:t>0.368212</w:t>
            </w:r>
          </w:p>
        </w:tc>
      </w:tr>
    </w:tbl>
    <w:p w14:paraId="755CC1C8" w14:textId="2CC9E099" w:rsidR="005D2F05" w:rsidRDefault="005D2F05" w:rsidP="005D2F05">
      <w:pPr>
        <w:spacing w:before="40" w:after="0"/>
        <w:jc w:val="both"/>
        <w:rPr>
          <w:rFonts w:ascii="Times New Roman" w:hAnsi="Times New Roman" w:cs="Times New Roman"/>
          <w:b/>
          <w:bCs/>
        </w:rPr>
      </w:pPr>
      <w:r w:rsidRPr="008D0E93">
        <w:rPr>
          <w:rFonts w:ascii="Times New Roman" w:hAnsi="Times New Roman" w:cs="Times New Roman"/>
          <w:b/>
          <w:bCs/>
        </w:rPr>
        <w:t>So</w:t>
      </w:r>
      <w:r w:rsidR="00064261">
        <w:rPr>
          <w:rFonts w:ascii="Times New Roman" w:hAnsi="Times New Roman" w:cs="Times New Roman"/>
          <w:b/>
          <w:bCs/>
        </w:rPr>
        <w:t>urce: Author's computations from</w:t>
      </w:r>
      <w:r w:rsidRPr="008D0E93">
        <w:rPr>
          <w:rFonts w:ascii="Times New Roman" w:hAnsi="Times New Roman" w:cs="Times New Roman"/>
          <w:b/>
          <w:bCs/>
        </w:rPr>
        <w:t xml:space="preserve"> E-vie</w:t>
      </w:r>
      <w:r w:rsidR="00064261">
        <w:rPr>
          <w:rFonts w:ascii="Times New Roman" w:hAnsi="Times New Roman" w:cs="Times New Roman"/>
          <w:b/>
          <w:bCs/>
        </w:rPr>
        <w:t>ws 12</w:t>
      </w:r>
    </w:p>
    <w:p w14:paraId="2FF41618" w14:textId="77777777" w:rsidR="00925567" w:rsidRDefault="00925567" w:rsidP="005D2F05">
      <w:pPr>
        <w:spacing w:before="40" w:after="0"/>
        <w:jc w:val="both"/>
        <w:rPr>
          <w:rFonts w:ascii="Times New Roman" w:hAnsi="Times New Roman" w:cs="Times New Roman"/>
          <w:bCs/>
        </w:rPr>
      </w:pPr>
    </w:p>
    <w:p w14:paraId="5071A788" w14:textId="45D59E9D" w:rsidR="00F06C02" w:rsidRPr="008D0E93" w:rsidRDefault="00925567" w:rsidP="00185A21">
      <w:pPr>
        <w:spacing w:after="0" w:line="240" w:lineRule="auto"/>
        <w:jc w:val="both"/>
        <w:rPr>
          <w:rFonts w:ascii="Times New Roman" w:hAnsi="Times New Roman" w:cs="Times New Roman"/>
        </w:rPr>
      </w:pPr>
      <w:r w:rsidRPr="00925567">
        <w:rPr>
          <w:rFonts w:ascii="Times New Roman" w:hAnsi="Times New Roman" w:cs="Times New Roman"/>
          <w:bCs/>
        </w:rPr>
        <w:t>The result shown in table 5 gives the summary</w:t>
      </w:r>
      <w:r>
        <w:rPr>
          <w:rFonts w:ascii="Times New Roman" w:hAnsi="Times New Roman" w:cs="Times New Roman"/>
          <w:bCs/>
        </w:rPr>
        <w:t xml:space="preserve"> of the </w:t>
      </w:r>
      <w:r w:rsidR="00F06C02">
        <w:rPr>
          <w:rFonts w:ascii="Times New Roman" w:hAnsi="Times New Roman" w:cs="Times New Roman"/>
          <w:bCs/>
        </w:rPr>
        <w:t xml:space="preserve">both the fixed and the random effect model output for the dependent variable price earnings ratio (PER). In line with the hausman test carried out which gave the random effect model as the preferred model the outcomes are </w:t>
      </w:r>
      <w:r w:rsidR="00F06C02">
        <w:rPr>
          <w:rFonts w:ascii="Times New Roman" w:hAnsi="Times New Roman" w:cs="Times New Roman"/>
          <w:bCs/>
        </w:rPr>
        <w:lastRenderedPageBreak/>
        <w:t xml:space="preserve">interpreted. </w:t>
      </w:r>
      <w:r w:rsidR="00F06C02" w:rsidRPr="008D0E93">
        <w:rPr>
          <w:rFonts w:ascii="Times New Roman" w:hAnsi="Times New Roman" w:cs="Times New Roman"/>
        </w:rPr>
        <w:t>The adjusted R-</w:t>
      </w:r>
      <w:r w:rsidR="00F06C02" w:rsidRPr="008D0E93">
        <w:rPr>
          <w:rFonts w:ascii="Times New Roman" w:hAnsi="Times New Roman" w:cs="Times New Roman"/>
          <w:bCs/>
        </w:rPr>
        <w:t xml:space="preserve">squared </w:t>
      </w:r>
      <w:r w:rsidR="00F06C02" w:rsidRPr="008D0E93">
        <w:rPr>
          <w:rFonts w:ascii="Times New Roman" w:hAnsi="Times New Roman" w:cs="Times New Roman"/>
          <w:b/>
          <w:bCs/>
        </w:rPr>
        <w:t>(</w:t>
      </w:r>
      <w:r w:rsidR="00F06C02" w:rsidRPr="008D0E93">
        <w:rPr>
          <w:rFonts w:ascii="Times New Roman" w:hAnsi="Times New Roman" w:cs="Times New Roman"/>
          <w:color w:val="000000"/>
        </w:rPr>
        <w:t>0.401723</w:t>
      </w:r>
      <w:r w:rsidR="00F06C02" w:rsidRPr="008D0E93">
        <w:rPr>
          <w:rFonts w:ascii="Times New Roman" w:hAnsi="Times New Roman" w:cs="Times New Roman"/>
          <w:b/>
          <w:bCs/>
        </w:rPr>
        <w:t>)</w:t>
      </w:r>
      <w:r w:rsidR="00F06C02" w:rsidRPr="008D0E93">
        <w:rPr>
          <w:rFonts w:ascii="Times New Roman" w:hAnsi="Times New Roman" w:cs="Times New Roman"/>
        </w:rPr>
        <w:t xml:space="preserve"> indicates that BS, </w:t>
      </w:r>
      <w:r w:rsidR="00F06C02" w:rsidRPr="008D0E93">
        <w:rPr>
          <w:rFonts w:ascii="Times New Roman" w:eastAsia="Times New Roman" w:hAnsi="Times New Roman" w:cs="Times New Roman"/>
          <w:color w:val="000000"/>
        </w:rPr>
        <w:t xml:space="preserve">BE and BI </w:t>
      </w:r>
      <w:r w:rsidR="00F06C02" w:rsidRPr="008D0E93">
        <w:rPr>
          <w:rFonts w:ascii="Times New Roman" w:hAnsi="Times New Roman" w:cs="Times New Roman"/>
        </w:rPr>
        <w:t xml:space="preserve">accounted for </w:t>
      </w:r>
      <w:r w:rsidR="00F06C02">
        <w:rPr>
          <w:rFonts w:ascii="Times New Roman" w:hAnsi="Times New Roman" w:cs="Times New Roman"/>
        </w:rPr>
        <w:t xml:space="preserve">about </w:t>
      </w:r>
      <w:r w:rsidR="00F06C02" w:rsidRPr="008D0E93">
        <w:rPr>
          <w:rFonts w:ascii="Times New Roman" w:hAnsi="Times New Roman" w:cs="Times New Roman"/>
          <w:color w:val="000000"/>
        </w:rPr>
        <w:t>40</w:t>
      </w:r>
      <w:r w:rsidR="00F06C02" w:rsidRPr="008D0E93">
        <w:rPr>
          <w:rFonts w:ascii="Times New Roman" w:hAnsi="Times New Roman" w:cs="Times New Roman"/>
        </w:rPr>
        <w:t>% of the</w:t>
      </w:r>
      <w:r w:rsidR="00F06C02">
        <w:rPr>
          <w:rFonts w:ascii="Times New Roman" w:hAnsi="Times New Roman" w:cs="Times New Roman"/>
        </w:rPr>
        <w:t xml:space="preserve"> variations in the price earnings ratio (PER) of the companies included in the study</w:t>
      </w:r>
      <w:r w:rsidR="00F06C02" w:rsidRPr="008D0E93">
        <w:rPr>
          <w:rFonts w:ascii="Times New Roman" w:hAnsi="Times New Roman" w:cs="Times New Roman"/>
        </w:rPr>
        <w:t xml:space="preserve"> </w:t>
      </w:r>
      <w:r w:rsidR="00F06C02">
        <w:rPr>
          <w:rFonts w:ascii="Times New Roman" w:hAnsi="Times New Roman" w:cs="Times New Roman"/>
        </w:rPr>
        <w:t>w</w:t>
      </w:r>
      <w:r w:rsidR="00F06C02" w:rsidRPr="008D0E93">
        <w:rPr>
          <w:rFonts w:ascii="Times New Roman" w:hAnsi="Times New Roman" w:cs="Times New Roman"/>
        </w:rPr>
        <w:t xml:space="preserve">hile the remaining 60% </w:t>
      </w:r>
      <w:r w:rsidR="00F06C02">
        <w:rPr>
          <w:rFonts w:ascii="Times New Roman" w:hAnsi="Times New Roman" w:cs="Times New Roman"/>
        </w:rPr>
        <w:t>can be attributed to other factors not captured in the model.</w:t>
      </w:r>
      <w:r w:rsidR="00715A5A">
        <w:rPr>
          <w:rFonts w:ascii="Times New Roman" w:hAnsi="Times New Roman" w:cs="Times New Roman"/>
        </w:rPr>
        <w:t xml:space="preserve"> The t-statistics for BS, BI and BE (</w:t>
      </w:r>
      <w:r w:rsidR="00185A21">
        <w:rPr>
          <w:rFonts w:ascii="Times New Roman" w:hAnsi="Times New Roman" w:cs="Times New Roman"/>
        </w:rPr>
        <w:t xml:space="preserve">1.2008, 0.7945 and -0.1212) all fell below the rule of thumb of 2 and as such are non- significant. Hence corporate governance measured as board size, board independence and board expertise do not significantly affect the value of listed companies in Nigeria. </w:t>
      </w:r>
    </w:p>
    <w:p w14:paraId="086BB273" w14:textId="178E8466" w:rsidR="00925567" w:rsidRPr="00925567" w:rsidRDefault="00925567" w:rsidP="005D2F05">
      <w:pPr>
        <w:spacing w:before="40" w:after="0"/>
        <w:jc w:val="both"/>
        <w:rPr>
          <w:rFonts w:ascii="Times New Roman" w:hAnsi="Times New Roman" w:cs="Times New Roman"/>
        </w:rPr>
      </w:pPr>
    </w:p>
    <w:p w14:paraId="3B52285C" w14:textId="77777777" w:rsidR="005D2F05" w:rsidRDefault="005D2F05" w:rsidP="00A77FE8">
      <w:pPr>
        <w:spacing w:after="0" w:line="240" w:lineRule="auto"/>
        <w:jc w:val="both"/>
        <w:rPr>
          <w:rFonts w:ascii="Times New Roman" w:hAnsi="Times New Roman" w:cs="Times New Roman"/>
        </w:rPr>
      </w:pPr>
    </w:p>
    <w:p w14:paraId="728A5B70" w14:textId="0375A6AC" w:rsidR="0063596E" w:rsidRDefault="003B796D" w:rsidP="00A77FE8">
      <w:pPr>
        <w:spacing w:after="0" w:line="240" w:lineRule="auto"/>
        <w:jc w:val="both"/>
        <w:rPr>
          <w:rFonts w:ascii="Times New Roman" w:hAnsi="Times New Roman" w:cs="Times New Roman"/>
          <w:b/>
        </w:rPr>
      </w:pPr>
      <w:r>
        <w:rPr>
          <w:rFonts w:ascii="Times New Roman" w:hAnsi="Times New Roman" w:cs="Times New Roman"/>
          <w:b/>
        </w:rPr>
        <w:t>4.3</w:t>
      </w:r>
      <w:r w:rsidR="0063596E">
        <w:rPr>
          <w:rFonts w:ascii="Times New Roman" w:hAnsi="Times New Roman" w:cs="Times New Roman"/>
          <w:b/>
        </w:rPr>
        <w:t xml:space="preserve"> </w:t>
      </w:r>
      <w:r w:rsidR="00D72ACE">
        <w:rPr>
          <w:rFonts w:ascii="Times New Roman" w:hAnsi="Times New Roman" w:cs="Times New Roman"/>
          <w:b/>
        </w:rPr>
        <w:t>Discussion of Results</w:t>
      </w:r>
    </w:p>
    <w:p w14:paraId="393B2240" w14:textId="6DEECB54" w:rsidR="0063596E" w:rsidRPr="00FC7AD1" w:rsidRDefault="0063596E" w:rsidP="00A77FE8">
      <w:pPr>
        <w:spacing w:after="0" w:line="240" w:lineRule="auto"/>
        <w:jc w:val="both"/>
        <w:rPr>
          <w:rStyle w:val="t286pc"/>
          <w:rFonts w:ascii="Times New Roman" w:hAnsi="Times New Roman" w:cs="Times New Roman"/>
        </w:rPr>
      </w:pPr>
      <w:r w:rsidRPr="00FC7AD1">
        <w:rPr>
          <w:rFonts w:ascii="Times New Roman" w:hAnsi="Times New Roman" w:cs="Times New Roman"/>
        </w:rPr>
        <w:t>The study examines the relationship between corporate governance and firm value of listed companies in</w:t>
      </w:r>
      <w:r w:rsidR="003B796D">
        <w:rPr>
          <w:rFonts w:ascii="Times New Roman" w:hAnsi="Times New Roman" w:cs="Times New Roman"/>
        </w:rPr>
        <w:t xml:space="preserve"> Nigeria. The study was analyzed</w:t>
      </w:r>
      <w:r w:rsidRPr="00FC7AD1">
        <w:rPr>
          <w:rFonts w:ascii="Times New Roman" w:hAnsi="Times New Roman" w:cs="Times New Roman"/>
        </w:rPr>
        <w:t xml:space="preserve"> with </w:t>
      </w:r>
      <w:r w:rsidR="00380EB1">
        <w:rPr>
          <w:rFonts w:ascii="Times New Roman" w:hAnsi="Times New Roman" w:cs="Times New Roman"/>
          <w:color w:val="000000"/>
        </w:rPr>
        <w:t xml:space="preserve">panel regression with two hypothesis formulated. </w:t>
      </w:r>
      <w:r w:rsidRPr="00FC7AD1">
        <w:rPr>
          <w:rFonts w:ascii="Times New Roman" w:hAnsi="Times New Roman" w:cs="Times New Roman"/>
        </w:rPr>
        <w:t xml:space="preserve">The result of hypothesis one revealed board size has negative and insignificant effect on Tobin’s Q of listed companies in Nigeria. </w:t>
      </w:r>
      <w:r>
        <w:rPr>
          <w:rFonts w:ascii="Times New Roman" w:hAnsi="Times New Roman" w:cs="Times New Roman"/>
        </w:rPr>
        <w:t xml:space="preserve"> </w:t>
      </w:r>
      <w:r w:rsidRPr="00FC7AD1">
        <w:rPr>
          <w:rFonts w:ascii="Times New Roman" w:hAnsi="Times New Roman" w:cs="Times New Roman"/>
        </w:rPr>
        <w:t xml:space="preserve">This result holds on the ground that </w:t>
      </w:r>
      <w:r w:rsidRPr="00FC7AD1">
        <w:rPr>
          <w:rStyle w:val="Strong"/>
          <w:rFonts w:ascii="Times New Roman" w:hAnsi="Times New Roman" w:cs="Times New Roman"/>
          <w:b w:val="0"/>
        </w:rPr>
        <w:t>larger</w:t>
      </w:r>
      <w:r w:rsidRPr="00FC7AD1">
        <w:rPr>
          <w:rStyle w:val="Strong"/>
          <w:rFonts w:ascii="Times New Roman" w:hAnsi="Times New Roman" w:cs="Times New Roman"/>
        </w:rPr>
        <w:t xml:space="preserve"> </w:t>
      </w:r>
      <w:r w:rsidRPr="00FC7AD1">
        <w:rPr>
          <w:rStyle w:val="Strong"/>
          <w:rFonts w:ascii="Times New Roman" w:hAnsi="Times New Roman" w:cs="Times New Roman"/>
          <w:b w:val="0"/>
        </w:rPr>
        <w:t>board</w:t>
      </w:r>
      <w:r w:rsidRPr="00FC7AD1">
        <w:rPr>
          <w:rStyle w:val="Strong"/>
          <w:rFonts w:ascii="Times New Roman" w:hAnsi="Times New Roman" w:cs="Times New Roman"/>
        </w:rPr>
        <w:t xml:space="preserve"> </w:t>
      </w:r>
      <w:r w:rsidRPr="00BD09F4">
        <w:rPr>
          <w:rStyle w:val="Strong"/>
          <w:rFonts w:ascii="Times New Roman" w:hAnsi="Times New Roman" w:cs="Times New Roman"/>
          <w:b w:val="0"/>
        </w:rPr>
        <w:t>size</w:t>
      </w:r>
      <w:r w:rsidRPr="00FC7AD1">
        <w:rPr>
          <w:rFonts w:ascii="Times New Roman" w:hAnsi="Times New Roman" w:cs="Times New Roman"/>
        </w:rPr>
        <w:t xml:space="preserve"> can reduce efficiency because decision-making becomes slower and more complex. When too many directors are involved, it may lead to difficulty reaching consensus, communication breakdown and delays in strategic decisions. These coordination problems can weaken a firm's ability to respond quickly to market opportunities, which may reduce firm value as measured by </w:t>
      </w:r>
      <w:r w:rsidRPr="00FC7AD1">
        <w:rPr>
          <w:rFonts w:ascii="Times New Roman" w:hAnsi="Times New Roman" w:cs="Times New Roman"/>
          <w:bCs/>
        </w:rPr>
        <w:t>Tobin’s Q</w:t>
      </w:r>
      <w:r w:rsidR="003B796D">
        <w:rPr>
          <w:rFonts w:ascii="Times New Roman" w:hAnsi="Times New Roman" w:cs="Times New Roman"/>
          <w:bCs/>
        </w:rPr>
        <w:t>.</w:t>
      </w:r>
      <w:r w:rsidRPr="00FC7AD1">
        <w:rPr>
          <w:rFonts w:ascii="Times New Roman" w:hAnsi="Times New Roman" w:cs="Times New Roman"/>
        </w:rPr>
        <w:t xml:space="preserve"> The </w:t>
      </w:r>
      <w:r w:rsidRPr="00FC7AD1">
        <w:rPr>
          <w:rStyle w:val="Strong"/>
          <w:rFonts w:ascii="Times New Roman" w:hAnsi="Times New Roman" w:cs="Times New Roman"/>
          <w:b w:val="0"/>
        </w:rPr>
        <w:t>insignificant statistical effect</w:t>
      </w:r>
      <w:r w:rsidRPr="00FC7AD1">
        <w:rPr>
          <w:rFonts w:ascii="Times New Roman" w:hAnsi="Times New Roman" w:cs="Times New Roman"/>
        </w:rPr>
        <w:t xml:space="preserve"> implies that board size alone does not strongly determine firm value. </w:t>
      </w:r>
      <w:r w:rsidRPr="00FC7AD1">
        <w:rPr>
          <w:rStyle w:val="t286pc"/>
          <w:rFonts w:ascii="Times New Roman" w:hAnsi="Times New Roman" w:cs="Times New Roman"/>
          <w:color w:val="0A0A0A"/>
          <w:shd w:val="clear" w:color="auto" w:fill="FFFFFF"/>
        </w:rPr>
        <w:t>The result is in line with the findings of (</w:t>
      </w:r>
      <w:r w:rsidR="00380EB1">
        <w:rPr>
          <w:rFonts w:ascii="Times New Roman" w:hAnsi="Times New Roman" w:cs="Times New Roman"/>
        </w:rPr>
        <w:t xml:space="preserve">Bawa et al.,2025). </w:t>
      </w:r>
      <w:r w:rsidR="003B796D">
        <w:rPr>
          <w:rFonts w:ascii="Times New Roman" w:hAnsi="Times New Roman" w:cs="Times New Roman"/>
          <w:color w:val="000000"/>
        </w:rPr>
        <w:t>Secondly, the</w:t>
      </w:r>
      <w:r w:rsidRPr="00FC7AD1">
        <w:rPr>
          <w:rFonts w:ascii="Times New Roman" w:hAnsi="Times New Roman" w:cs="Times New Roman"/>
          <w:color w:val="000000"/>
        </w:rPr>
        <w:t xml:space="preserve"> result </w:t>
      </w:r>
      <w:r w:rsidR="003B796D">
        <w:rPr>
          <w:rFonts w:ascii="Times New Roman" w:hAnsi="Times New Roman" w:cs="Times New Roman"/>
          <w:color w:val="000000"/>
        </w:rPr>
        <w:t xml:space="preserve">also </w:t>
      </w:r>
      <w:r w:rsidRPr="00FC7AD1">
        <w:rPr>
          <w:rFonts w:ascii="Times New Roman" w:hAnsi="Times New Roman" w:cs="Times New Roman"/>
          <w:color w:val="000000"/>
        </w:rPr>
        <w:t xml:space="preserve">revealed that </w:t>
      </w:r>
      <w:r w:rsidRPr="00FC7AD1">
        <w:rPr>
          <w:rFonts w:ascii="Times New Roman" w:hAnsi="Times New Roman" w:cs="Times New Roman"/>
        </w:rPr>
        <w:t>board independence has positive but insignificant effect on Tobin’s Q of listed companies in Nigeria. The result implies that in Nigeria, where corporate governance is evolving, independent directors play a critical role in increasing transparency and reducing conflicts of interest. The positive effect on Tobin’s Q suggests that the market rewards the higher quality of governance associated with independent, non-executive, and experienced board members</w:t>
      </w:r>
      <w:r w:rsidRPr="00FC7AD1">
        <w:rPr>
          <w:rFonts w:ascii="Times New Roman" w:hAnsi="Times New Roman" w:cs="Times New Roman"/>
          <w:color w:val="0A0A0A"/>
          <w:shd w:val="clear" w:color="auto" w:fill="FFFFFF"/>
        </w:rPr>
        <w:t>.</w:t>
      </w:r>
      <w:r w:rsidRPr="00FC7AD1">
        <w:rPr>
          <w:rStyle w:val="t286pc"/>
          <w:rFonts w:ascii="Times New Roman" w:hAnsi="Times New Roman" w:cs="Times New Roman"/>
          <w:color w:val="0A0A0A"/>
          <w:shd w:val="clear" w:color="auto" w:fill="FFFFFF"/>
        </w:rPr>
        <w:t> The result is in line with the findings of (</w:t>
      </w:r>
      <w:r w:rsidRPr="00FC7AD1">
        <w:rPr>
          <w:rFonts w:ascii="Times New Roman" w:hAnsi="Times New Roman" w:cs="Times New Roman"/>
        </w:rPr>
        <w:t xml:space="preserve">Abdulrasheed  et al., 2022). </w:t>
      </w:r>
    </w:p>
    <w:p w14:paraId="2C9DC28C" w14:textId="0DB615B7" w:rsidR="0063596E" w:rsidRDefault="00380EB1" w:rsidP="00A77FE8">
      <w:pPr>
        <w:spacing w:after="0" w:line="240" w:lineRule="auto"/>
        <w:jc w:val="both"/>
        <w:rPr>
          <w:rFonts w:ascii="Times New Roman" w:hAnsi="Times New Roman" w:cs="Times New Roman"/>
        </w:rPr>
      </w:pPr>
      <w:r>
        <w:rPr>
          <w:rFonts w:ascii="Times New Roman" w:hAnsi="Times New Roman" w:cs="Times New Roman"/>
          <w:color w:val="000000"/>
        </w:rPr>
        <w:t xml:space="preserve">Lastly, the </w:t>
      </w:r>
      <w:r w:rsidR="0063596E" w:rsidRPr="00FC7AD1">
        <w:rPr>
          <w:rFonts w:ascii="Times New Roman" w:hAnsi="Times New Roman" w:cs="Times New Roman"/>
          <w:color w:val="000000"/>
        </w:rPr>
        <w:t xml:space="preserve">result revealed that </w:t>
      </w:r>
      <w:r w:rsidR="0063596E" w:rsidRPr="00FC7AD1">
        <w:rPr>
          <w:rFonts w:ascii="Times New Roman" w:hAnsi="Times New Roman" w:cs="Times New Roman"/>
        </w:rPr>
        <w:t>board e</w:t>
      </w:r>
      <w:r w:rsidR="0063596E">
        <w:rPr>
          <w:rFonts w:ascii="Times New Roman" w:hAnsi="Times New Roman" w:cs="Times New Roman"/>
        </w:rPr>
        <w:t xml:space="preserve">xpertise has positive </w:t>
      </w:r>
      <w:r>
        <w:rPr>
          <w:rFonts w:ascii="Times New Roman" w:hAnsi="Times New Roman" w:cs="Times New Roman"/>
        </w:rPr>
        <w:t>but non-</w:t>
      </w:r>
      <w:r w:rsidR="0063596E" w:rsidRPr="00FC7AD1">
        <w:rPr>
          <w:rFonts w:ascii="Times New Roman" w:hAnsi="Times New Roman" w:cs="Times New Roman"/>
        </w:rPr>
        <w:t>significant effect on Tobin’s Q of listed companies in Nigeria The result is justified because board expertise brings the potential for improvement (positive) but, due to structural, behavioral, or market-specific constraints in Nigeria, it does not consistently lead to a statistically significant increase in the market-driven value of the firm.</w:t>
      </w:r>
      <w:r w:rsidR="0063596E" w:rsidRPr="00FC7AD1">
        <w:rPr>
          <w:rStyle w:val="t286pc"/>
          <w:rFonts w:ascii="Times New Roman" w:hAnsi="Times New Roman" w:cs="Times New Roman"/>
          <w:color w:val="0A0A0A"/>
          <w:shd w:val="clear" w:color="auto" w:fill="FFFFFF"/>
        </w:rPr>
        <w:t>  The result is in line with the findings of (</w:t>
      </w:r>
      <w:r w:rsidR="0063596E" w:rsidRPr="00FC7AD1">
        <w:rPr>
          <w:rFonts w:ascii="Times New Roman" w:hAnsi="Times New Roman" w:cs="Times New Roman"/>
        </w:rPr>
        <w:t xml:space="preserve">Adegboye, et al., 2020). </w:t>
      </w:r>
    </w:p>
    <w:p w14:paraId="256B2A95" w14:textId="07B286B2" w:rsidR="00380EB1" w:rsidRPr="008D0E93" w:rsidRDefault="00380EB1" w:rsidP="00380EB1">
      <w:pPr>
        <w:spacing w:after="0" w:line="240" w:lineRule="auto"/>
        <w:jc w:val="both"/>
        <w:rPr>
          <w:rFonts w:ascii="Times New Roman" w:hAnsi="Times New Roman" w:cs="Times New Roman"/>
        </w:rPr>
      </w:pPr>
      <w:r>
        <w:rPr>
          <w:rFonts w:ascii="Times New Roman" w:hAnsi="Times New Roman" w:cs="Times New Roman"/>
        </w:rPr>
        <w:t>For hypothesis two with price earnings ratio as the dependent variable, t</w:t>
      </w:r>
      <w:r>
        <w:rPr>
          <w:rFonts w:ascii="Times New Roman" w:hAnsi="Times New Roman" w:cs="Times New Roman"/>
          <w:color w:val="000000"/>
        </w:rPr>
        <w:t>he results</w:t>
      </w:r>
      <w:r w:rsidRPr="008D0E93">
        <w:rPr>
          <w:rFonts w:ascii="Times New Roman" w:hAnsi="Times New Roman" w:cs="Times New Roman"/>
          <w:color w:val="000000"/>
        </w:rPr>
        <w:t xml:space="preserve"> revealed that </w:t>
      </w:r>
      <w:r w:rsidRPr="008D0E93">
        <w:rPr>
          <w:rFonts w:ascii="Times New Roman" w:hAnsi="Times New Roman" w:cs="Times New Roman"/>
        </w:rPr>
        <w:t xml:space="preserve">board size has positive but </w:t>
      </w:r>
      <w:r>
        <w:rPr>
          <w:rFonts w:ascii="Times New Roman" w:hAnsi="Times New Roman" w:cs="Times New Roman"/>
        </w:rPr>
        <w:t>non-</w:t>
      </w:r>
      <w:r w:rsidRPr="008D0E93">
        <w:rPr>
          <w:rFonts w:ascii="Times New Roman" w:hAnsi="Times New Roman" w:cs="Times New Roman"/>
        </w:rPr>
        <w:t>significant effect on price earnings ratio of listed companies in Nigeria. This result implies that,</w:t>
      </w:r>
      <w:r>
        <w:rPr>
          <w:rFonts w:ascii="Times New Roman" w:hAnsi="Times New Roman" w:cs="Times New Roman"/>
        </w:rPr>
        <w:t xml:space="preserve"> </w:t>
      </w:r>
      <w:r w:rsidRPr="008D0E93">
        <w:rPr>
          <w:rStyle w:val="Strong"/>
          <w:rFonts w:ascii="Times New Roman" w:hAnsi="Times New Roman" w:cs="Times New Roman"/>
          <w:b w:val="0"/>
        </w:rPr>
        <w:t>larger boards may slightly enhance investor confidence through better expertise and monitoring</w:t>
      </w:r>
      <w:r w:rsidRPr="008D0E93">
        <w:rPr>
          <w:rFonts w:ascii="Times New Roman" w:hAnsi="Times New Roman" w:cs="Times New Roman"/>
        </w:rPr>
        <w:t xml:space="preserve">, which can improve market valuation. However, </w:t>
      </w:r>
      <w:r w:rsidRPr="008D0E93">
        <w:rPr>
          <w:rStyle w:val="Strong"/>
          <w:rFonts w:ascii="Times New Roman" w:hAnsi="Times New Roman" w:cs="Times New Roman"/>
          <w:b w:val="0"/>
        </w:rPr>
        <w:t>board size alone is not a strong determinant of the price–earnings ratio</w:t>
      </w:r>
      <w:r w:rsidRPr="008D0E93">
        <w:rPr>
          <w:rFonts w:ascii="Times New Roman" w:hAnsi="Times New Roman" w:cs="Times New Roman"/>
        </w:rPr>
        <w:t xml:space="preserve">, as other firm-specific and market factors play a more influential role among listed firms in </w:t>
      </w:r>
      <w:r w:rsidRPr="008D0E93">
        <w:rPr>
          <w:rStyle w:val="whitespace-normal"/>
          <w:rFonts w:ascii="Times New Roman" w:hAnsi="Times New Roman" w:cs="Times New Roman"/>
          <w:bCs/>
        </w:rPr>
        <w:t>Nigeria</w:t>
      </w:r>
      <w:r w:rsidRPr="008D0E93">
        <w:rPr>
          <w:rFonts w:ascii="Times New Roman" w:hAnsi="Times New Roman" w:cs="Times New Roman"/>
        </w:rPr>
        <w:t>.</w:t>
      </w:r>
      <w:r w:rsidRPr="008D0E93">
        <w:rPr>
          <w:rStyle w:val="vkekvd"/>
          <w:rFonts w:ascii="Times New Roman" w:hAnsi="Times New Roman" w:cs="Times New Roman"/>
          <w:color w:val="0A0A0A"/>
          <w:shd w:val="clear" w:color="auto" w:fill="FFFFFF"/>
        </w:rPr>
        <w:t> The result is in line with the findings of (</w:t>
      </w:r>
      <w:r w:rsidRPr="008D0E93">
        <w:rPr>
          <w:rFonts w:ascii="Times New Roman" w:hAnsi="Times New Roman" w:cs="Times New Roman"/>
        </w:rPr>
        <w:t>Adeyemi</w:t>
      </w:r>
      <w:r>
        <w:rPr>
          <w:rFonts w:ascii="Times New Roman" w:hAnsi="Times New Roman" w:cs="Times New Roman"/>
        </w:rPr>
        <w:t xml:space="preserve"> </w:t>
      </w:r>
      <w:r w:rsidRPr="008D0E93">
        <w:rPr>
          <w:rFonts w:ascii="Times New Roman" w:hAnsi="Times New Roman" w:cs="Times New Roman"/>
        </w:rPr>
        <w:t>&amp;</w:t>
      </w:r>
      <w:r>
        <w:rPr>
          <w:rFonts w:ascii="Times New Roman" w:hAnsi="Times New Roman" w:cs="Times New Roman"/>
        </w:rPr>
        <w:t xml:space="preserve"> </w:t>
      </w:r>
      <w:r w:rsidRPr="008D0E93">
        <w:rPr>
          <w:rFonts w:ascii="Times New Roman" w:hAnsi="Times New Roman" w:cs="Times New Roman"/>
        </w:rPr>
        <w:t>Olatunbosun, 2023).</w:t>
      </w:r>
    </w:p>
    <w:p w14:paraId="1B4D53CC" w14:textId="1DE92BFD" w:rsidR="00380EB1" w:rsidRPr="008D0E93" w:rsidRDefault="00380EB1" w:rsidP="00380EB1">
      <w:pPr>
        <w:spacing w:after="0" w:line="240" w:lineRule="auto"/>
        <w:jc w:val="both"/>
        <w:rPr>
          <w:rFonts w:ascii="Times New Roman" w:hAnsi="Times New Roman" w:cs="Times New Roman"/>
        </w:rPr>
      </w:pPr>
      <w:r w:rsidRPr="008D0E93">
        <w:rPr>
          <w:rFonts w:ascii="Times New Roman" w:hAnsi="Times New Roman" w:cs="Times New Roman"/>
          <w:color w:val="000000"/>
        </w:rPr>
        <w:t xml:space="preserve">The result </w:t>
      </w:r>
      <w:r w:rsidR="00CE03D5">
        <w:rPr>
          <w:rFonts w:ascii="Times New Roman" w:hAnsi="Times New Roman" w:cs="Times New Roman"/>
          <w:color w:val="000000"/>
        </w:rPr>
        <w:t>testing the relationship between b</w:t>
      </w:r>
      <w:r w:rsidRPr="008D0E93">
        <w:rPr>
          <w:rFonts w:ascii="Times New Roman" w:hAnsi="Times New Roman" w:cs="Times New Roman"/>
        </w:rPr>
        <w:t>oard independent</w:t>
      </w:r>
      <w:r w:rsidR="00CE03D5">
        <w:rPr>
          <w:rFonts w:ascii="Times New Roman" w:hAnsi="Times New Roman" w:cs="Times New Roman"/>
        </w:rPr>
        <w:t xml:space="preserve"> and price earnings ratio reported a </w:t>
      </w:r>
      <w:r w:rsidRPr="008D0E93">
        <w:rPr>
          <w:rFonts w:ascii="Times New Roman" w:hAnsi="Times New Roman" w:cs="Times New Roman"/>
        </w:rPr>
        <w:t xml:space="preserve">negative and insignificant </w:t>
      </w:r>
      <w:r w:rsidR="00CE03D5">
        <w:rPr>
          <w:rFonts w:ascii="Times New Roman" w:hAnsi="Times New Roman" w:cs="Times New Roman"/>
        </w:rPr>
        <w:t>association among</w:t>
      </w:r>
      <w:r w:rsidRPr="008D0E93">
        <w:rPr>
          <w:rFonts w:ascii="Times New Roman" w:hAnsi="Times New Roman" w:cs="Times New Roman"/>
        </w:rPr>
        <w:t xml:space="preserve"> listed companies in Nigeria. The result holds on the ground that independent directors are intended to strengthen monitoring and governance, </w:t>
      </w:r>
      <w:r w:rsidRPr="008D0E93">
        <w:rPr>
          <w:rStyle w:val="Strong"/>
          <w:rFonts w:ascii="Times New Roman" w:hAnsi="Times New Roman" w:cs="Times New Roman"/>
          <w:b w:val="0"/>
        </w:rPr>
        <w:t>their influence on market valuation may be limited in practice</w:t>
      </w:r>
      <w:r w:rsidRPr="008D0E93">
        <w:rPr>
          <w:rFonts w:ascii="Times New Roman" w:hAnsi="Times New Roman" w:cs="Times New Roman"/>
        </w:rPr>
        <w:t xml:space="preserve">, particularly where independence is weak or symbolic. As a result, board independence does not </w:t>
      </w:r>
      <w:r w:rsidRPr="008D0E93">
        <w:rPr>
          <w:rFonts w:ascii="Times New Roman" w:hAnsi="Times New Roman" w:cs="Times New Roman"/>
        </w:rPr>
        <w:lastRenderedPageBreak/>
        <w:t xml:space="preserve">significantly affect the </w:t>
      </w:r>
      <w:r w:rsidRPr="008D0E93">
        <w:rPr>
          <w:rStyle w:val="whitespace-normal"/>
          <w:rFonts w:ascii="Times New Roman" w:hAnsi="Times New Roman" w:cs="Times New Roman"/>
          <w:bCs/>
        </w:rPr>
        <w:t>Price-to-Earnings Ratio</w:t>
      </w:r>
      <w:r w:rsidRPr="008D0E93">
        <w:rPr>
          <w:rFonts w:ascii="Times New Roman" w:hAnsi="Times New Roman" w:cs="Times New Roman"/>
        </w:rPr>
        <w:t xml:space="preserve"> of listed companies in </w:t>
      </w:r>
      <w:r w:rsidRPr="008D0E93">
        <w:rPr>
          <w:rStyle w:val="whitespace-normal"/>
          <w:rFonts w:ascii="Times New Roman" w:hAnsi="Times New Roman" w:cs="Times New Roman"/>
          <w:bCs/>
        </w:rPr>
        <w:t>Nigeria</w:t>
      </w:r>
      <w:r w:rsidRPr="008D0E93">
        <w:rPr>
          <w:rFonts w:ascii="Times New Roman" w:hAnsi="Times New Roman" w:cs="Times New Roman"/>
        </w:rPr>
        <w:t xml:space="preserve">. </w:t>
      </w:r>
      <w:r w:rsidRPr="008D0E93">
        <w:rPr>
          <w:rStyle w:val="vkekvd"/>
          <w:rFonts w:ascii="Times New Roman" w:hAnsi="Times New Roman" w:cs="Times New Roman"/>
          <w:color w:val="0A0A0A"/>
          <w:shd w:val="clear" w:color="auto" w:fill="FFFFFF"/>
        </w:rPr>
        <w:t>The result is in line with the findings of (</w:t>
      </w:r>
      <w:r w:rsidRPr="008D0E93">
        <w:rPr>
          <w:rFonts w:ascii="Times New Roman" w:hAnsi="Times New Roman" w:cs="Times New Roman"/>
        </w:rPr>
        <w:t>Adamu</w:t>
      </w:r>
      <w:r>
        <w:rPr>
          <w:rFonts w:ascii="Times New Roman" w:hAnsi="Times New Roman" w:cs="Times New Roman"/>
        </w:rPr>
        <w:t xml:space="preserve"> </w:t>
      </w:r>
      <w:r w:rsidRPr="008D0E93">
        <w:rPr>
          <w:rFonts w:ascii="Times New Roman" w:hAnsi="Times New Roman" w:cs="Times New Roman"/>
        </w:rPr>
        <w:t>&amp; Suleiman, 2023).</w:t>
      </w:r>
    </w:p>
    <w:p w14:paraId="00947F65" w14:textId="06BD283F" w:rsidR="00380EB1" w:rsidRPr="008D0E93" w:rsidRDefault="00380EB1" w:rsidP="00380EB1">
      <w:pPr>
        <w:spacing w:after="0" w:line="240" w:lineRule="auto"/>
        <w:jc w:val="both"/>
        <w:rPr>
          <w:rFonts w:ascii="Times New Roman" w:hAnsi="Times New Roman" w:cs="Times New Roman"/>
        </w:rPr>
      </w:pPr>
      <w:r w:rsidRPr="008D0E93">
        <w:rPr>
          <w:rFonts w:ascii="Times New Roman" w:hAnsi="Times New Roman" w:cs="Times New Roman"/>
          <w:color w:val="000000"/>
        </w:rPr>
        <w:t xml:space="preserve">The result </w:t>
      </w:r>
      <w:r w:rsidR="00CE03D5">
        <w:rPr>
          <w:rFonts w:ascii="Times New Roman" w:hAnsi="Times New Roman" w:cs="Times New Roman"/>
          <w:color w:val="000000"/>
        </w:rPr>
        <w:t xml:space="preserve">assessing the effect of </w:t>
      </w:r>
      <w:r w:rsidRPr="008D0E93">
        <w:rPr>
          <w:rFonts w:ascii="Times New Roman" w:hAnsi="Times New Roman" w:cs="Times New Roman"/>
        </w:rPr>
        <w:t xml:space="preserve">board expertise </w:t>
      </w:r>
      <w:r w:rsidR="00CE03D5">
        <w:rPr>
          <w:rFonts w:ascii="Times New Roman" w:hAnsi="Times New Roman" w:cs="Times New Roman"/>
        </w:rPr>
        <w:t xml:space="preserve">on price earnings ratio showed a </w:t>
      </w:r>
      <w:r w:rsidRPr="008D0E93">
        <w:rPr>
          <w:rFonts w:ascii="Times New Roman" w:hAnsi="Times New Roman" w:cs="Times New Roman"/>
        </w:rPr>
        <w:t xml:space="preserve">negative and insignificant </w:t>
      </w:r>
      <w:r w:rsidR="00CE03D5">
        <w:rPr>
          <w:rFonts w:ascii="Times New Roman" w:hAnsi="Times New Roman" w:cs="Times New Roman"/>
        </w:rPr>
        <w:t xml:space="preserve">association </w:t>
      </w:r>
      <w:r w:rsidR="00D52E30">
        <w:rPr>
          <w:rFonts w:ascii="Times New Roman" w:hAnsi="Times New Roman" w:cs="Times New Roman"/>
        </w:rPr>
        <w:t>for</w:t>
      </w:r>
      <w:r w:rsidRPr="008D0E93">
        <w:rPr>
          <w:rFonts w:ascii="Times New Roman" w:hAnsi="Times New Roman" w:cs="Times New Roman"/>
        </w:rPr>
        <w:t xml:space="preserve"> listed companies in Nigeria. This implies that board expertise may improve monitoring and financial oversight, it may also encourage cautious strategies </w:t>
      </w:r>
      <w:r w:rsidR="00D52E30">
        <w:rPr>
          <w:rFonts w:ascii="Times New Roman" w:hAnsi="Times New Roman" w:cs="Times New Roman"/>
        </w:rPr>
        <w:t>but</w:t>
      </w:r>
      <w:r w:rsidRPr="008D0E93">
        <w:rPr>
          <w:rFonts w:ascii="Times New Roman" w:hAnsi="Times New Roman" w:cs="Times New Roman"/>
        </w:rPr>
        <w:t xml:space="preserve"> does not strongly influence investors’ valuation decisions. Consequently, </w:t>
      </w:r>
      <w:r w:rsidRPr="008D0E93">
        <w:rPr>
          <w:rStyle w:val="Strong"/>
          <w:rFonts w:ascii="Times New Roman" w:hAnsi="Times New Roman" w:cs="Times New Roman"/>
          <w:b w:val="0"/>
        </w:rPr>
        <w:t xml:space="preserve">board expertise alone is not a significant determinant of the </w:t>
      </w:r>
      <w:r w:rsidRPr="008D0E93">
        <w:rPr>
          <w:rStyle w:val="whitespace-normal"/>
          <w:rFonts w:ascii="Times New Roman" w:hAnsi="Times New Roman" w:cs="Times New Roman"/>
          <w:bCs/>
        </w:rPr>
        <w:t>Price-to-Earnings Ratio</w:t>
      </w:r>
      <w:r>
        <w:rPr>
          <w:rStyle w:val="whitespace-normal"/>
          <w:rFonts w:ascii="Times New Roman" w:hAnsi="Times New Roman" w:cs="Times New Roman"/>
          <w:bCs/>
        </w:rPr>
        <w:t xml:space="preserve"> </w:t>
      </w:r>
      <w:r w:rsidRPr="008D0E93">
        <w:rPr>
          <w:rStyle w:val="Strong"/>
          <w:rFonts w:ascii="Times New Roman" w:hAnsi="Times New Roman" w:cs="Times New Roman"/>
          <w:b w:val="0"/>
        </w:rPr>
        <w:t xml:space="preserve">of listed companies in </w:t>
      </w:r>
      <w:r w:rsidRPr="008D0E93">
        <w:rPr>
          <w:rStyle w:val="whitespace-normal"/>
          <w:rFonts w:ascii="Times New Roman" w:hAnsi="Times New Roman" w:cs="Times New Roman"/>
          <w:bCs/>
        </w:rPr>
        <w:t>Nigeria</w:t>
      </w:r>
      <w:r w:rsidRPr="008D0E93">
        <w:rPr>
          <w:rStyle w:val="Strong"/>
          <w:rFonts w:ascii="Times New Roman" w:hAnsi="Times New Roman" w:cs="Times New Roman"/>
        </w:rPr>
        <w:t>.</w:t>
      </w:r>
      <w:r>
        <w:rPr>
          <w:rStyle w:val="Strong"/>
          <w:rFonts w:ascii="Times New Roman" w:hAnsi="Times New Roman" w:cs="Times New Roman"/>
        </w:rPr>
        <w:t xml:space="preserve"> </w:t>
      </w:r>
      <w:r w:rsidRPr="008D0E93">
        <w:rPr>
          <w:rStyle w:val="vkekvd"/>
          <w:rFonts w:ascii="Times New Roman" w:hAnsi="Times New Roman" w:cs="Times New Roman"/>
          <w:color w:val="0A0A0A"/>
          <w:shd w:val="clear" w:color="auto" w:fill="FFFFFF"/>
        </w:rPr>
        <w:t>The result is in line with the findings of (</w:t>
      </w:r>
      <w:r w:rsidRPr="008D0E93">
        <w:rPr>
          <w:rFonts w:ascii="Times New Roman" w:hAnsi="Times New Roman" w:cs="Times New Roman"/>
        </w:rPr>
        <w:t>Adebayo &amp;</w:t>
      </w:r>
      <w:r>
        <w:rPr>
          <w:rFonts w:ascii="Times New Roman" w:hAnsi="Times New Roman" w:cs="Times New Roman"/>
        </w:rPr>
        <w:t xml:space="preserve"> </w:t>
      </w:r>
      <w:r w:rsidRPr="008D0E93">
        <w:rPr>
          <w:rFonts w:ascii="Times New Roman" w:hAnsi="Times New Roman" w:cs="Times New Roman"/>
        </w:rPr>
        <w:t>Okafor, 2023).</w:t>
      </w:r>
    </w:p>
    <w:p w14:paraId="3B3D51C5" w14:textId="77777777" w:rsidR="00A77FE8" w:rsidRDefault="00A77FE8" w:rsidP="00A77FE8">
      <w:pPr>
        <w:pStyle w:val="Header"/>
        <w:rPr>
          <w:b/>
        </w:rPr>
      </w:pPr>
    </w:p>
    <w:p w14:paraId="3A76D566" w14:textId="77777777" w:rsidR="0063596E" w:rsidRPr="00D72ACE" w:rsidRDefault="00D72ACE" w:rsidP="00A77FE8">
      <w:pPr>
        <w:pStyle w:val="Header"/>
        <w:rPr>
          <w:rFonts w:ascii="Times New Roman" w:hAnsi="Times New Roman" w:cs="Times New Roman"/>
          <w:b/>
        </w:rPr>
      </w:pPr>
      <w:r w:rsidRPr="00D72ACE">
        <w:rPr>
          <w:rFonts w:ascii="Times New Roman" w:hAnsi="Times New Roman" w:cs="Times New Roman"/>
          <w:b/>
        </w:rPr>
        <w:t xml:space="preserve">5.0. </w:t>
      </w:r>
      <w:r>
        <w:rPr>
          <w:rFonts w:ascii="Times New Roman" w:hAnsi="Times New Roman" w:cs="Times New Roman"/>
          <w:b/>
        </w:rPr>
        <w:t>Conclusion</w:t>
      </w:r>
      <w:r w:rsidRPr="00D72ACE">
        <w:rPr>
          <w:rFonts w:ascii="Times New Roman" w:hAnsi="Times New Roman" w:cs="Times New Roman"/>
          <w:b/>
        </w:rPr>
        <w:t xml:space="preserve"> and Recommendations</w:t>
      </w:r>
    </w:p>
    <w:p w14:paraId="7BE573EE" w14:textId="77777777" w:rsidR="0063596E" w:rsidRPr="00D72ACE" w:rsidRDefault="00D72ACE" w:rsidP="00A77FE8">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rPr>
        <w:t>5.1 C</w:t>
      </w:r>
      <w:r w:rsidRPr="00D72ACE">
        <w:rPr>
          <w:rFonts w:ascii="Times New Roman" w:hAnsi="Times New Roman" w:cs="Times New Roman"/>
          <w:b/>
        </w:rPr>
        <w:t xml:space="preserve">onclusion </w:t>
      </w:r>
    </w:p>
    <w:p w14:paraId="2C9D7569" w14:textId="1883B46A" w:rsidR="00A77FE8" w:rsidRPr="00BD09F4" w:rsidRDefault="0063596E" w:rsidP="00BD09F4">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kern w:val="0"/>
        </w:rPr>
        <w:t xml:space="preserve">Corporate governance has increasingly been recognized as a critical factor influencing firm performance and market value, particularly in emerging markets like Nigeria. As the Nigerian economy continues to grow and integrate with global markets, the effectiveness of corporate governance mechanisms in listed companies has become a subject of intense scrutiny. While numerous studies have explored the link between corporate governance and firm value in developed economies, limited research has been conducted on this relationship within the Nigerian context, where unique institutional and socio-political dynamics play a significant role in shaping corporate practices. Hence, the study examines </w:t>
      </w:r>
      <w:r>
        <w:rPr>
          <w:rFonts w:ascii="Times New Roman" w:hAnsi="Times New Roman" w:cs="Times New Roman"/>
        </w:rPr>
        <w:t xml:space="preserve">the relationship between corporate governance and firm value of listed companies in Nigeria. The findings of this study revealed that </w:t>
      </w:r>
      <w:r w:rsidR="00F56D35">
        <w:rPr>
          <w:rFonts w:ascii="Times New Roman" w:hAnsi="Times New Roman" w:cs="Times New Roman"/>
        </w:rPr>
        <w:t xml:space="preserve">corporate governance (BS, BI, BE) does not significantly affect firm value of listed companies in Nigeria. </w:t>
      </w:r>
      <w:r w:rsidRPr="002C1ED8">
        <w:rPr>
          <w:rFonts w:ascii="Times New Roman" w:hAnsi="Times New Roman" w:cs="Times New Roman"/>
        </w:rPr>
        <w:t xml:space="preserve">In conclusion, while corporate governance undeniably plays a role in shaping </w:t>
      </w:r>
      <w:r w:rsidR="009B17CD">
        <w:rPr>
          <w:rFonts w:ascii="Times New Roman" w:hAnsi="Times New Roman" w:cs="Times New Roman"/>
        </w:rPr>
        <w:t>companys’</w:t>
      </w:r>
      <w:r w:rsidR="00F56D35">
        <w:rPr>
          <w:rFonts w:ascii="Times New Roman" w:hAnsi="Times New Roman" w:cs="Times New Roman"/>
        </w:rPr>
        <w:t xml:space="preserve"> </w:t>
      </w:r>
      <w:r w:rsidRPr="002C1ED8">
        <w:rPr>
          <w:rFonts w:ascii="Times New Roman" w:hAnsi="Times New Roman" w:cs="Times New Roman"/>
        </w:rPr>
        <w:t>outcomes, its impact on firm value in Nigeria is complex and influenced by a range of institutional and contextual factors. To enhance firm value, Nigerian companies must go beyond formal governance reforms and embrace practices that foster long-term growth, transparency, and market confidence.</w:t>
      </w:r>
    </w:p>
    <w:p w14:paraId="04D2F791" w14:textId="77777777" w:rsidR="00F56D35" w:rsidRDefault="00F56D35" w:rsidP="00A77FE8">
      <w:pPr>
        <w:spacing w:after="0" w:line="240" w:lineRule="auto"/>
        <w:jc w:val="both"/>
        <w:rPr>
          <w:rFonts w:ascii="Times New Roman" w:hAnsi="Times New Roman" w:cs="Times New Roman"/>
          <w:b/>
        </w:rPr>
      </w:pPr>
    </w:p>
    <w:p w14:paraId="2C701765" w14:textId="77777777" w:rsidR="00F56D35" w:rsidRDefault="00F56D35" w:rsidP="00A77FE8">
      <w:pPr>
        <w:spacing w:after="0" w:line="240" w:lineRule="auto"/>
        <w:jc w:val="both"/>
        <w:rPr>
          <w:rFonts w:ascii="Times New Roman" w:hAnsi="Times New Roman" w:cs="Times New Roman"/>
          <w:b/>
        </w:rPr>
      </w:pPr>
    </w:p>
    <w:p w14:paraId="2FAE120A" w14:textId="77777777" w:rsidR="0063596E" w:rsidRDefault="00D72ACE" w:rsidP="00A77FE8">
      <w:pPr>
        <w:spacing w:after="0" w:line="240" w:lineRule="auto"/>
        <w:jc w:val="both"/>
        <w:rPr>
          <w:rFonts w:ascii="Times New Roman" w:hAnsi="Times New Roman" w:cs="Times New Roman"/>
          <w:b/>
        </w:rPr>
      </w:pPr>
      <w:r>
        <w:rPr>
          <w:rFonts w:ascii="Times New Roman" w:hAnsi="Times New Roman" w:cs="Times New Roman"/>
          <w:b/>
        </w:rPr>
        <w:t xml:space="preserve">5.2. </w:t>
      </w:r>
      <w:r w:rsidRPr="002C1ED8">
        <w:rPr>
          <w:rFonts w:ascii="Times New Roman" w:hAnsi="Times New Roman" w:cs="Times New Roman"/>
          <w:b/>
        </w:rPr>
        <w:t>Recommendations</w:t>
      </w:r>
    </w:p>
    <w:p w14:paraId="1CF5FAF1" w14:textId="50FB3FEA" w:rsidR="006A0371" w:rsidRPr="006A0371" w:rsidRDefault="006A0371" w:rsidP="006A0371">
      <w:pPr>
        <w:spacing w:after="0" w:line="240" w:lineRule="auto"/>
        <w:rPr>
          <w:rFonts w:ascii="Times New Roman" w:hAnsi="Times New Roman" w:cs="Times New Roman"/>
        </w:rPr>
      </w:pPr>
      <w:r w:rsidRPr="006A0371">
        <w:rPr>
          <w:rFonts w:ascii="Times New Roman" w:hAnsi="Times New Roman" w:cs="Times New Roman"/>
        </w:rPr>
        <w:t>Drawing from the conclusions above the following recommendations are made:</w:t>
      </w:r>
    </w:p>
    <w:p w14:paraId="43F6DBC1" w14:textId="77777777" w:rsidR="0063596E" w:rsidRPr="002C1ED8" w:rsidRDefault="0063596E" w:rsidP="00A77FE8">
      <w:pPr>
        <w:spacing w:after="0" w:line="240" w:lineRule="auto"/>
        <w:jc w:val="both"/>
        <w:rPr>
          <w:rFonts w:ascii="Times New Roman" w:hAnsi="Times New Roman" w:cs="Times New Roman"/>
        </w:rPr>
      </w:pPr>
      <w:r w:rsidRPr="002C1ED8">
        <w:rPr>
          <w:rFonts w:ascii="Times New Roman" w:hAnsi="Times New Roman" w:cs="Times New Roman"/>
        </w:rPr>
        <w:t>The following recommendations were made by the researcher;</w:t>
      </w:r>
    </w:p>
    <w:p w14:paraId="705957F2" w14:textId="77777777" w:rsidR="0063596E" w:rsidRPr="002C1ED8" w:rsidRDefault="0063596E" w:rsidP="00A77FE8">
      <w:pPr>
        <w:spacing w:after="0" w:line="240" w:lineRule="auto"/>
        <w:jc w:val="both"/>
        <w:rPr>
          <w:rFonts w:ascii="Times New Roman" w:hAnsi="Times New Roman" w:cs="Times New Roman"/>
        </w:rPr>
      </w:pPr>
      <w:r w:rsidRPr="002C1ED8">
        <w:rPr>
          <w:rFonts w:ascii="Times New Roman" w:hAnsi="Times New Roman" w:cs="Times New Roman"/>
        </w:rPr>
        <w:t xml:space="preserve">1. The management of listed companies in Nigeria Should prioritize the </w:t>
      </w:r>
      <w:r w:rsidRPr="002C1ED8">
        <w:rPr>
          <w:rStyle w:val="Strong"/>
          <w:rFonts w:ascii="Times New Roman" w:hAnsi="Times New Roman" w:cs="Times New Roman"/>
          <w:b w:val="0"/>
        </w:rPr>
        <w:t>competence, experience, and independence of board members</w:t>
      </w:r>
      <w:r w:rsidRPr="002C1ED8">
        <w:rPr>
          <w:rFonts w:ascii="Times New Roman" w:hAnsi="Times New Roman" w:cs="Times New Roman"/>
          <w:b/>
        </w:rPr>
        <w:t xml:space="preserve"> </w:t>
      </w:r>
      <w:r w:rsidRPr="002C1ED8">
        <w:rPr>
          <w:rFonts w:ascii="Times New Roman" w:hAnsi="Times New Roman" w:cs="Times New Roman"/>
        </w:rPr>
        <w:t>rather than simply increasing the number of directors.</w:t>
      </w:r>
    </w:p>
    <w:p w14:paraId="2E8FE124" w14:textId="77777777" w:rsidR="0063596E" w:rsidRPr="002C1ED8" w:rsidRDefault="0063596E" w:rsidP="00A77FE8">
      <w:pPr>
        <w:spacing w:after="0" w:line="240" w:lineRule="auto"/>
        <w:jc w:val="both"/>
        <w:rPr>
          <w:rFonts w:ascii="Times New Roman" w:hAnsi="Times New Roman" w:cs="Times New Roman"/>
        </w:rPr>
      </w:pPr>
      <w:r w:rsidRPr="002C1ED8">
        <w:rPr>
          <w:rFonts w:ascii="Times New Roman" w:hAnsi="Times New Roman" w:cs="Times New Roman"/>
        </w:rPr>
        <w:t xml:space="preserve">2. The management of listed companies in Nigeria should increase the ratio of independent, non-executive directors on their boards to ensure more objective, unbiased oversight of management, reducing agency costs and enhancing firm value. </w:t>
      </w:r>
    </w:p>
    <w:p w14:paraId="60BCF03A" w14:textId="32A86DF8" w:rsidR="00A77FE8" w:rsidRPr="00BD09F4" w:rsidRDefault="0063596E" w:rsidP="00BD09F4">
      <w:pPr>
        <w:spacing w:line="240" w:lineRule="auto"/>
        <w:jc w:val="both"/>
        <w:rPr>
          <w:rFonts w:ascii="Times New Roman" w:hAnsi="Times New Roman" w:cs="Times New Roman"/>
        </w:rPr>
      </w:pPr>
      <w:r w:rsidRPr="002C1ED8">
        <w:rPr>
          <w:rFonts w:ascii="Times New Roman" w:hAnsi="Times New Roman" w:cs="Times New Roman"/>
        </w:rPr>
        <w:t xml:space="preserve">3. The management of listed companies in Nigeria should ensure that independent directors with specific expertise are appointed to key committees (e.g., Risk, Audit, </w:t>
      </w:r>
      <w:r w:rsidR="006A0371" w:rsidRPr="002C1ED8">
        <w:rPr>
          <w:rFonts w:ascii="Times New Roman" w:hAnsi="Times New Roman" w:cs="Times New Roman"/>
        </w:rPr>
        <w:t>and Remuneration</w:t>
      </w:r>
      <w:r w:rsidRPr="002C1ED8">
        <w:rPr>
          <w:rFonts w:ascii="Times New Roman" w:hAnsi="Times New Roman" w:cs="Times New Roman"/>
        </w:rPr>
        <w:t>) where they can directly impact financial re</w:t>
      </w:r>
      <w:r w:rsidR="00BD09F4">
        <w:rPr>
          <w:rFonts w:ascii="Times New Roman" w:hAnsi="Times New Roman" w:cs="Times New Roman"/>
        </w:rPr>
        <w:t>porting and strategic oversight</w:t>
      </w:r>
    </w:p>
    <w:p w14:paraId="4B58CC38" w14:textId="77777777" w:rsidR="0024610A" w:rsidRDefault="0024610A" w:rsidP="0063596E">
      <w:pPr>
        <w:spacing w:after="0" w:line="480" w:lineRule="auto"/>
        <w:jc w:val="center"/>
        <w:rPr>
          <w:rFonts w:ascii="Times New Roman" w:hAnsi="Times New Roman" w:cs="Times New Roman"/>
          <w:b/>
        </w:rPr>
      </w:pPr>
    </w:p>
    <w:p w14:paraId="289F5072" w14:textId="77777777" w:rsidR="0024610A" w:rsidRDefault="0024610A" w:rsidP="0063596E">
      <w:pPr>
        <w:spacing w:after="0" w:line="480" w:lineRule="auto"/>
        <w:jc w:val="center"/>
        <w:rPr>
          <w:rFonts w:ascii="Times New Roman" w:hAnsi="Times New Roman" w:cs="Times New Roman"/>
          <w:b/>
        </w:rPr>
      </w:pPr>
    </w:p>
    <w:p w14:paraId="2E2A045C" w14:textId="77777777" w:rsidR="006A0371" w:rsidRDefault="006A0371" w:rsidP="0063596E">
      <w:pPr>
        <w:spacing w:after="0" w:line="480" w:lineRule="auto"/>
        <w:jc w:val="center"/>
        <w:rPr>
          <w:rFonts w:ascii="Times New Roman" w:hAnsi="Times New Roman" w:cs="Times New Roman"/>
          <w:b/>
        </w:rPr>
      </w:pPr>
    </w:p>
    <w:p w14:paraId="02DDDF90" w14:textId="77777777" w:rsidR="0063596E" w:rsidRDefault="0063596E" w:rsidP="0063596E">
      <w:pPr>
        <w:spacing w:after="0" w:line="480" w:lineRule="auto"/>
        <w:jc w:val="center"/>
        <w:rPr>
          <w:rFonts w:ascii="Times New Roman" w:hAnsi="Times New Roman" w:cs="Times New Roman"/>
          <w:b/>
        </w:rPr>
      </w:pPr>
      <w:r>
        <w:rPr>
          <w:rFonts w:ascii="Times New Roman" w:hAnsi="Times New Roman" w:cs="Times New Roman"/>
          <w:b/>
        </w:rPr>
        <w:lastRenderedPageBreak/>
        <w:t>REFERENCES</w:t>
      </w:r>
    </w:p>
    <w:p w14:paraId="14D648FE" w14:textId="77777777" w:rsidR="00320C15" w:rsidRPr="00C51EC3" w:rsidRDefault="00320C15" w:rsidP="00BD09F4">
      <w:pPr>
        <w:pStyle w:val="NormalWeb"/>
        <w:spacing w:before="0" w:beforeAutospacing="0" w:after="0" w:afterAutospacing="0"/>
        <w:ind w:left="720" w:hanging="720"/>
        <w:jc w:val="both"/>
      </w:pPr>
      <w:r w:rsidRPr="00C51EC3">
        <w:t xml:space="preserve">Abdulrasheed, A., Salawu, R., &amp; Damagum, H. (2022). Board size and strategic oversight: Evidence from Nigerian listed firms. </w:t>
      </w:r>
      <w:r w:rsidRPr="00C51EC3">
        <w:rPr>
          <w:rStyle w:val="ms-1"/>
          <w:i/>
        </w:rPr>
        <w:t>Journal of Corporate Governance in Africa</w:t>
      </w:r>
      <w:r w:rsidRPr="00C51EC3">
        <w:t>, 9(2), 45–63.</w:t>
      </w:r>
    </w:p>
    <w:p w14:paraId="7BBAFC28" w14:textId="77777777" w:rsidR="00320C15" w:rsidRDefault="00320C15" w:rsidP="00320C15">
      <w:pPr>
        <w:pStyle w:val="NormalWeb"/>
        <w:spacing w:before="0" w:beforeAutospacing="0" w:after="0" w:afterAutospacing="0"/>
        <w:ind w:left="720" w:hanging="720"/>
        <w:jc w:val="both"/>
      </w:pPr>
      <w:r w:rsidRPr="00C51EC3">
        <w:t>Adegbite, E., &amp; Amaeshi, K. (2021). Corporate governance in Nigeria: Instit</w:t>
      </w:r>
      <w:r>
        <w:t xml:space="preserve">utional challenges </w:t>
      </w:r>
      <w:r w:rsidRPr="00C51EC3">
        <w:t xml:space="preserve">and regulatory responses. </w:t>
      </w:r>
      <w:r w:rsidRPr="00C51EC3">
        <w:rPr>
          <w:rStyle w:val="ms-1"/>
          <w:i/>
        </w:rPr>
        <w:t>Journal of Business Ethics in Emerging Economies</w:t>
      </w:r>
      <w:r>
        <w:t>, 14(2), 45–63.</w:t>
      </w:r>
    </w:p>
    <w:p w14:paraId="4F68911A" w14:textId="77777777" w:rsidR="00320C15" w:rsidRPr="00C51EC3" w:rsidRDefault="00320C15" w:rsidP="00320C15">
      <w:pPr>
        <w:pStyle w:val="NormalWeb"/>
        <w:ind w:left="720" w:hanging="720"/>
        <w:jc w:val="both"/>
      </w:pPr>
      <w:r w:rsidRPr="00C51EC3">
        <w:t xml:space="preserve">Adegboye, A., Ojeka, S., &amp; Adegboye, F. (2020). Corporate governance and </w:t>
      </w:r>
      <w:r>
        <w:t xml:space="preserve">accountability in emerging markets: </w:t>
      </w:r>
      <w:r w:rsidRPr="00C51EC3">
        <w:t xml:space="preserve">Evidence from Nigeria. </w:t>
      </w:r>
      <w:r w:rsidRPr="00C51EC3">
        <w:rPr>
          <w:rStyle w:val="ms-1"/>
          <w:i/>
        </w:rPr>
        <w:t>Nigerian Jo</w:t>
      </w:r>
      <w:r>
        <w:rPr>
          <w:rStyle w:val="ms-1"/>
          <w:i/>
        </w:rPr>
        <w:t xml:space="preserve">urnal of Business and              </w:t>
      </w:r>
      <w:r w:rsidRPr="00C51EC3">
        <w:rPr>
          <w:rStyle w:val="ms-1"/>
          <w:i/>
        </w:rPr>
        <w:t>Management</w:t>
      </w:r>
      <w:r w:rsidRPr="00C51EC3">
        <w:t xml:space="preserve">, </w:t>
      </w:r>
      <w:r w:rsidRPr="00C51EC3">
        <w:tab/>
        <w:t>8(3), 22–41</w:t>
      </w:r>
    </w:p>
    <w:p w14:paraId="799374F9" w14:textId="77777777" w:rsidR="00320C15" w:rsidRPr="00C51EC3" w:rsidRDefault="00320C15" w:rsidP="00320C15">
      <w:pPr>
        <w:pStyle w:val="NormalWeb"/>
        <w:ind w:left="720" w:hanging="720"/>
        <w:jc w:val="both"/>
      </w:pPr>
      <w:r w:rsidRPr="00C51EC3">
        <w:t xml:space="preserve">Adeẉara, T., Awotomilusi, O., &amp; Dagunduro, A. (2025). Board characteristics and financial performance of multinational firms in Nigeria. </w:t>
      </w:r>
      <w:r w:rsidRPr="00C51EC3">
        <w:rPr>
          <w:rStyle w:val="ms-1"/>
          <w:i/>
        </w:rPr>
        <w:t>Global Journal of Management Research</w:t>
      </w:r>
      <w:r w:rsidRPr="00C51EC3">
        <w:rPr>
          <w:i/>
        </w:rPr>
        <w:t>,</w:t>
      </w:r>
      <w:r w:rsidRPr="00C51EC3">
        <w:t xml:space="preserve"> 10(2), 33–50.</w:t>
      </w:r>
    </w:p>
    <w:p w14:paraId="28FB6F31" w14:textId="77777777" w:rsidR="00320C15" w:rsidRPr="00C51EC3" w:rsidRDefault="00320C15" w:rsidP="00320C15">
      <w:pPr>
        <w:spacing w:line="240" w:lineRule="auto"/>
        <w:ind w:left="720" w:hanging="720"/>
        <w:rPr>
          <w:rFonts w:ascii="Times New Roman" w:hAnsi="Times New Roman" w:cs="Times New Roman"/>
        </w:rPr>
      </w:pPr>
      <w:r>
        <w:rPr>
          <w:rFonts w:ascii="Times New Roman" w:hAnsi="Times New Roman" w:cs="Times New Roman"/>
        </w:rPr>
        <w:t xml:space="preserve">Aguilera, R. V. </w:t>
      </w:r>
      <w:r w:rsidRPr="00C51EC3">
        <w:rPr>
          <w:rFonts w:ascii="Times New Roman" w:hAnsi="Times New Roman" w:cs="Times New Roman"/>
        </w:rPr>
        <w:t xml:space="preserve">&amp; Crespi-Cladera, R. (2022). Global corporate </w:t>
      </w:r>
      <w:r>
        <w:rPr>
          <w:rFonts w:ascii="Times New Roman" w:hAnsi="Times New Roman" w:cs="Times New Roman"/>
        </w:rPr>
        <w:t xml:space="preserve">governance: Current trends and </w:t>
      </w:r>
      <w:r w:rsidRPr="00C51EC3">
        <w:rPr>
          <w:rFonts w:ascii="Times New Roman" w:hAnsi="Times New Roman" w:cs="Times New Roman"/>
        </w:rPr>
        <w:t xml:space="preserve">emerging challenges. </w:t>
      </w:r>
      <w:r w:rsidRPr="00C51EC3">
        <w:rPr>
          <w:rStyle w:val="ms-1"/>
          <w:rFonts w:ascii="Times New Roman" w:hAnsi="Times New Roman" w:cs="Times New Roman"/>
        </w:rPr>
        <w:t xml:space="preserve">Corporate Governance: </w:t>
      </w:r>
      <w:r w:rsidRPr="00C51EC3">
        <w:rPr>
          <w:rStyle w:val="ms-1"/>
          <w:rFonts w:ascii="Times New Roman" w:hAnsi="Times New Roman" w:cs="Times New Roman"/>
          <w:i/>
        </w:rPr>
        <w:t>An International Review</w:t>
      </w:r>
      <w:r w:rsidRPr="00C51EC3">
        <w:rPr>
          <w:rFonts w:ascii="Times New Roman" w:hAnsi="Times New Roman" w:cs="Times New Roman"/>
        </w:rPr>
        <w:t>, 30(1), 3–25</w:t>
      </w:r>
    </w:p>
    <w:p w14:paraId="50E572A8" w14:textId="77777777" w:rsidR="00320C15" w:rsidRPr="00C51EC3" w:rsidRDefault="00320C15" w:rsidP="00320C15">
      <w:pPr>
        <w:pStyle w:val="NormalWeb"/>
        <w:ind w:left="720" w:hanging="720"/>
        <w:jc w:val="both"/>
      </w:pPr>
      <w:r w:rsidRPr="00C51EC3">
        <w:rPr>
          <w:bCs/>
        </w:rPr>
        <w:t xml:space="preserve">Akinsola et al., (2025). </w:t>
      </w:r>
      <w:r w:rsidRPr="00C51EC3">
        <w:t xml:space="preserve">Audit committee quality and bank performance </w:t>
      </w:r>
      <w:r w:rsidRPr="00C51EC3">
        <w:tab/>
        <w:t xml:space="preserve">during crises. </w:t>
      </w:r>
      <w:r>
        <w:rPr>
          <w:rStyle w:val="ms-1"/>
          <w:i/>
        </w:rPr>
        <w:t xml:space="preserve">Journal </w:t>
      </w:r>
      <w:r w:rsidRPr="00C51EC3">
        <w:rPr>
          <w:rStyle w:val="ms-1"/>
          <w:i/>
        </w:rPr>
        <w:t>of Banking Regulation and Finance</w:t>
      </w:r>
      <w:r w:rsidRPr="00C51EC3">
        <w:rPr>
          <w:i/>
        </w:rPr>
        <w:t>,</w:t>
      </w:r>
      <w:r w:rsidRPr="00C51EC3">
        <w:t xml:space="preserve"> 10(3), 59–78.</w:t>
      </w:r>
    </w:p>
    <w:p w14:paraId="0D6C784B" w14:textId="77777777" w:rsidR="00320C15" w:rsidRDefault="00320C15" w:rsidP="00320C15">
      <w:pPr>
        <w:spacing w:line="240" w:lineRule="auto"/>
        <w:ind w:left="720" w:hanging="720"/>
        <w:jc w:val="both"/>
        <w:rPr>
          <w:rFonts w:ascii="Times New Roman" w:hAnsi="Times New Roman" w:cs="Times New Roman"/>
        </w:rPr>
      </w:pPr>
      <w:r w:rsidRPr="00C51EC3">
        <w:rPr>
          <w:rFonts w:ascii="Times New Roman" w:hAnsi="Times New Roman" w:cs="Times New Roman"/>
        </w:rPr>
        <w:t>Akinwumi, O., &amp; Onmonya, J. (2025). Impact of board characteristics on fir</w:t>
      </w:r>
      <w:r>
        <w:rPr>
          <w:rFonts w:ascii="Times New Roman" w:hAnsi="Times New Roman" w:cs="Times New Roman"/>
        </w:rPr>
        <w:t xml:space="preserve">m value: Evidence </w:t>
      </w:r>
      <w:r w:rsidRPr="00C51EC3">
        <w:rPr>
          <w:rFonts w:ascii="Times New Roman" w:hAnsi="Times New Roman" w:cs="Times New Roman"/>
        </w:rPr>
        <w:t xml:space="preserve">from NGX 30 index firms in Nigeria. </w:t>
      </w:r>
      <w:r w:rsidRPr="00C51EC3">
        <w:rPr>
          <w:rStyle w:val="ms-1"/>
          <w:rFonts w:ascii="Times New Roman" w:hAnsi="Times New Roman" w:cs="Times New Roman"/>
          <w:i/>
        </w:rPr>
        <w:t>Journal of Corporate Governance Studies</w:t>
      </w:r>
      <w:r>
        <w:rPr>
          <w:rFonts w:ascii="Times New Roman" w:hAnsi="Times New Roman" w:cs="Times New Roman"/>
        </w:rPr>
        <w:t xml:space="preserve">, 12(1), </w:t>
      </w:r>
      <w:r w:rsidRPr="00C51EC3">
        <w:rPr>
          <w:rFonts w:ascii="Times New Roman" w:hAnsi="Times New Roman" w:cs="Times New Roman"/>
        </w:rPr>
        <w:t>45–63</w:t>
      </w:r>
    </w:p>
    <w:p w14:paraId="154F7FE2" w14:textId="77777777" w:rsidR="0024610A" w:rsidRPr="00C51EC3" w:rsidRDefault="0024610A" w:rsidP="0024610A">
      <w:pPr>
        <w:ind w:left="720" w:hanging="720"/>
        <w:jc w:val="both"/>
        <w:rPr>
          <w:rFonts w:ascii="Times New Roman" w:hAnsi="Times New Roman" w:cs="Times New Roman"/>
        </w:rPr>
      </w:pPr>
      <w:r w:rsidRPr="00755D6D">
        <w:rPr>
          <w:rFonts w:ascii="Times New Roman" w:hAnsi="Times New Roman" w:cs="Times New Roman"/>
        </w:rPr>
        <w:t>Ahrens, F. K., Veltrop, D. B., Mulder, L. B., Rink, F., (2025) Board Size in Context: A Meta-Analysis on the Relationship between Board Size and Firm Performance. Corporate Governance: An International Review 34, 290-309</w:t>
      </w:r>
    </w:p>
    <w:p w14:paraId="25E9C224" w14:textId="77777777" w:rsidR="00320C15" w:rsidRPr="00C51EC3" w:rsidRDefault="00320C15" w:rsidP="00320C15">
      <w:pPr>
        <w:pStyle w:val="NormalWeb"/>
        <w:ind w:left="720" w:hanging="720"/>
        <w:jc w:val="both"/>
      </w:pPr>
      <w:r w:rsidRPr="00C51EC3">
        <w:t>Balarabe, A., Ubah Adamu, M., &amp; Mukhtar, R. (2025). Board characteristics and firm performanc</w:t>
      </w:r>
      <w:r w:rsidRPr="00C51EC3">
        <w:rPr>
          <w:i/>
        </w:rPr>
        <w:t xml:space="preserve">e </w:t>
      </w:r>
      <w:r w:rsidRPr="00C51EC3">
        <w:rPr>
          <w:i/>
        </w:rPr>
        <w:tab/>
        <w:t>of non</w:t>
      </w:r>
      <w:r w:rsidRPr="00C51EC3">
        <w:rPr>
          <w:i/>
        </w:rPr>
        <w:noBreakHyphen/>
        <w:t>financial firms in Nigeria.</w:t>
      </w:r>
      <w:r w:rsidRPr="00C51EC3">
        <w:t xml:space="preserve"> </w:t>
      </w:r>
      <w:r w:rsidRPr="00C51EC3">
        <w:rPr>
          <w:rStyle w:val="ms-1"/>
          <w:i/>
        </w:rPr>
        <w:t>Nigerian Journal of Finance and Accounting</w:t>
      </w:r>
      <w:r w:rsidRPr="00C51EC3">
        <w:t>, 8(1), 56–</w:t>
      </w:r>
      <w:r w:rsidRPr="00C51EC3">
        <w:tab/>
        <w:t>75.</w:t>
      </w:r>
    </w:p>
    <w:p w14:paraId="13C9AC08" w14:textId="77777777" w:rsidR="00320C15" w:rsidRDefault="00320C15" w:rsidP="00320C15">
      <w:pPr>
        <w:pStyle w:val="NormalWeb"/>
        <w:tabs>
          <w:tab w:val="left" w:pos="720"/>
          <w:tab w:val="left" w:pos="810"/>
        </w:tabs>
        <w:ind w:left="720" w:hanging="720"/>
        <w:jc w:val="both"/>
      </w:pPr>
      <w:r w:rsidRPr="00C51EC3">
        <w:t>Bawa, M., Aruwa, S., Mamman, M., &amp; Almustapha, F. (2025). Board diversity and firm value: Moderating role of audit</w:t>
      </w:r>
      <w:r w:rsidRPr="00C51EC3">
        <w:noBreakHyphen/>
        <w:t xml:space="preserve">committee independence. </w:t>
      </w:r>
      <w:r w:rsidRPr="00C51EC3">
        <w:rPr>
          <w:rStyle w:val="ms-1"/>
          <w:i/>
        </w:rPr>
        <w:t>International Journal of Accounting and Finance</w:t>
      </w:r>
      <w:r w:rsidRPr="00C51EC3">
        <w:t>, 14(3), 102–120.</w:t>
      </w:r>
    </w:p>
    <w:p w14:paraId="48BF3C2A" w14:textId="6B73E0D6" w:rsidR="00EC38DA" w:rsidRDefault="00EC38DA" w:rsidP="00320C15">
      <w:pPr>
        <w:pStyle w:val="NormalWeb"/>
        <w:tabs>
          <w:tab w:val="left" w:pos="720"/>
          <w:tab w:val="left" w:pos="810"/>
        </w:tabs>
        <w:ind w:left="720" w:hanging="720"/>
        <w:jc w:val="both"/>
      </w:pPr>
      <w:r>
        <w:t>Guner, A.B., Malmemdier, U., &amp; Tate, G. (2006). Financial expertise of directors National Bureau of Economic Research Working Paper No. 11914</w:t>
      </w:r>
    </w:p>
    <w:p w14:paraId="18FB65E3" w14:textId="073C6903" w:rsidR="00922B5C" w:rsidRDefault="00922B5C" w:rsidP="00320C15">
      <w:pPr>
        <w:pStyle w:val="NormalWeb"/>
        <w:tabs>
          <w:tab w:val="left" w:pos="720"/>
          <w:tab w:val="left" w:pos="810"/>
        </w:tabs>
        <w:ind w:left="720" w:hanging="720"/>
        <w:jc w:val="both"/>
      </w:pPr>
      <w:r>
        <w:t xml:space="preserve">Jeanjean, T., &amp; Stolowy, H. (2009) Determinants of board members financial expertise: empirical evidence from France. The International Journal of Accounting, 44(4), 378-402 </w:t>
      </w:r>
    </w:p>
    <w:p w14:paraId="3AD9774A" w14:textId="77777777" w:rsidR="009115AF" w:rsidRPr="009115AF" w:rsidRDefault="009115AF" w:rsidP="009115AF">
      <w:pPr>
        <w:ind w:left="720" w:hanging="720"/>
        <w:jc w:val="both"/>
        <w:rPr>
          <w:rFonts w:ascii="Times New Roman" w:hAnsi="Times New Roman" w:cs="Times New Roman"/>
        </w:rPr>
      </w:pPr>
      <w:r w:rsidRPr="006E61F0">
        <w:rPr>
          <w:rFonts w:ascii="Times New Roman" w:hAnsi="Times New Roman" w:cs="Times New Roman"/>
        </w:rPr>
        <w:lastRenderedPageBreak/>
        <w:t>Kraft, P.S., Dickler, T. A., &amp; Withers, M.C., (2024) When do firms benefit from overconfident CEOs? The role of board expertise and power for technological breakthrough innovation. Strategic Management Journals 46, 381-410</w:t>
      </w:r>
    </w:p>
    <w:p w14:paraId="43C21731" w14:textId="77777777" w:rsidR="00320C15" w:rsidRPr="00C51EC3" w:rsidRDefault="00320C15" w:rsidP="00320C15">
      <w:pPr>
        <w:pStyle w:val="NormalWeb"/>
        <w:ind w:left="720" w:hanging="720"/>
        <w:jc w:val="both"/>
      </w:pPr>
      <w:r w:rsidRPr="00C51EC3">
        <w:t xml:space="preserve">Lawal, T. (2023). Board size, investor perception, and market valuation in Nigeria. </w:t>
      </w:r>
      <w:r w:rsidRPr="00C51EC3">
        <w:rPr>
          <w:rStyle w:val="ms-1"/>
        </w:rPr>
        <w:t xml:space="preserve">African </w:t>
      </w:r>
      <w:r w:rsidRPr="00C51EC3">
        <w:rPr>
          <w:rStyle w:val="ms-1"/>
          <w:i/>
        </w:rPr>
        <w:t>Journal of Finance and Management</w:t>
      </w:r>
      <w:r w:rsidRPr="00C51EC3">
        <w:t>, 7(1), 28–47.</w:t>
      </w:r>
    </w:p>
    <w:p w14:paraId="08008D51" w14:textId="77777777" w:rsidR="00320C15" w:rsidRPr="00C51EC3" w:rsidRDefault="00320C15" w:rsidP="00320C15">
      <w:pPr>
        <w:pStyle w:val="NormalWeb"/>
        <w:ind w:left="720" w:hanging="720"/>
        <w:jc w:val="both"/>
      </w:pPr>
      <w:r w:rsidRPr="00C51EC3">
        <w:t xml:space="preserve">Mallin, C. A. (2020). </w:t>
      </w:r>
      <w:r w:rsidRPr="00C51EC3">
        <w:rPr>
          <w:rStyle w:val="ms-1"/>
        </w:rPr>
        <w:t>Corporate governance</w:t>
      </w:r>
      <w:r w:rsidRPr="00C51EC3">
        <w:t xml:space="preserve"> (6th ed.). Oxford University Press.</w:t>
      </w:r>
    </w:p>
    <w:p w14:paraId="183A2017" w14:textId="77777777" w:rsidR="00320C15" w:rsidRPr="00C51EC3" w:rsidRDefault="00320C15" w:rsidP="00320C15">
      <w:pPr>
        <w:pStyle w:val="NormalWeb"/>
        <w:ind w:left="720" w:hanging="720"/>
        <w:jc w:val="both"/>
      </w:pPr>
      <w:r w:rsidRPr="00C51EC3">
        <w:t xml:space="preserve">Nguyen, P., Tran, H., &amp; Le, Q. (2024). Governance disclosure and firm value in emerging markets: Evidence from Nigeria. </w:t>
      </w:r>
      <w:r w:rsidRPr="00C51EC3">
        <w:rPr>
          <w:rStyle w:val="ms-1"/>
          <w:i/>
        </w:rPr>
        <w:t>African Journal of Finance and Management</w:t>
      </w:r>
      <w:r w:rsidRPr="00C51EC3">
        <w:t>, 12(1), 23–44.</w:t>
      </w:r>
    </w:p>
    <w:p w14:paraId="08EDC6A9" w14:textId="77777777" w:rsidR="00320C15" w:rsidRPr="00C51EC3" w:rsidRDefault="00320C15" w:rsidP="00320C15">
      <w:pPr>
        <w:pStyle w:val="NormalWeb"/>
        <w:ind w:left="720" w:hanging="720"/>
        <w:jc w:val="both"/>
      </w:pPr>
      <w:r w:rsidRPr="00C51EC3">
        <w:t xml:space="preserve">Salami, A., &amp; Olayinka, T. (2022). Market-based indicators and governance quality: Evidence from Nigerian listed companies. </w:t>
      </w:r>
      <w:r w:rsidRPr="00C51EC3">
        <w:rPr>
          <w:rStyle w:val="ms-1"/>
          <w:i/>
        </w:rPr>
        <w:t>International Journal of Finance and Accounting Research</w:t>
      </w:r>
      <w:r w:rsidRPr="00C51EC3">
        <w:t>, 10(3), 53–71.</w:t>
      </w:r>
    </w:p>
    <w:p w14:paraId="24EAECA1" w14:textId="77777777" w:rsidR="00320C15" w:rsidRDefault="00320C15" w:rsidP="00320C15">
      <w:pPr>
        <w:pStyle w:val="NormalWeb"/>
        <w:tabs>
          <w:tab w:val="left" w:pos="720"/>
        </w:tabs>
        <w:spacing w:before="0" w:beforeAutospacing="0" w:after="0" w:afterAutospacing="0"/>
        <w:ind w:left="720" w:hanging="720"/>
        <w:jc w:val="both"/>
      </w:pPr>
      <w:r w:rsidRPr="00C51EC3">
        <w:rPr>
          <w:rFonts w:eastAsia="BookAntiqua-Bold"/>
          <w:bCs/>
        </w:rPr>
        <w:t xml:space="preserve">Samuel, T &amp; Ogege, H  (2025). </w:t>
      </w:r>
      <w:r w:rsidRPr="00C51EC3">
        <w:t>Board independence, board size, and f</w:t>
      </w:r>
      <w:r>
        <w:t xml:space="preserve">inancial performance in the </w:t>
      </w:r>
      <w:r w:rsidRPr="00C51EC3">
        <w:t xml:space="preserve">US. </w:t>
      </w:r>
      <w:r w:rsidRPr="00C51EC3">
        <w:rPr>
          <w:rStyle w:val="ms-1"/>
          <w:i/>
        </w:rPr>
        <w:t>Journal of American Business Studies</w:t>
      </w:r>
      <w:r w:rsidRPr="00C51EC3">
        <w:t>, 12(3), 59–78.</w:t>
      </w:r>
    </w:p>
    <w:p w14:paraId="6384AEE8" w14:textId="77777777" w:rsidR="00320C15" w:rsidRPr="00C51EC3" w:rsidRDefault="00320C15" w:rsidP="00320C15">
      <w:pPr>
        <w:pStyle w:val="NormalWeb"/>
        <w:tabs>
          <w:tab w:val="left" w:pos="720"/>
        </w:tabs>
        <w:spacing w:before="0" w:beforeAutospacing="0" w:after="0" w:afterAutospacing="0"/>
        <w:ind w:left="720" w:hanging="720"/>
        <w:jc w:val="both"/>
      </w:pPr>
    </w:p>
    <w:p w14:paraId="7436F2FD" w14:textId="77777777" w:rsidR="00320C15" w:rsidRDefault="00320C15" w:rsidP="00BD09F4">
      <w:pPr>
        <w:pStyle w:val="NormalWeb"/>
        <w:spacing w:before="0" w:beforeAutospacing="0" w:after="0" w:afterAutospacing="0"/>
        <w:ind w:left="720" w:hanging="720"/>
        <w:jc w:val="both"/>
      </w:pPr>
      <w:r w:rsidRPr="00C51EC3">
        <w:t xml:space="preserve">Uche, O., &amp; Ibenta, S. (2021). Board effectiveness and corporate credibility in emerging markets. </w:t>
      </w:r>
      <w:r w:rsidRPr="00C51EC3">
        <w:rPr>
          <w:rStyle w:val="ms-1"/>
          <w:i/>
        </w:rPr>
        <w:t>Journal of Emerging Market Corporate Governance</w:t>
      </w:r>
      <w:r w:rsidRPr="00C51EC3">
        <w:t>, 5(1), 15–33.</w:t>
      </w:r>
    </w:p>
    <w:p w14:paraId="7B14C5A6" w14:textId="77777777" w:rsidR="00BD09F4" w:rsidRDefault="00BD09F4" w:rsidP="00BD09F4">
      <w:pPr>
        <w:pStyle w:val="NormalWeb"/>
        <w:spacing w:before="0" w:beforeAutospacing="0" w:after="0" w:afterAutospacing="0"/>
        <w:ind w:left="720" w:hanging="720"/>
        <w:jc w:val="both"/>
      </w:pPr>
    </w:p>
    <w:sectPr w:rsidR="00BD09F4" w:rsidSect="00A77FE8">
      <w:headerReference w:type="default" r:id="rId7"/>
      <w:footerReference w:type="default" r:id="rId8"/>
      <w:pgSz w:w="12240" w:h="15840"/>
      <w:pgMar w:top="1418" w:right="1134" w:bottom="1134"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1F36B" w14:textId="77777777" w:rsidR="008B2EB7" w:rsidRDefault="008B2EB7">
      <w:pPr>
        <w:spacing w:after="0" w:line="240" w:lineRule="auto"/>
      </w:pPr>
      <w:r>
        <w:separator/>
      </w:r>
    </w:p>
  </w:endnote>
  <w:endnote w:type="continuationSeparator" w:id="0">
    <w:p w14:paraId="6A0F6871" w14:textId="77777777" w:rsidR="008B2EB7" w:rsidRDefault="008B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Antiqua-Bold">
    <w:altName w:val="Arial Unicode MS"/>
    <w:panose1 w:val="00000000000000000000"/>
    <w:charset w:val="88"/>
    <w:family w:val="auto"/>
    <w:notTrueType/>
    <w:pitch w:val="default"/>
    <w:sig w:usb0="00000000" w:usb1="08080000" w:usb2="00000010" w:usb3="00000000" w:csb0="00100000" w:csb1="00000000"/>
  </w:font>
  <w:font w:name="BookAntiqua">
    <w:altName w:val="Arial Unicode MS"/>
    <w:panose1 w:val="00000000000000000000"/>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065831"/>
      <w:docPartObj>
        <w:docPartGallery w:val="Page Numbers (Bottom of Page)"/>
        <w:docPartUnique/>
      </w:docPartObj>
    </w:sdtPr>
    <w:sdtEndPr>
      <w:rPr>
        <w:noProof/>
      </w:rPr>
    </w:sdtEndPr>
    <w:sdtContent>
      <w:p w14:paraId="2D0A31BC" w14:textId="014CFFED" w:rsidR="005D2F05" w:rsidRDefault="005D2F05">
        <w:pPr>
          <w:pStyle w:val="Footer"/>
          <w:jc w:val="right"/>
        </w:pPr>
        <w:r>
          <w:fldChar w:fldCharType="begin"/>
        </w:r>
        <w:r>
          <w:instrText xml:space="preserve"> PAGE   \* MERGEFORMAT </w:instrText>
        </w:r>
        <w:r>
          <w:fldChar w:fldCharType="separate"/>
        </w:r>
        <w:r w:rsidR="00332985">
          <w:rPr>
            <w:noProof/>
          </w:rPr>
          <w:t>15</w:t>
        </w:r>
        <w:r>
          <w:rPr>
            <w:noProof/>
          </w:rPr>
          <w:fldChar w:fldCharType="end"/>
        </w:r>
      </w:p>
    </w:sdtContent>
  </w:sdt>
  <w:p w14:paraId="3698C2FF" w14:textId="77777777" w:rsidR="005D2F05" w:rsidRDefault="005D2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827C9" w14:textId="77777777" w:rsidR="008B2EB7" w:rsidRDefault="008B2EB7">
      <w:pPr>
        <w:spacing w:after="0" w:line="240" w:lineRule="auto"/>
      </w:pPr>
      <w:r>
        <w:separator/>
      </w:r>
    </w:p>
  </w:footnote>
  <w:footnote w:type="continuationSeparator" w:id="0">
    <w:p w14:paraId="6563FF19" w14:textId="77777777" w:rsidR="008B2EB7" w:rsidRDefault="008B2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D2698" w14:textId="2A70DD57" w:rsidR="005D2F05" w:rsidRDefault="005D2F05">
    <w:pPr>
      <w:jc w:val="right"/>
    </w:pPr>
  </w:p>
  <w:p w14:paraId="77AE78F2" w14:textId="77777777" w:rsidR="005D2F05" w:rsidRDefault="005D2F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FA4D0E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2"/>
    <w:multiLevelType w:val="hybridMultilevel"/>
    <w:tmpl w:val="7C1A4E9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8A8462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DBF62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32B0D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multilevel"/>
    <w:tmpl w:val="566AB6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7"/>
    <w:multiLevelType w:val="multilevel"/>
    <w:tmpl w:val="AEB6F09E"/>
    <w:lvl w:ilvl="0">
      <w:start w:val="1"/>
      <w:numFmt w:val="bullet"/>
      <w:lvlText w:val=""/>
      <w:lvlJc w:val="left"/>
      <w:pPr>
        <w:tabs>
          <w:tab w:val="left" w:pos="1080"/>
        </w:tabs>
        <w:ind w:left="1080" w:hanging="360"/>
      </w:pPr>
      <w:rPr>
        <w:rFonts w:ascii="Symbol" w:hAnsi="Symbol" w:hint="default"/>
        <w:sz w:val="20"/>
      </w:rPr>
    </w:lvl>
    <w:lvl w:ilvl="1" w:tentative="1">
      <w:start w:val="1"/>
      <w:numFmt w:val="bullet"/>
      <w:lvlText w:val="o"/>
      <w:lvlJc w:val="left"/>
      <w:pPr>
        <w:tabs>
          <w:tab w:val="left" w:pos="1800"/>
        </w:tabs>
        <w:ind w:left="1800" w:hanging="360"/>
      </w:pPr>
      <w:rPr>
        <w:rFonts w:ascii="Courier New" w:hAnsi="Courier New" w:hint="default"/>
        <w:sz w:val="20"/>
      </w:rPr>
    </w:lvl>
    <w:lvl w:ilvl="2" w:tentative="1">
      <w:start w:val="1"/>
      <w:numFmt w:val="bullet"/>
      <w:lvlText w:val=""/>
      <w:lvlJc w:val="left"/>
      <w:pPr>
        <w:tabs>
          <w:tab w:val="left" w:pos="2520"/>
        </w:tabs>
        <w:ind w:left="2520" w:hanging="360"/>
      </w:pPr>
      <w:rPr>
        <w:rFonts w:ascii="Wingdings" w:hAnsi="Wingdings" w:hint="default"/>
        <w:sz w:val="20"/>
      </w:rPr>
    </w:lvl>
    <w:lvl w:ilvl="3" w:tentative="1">
      <w:start w:val="1"/>
      <w:numFmt w:val="bullet"/>
      <w:lvlText w:val=""/>
      <w:lvlJc w:val="left"/>
      <w:pPr>
        <w:tabs>
          <w:tab w:val="left" w:pos="3240"/>
        </w:tabs>
        <w:ind w:left="3240" w:hanging="360"/>
      </w:pPr>
      <w:rPr>
        <w:rFonts w:ascii="Wingdings" w:hAnsi="Wingdings" w:hint="default"/>
        <w:sz w:val="20"/>
      </w:rPr>
    </w:lvl>
    <w:lvl w:ilvl="4" w:tentative="1">
      <w:start w:val="1"/>
      <w:numFmt w:val="bullet"/>
      <w:lvlText w:val=""/>
      <w:lvlJc w:val="left"/>
      <w:pPr>
        <w:tabs>
          <w:tab w:val="left" w:pos="3960"/>
        </w:tabs>
        <w:ind w:left="3960" w:hanging="360"/>
      </w:pPr>
      <w:rPr>
        <w:rFonts w:ascii="Wingdings" w:hAnsi="Wingdings" w:hint="default"/>
        <w:sz w:val="20"/>
      </w:rPr>
    </w:lvl>
    <w:lvl w:ilvl="5" w:tentative="1">
      <w:start w:val="1"/>
      <w:numFmt w:val="bullet"/>
      <w:lvlText w:val=""/>
      <w:lvlJc w:val="left"/>
      <w:pPr>
        <w:tabs>
          <w:tab w:val="left" w:pos="4680"/>
        </w:tabs>
        <w:ind w:left="4680" w:hanging="360"/>
      </w:pPr>
      <w:rPr>
        <w:rFonts w:ascii="Wingdings" w:hAnsi="Wingdings" w:hint="default"/>
        <w:sz w:val="20"/>
      </w:rPr>
    </w:lvl>
    <w:lvl w:ilvl="6" w:tentative="1">
      <w:start w:val="1"/>
      <w:numFmt w:val="bullet"/>
      <w:lvlText w:val=""/>
      <w:lvlJc w:val="left"/>
      <w:pPr>
        <w:tabs>
          <w:tab w:val="left" w:pos="5400"/>
        </w:tabs>
        <w:ind w:left="5400" w:hanging="360"/>
      </w:pPr>
      <w:rPr>
        <w:rFonts w:ascii="Wingdings" w:hAnsi="Wingdings" w:hint="default"/>
        <w:sz w:val="20"/>
      </w:rPr>
    </w:lvl>
    <w:lvl w:ilvl="7" w:tentative="1">
      <w:start w:val="1"/>
      <w:numFmt w:val="bullet"/>
      <w:lvlText w:val=""/>
      <w:lvlJc w:val="left"/>
      <w:pPr>
        <w:tabs>
          <w:tab w:val="left" w:pos="6120"/>
        </w:tabs>
        <w:ind w:left="6120" w:hanging="360"/>
      </w:pPr>
      <w:rPr>
        <w:rFonts w:ascii="Wingdings" w:hAnsi="Wingdings" w:hint="default"/>
        <w:sz w:val="20"/>
      </w:rPr>
    </w:lvl>
    <w:lvl w:ilvl="8" w:tentative="1">
      <w:start w:val="1"/>
      <w:numFmt w:val="bullet"/>
      <w:lvlText w:val=""/>
      <w:lvlJc w:val="left"/>
      <w:pPr>
        <w:tabs>
          <w:tab w:val="left" w:pos="6840"/>
        </w:tabs>
        <w:ind w:left="6840" w:hanging="360"/>
      </w:pPr>
      <w:rPr>
        <w:rFonts w:ascii="Wingdings" w:hAnsi="Wingdings" w:hint="default"/>
        <w:sz w:val="20"/>
      </w:rPr>
    </w:lvl>
  </w:abstractNum>
  <w:abstractNum w:abstractNumId="7">
    <w:nsid w:val="00000008"/>
    <w:multiLevelType w:val="hybridMultilevel"/>
    <w:tmpl w:val="5EDA2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E0FA7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multilevel"/>
    <w:tmpl w:val="7966BD5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0000000B"/>
    <w:multiLevelType w:val="multilevel"/>
    <w:tmpl w:val="50820F5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nsid w:val="0000000C"/>
    <w:multiLevelType w:val="multilevel"/>
    <w:tmpl w:val="A7C81B46"/>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0000000D"/>
    <w:multiLevelType w:val="multilevel"/>
    <w:tmpl w:val="7EF03A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0E"/>
    <w:multiLevelType w:val="hybridMultilevel"/>
    <w:tmpl w:val="51D25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multilevel"/>
    <w:tmpl w:val="FE26911C"/>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nsid w:val="00000010"/>
    <w:multiLevelType w:val="hybridMultilevel"/>
    <w:tmpl w:val="C85C07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BF407A"/>
    <w:multiLevelType w:val="multilevel"/>
    <w:tmpl w:val="A2FA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08125F"/>
    <w:multiLevelType w:val="hybridMultilevel"/>
    <w:tmpl w:val="DD826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F25B4B"/>
    <w:multiLevelType w:val="hybridMultilevel"/>
    <w:tmpl w:val="B5865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C35529"/>
    <w:multiLevelType w:val="multilevel"/>
    <w:tmpl w:val="95E0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236F86"/>
    <w:multiLevelType w:val="multilevel"/>
    <w:tmpl w:val="4D2A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1249B4"/>
    <w:multiLevelType w:val="hybridMultilevel"/>
    <w:tmpl w:val="7ED4F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15"/>
  </w:num>
  <w:num w:numId="5">
    <w:abstractNumId w:val="3"/>
  </w:num>
  <w:num w:numId="6">
    <w:abstractNumId w:val="13"/>
  </w:num>
  <w:num w:numId="7">
    <w:abstractNumId w:val="1"/>
  </w:num>
  <w:num w:numId="8">
    <w:abstractNumId w:val="2"/>
  </w:num>
  <w:num w:numId="9">
    <w:abstractNumId w:val="8"/>
  </w:num>
  <w:num w:numId="10">
    <w:abstractNumId w:val="11"/>
  </w:num>
  <w:num w:numId="11">
    <w:abstractNumId w:val="6"/>
  </w:num>
  <w:num w:numId="12">
    <w:abstractNumId w:val="5"/>
  </w:num>
  <w:num w:numId="13">
    <w:abstractNumId w:val="9"/>
  </w:num>
  <w:num w:numId="14">
    <w:abstractNumId w:val="14"/>
  </w:num>
  <w:num w:numId="15">
    <w:abstractNumId w:val="10"/>
  </w:num>
  <w:num w:numId="16">
    <w:abstractNumId w:val="12"/>
  </w:num>
  <w:num w:numId="17">
    <w:abstractNumId w:val="17"/>
  </w:num>
  <w:num w:numId="18">
    <w:abstractNumId w:val="20"/>
  </w:num>
  <w:num w:numId="19">
    <w:abstractNumId w:val="16"/>
  </w:num>
  <w:num w:numId="20">
    <w:abstractNumId w:val="19"/>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6E"/>
    <w:rsid w:val="00064261"/>
    <w:rsid w:val="00070742"/>
    <w:rsid w:val="000A4B44"/>
    <w:rsid w:val="000A5722"/>
    <w:rsid w:val="000A69B7"/>
    <w:rsid w:val="000D10B4"/>
    <w:rsid w:val="000F4588"/>
    <w:rsid w:val="00100981"/>
    <w:rsid w:val="00123C20"/>
    <w:rsid w:val="001425E9"/>
    <w:rsid w:val="00161A4E"/>
    <w:rsid w:val="00167540"/>
    <w:rsid w:val="00185A21"/>
    <w:rsid w:val="00190FE6"/>
    <w:rsid w:val="001929F4"/>
    <w:rsid w:val="002020CB"/>
    <w:rsid w:val="0020651A"/>
    <w:rsid w:val="00226DEC"/>
    <w:rsid w:val="00244DFF"/>
    <w:rsid w:val="0024610A"/>
    <w:rsid w:val="002466DB"/>
    <w:rsid w:val="00266C42"/>
    <w:rsid w:val="00292AF4"/>
    <w:rsid w:val="00296CCF"/>
    <w:rsid w:val="002A4EEF"/>
    <w:rsid w:val="002B08BE"/>
    <w:rsid w:val="002B43EA"/>
    <w:rsid w:val="002B7967"/>
    <w:rsid w:val="002D32F0"/>
    <w:rsid w:val="002D489B"/>
    <w:rsid w:val="002E4F36"/>
    <w:rsid w:val="002F5518"/>
    <w:rsid w:val="002F5EFD"/>
    <w:rsid w:val="00300D95"/>
    <w:rsid w:val="00320C15"/>
    <w:rsid w:val="00321BE8"/>
    <w:rsid w:val="00332985"/>
    <w:rsid w:val="0033342A"/>
    <w:rsid w:val="00334F4F"/>
    <w:rsid w:val="00344CA1"/>
    <w:rsid w:val="00380EB1"/>
    <w:rsid w:val="003840B6"/>
    <w:rsid w:val="003B796D"/>
    <w:rsid w:val="003C610D"/>
    <w:rsid w:val="003C64F7"/>
    <w:rsid w:val="003D06DE"/>
    <w:rsid w:val="003F17FE"/>
    <w:rsid w:val="00461780"/>
    <w:rsid w:val="004A6F4F"/>
    <w:rsid w:val="004B21B0"/>
    <w:rsid w:val="004D0A29"/>
    <w:rsid w:val="004D3AA8"/>
    <w:rsid w:val="004D7FED"/>
    <w:rsid w:val="004E31EF"/>
    <w:rsid w:val="00504C58"/>
    <w:rsid w:val="0055372A"/>
    <w:rsid w:val="00554109"/>
    <w:rsid w:val="00591626"/>
    <w:rsid w:val="005A6EB4"/>
    <w:rsid w:val="005D2F05"/>
    <w:rsid w:val="005F37E2"/>
    <w:rsid w:val="00623425"/>
    <w:rsid w:val="00623A02"/>
    <w:rsid w:val="006329E8"/>
    <w:rsid w:val="0063596E"/>
    <w:rsid w:val="006478E2"/>
    <w:rsid w:val="006A0371"/>
    <w:rsid w:val="006A0F3A"/>
    <w:rsid w:val="006B3F29"/>
    <w:rsid w:val="006D47A3"/>
    <w:rsid w:val="00702C5B"/>
    <w:rsid w:val="00706D13"/>
    <w:rsid w:val="00715A5A"/>
    <w:rsid w:val="007331D3"/>
    <w:rsid w:val="007354A3"/>
    <w:rsid w:val="00777905"/>
    <w:rsid w:val="007938D6"/>
    <w:rsid w:val="007A4325"/>
    <w:rsid w:val="007C0A4D"/>
    <w:rsid w:val="007D6C18"/>
    <w:rsid w:val="008079CA"/>
    <w:rsid w:val="00810A05"/>
    <w:rsid w:val="00852BC6"/>
    <w:rsid w:val="00883DF9"/>
    <w:rsid w:val="008A27AD"/>
    <w:rsid w:val="008A4EA7"/>
    <w:rsid w:val="008B2EB7"/>
    <w:rsid w:val="008C4049"/>
    <w:rsid w:val="008E0F4B"/>
    <w:rsid w:val="008E303B"/>
    <w:rsid w:val="008E4B20"/>
    <w:rsid w:val="008E751E"/>
    <w:rsid w:val="009115AF"/>
    <w:rsid w:val="00922B5C"/>
    <w:rsid w:val="00925567"/>
    <w:rsid w:val="0095249E"/>
    <w:rsid w:val="009B17CD"/>
    <w:rsid w:val="009C0821"/>
    <w:rsid w:val="009D671F"/>
    <w:rsid w:val="009E4F5B"/>
    <w:rsid w:val="009F603D"/>
    <w:rsid w:val="009F7F4E"/>
    <w:rsid w:val="00A04AFD"/>
    <w:rsid w:val="00A05A70"/>
    <w:rsid w:val="00A55C33"/>
    <w:rsid w:val="00A77FE8"/>
    <w:rsid w:val="00AC1B02"/>
    <w:rsid w:val="00AF2898"/>
    <w:rsid w:val="00AF2E7E"/>
    <w:rsid w:val="00B404A1"/>
    <w:rsid w:val="00BA620B"/>
    <w:rsid w:val="00BD09F4"/>
    <w:rsid w:val="00BD1BF1"/>
    <w:rsid w:val="00BF7895"/>
    <w:rsid w:val="00C424F7"/>
    <w:rsid w:val="00C64159"/>
    <w:rsid w:val="00C66E15"/>
    <w:rsid w:val="00C71A7C"/>
    <w:rsid w:val="00C9133E"/>
    <w:rsid w:val="00CD3783"/>
    <w:rsid w:val="00CE03D5"/>
    <w:rsid w:val="00CE6989"/>
    <w:rsid w:val="00CE7B3C"/>
    <w:rsid w:val="00D0055B"/>
    <w:rsid w:val="00D52E30"/>
    <w:rsid w:val="00D66E3E"/>
    <w:rsid w:val="00D72ACE"/>
    <w:rsid w:val="00D756F0"/>
    <w:rsid w:val="00DB65A4"/>
    <w:rsid w:val="00DD6E22"/>
    <w:rsid w:val="00E519F2"/>
    <w:rsid w:val="00E706EC"/>
    <w:rsid w:val="00EC38DA"/>
    <w:rsid w:val="00EE0A01"/>
    <w:rsid w:val="00F06C02"/>
    <w:rsid w:val="00F10E80"/>
    <w:rsid w:val="00F41469"/>
    <w:rsid w:val="00F56D35"/>
    <w:rsid w:val="00F6320F"/>
    <w:rsid w:val="00F71D38"/>
    <w:rsid w:val="00FB539B"/>
    <w:rsid w:val="00FE6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738C7"/>
  <w15:docId w15:val="{246DF7F2-EC8E-465F-BBB9-794AC99A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96E"/>
    <w:pPr>
      <w:spacing w:after="160" w:line="278" w:lineRule="auto"/>
    </w:pPr>
    <w:rPr>
      <w:rFonts w:ascii="Calibri" w:eastAsia="Calibri" w:hAnsi="Calibri" w:cs="SimSun"/>
      <w:kern w:val="2"/>
      <w:sz w:val="24"/>
      <w:szCs w:val="24"/>
    </w:rPr>
  </w:style>
  <w:style w:type="paragraph" w:styleId="Heading4">
    <w:name w:val="heading 4"/>
    <w:basedOn w:val="Normal"/>
    <w:link w:val="Heading4Char"/>
    <w:uiPriority w:val="9"/>
    <w:qFormat/>
    <w:rsid w:val="0063596E"/>
    <w:pPr>
      <w:spacing w:before="100" w:beforeAutospacing="1" w:after="100" w:afterAutospacing="1" w:line="240" w:lineRule="auto"/>
      <w:outlineLvl w:val="3"/>
    </w:pPr>
    <w:rPr>
      <w:rFonts w:ascii="Times New Roman" w:eastAsia="Times New Roman" w:hAnsi="Times New Roman" w:cs="Times New Roman"/>
      <w:b/>
      <w:b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3596E"/>
    <w:rPr>
      <w:rFonts w:ascii="Times New Roman" w:eastAsia="Times New Roman" w:hAnsi="Times New Roman" w:cs="Times New Roman"/>
      <w:b/>
      <w:bCs/>
      <w:sz w:val="24"/>
      <w:szCs w:val="24"/>
    </w:rPr>
  </w:style>
  <w:style w:type="paragraph" w:styleId="ListParagraph">
    <w:name w:val="List Paragraph"/>
    <w:basedOn w:val="Normal"/>
    <w:uiPriority w:val="34"/>
    <w:qFormat/>
    <w:rsid w:val="0063596E"/>
    <w:pPr>
      <w:ind w:left="720"/>
      <w:contextualSpacing/>
    </w:pPr>
  </w:style>
  <w:style w:type="paragraph" w:styleId="NormalWeb">
    <w:name w:val="Normal (Web)"/>
    <w:basedOn w:val="Normal"/>
    <w:uiPriority w:val="99"/>
    <w:rsid w:val="0063596E"/>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63596E"/>
    <w:rPr>
      <w:b/>
      <w:bCs/>
    </w:rPr>
  </w:style>
  <w:style w:type="paragraph" w:customStyle="1" w:styleId="Compact">
    <w:name w:val="Compact"/>
    <w:basedOn w:val="BodyText"/>
    <w:qFormat/>
    <w:rsid w:val="0063596E"/>
    <w:pPr>
      <w:spacing w:before="36" w:after="36" w:line="240" w:lineRule="auto"/>
    </w:pPr>
    <w:rPr>
      <w:kern w:val="0"/>
    </w:rPr>
  </w:style>
  <w:style w:type="paragraph" w:styleId="BodyText">
    <w:name w:val="Body Text"/>
    <w:basedOn w:val="Normal"/>
    <w:link w:val="BodyTextChar"/>
    <w:uiPriority w:val="99"/>
    <w:rsid w:val="0063596E"/>
    <w:pPr>
      <w:spacing w:after="120"/>
    </w:pPr>
  </w:style>
  <w:style w:type="character" w:customStyle="1" w:styleId="BodyTextChar">
    <w:name w:val="Body Text Char"/>
    <w:basedOn w:val="DefaultParagraphFont"/>
    <w:link w:val="BodyText"/>
    <w:uiPriority w:val="99"/>
    <w:rsid w:val="0063596E"/>
    <w:rPr>
      <w:rFonts w:ascii="Calibri" w:eastAsia="Calibri" w:hAnsi="Calibri" w:cs="SimSun"/>
      <w:kern w:val="2"/>
      <w:sz w:val="24"/>
      <w:szCs w:val="24"/>
    </w:rPr>
  </w:style>
  <w:style w:type="character" w:styleId="Hyperlink">
    <w:name w:val="Hyperlink"/>
    <w:basedOn w:val="DefaultParagraphFont"/>
    <w:uiPriority w:val="99"/>
    <w:rsid w:val="0063596E"/>
    <w:rPr>
      <w:color w:val="0000FF"/>
      <w:u w:val="single"/>
    </w:rPr>
  </w:style>
  <w:style w:type="character" w:customStyle="1" w:styleId="katex-mathml">
    <w:name w:val="katex-mathml"/>
    <w:basedOn w:val="DefaultParagraphFont"/>
    <w:rsid w:val="0063596E"/>
  </w:style>
  <w:style w:type="character" w:customStyle="1" w:styleId="mord">
    <w:name w:val="mord"/>
    <w:basedOn w:val="DefaultParagraphFont"/>
    <w:rsid w:val="0063596E"/>
  </w:style>
  <w:style w:type="character" w:customStyle="1" w:styleId="vlist-s">
    <w:name w:val="vlist-s"/>
    <w:basedOn w:val="DefaultParagraphFont"/>
    <w:rsid w:val="0063596E"/>
  </w:style>
  <w:style w:type="character" w:customStyle="1" w:styleId="mrel">
    <w:name w:val="mrel"/>
    <w:basedOn w:val="DefaultParagraphFont"/>
    <w:rsid w:val="0063596E"/>
  </w:style>
  <w:style w:type="character" w:customStyle="1" w:styleId="mbin">
    <w:name w:val="mbin"/>
    <w:basedOn w:val="DefaultParagraphFont"/>
    <w:rsid w:val="0063596E"/>
  </w:style>
  <w:style w:type="character" w:customStyle="1" w:styleId="mop">
    <w:name w:val="mop"/>
    <w:basedOn w:val="DefaultParagraphFont"/>
    <w:rsid w:val="0063596E"/>
  </w:style>
  <w:style w:type="character" w:customStyle="1" w:styleId="mopen">
    <w:name w:val="mopen"/>
    <w:basedOn w:val="DefaultParagraphFont"/>
    <w:rsid w:val="0063596E"/>
  </w:style>
  <w:style w:type="character" w:customStyle="1" w:styleId="mclose">
    <w:name w:val="mclose"/>
    <w:basedOn w:val="DefaultParagraphFont"/>
    <w:rsid w:val="0063596E"/>
  </w:style>
  <w:style w:type="character" w:styleId="Emphasis">
    <w:name w:val="Emphasis"/>
    <w:basedOn w:val="DefaultParagraphFont"/>
    <w:uiPriority w:val="20"/>
    <w:qFormat/>
    <w:rsid w:val="0063596E"/>
    <w:rPr>
      <w:i/>
      <w:iCs/>
    </w:rPr>
  </w:style>
  <w:style w:type="character" w:customStyle="1" w:styleId="ms-1">
    <w:name w:val="ms-1"/>
    <w:basedOn w:val="DefaultParagraphFont"/>
    <w:rsid w:val="0063596E"/>
  </w:style>
  <w:style w:type="character" w:customStyle="1" w:styleId="max-w-15ch">
    <w:name w:val="max-w-[15ch]"/>
    <w:basedOn w:val="DefaultParagraphFont"/>
    <w:rsid w:val="0063596E"/>
  </w:style>
  <w:style w:type="character" w:customStyle="1" w:styleId="-me-1">
    <w:name w:val="-me-1"/>
    <w:basedOn w:val="DefaultParagraphFont"/>
    <w:rsid w:val="0063596E"/>
  </w:style>
  <w:style w:type="character" w:customStyle="1" w:styleId="A12">
    <w:name w:val="A12"/>
    <w:rsid w:val="0063596E"/>
    <w:rPr>
      <w:rFonts w:cs="Cambria"/>
      <w:color w:val="000000"/>
      <w:sz w:val="18"/>
      <w:szCs w:val="18"/>
    </w:rPr>
  </w:style>
  <w:style w:type="table" w:styleId="TableGrid">
    <w:name w:val="Table Grid"/>
    <w:basedOn w:val="TableNormal"/>
    <w:uiPriority w:val="39"/>
    <w:rsid w:val="0063596E"/>
    <w:pPr>
      <w:spacing w:after="0" w:line="240" w:lineRule="auto"/>
    </w:pPr>
    <w:rPr>
      <w:rFonts w:ascii="Calibri" w:eastAsia="SimSun"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limsizing">
    <w:name w:val="delimsizing"/>
    <w:basedOn w:val="DefaultParagraphFont"/>
    <w:rsid w:val="0063596E"/>
  </w:style>
  <w:style w:type="character" w:customStyle="1" w:styleId="extn-css-0">
    <w:name w:val="extn-css-0"/>
    <w:basedOn w:val="DefaultParagraphFont"/>
    <w:rsid w:val="0063596E"/>
  </w:style>
  <w:style w:type="character" w:customStyle="1" w:styleId="vkekvd">
    <w:name w:val="vkekvd"/>
    <w:basedOn w:val="DefaultParagraphFont"/>
    <w:rsid w:val="0063596E"/>
  </w:style>
  <w:style w:type="character" w:customStyle="1" w:styleId="t286pc">
    <w:name w:val="t286pc"/>
    <w:basedOn w:val="DefaultParagraphFont"/>
    <w:rsid w:val="0063596E"/>
  </w:style>
  <w:style w:type="paragraph" w:customStyle="1" w:styleId="Default">
    <w:name w:val="Default"/>
    <w:qFormat/>
    <w:rsid w:val="0063596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rsid w:val="00635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96E"/>
    <w:rPr>
      <w:rFonts w:ascii="Calibri" w:eastAsia="Calibri" w:hAnsi="Calibri" w:cs="SimSun"/>
      <w:kern w:val="2"/>
      <w:sz w:val="24"/>
      <w:szCs w:val="24"/>
    </w:rPr>
  </w:style>
  <w:style w:type="paragraph" w:styleId="Footer">
    <w:name w:val="footer"/>
    <w:basedOn w:val="Normal"/>
    <w:link w:val="FooterChar"/>
    <w:uiPriority w:val="99"/>
    <w:rsid w:val="00635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96E"/>
    <w:rPr>
      <w:rFonts w:ascii="Calibri" w:eastAsia="Calibri" w:hAnsi="Calibri" w:cs="SimSun"/>
      <w:kern w:val="2"/>
      <w:sz w:val="24"/>
      <w:szCs w:val="24"/>
    </w:rPr>
  </w:style>
  <w:style w:type="character" w:customStyle="1" w:styleId="n9q8lc">
    <w:name w:val="n9q8lc"/>
    <w:basedOn w:val="DefaultParagraphFont"/>
    <w:rsid w:val="0063596E"/>
  </w:style>
  <w:style w:type="character" w:customStyle="1" w:styleId="CommentTextChar">
    <w:name w:val="Comment Text Char"/>
    <w:basedOn w:val="DefaultParagraphFont"/>
    <w:link w:val="CommentText"/>
    <w:uiPriority w:val="99"/>
    <w:semiHidden/>
    <w:rsid w:val="0063596E"/>
    <w:rPr>
      <w:rFonts w:ascii="Calibri" w:eastAsia="Calibri" w:hAnsi="Calibri" w:cs="SimSun"/>
      <w:kern w:val="2"/>
      <w:sz w:val="20"/>
      <w:szCs w:val="20"/>
    </w:rPr>
  </w:style>
  <w:style w:type="paragraph" w:styleId="CommentText">
    <w:name w:val="annotation text"/>
    <w:basedOn w:val="Normal"/>
    <w:link w:val="CommentTextChar"/>
    <w:uiPriority w:val="99"/>
    <w:semiHidden/>
    <w:unhideWhenUsed/>
    <w:rsid w:val="0063596E"/>
    <w:pPr>
      <w:spacing w:line="240" w:lineRule="auto"/>
    </w:pPr>
    <w:rPr>
      <w:sz w:val="20"/>
      <w:szCs w:val="20"/>
    </w:rPr>
  </w:style>
  <w:style w:type="character" w:customStyle="1" w:styleId="CommentSubjectChar">
    <w:name w:val="Comment Subject Char"/>
    <w:basedOn w:val="CommentTextChar"/>
    <w:link w:val="CommentSubject"/>
    <w:uiPriority w:val="99"/>
    <w:semiHidden/>
    <w:rsid w:val="0063596E"/>
    <w:rPr>
      <w:rFonts w:ascii="Calibri" w:eastAsia="Calibri" w:hAnsi="Calibri" w:cs="SimSun"/>
      <w:b/>
      <w:bCs/>
      <w:kern w:val="2"/>
      <w:sz w:val="20"/>
      <w:szCs w:val="20"/>
    </w:rPr>
  </w:style>
  <w:style w:type="paragraph" w:styleId="CommentSubject">
    <w:name w:val="annotation subject"/>
    <w:basedOn w:val="CommentText"/>
    <w:next w:val="CommentText"/>
    <w:link w:val="CommentSubjectChar"/>
    <w:uiPriority w:val="99"/>
    <w:semiHidden/>
    <w:unhideWhenUsed/>
    <w:rsid w:val="0063596E"/>
    <w:rPr>
      <w:b/>
      <w:bCs/>
    </w:rPr>
  </w:style>
  <w:style w:type="character" w:customStyle="1" w:styleId="BalloonTextChar">
    <w:name w:val="Balloon Text Char"/>
    <w:basedOn w:val="DefaultParagraphFont"/>
    <w:link w:val="BalloonText"/>
    <w:uiPriority w:val="99"/>
    <w:semiHidden/>
    <w:rsid w:val="0063596E"/>
    <w:rPr>
      <w:rFonts w:ascii="Segoe UI" w:eastAsia="Calibri" w:hAnsi="Segoe UI" w:cs="Segoe UI"/>
      <w:kern w:val="2"/>
      <w:sz w:val="18"/>
      <w:szCs w:val="18"/>
    </w:rPr>
  </w:style>
  <w:style w:type="paragraph" w:styleId="BalloonText">
    <w:name w:val="Balloon Text"/>
    <w:basedOn w:val="Normal"/>
    <w:link w:val="BalloonTextChar"/>
    <w:uiPriority w:val="99"/>
    <w:semiHidden/>
    <w:unhideWhenUsed/>
    <w:rsid w:val="0063596E"/>
    <w:pPr>
      <w:spacing w:after="0" w:line="240" w:lineRule="auto"/>
    </w:pPr>
    <w:rPr>
      <w:rFonts w:ascii="Segoe UI" w:hAnsi="Segoe UI" w:cs="Segoe UI"/>
      <w:sz w:val="18"/>
      <w:szCs w:val="18"/>
    </w:rPr>
  </w:style>
  <w:style w:type="character" w:customStyle="1" w:styleId="whitespace-normal">
    <w:name w:val="whitespace-normal"/>
    <w:basedOn w:val="DefaultParagraphFont"/>
    <w:rsid w:val="0063596E"/>
  </w:style>
  <w:style w:type="character" w:styleId="CommentReference">
    <w:name w:val="annotation reference"/>
    <w:basedOn w:val="DefaultParagraphFont"/>
    <w:uiPriority w:val="99"/>
    <w:semiHidden/>
    <w:unhideWhenUsed/>
    <w:rsid w:val="00852BC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74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6368</Words>
  <Characters>36301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hp</cp:lastModifiedBy>
  <cp:revision>2</cp:revision>
  <dcterms:created xsi:type="dcterms:W3CDTF">2026-06-11T06:05:00Z</dcterms:created>
  <dcterms:modified xsi:type="dcterms:W3CDTF">2026-06-11T06:05:00Z</dcterms:modified>
</cp:coreProperties>
</file>