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6B9F" w14:textId="236236F0" w:rsidR="00A779B6" w:rsidRDefault="004D35B3" w:rsidP="00993CEF">
      <w:pPr>
        <w:jc w:val="center"/>
        <w:rPr>
          <w:rFonts w:ascii="Times New Roman" w:hAnsi="Times New Roman" w:cs="Times New Roman"/>
          <w:b/>
          <w:bCs/>
        </w:rPr>
      </w:pPr>
      <w:r w:rsidRPr="00993CEF">
        <w:rPr>
          <w:rFonts w:ascii="Times New Roman" w:hAnsi="Times New Roman" w:cs="Times New Roman"/>
          <w:b/>
          <w:bCs/>
        </w:rPr>
        <w:t xml:space="preserve">Artificial Intelligence </w:t>
      </w:r>
      <w:r>
        <w:rPr>
          <w:rFonts w:ascii="Times New Roman" w:hAnsi="Times New Roman" w:cs="Times New Roman"/>
          <w:b/>
          <w:bCs/>
        </w:rPr>
        <w:t>a</w:t>
      </w:r>
      <w:r w:rsidRPr="00993CEF">
        <w:rPr>
          <w:rFonts w:ascii="Times New Roman" w:hAnsi="Times New Roman" w:cs="Times New Roman"/>
          <w:b/>
          <w:bCs/>
        </w:rPr>
        <w:t xml:space="preserve">nd Financial Decision-Making </w:t>
      </w:r>
      <w:r>
        <w:rPr>
          <w:rFonts w:ascii="Times New Roman" w:hAnsi="Times New Roman" w:cs="Times New Roman"/>
          <w:b/>
          <w:bCs/>
        </w:rPr>
        <w:t>i</w:t>
      </w:r>
      <w:r w:rsidRPr="00993CEF">
        <w:rPr>
          <w:rFonts w:ascii="Times New Roman" w:hAnsi="Times New Roman" w:cs="Times New Roman"/>
          <w:b/>
          <w:bCs/>
        </w:rPr>
        <w:t xml:space="preserve">n Nigeria: The Mediating Role </w:t>
      </w:r>
      <w:r>
        <w:rPr>
          <w:rFonts w:ascii="Times New Roman" w:hAnsi="Times New Roman" w:cs="Times New Roman"/>
          <w:b/>
          <w:bCs/>
        </w:rPr>
        <w:t>o</w:t>
      </w:r>
      <w:r w:rsidRPr="00993CEF">
        <w:rPr>
          <w:rFonts w:ascii="Times New Roman" w:hAnsi="Times New Roman" w:cs="Times New Roman"/>
          <w:b/>
          <w:bCs/>
        </w:rPr>
        <w:t>f Fintech</w:t>
      </w:r>
    </w:p>
    <w:p w14:paraId="1BAA5B89" w14:textId="2CF335FF" w:rsidR="00986986" w:rsidRDefault="00986986" w:rsidP="004D35B3">
      <w:pPr>
        <w:spacing w:after="0" w:line="240" w:lineRule="auto"/>
        <w:jc w:val="center"/>
        <w:rPr>
          <w:rFonts w:ascii="Times New Roman" w:hAnsi="Times New Roman" w:cs="Times New Roman"/>
          <w:b/>
          <w:bCs/>
        </w:rPr>
      </w:pPr>
      <w:proofErr w:type="spellStart"/>
      <w:r>
        <w:rPr>
          <w:rFonts w:ascii="Times New Roman" w:hAnsi="Times New Roman" w:cs="Times New Roman"/>
          <w:b/>
          <w:bCs/>
        </w:rPr>
        <w:t/>
      </w:r>
      <w:proofErr w:type="spellEnd"/>
      <w:r>
        <w:rPr>
          <w:rFonts w:ascii="Times New Roman" w:hAnsi="Times New Roman" w:cs="Times New Roman"/>
          <w:b/>
          <w:bCs/>
        </w:rPr>
        <w:t/>
      </w:r>
      <w:r w:rsidR="004D35B3">
        <w:rPr>
          <w:rFonts w:ascii="Times New Roman" w:hAnsi="Times New Roman" w:cs="Times New Roman"/>
          <w:b/>
          <w:bCs/>
          <w:vertAlign w:val="superscript"/>
        </w:rPr>
        <w:t/>
      </w:r>
      <w:r w:rsidR="004D35B3">
        <w:rPr>
          <w:rFonts w:ascii="Times New Roman" w:hAnsi="Times New Roman" w:cs="Times New Roman"/>
          <w:b/>
          <w:bCs/>
        </w:rPr>
        <w:t/>
      </w:r>
      <w:r w:rsidR="004D35B3">
        <w:rPr>
          <w:rFonts w:ascii="Times New Roman" w:hAnsi="Times New Roman" w:cs="Times New Roman"/>
          <w:b/>
          <w:bCs/>
          <w:vertAlign w:val="superscript"/>
        </w:rPr>
        <w:t/>
      </w:r>
      <w:r w:rsidR="004D35B3">
        <w:rPr>
          <w:rFonts w:ascii="Times New Roman" w:hAnsi="Times New Roman" w:cs="Times New Roman"/>
          <w:b/>
          <w:bCs/>
        </w:rPr>
        <w:t xml:space="preserve"/>
      </w:r>
      <w:proofErr w:type="spellStart"/>
      <w:r w:rsidR="004D35B3">
        <w:rPr>
          <w:rFonts w:ascii="Times New Roman" w:hAnsi="Times New Roman" w:cs="Times New Roman"/>
          <w:b/>
          <w:bCs/>
        </w:rPr>
        <w:t/>
      </w:r>
      <w:proofErr w:type="spellEnd"/>
      <w:r w:rsidR="004D35B3">
        <w:rPr>
          <w:rFonts w:ascii="Times New Roman" w:hAnsi="Times New Roman" w:cs="Times New Roman"/>
          <w:b/>
          <w:bCs/>
        </w:rPr>
        <w:t xml:space="preserve"/>
      </w:r>
      <w:r w:rsidR="004D35B3">
        <w:rPr>
          <w:rFonts w:ascii="Times New Roman" w:hAnsi="Times New Roman" w:cs="Times New Roman"/>
          <w:b/>
          <w:bCs/>
          <w:vertAlign w:val="superscript"/>
        </w:rPr>
        <w:t/>
      </w:r>
      <w:r w:rsidR="004D35B3">
        <w:rPr>
          <w:rFonts w:ascii="Times New Roman" w:hAnsi="Times New Roman" w:cs="Times New Roman"/>
          <w:b/>
          <w:bCs/>
        </w:rPr>
        <w:t xml:space="preserve"/>
      </w:r>
    </w:p>
    <w:p w14:paraId="7B90255B" w14:textId="3ECC4317" w:rsidR="00986986" w:rsidRPr="005429E9" w:rsidRDefault="004D35B3" w:rsidP="004D35B3">
      <w:pPr>
        <w:spacing w:after="0" w:line="240" w:lineRule="auto"/>
        <w:jc w:val="center"/>
        <w:rPr>
          <w:rFonts w:ascii="Times New Roman" w:hAnsi="Times New Roman" w:cs="Times New Roman"/>
        </w:rPr>
      </w:pPr>
      <w:r w:rsidRPr="005429E9">
        <w:rPr>
          <w:rFonts w:ascii="Times New Roman" w:hAnsi="Times New Roman" w:cs="Times New Roman"/>
          <w:vertAlign w:val="superscript"/>
        </w:rPr>
        <w:t/>
      </w:r>
      <w:r w:rsidR="00986986" w:rsidRPr="005429E9">
        <w:rPr>
          <w:rFonts w:ascii="Times New Roman" w:hAnsi="Times New Roman" w:cs="Times New Roman"/>
        </w:rPr>
        <w:t/>
      </w:r>
      <w:r w:rsidRPr="005429E9">
        <w:rPr>
          <w:rFonts w:ascii="Times New Roman" w:hAnsi="Times New Roman" w:cs="Times New Roman"/>
        </w:rPr>
        <w:t/>
      </w:r>
    </w:p>
    <w:p w14:paraId="2B158D76" w14:textId="075B5D99" w:rsidR="004D35B3" w:rsidRPr="005429E9" w:rsidRDefault="004D35B3" w:rsidP="004D35B3">
      <w:pPr>
        <w:spacing w:after="0" w:line="240" w:lineRule="auto"/>
        <w:jc w:val="center"/>
        <w:rPr>
          <w:rFonts w:ascii="Times New Roman" w:hAnsi="Times New Roman" w:cs="Times New Roman"/>
        </w:rPr>
      </w:pPr>
      <w:r w:rsidRPr="005429E9">
        <w:rPr>
          <w:rFonts w:ascii="Times New Roman" w:hAnsi="Times New Roman" w:cs="Times New Roman"/>
          <w:vertAlign w:val="superscript"/>
        </w:rPr>
        <w:t/>
      </w:r>
      <w:r w:rsidRPr="005429E9">
        <w:rPr>
          <w:rFonts w:ascii="Times New Roman" w:hAnsi="Times New Roman" w:cs="Times New Roman"/>
        </w:rPr>
        <w:t/>
      </w:r>
    </w:p>
    <w:p w14:paraId="74E0A48E" w14:textId="5EC16DD1" w:rsidR="004D35B3" w:rsidRPr="005429E9" w:rsidRDefault="004D35B3" w:rsidP="004D35B3">
      <w:pPr>
        <w:spacing w:after="0" w:line="240" w:lineRule="auto"/>
        <w:jc w:val="center"/>
        <w:rPr>
          <w:rFonts w:ascii="Times New Roman" w:hAnsi="Times New Roman" w:cs="Times New Roman"/>
        </w:rPr>
      </w:pPr>
      <w:r w:rsidRPr="005429E9">
        <w:rPr>
          <w:rFonts w:ascii="Times New Roman" w:hAnsi="Times New Roman" w:cs="Times New Roman"/>
          <w:vertAlign w:val="superscript"/>
        </w:rPr>
        <w:t/>
      </w:r>
      <w:r w:rsidRPr="005429E9">
        <w:rPr>
          <w:rFonts w:ascii="Times New Roman" w:hAnsi="Times New Roman" w:cs="Times New Roman"/>
        </w:rPr>
        <w:t/>
      </w:r>
    </w:p>
    <w:p w14:paraId="6794DB74" w14:textId="5B43ED91" w:rsidR="004D35B3" w:rsidRPr="005429E9" w:rsidRDefault="004D35B3" w:rsidP="00DD3B55">
      <w:pPr>
        <w:tabs>
          <w:tab w:val="left" w:pos="1619"/>
        </w:tabs>
        <w:jc w:val="center"/>
        <w:rPr>
          <w:rFonts w:ascii="Times New Roman" w:hAnsi="Times New Roman" w:cs="Times New Roman"/>
          <w:vertAlign w:val="superscript"/>
        </w:rPr>
      </w:pPr>
      <w:r w:rsidRPr="005429E9">
        <w:rPr>
          <w:rFonts w:ascii="Times New Roman" w:hAnsi="Times New Roman" w:cs="Times New Roman"/>
        </w:rPr>
        <w:t/>
      </w:r>
      <w:r w:rsidRPr="005429E9">
        <w:rPr>
          <w:rFonts w:ascii="Times New Roman" w:hAnsi="Times New Roman" w:cs="Times New Roman"/>
          <w:vertAlign w:val="superscript"/>
        </w:rPr>
        <w:t/>
      </w:r>
      <w:r w:rsidRPr="005429E9">
        <w:rPr>
          <w:rFonts w:ascii="Times New Roman" w:hAnsi="Times New Roman" w:cs="Times New Roman"/>
        </w:rPr>
        <w:t/>
      </w:r>
      <w:r w:rsidRPr="005429E9">
        <w:rPr>
          <w:rFonts w:ascii="Times New Roman" w:hAnsi="Times New Roman" w:cs="Times New Roman"/>
          <w:vertAlign w:val="superscript"/>
        </w:rPr>
        <w:t/>
      </w:r>
      <w:r w:rsidRPr="005429E9">
        <w:rPr>
          <w:rFonts w:ascii="Times New Roman" w:hAnsi="Times New Roman" w:cs="Times New Roman"/>
        </w:rPr>
        <w:t/>
      </w:r>
      <w:r w:rsidRPr="005429E9">
        <w:rPr>
          <w:rFonts w:ascii="Times New Roman" w:hAnsi="Times New Roman" w:cs="Times New Roman"/>
          <w:vertAlign w:val="superscript"/>
        </w:rPr>
        <w:t/>
      </w:r>
    </w:p>
    <w:p w14:paraId="35E850E6" w14:textId="54B3CC41" w:rsidR="00986986" w:rsidRPr="004D35B3" w:rsidRDefault="00986986" w:rsidP="00993CEF">
      <w:pPr>
        <w:jc w:val="center"/>
        <w:rPr>
          <w:rFonts w:ascii="Times New Roman" w:hAnsi="Times New Roman" w:cs="Times New Roman"/>
          <w:b/>
          <w:bCs/>
        </w:rPr>
      </w:pPr>
    </w:p>
    <w:p w14:paraId="4680846B" w14:textId="76A59665" w:rsidR="00917B4A" w:rsidRDefault="005429E9" w:rsidP="00917B4A">
      <w:pPr>
        <w:rPr>
          <w:rFonts w:ascii="Times New Roman" w:hAnsi="Times New Roman" w:cs="Times New Roman"/>
          <w:b/>
          <w:bCs/>
        </w:rPr>
      </w:pPr>
      <w:r w:rsidRPr="00917B4A">
        <w:rPr>
          <w:rFonts w:ascii="Times New Roman" w:hAnsi="Times New Roman" w:cs="Times New Roman"/>
          <w:b/>
          <w:bCs/>
        </w:rPr>
        <w:t>ABSTRACT</w:t>
      </w:r>
    </w:p>
    <w:p w14:paraId="07DE8904" w14:textId="77777777" w:rsidR="003B4278" w:rsidRPr="005429E9" w:rsidRDefault="003B4278" w:rsidP="00986986">
      <w:pPr>
        <w:spacing w:line="240" w:lineRule="auto"/>
        <w:jc w:val="both"/>
        <w:rPr>
          <w:rFonts w:ascii="Times New Roman" w:hAnsi="Times New Roman" w:cs="Times New Roman"/>
          <w:lang w:val="en-NG"/>
        </w:rPr>
      </w:pPr>
      <w:r w:rsidRPr="005429E9">
        <w:rPr>
          <w:rFonts w:ascii="Times New Roman" w:hAnsi="Times New Roman" w:cs="Times New Roman"/>
          <w:lang w:val="en-NG"/>
        </w:rPr>
        <w:t>This study examined the mediating role of Financial Technology (FinTech) in the relationship between Artificial Intelligence (AI) and financial decision-making within Nigeria’s digital financial ecosystem. The study was motivated by the increasing integration of intelligent digital technologies into financial systems and the limited empirical evidence on how FinTech operationalises AI capabilities in financial decision processes within developing economies. A quantitative research approach based on positivist philosophy and a cross-sectional survey design were adopted. Data were collected from 394 respondents comprising bank employees, FinTech professionals, SME operators, and digitally active financial users across major financial hubs in Nigeria. Partial Least Squares Structural Equation Modelling (PLS-SEM) was employed for data analysis. The findings revealed that AI exerts a positive and statistically significant effect on financial decision-making and FinTech adoption and utilisation, while FinTech significantly improves financial decision-making. The mediation analysis further confirmed that FinTech significantly mediates the relationship between AI and financial decision-making, indicating that a substantial proportion of AI’s influence on financial decision outcomes is transmitted through FinTech-enabled digital financial systems. The study concludes that AI and FinTech are complementary technologies within modern financial systems, where AI provides predictive intelligence and analytical capability while FinTech provides the operational infrastructure for practical financial decision implementation. The study recommends increased investment in AI-enabled digital financial infrastructure, institutional technological readiness, and supportive regulatory frameworks to enhance digital financial transformation within Nigeria’s financial sector.</w:t>
      </w:r>
    </w:p>
    <w:p w14:paraId="7F3B2269" w14:textId="61670B26" w:rsidR="003B4278" w:rsidRPr="003B4278" w:rsidRDefault="003B4278" w:rsidP="003B4278">
      <w:pPr>
        <w:rPr>
          <w:rFonts w:ascii="Times New Roman" w:hAnsi="Times New Roman" w:cs="Times New Roman"/>
          <w:i/>
          <w:iCs/>
          <w:lang w:val="en-NG"/>
        </w:rPr>
      </w:pPr>
      <w:r w:rsidRPr="005429E9">
        <w:rPr>
          <w:rFonts w:ascii="Times New Roman" w:hAnsi="Times New Roman" w:cs="Times New Roman"/>
          <w:b/>
          <w:bCs/>
          <w:lang w:val="en-NG"/>
        </w:rPr>
        <w:t>Keywords:</w:t>
      </w:r>
      <w:r w:rsidRPr="003B4278">
        <w:rPr>
          <w:rFonts w:ascii="Times New Roman" w:hAnsi="Times New Roman" w:cs="Times New Roman"/>
          <w:i/>
          <w:iCs/>
          <w:lang w:val="en-NG"/>
        </w:rPr>
        <w:t xml:space="preserve"> </w:t>
      </w:r>
      <w:r w:rsidRPr="003B4278">
        <w:rPr>
          <w:rFonts w:ascii="Times New Roman" w:hAnsi="Times New Roman" w:cs="Times New Roman"/>
          <w:lang w:val="en-NG"/>
        </w:rPr>
        <w:t>Artificial Intelligence, Financial Technology, FinTech, Financial Decision-Making, Digital Financial Systems</w:t>
      </w:r>
    </w:p>
    <w:p w14:paraId="32D6750A" w14:textId="38210006" w:rsidR="006C581C" w:rsidRPr="006C581C" w:rsidRDefault="005429E9" w:rsidP="006C581C">
      <w:pPr>
        <w:jc w:val="both"/>
        <w:rPr>
          <w:rFonts w:ascii="Times New Roman" w:hAnsi="Times New Roman" w:cs="Times New Roman"/>
          <w:b/>
          <w:bCs/>
          <w:lang w:val="en-NG" w:eastAsia="en-GB"/>
        </w:rPr>
      </w:pPr>
      <w:r w:rsidRPr="006C581C">
        <w:rPr>
          <w:rFonts w:ascii="Times New Roman" w:hAnsi="Times New Roman" w:cs="Times New Roman"/>
          <w:b/>
          <w:bCs/>
          <w:lang w:val="en-NG" w:eastAsia="en-GB"/>
        </w:rPr>
        <w:t>INTRODUCTION</w:t>
      </w:r>
    </w:p>
    <w:p w14:paraId="16CDB87F" w14:textId="77777777" w:rsidR="005429E9" w:rsidRPr="005429E9" w:rsidRDefault="005429E9" w:rsidP="005429E9">
      <w:pPr>
        <w:jc w:val="both"/>
        <w:rPr>
          <w:rFonts w:ascii="Times New Roman" w:hAnsi="Times New Roman" w:cs="Times New Roman"/>
          <w:lang w:val="en-NG" w:eastAsia="en-GB"/>
        </w:rPr>
      </w:pPr>
      <w:r w:rsidRPr="005429E9">
        <w:rPr>
          <w:rFonts w:ascii="Times New Roman" w:hAnsi="Times New Roman" w:cs="Times New Roman"/>
          <w:lang w:val="en-NG" w:eastAsia="en-GB"/>
        </w:rPr>
        <w:t xml:space="preserve">The rapid advancement of Artificial Intelligence (AI) is transforming global financial systems and reshaping how financial decisions are generated, analysed, and executed. AI-driven technologies such as machine learning, predictive analytics, natural language processing, and intelligent automation have improved the speed, accuracy, and efficiency of financial operations, thereby enhancing risk assessment, fraud detection, investment analysis, and credit evaluation (Deloitte, 2023; World Bank, 2022). Consequently, financial decision-making has increasingly shifted from intuition-based processes toward data-driven and algorithmic systems capable of delivering more </w:t>
      </w:r>
      <w:r w:rsidRPr="005429E9">
        <w:rPr>
          <w:rFonts w:ascii="Times New Roman" w:hAnsi="Times New Roman" w:cs="Times New Roman"/>
          <w:lang w:val="en-NG" w:eastAsia="en-GB"/>
        </w:rPr>
        <w:lastRenderedPageBreak/>
        <w:t>precise and timely outcomes. Existing studies further indicate that AI adoption significantly improves operational efficiency and decision quality within financial institutions (Alles, 2021; Appelbaum et al., 2022).</w:t>
      </w:r>
    </w:p>
    <w:p w14:paraId="6D2BAF1C" w14:textId="77777777" w:rsidR="005429E9" w:rsidRPr="005429E9" w:rsidRDefault="005429E9" w:rsidP="005429E9">
      <w:pPr>
        <w:jc w:val="both"/>
        <w:rPr>
          <w:rFonts w:ascii="Times New Roman" w:hAnsi="Times New Roman" w:cs="Times New Roman"/>
          <w:lang w:val="en-NG" w:eastAsia="en-GB"/>
        </w:rPr>
      </w:pPr>
      <w:r w:rsidRPr="005429E9">
        <w:rPr>
          <w:rFonts w:ascii="Times New Roman" w:hAnsi="Times New Roman" w:cs="Times New Roman"/>
          <w:lang w:val="en-NG" w:eastAsia="en-GB"/>
        </w:rPr>
        <w:t>The relevance of AI is particularly significant in emerging economies such as Nigeria, where structural inefficiencies, weak risk assessment frameworks, information asymmetry, and limited financial inclusion continue to constrain financial system performance. Despite reforms within the Nigerian financial sector, a substantial proportion of the population remains excluded from formal financial services (World Bank, 2023). In this context, AI offers considerable potential to improve financial decision-making through intelligent analytics, automation, and predictive modelling.</w:t>
      </w:r>
    </w:p>
    <w:p w14:paraId="3FE9B03F" w14:textId="77777777" w:rsidR="005429E9" w:rsidRPr="005429E9" w:rsidRDefault="005429E9" w:rsidP="005429E9">
      <w:pPr>
        <w:jc w:val="both"/>
        <w:rPr>
          <w:rFonts w:ascii="Times New Roman" w:hAnsi="Times New Roman" w:cs="Times New Roman"/>
          <w:lang w:val="en-NG" w:eastAsia="en-GB"/>
        </w:rPr>
      </w:pPr>
      <w:r w:rsidRPr="005429E9">
        <w:rPr>
          <w:rFonts w:ascii="Times New Roman" w:hAnsi="Times New Roman" w:cs="Times New Roman"/>
          <w:lang w:val="en-NG" w:eastAsia="en-GB"/>
        </w:rPr>
        <w:t xml:space="preserve">However, the influence of AI on financial decision-making cannot be fully understood independent of Financial Technology (FinTech), which provides the digital infrastructure through which AI capabilities are operationalised. FinTech encompasses digital financial innovations such as mobile banking, electronic payment systems, blockchain technologies, peer-to-peer lending platforms, and </w:t>
      </w:r>
      <w:proofErr w:type="spellStart"/>
      <w:r w:rsidRPr="005429E9">
        <w:rPr>
          <w:rFonts w:ascii="Times New Roman" w:hAnsi="Times New Roman" w:cs="Times New Roman"/>
          <w:lang w:val="en-NG" w:eastAsia="en-GB"/>
        </w:rPr>
        <w:t>robo</w:t>
      </w:r>
      <w:proofErr w:type="spellEnd"/>
      <w:r w:rsidRPr="005429E9">
        <w:rPr>
          <w:rFonts w:ascii="Times New Roman" w:hAnsi="Times New Roman" w:cs="Times New Roman"/>
          <w:lang w:val="en-NG" w:eastAsia="en-GB"/>
        </w:rPr>
        <w:t>-advisory services that improve financial accessibility and service efficiency. Nigeria has emerged as one of Africa’s leading FinTech ecosystems due to rapid mobile penetration, expanding digital infrastructure, and increasing demand for electronic financial services (Central Bank of Nigeria, 2023; McKinsey &amp; Company, 2024).</w:t>
      </w:r>
    </w:p>
    <w:p w14:paraId="031B2A19" w14:textId="77777777" w:rsidR="005429E9" w:rsidRPr="005429E9" w:rsidRDefault="005429E9" w:rsidP="005429E9">
      <w:pPr>
        <w:jc w:val="both"/>
        <w:rPr>
          <w:rFonts w:ascii="Times New Roman" w:hAnsi="Times New Roman" w:cs="Times New Roman"/>
          <w:lang w:val="en-NG" w:eastAsia="en-GB"/>
        </w:rPr>
      </w:pPr>
      <w:r w:rsidRPr="005429E9">
        <w:rPr>
          <w:rFonts w:ascii="Times New Roman" w:hAnsi="Times New Roman" w:cs="Times New Roman"/>
          <w:lang w:val="en-NG" w:eastAsia="en-GB"/>
        </w:rPr>
        <w:t>Importantly, FinTech functions as the operational mechanism through which AI capabilities influence financial decision outcomes. While AI provides predictive intelligence and analytical capability, FinTech provides the digital platforms through which these capabilities are implemented in practical financial activities. Existing literature suggests that the effectiveness of AI in financial systems depends substantially on the maturity and efficiency of supporting FinTech ecosystems (</w:t>
      </w:r>
      <w:proofErr w:type="spellStart"/>
      <w:r w:rsidRPr="005429E9">
        <w:rPr>
          <w:rFonts w:ascii="Times New Roman" w:hAnsi="Times New Roman" w:cs="Times New Roman"/>
          <w:lang w:val="en-NG" w:eastAsia="en-GB"/>
        </w:rPr>
        <w:t>Gomber</w:t>
      </w:r>
      <w:proofErr w:type="spellEnd"/>
      <w:r w:rsidRPr="005429E9">
        <w:rPr>
          <w:rFonts w:ascii="Times New Roman" w:hAnsi="Times New Roman" w:cs="Times New Roman"/>
          <w:lang w:val="en-NG" w:eastAsia="en-GB"/>
        </w:rPr>
        <w:t xml:space="preserve"> et al., 2021; Lee &amp; Shin, 2018).</w:t>
      </w:r>
    </w:p>
    <w:p w14:paraId="442A9FF4" w14:textId="77777777" w:rsidR="005429E9" w:rsidRPr="005429E9" w:rsidRDefault="005429E9" w:rsidP="005429E9">
      <w:pPr>
        <w:jc w:val="both"/>
        <w:rPr>
          <w:rFonts w:ascii="Times New Roman" w:hAnsi="Times New Roman" w:cs="Times New Roman"/>
          <w:lang w:val="en-NG" w:eastAsia="en-GB"/>
        </w:rPr>
      </w:pPr>
      <w:r w:rsidRPr="005429E9">
        <w:rPr>
          <w:rFonts w:ascii="Times New Roman" w:hAnsi="Times New Roman" w:cs="Times New Roman"/>
          <w:lang w:val="en-NG" w:eastAsia="en-GB"/>
        </w:rPr>
        <w:t>Despite the rapid growth of AI and FinTech within Nigeria’s financial sector, empirical studies have largely examined both technologies independently while paying limited attention to the mechanism through which AI capabilities translate into practical financial decision outcomes. Consequently, there remains insufficient empirical evidence on the mediating role of FinTech in the relationship between AI and financial decision-making, particularly within emerging financial ecosystems such as Nigeria.</w:t>
      </w:r>
    </w:p>
    <w:p w14:paraId="32472730" w14:textId="77777777" w:rsidR="005429E9" w:rsidRPr="005429E9" w:rsidRDefault="005429E9" w:rsidP="005429E9">
      <w:pPr>
        <w:jc w:val="both"/>
        <w:rPr>
          <w:rFonts w:ascii="Times New Roman" w:hAnsi="Times New Roman" w:cs="Times New Roman"/>
          <w:lang w:val="en-NG" w:eastAsia="en-GB"/>
        </w:rPr>
      </w:pPr>
      <w:r w:rsidRPr="005429E9">
        <w:rPr>
          <w:rFonts w:ascii="Times New Roman" w:hAnsi="Times New Roman" w:cs="Times New Roman"/>
          <w:lang w:val="en-NG" w:eastAsia="en-GB"/>
        </w:rPr>
        <w:t>Against this backdrop, this study investigates the mediating role of Financial Technology in the relationship between Artificial Intelligence and financial decision-making in Nigeria. By conceptualising FinTech as a mediating construct, the study contributes to digital finance literature by providing empirical insights into how AI capabilities are transformed into actionable financial decision outcomes within emerging financial systems.</w:t>
      </w:r>
    </w:p>
    <w:p w14:paraId="7607991E" w14:textId="77777777" w:rsidR="005429E9" w:rsidRDefault="005429E9" w:rsidP="00341707">
      <w:pPr>
        <w:jc w:val="both"/>
        <w:rPr>
          <w:rFonts w:ascii="Times New Roman" w:hAnsi="Times New Roman" w:cs="Times New Roman"/>
          <w:b/>
          <w:bCs/>
          <w:lang w:val="en-NG" w:eastAsia="en-GB"/>
        </w:rPr>
      </w:pPr>
    </w:p>
    <w:p w14:paraId="77D5FF54" w14:textId="77777777" w:rsidR="005429E9" w:rsidRDefault="005429E9" w:rsidP="00341707">
      <w:pPr>
        <w:jc w:val="both"/>
        <w:rPr>
          <w:rFonts w:ascii="Times New Roman" w:hAnsi="Times New Roman" w:cs="Times New Roman"/>
          <w:b/>
          <w:bCs/>
          <w:lang w:val="en-NG" w:eastAsia="en-GB"/>
        </w:rPr>
      </w:pPr>
    </w:p>
    <w:p w14:paraId="4DED6F3D" w14:textId="1C8A11B5" w:rsidR="00341707" w:rsidRPr="00341707" w:rsidRDefault="005429E9" w:rsidP="00341707">
      <w:pPr>
        <w:jc w:val="both"/>
        <w:rPr>
          <w:rFonts w:ascii="Times New Roman" w:hAnsi="Times New Roman" w:cs="Times New Roman"/>
          <w:b/>
          <w:bCs/>
          <w:lang w:val="en-NG" w:eastAsia="en-GB"/>
        </w:rPr>
      </w:pPr>
      <w:r>
        <w:rPr>
          <w:rFonts w:ascii="Times New Roman" w:hAnsi="Times New Roman" w:cs="Times New Roman"/>
          <w:b/>
          <w:bCs/>
          <w:lang w:val="en-NG" w:eastAsia="en-GB"/>
        </w:rPr>
        <w:lastRenderedPageBreak/>
        <w:t>OBJECTIVES OF THE STUDY</w:t>
      </w:r>
    </w:p>
    <w:p w14:paraId="465F3585" w14:textId="77777777" w:rsidR="005429E9" w:rsidRPr="005429E9" w:rsidRDefault="005429E9" w:rsidP="005429E9">
      <w:pPr>
        <w:spacing w:before="100" w:beforeAutospacing="1" w:after="100" w:afterAutospacing="1" w:line="240" w:lineRule="auto"/>
        <w:jc w:val="both"/>
        <w:rPr>
          <w:rFonts w:ascii="Times New Roman" w:hAnsi="Times New Roman" w:cs="Times New Roman"/>
          <w:lang w:val="en-NG" w:eastAsia="en-GB"/>
        </w:rPr>
      </w:pPr>
      <w:r w:rsidRPr="005429E9">
        <w:rPr>
          <w:rFonts w:ascii="Times New Roman" w:hAnsi="Times New Roman" w:cs="Times New Roman"/>
          <w:lang w:val="en-NG" w:eastAsia="en-GB"/>
        </w:rPr>
        <w:t>The main objective of this study is to examine the mediating role of Financial Technology (FinTech) in the relationship between Artificial Intelligence (AI) and financial decision-making in Nigeria. Specifically, the study seeks to:</w:t>
      </w:r>
    </w:p>
    <w:p w14:paraId="4D9502DC" w14:textId="12BE53AA" w:rsidR="005429E9" w:rsidRPr="005429E9" w:rsidRDefault="005429E9" w:rsidP="005429E9">
      <w:pPr>
        <w:spacing w:before="100" w:beforeAutospacing="1" w:after="100" w:afterAutospacing="1" w:line="240" w:lineRule="auto"/>
        <w:jc w:val="both"/>
        <w:rPr>
          <w:rFonts w:ascii="Times New Roman" w:hAnsi="Times New Roman" w:cs="Times New Roman"/>
          <w:lang w:val="en-NG" w:eastAsia="en-GB"/>
        </w:rPr>
      </w:pPr>
      <w:proofErr w:type="spellStart"/>
      <w:r w:rsidRPr="005429E9">
        <w:rPr>
          <w:rFonts w:ascii="Times New Roman" w:hAnsi="Times New Roman" w:cs="Times New Roman"/>
          <w:lang w:val="en-NG" w:eastAsia="en-GB"/>
        </w:rPr>
        <w:t>i</w:t>
      </w:r>
      <w:proofErr w:type="spellEnd"/>
      <w:r w:rsidRPr="005429E9">
        <w:rPr>
          <w:rFonts w:ascii="Times New Roman" w:hAnsi="Times New Roman" w:cs="Times New Roman"/>
          <w:lang w:val="en-NG" w:eastAsia="en-GB"/>
        </w:rPr>
        <w:t xml:space="preserve">. </w:t>
      </w:r>
      <w:r>
        <w:rPr>
          <w:rFonts w:ascii="Times New Roman" w:hAnsi="Times New Roman" w:cs="Times New Roman"/>
          <w:lang w:val="en-NG" w:eastAsia="en-GB"/>
        </w:rPr>
        <w:t>E</w:t>
      </w:r>
      <w:r w:rsidRPr="005429E9">
        <w:rPr>
          <w:rFonts w:ascii="Times New Roman" w:hAnsi="Times New Roman" w:cs="Times New Roman"/>
          <w:lang w:val="en-NG" w:eastAsia="en-GB"/>
        </w:rPr>
        <w:t>xamine the effect of Artificial Intelligence (AI) on financial decision-making in Nigeria;</w:t>
      </w:r>
    </w:p>
    <w:p w14:paraId="689BA010" w14:textId="4A04F738" w:rsidR="005429E9" w:rsidRPr="005429E9" w:rsidRDefault="005429E9" w:rsidP="005429E9">
      <w:pPr>
        <w:spacing w:before="100" w:beforeAutospacing="1" w:after="100" w:afterAutospacing="1" w:line="240" w:lineRule="auto"/>
        <w:jc w:val="both"/>
        <w:rPr>
          <w:rFonts w:ascii="Times New Roman" w:hAnsi="Times New Roman" w:cs="Times New Roman"/>
          <w:lang w:val="en-NG" w:eastAsia="en-GB"/>
        </w:rPr>
      </w:pPr>
      <w:r w:rsidRPr="005429E9">
        <w:rPr>
          <w:rFonts w:ascii="Times New Roman" w:hAnsi="Times New Roman" w:cs="Times New Roman"/>
          <w:lang w:val="en-NG" w:eastAsia="en-GB"/>
        </w:rPr>
        <w:t xml:space="preserve">ii. </w:t>
      </w:r>
      <w:r>
        <w:rPr>
          <w:rFonts w:ascii="Times New Roman" w:hAnsi="Times New Roman" w:cs="Times New Roman"/>
          <w:lang w:val="en-NG" w:eastAsia="en-GB"/>
        </w:rPr>
        <w:t>I</w:t>
      </w:r>
      <w:r w:rsidRPr="005429E9">
        <w:rPr>
          <w:rFonts w:ascii="Times New Roman" w:hAnsi="Times New Roman" w:cs="Times New Roman"/>
          <w:lang w:val="en-NG" w:eastAsia="en-GB"/>
        </w:rPr>
        <w:t>nvestigate the effect of Artificial Intelligence (AI) on Financial Technology (FinTech) adoption and utilisation in Nigeria;</w:t>
      </w:r>
    </w:p>
    <w:p w14:paraId="35588677" w14:textId="2AD8AAE5" w:rsidR="005429E9" w:rsidRPr="005429E9" w:rsidRDefault="005429E9" w:rsidP="005429E9">
      <w:pPr>
        <w:spacing w:before="100" w:beforeAutospacing="1" w:after="100" w:afterAutospacing="1" w:line="240" w:lineRule="auto"/>
        <w:jc w:val="both"/>
        <w:rPr>
          <w:rFonts w:ascii="Times New Roman" w:hAnsi="Times New Roman" w:cs="Times New Roman"/>
          <w:lang w:val="en-NG" w:eastAsia="en-GB"/>
        </w:rPr>
      </w:pPr>
      <w:r w:rsidRPr="005429E9">
        <w:rPr>
          <w:rFonts w:ascii="Times New Roman" w:hAnsi="Times New Roman" w:cs="Times New Roman"/>
          <w:lang w:val="en-NG" w:eastAsia="en-GB"/>
        </w:rPr>
        <w:t xml:space="preserve">iii. </w:t>
      </w:r>
      <w:r>
        <w:rPr>
          <w:rFonts w:ascii="Times New Roman" w:hAnsi="Times New Roman" w:cs="Times New Roman"/>
          <w:lang w:val="en-NG" w:eastAsia="en-GB"/>
        </w:rPr>
        <w:t>E</w:t>
      </w:r>
      <w:r w:rsidRPr="005429E9">
        <w:rPr>
          <w:rFonts w:ascii="Times New Roman" w:hAnsi="Times New Roman" w:cs="Times New Roman"/>
          <w:lang w:val="en-NG" w:eastAsia="en-GB"/>
        </w:rPr>
        <w:t>valuate the effect of Financial Technology (FinTech) on financial decision-making in Nigeria; and</w:t>
      </w:r>
    </w:p>
    <w:p w14:paraId="202B585A" w14:textId="67246C43" w:rsidR="005429E9" w:rsidRPr="005429E9" w:rsidRDefault="005429E9" w:rsidP="005429E9">
      <w:pPr>
        <w:spacing w:before="100" w:beforeAutospacing="1" w:after="100" w:afterAutospacing="1" w:line="240" w:lineRule="auto"/>
        <w:jc w:val="both"/>
        <w:rPr>
          <w:rFonts w:ascii="Times New Roman" w:hAnsi="Times New Roman" w:cs="Times New Roman"/>
          <w:lang w:val="en-NG" w:eastAsia="en-GB"/>
        </w:rPr>
      </w:pPr>
      <w:r w:rsidRPr="005429E9">
        <w:rPr>
          <w:rFonts w:ascii="Times New Roman" w:hAnsi="Times New Roman" w:cs="Times New Roman"/>
          <w:lang w:val="en-NG" w:eastAsia="en-GB"/>
        </w:rPr>
        <w:t xml:space="preserve">iv. </w:t>
      </w:r>
      <w:r>
        <w:rPr>
          <w:rFonts w:ascii="Times New Roman" w:hAnsi="Times New Roman" w:cs="Times New Roman"/>
          <w:lang w:val="en-NG" w:eastAsia="en-GB"/>
        </w:rPr>
        <w:t>A</w:t>
      </w:r>
      <w:r w:rsidRPr="005429E9">
        <w:rPr>
          <w:rFonts w:ascii="Times New Roman" w:hAnsi="Times New Roman" w:cs="Times New Roman"/>
          <w:lang w:val="en-NG" w:eastAsia="en-GB"/>
        </w:rPr>
        <w:t>nalyse the mediating role of Financial Technology (FinTech) in the relationship between Artificial Intelligence (AI) and financial decision-making in Nigeria.</w:t>
      </w:r>
    </w:p>
    <w:p w14:paraId="19863257" w14:textId="271BD416" w:rsidR="00226FBE" w:rsidRPr="00E34F85" w:rsidRDefault="005429E9" w:rsidP="007B7EA5">
      <w:pPr>
        <w:spacing w:before="100" w:beforeAutospacing="1" w:after="100" w:afterAutospacing="1" w:line="240" w:lineRule="auto"/>
        <w:jc w:val="both"/>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CONCEPTUAL REVIEW</w:t>
      </w:r>
    </w:p>
    <w:p w14:paraId="5ADE7655" w14:textId="77777777" w:rsidR="005429E9" w:rsidRDefault="00E34F85" w:rsidP="005429E9">
      <w:pPr>
        <w:spacing w:before="100" w:beforeAutospacing="1" w:after="100" w:afterAutospacing="1" w:line="240" w:lineRule="auto"/>
        <w:jc w:val="both"/>
        <w:rPr>
          <w:rFonts w:ascii="Times New Roman" w:eastAsia="Times New Roman" w:hAnsi="Times New Roman" w:cs="Times New Roman"/>
          <w:b/>
          <w:bCs/>
          <w:kern w:val="0"/>
          <w:lang w:eastAsia="en-GB"/>
          <w14:ligatures w14:val="none"/>
        </w:rPr>
      </w:pPr>
      <w:r w:rsidRPr="007B7EA5">
        <w:rPr>
          <w:rFonts w:ascii="Times New Roman" w:eastAsia="Times New Roman" w:hAnsi="Times New Roman" w:cs="Times New Roman"/>
          <w:b/>
          <w:bCs/>
          <w:kern w:val="0"/>
          <w:lang w:eastAsia="en-GB"/>
          <w14:ligatures w14:val="none"/>
        </w:rPr>
        <w:t>Artificial Intelligence and Financial Technology</w:t>
      </w:r>
    </w:p>
    <w:p w14:paraId="3AE69FD8" w14:textId="5465A7AD"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b/>
          <w:bCs/>
          <w:kern w:val="0"/>
          <w:lang w:eastAsia="en-GB"/>
          <w14:ligatures w14:val="none"/>
        </w:rPr>
      </w:pPr>
      <w:r w:rsidRPr="005429E9">
        <w:rPr>
          <w:rFonts w:ascii="Times New Roman" w:eastAsia="Times New Roman" w:hAnsi="Times New Roman" w:cs="Times New Roman"/>
          <w:kern w:val="0"/>
          <w:lang w:val="en-NG" w:eastAsia="en-GB"/>
          <w14:ligatures w14:val="none"/>
        </w:rPr>
        <w:t>Artificial Intelligence (AI) refers to the capability of intelligent systems to perform tasks that ordinarily require human intelligence, including learning, prediction, reasoning, and decision-making. Through technologies such as machine learning, predictive analytics, natural language processing, and automation, AI has transformed modern financial systems by improving analytical capability, predictive accuracy, and operational efficiency (Russell &amp; Norvig, 2021). Financial institutions increasingly deploy AI-driven systems in fraud detection, credit scoring, investment analysis, customer profiling, and risk management to support evidence-based financial decisions.</w:t>
      </w:r>
    </w:p>
    <w:p w14:paraId="3C8EE847"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 xml:space="preserve">Closely related to AI is Financial Technology (FinTech), which refers to the application of digital technologies to improve the accessibility, efficiency, and delivery of financial services. FinTech includes digital payment systems, mobile banking, blockchain technologies, peer-to-peer lending platforms, and </w:t>
      </w:r>
      <w:proofErr w:type="spellStart"/>
      <w:r w:rsidRPr="005429E9">
        <w:rPr>
          <w:rFonts w:ascii="Times New Roman" w:eastAsia="Times New Roman" w:hAnsi="Times New Roman" w:cs="Times New Roman"/>
          <w:kern w:val="0"/>
          <w:lang w:val="en-NG" w:eastAsia="en-GB"/>
          <w14:ligatures w14:val="none"/>
        </w:rPr>
        <w:t>robo</w:t>
      </w:r>
      <w:proofErr w:type="spellEnd"/>
      <w:r w:rsidRPr="005429E9">
        <w:rPr>
          <w:rFonts w:ascii="Times New Roman" w:eastAsia="Times New Roman" w:hAnsi="Times New Roman" w:cs="Times New Roman"/>
          <w:kern w:val="0"/>
          <w:lang w:val="en-NG" w:eastAsia="en-GB"/>
          <w14:ligatures w14:val="none"/>
        </w:rPr>
        <w:t>-advisory services (</w:t>
      </w:r>
      <w:proofErr w:type="spellStart"/>
      <w:r w:rsidRPr="005429E9">
        <w:rPr>
          <w:rFonts w:ascii="Times New Roman" w:eastAsia="Times New Roman" w:hAnsi="Times New Roman" w:cs="Times New Roman"/>
          <w:kern w:val="0"/>
          <w:lang w:val="en-NG" w:eastAsia="en-GB"/>
          <w14:ligatures w14:val="none"/>
        </w:rPr>
        <w:t>Schueffel</w:t>
      </w:r>
      <w:proofErr w:type="spellEnd"/>
      <w:r w:rsidRPr="005429E9">
        <w:rPr>
          <w:rFonts w:ascii="Times New Roman" w:eastAsia="Times New Roman" w:hAnsi="Times New Roman" w:cs="Times New Roman"/>
          <w:kern w:val="0"/>
          <w:lang w:val="en-NG" w:eastAsia="en-GB"/>
          <w14:ligatures w14:val="none"/>
        </w:rPr>
        <w:t xml:space="preserve">, 2016). The rapid expansion of FinTech has transformed traditional financial systems by improving transaction efficiency, expanding financial accessibility, and accelerating digital financial innovation (Lee &amp; Shin, 2018; </w:t>
      </w:r>
      <w:proofErr w:type="spellStart"/>
      <w:r w:rsidRPr="005429E9">
        <w:rPr>
          <w:rFonts w:ascii="Times New Roman" w:eastAsia="Times New Roman" w:hAnsi="Times New Roman" w:cs="Times New Roman"/>
          <w:kern w:val="0"/>
          <w:lang w:val="en-NG" w:eastAsia="en-GB"/>
          <w14:ligatures w14:val="none"/>
        </w:rPr>
        <w:t>Gomber</w:t>
      </w:r>
      <w:proofErr w:type="spellEnd"/>
      <w:r w:rsidRPr="005429E9">
        <w:rPr>
          <w:rFonts w:ascii="Times New Roman" w:eastAsia="Times New Roman" w:hAnsi="Times New Roman" w:cs="Times New Roman"/>
          <w:kern w:val="0"/>
          <w:lang w:val="en-NG" w:eastAsia="en-GB"/>
          <w14:ligatures w14:val="none"/>
        </w:rPr>
        <w:t xml:space="preserve"> et al., 2018).</w:t>
      </w:r>
    </w:p>
    <w:p w14:paraId="5171B838"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In Nigeria, the relevance of AI and FinTech has increased considerably due to persistent financial inefficiencies, weak institutional systems, and limited financial inclusion. The expansion of digital financial platforms has improved transaction efficiency and financial accessibility within the Nigerian financial sector (Central Bank of Nigeria, 2023). Nevertheless, the effective implementation of AI and FinTech continues to face challenges relating to inadequate infrastructure, cybersecurity concerns, regulatory uncertainty, and limited technological expertise (OECD, 2023).</w:t>
      </w:r>
    </w:p>
    <w:p w14:paraId="5FC86548" w14:textId="77777777" w:rsidR="005429E9" w:rsidRDefault="005429E9" w:rsidP="005429E9">
      <w:pPr>
        <w:spacing w:before="100" w:beforeAutospacing="1" w:after="100" w:afterAutospacing="1" w:line="240" w:lineRule="auto"/>
        <w:jc w:val="both"/>
        <w:rPr>
          <w:rFonts w:ascii="Times New Roman" w:eastAsia="Times New Roman" w:hAnsi="Times New Roman" w:cs="Times New Roman"/>
          <w:b/>
          <w:bCs/>
          <w:kern w:val="0"/>
          <w:lang w:val="en-NG" w:eastAsia="en-GB"/>
          <w14:ligatures w14:val="none"/>
        </w:rPr>
      </w:pPr>
    </w:p>
    <w:p w14:paraId="12B520AD" w14:textId="236E7698"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b/>
          <w:bCs/>
          <w:kern w:val="0"/>
          <w:lang w:val="en-NG" w:eastAsia="en-GB"/>
          <w14:ligatures w14:val="none"/>
        </w:rPr>
      </w:pPr>
      <w:r w:rsidRPr="005429E9">
        <w:rPr>
          <w:rFonts w:ascii="Times New Roman" w:eastAsia="Times New Roman" w:hAnsi="Times New Roman" w:cs="Times New Roman"/>
          <w:b/>
          <w:bCs/>
          <w:kern w:val="0"/>
          <w:lang w:val="en-NG" w:eastAsia="en-GB"/>
          <w14:ligatures w14:val="none"/>
        </w:rPr>
        <w:lastRenderedPageBreak/>
        <w:t>Artificial Intelligence and Financial Decision-Making</w:t>
      </w:r>
    </w:p>
    <w:p w14:paraId="49B348A4"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 xml:space="preserve">Artificial Intelligence has become an important driver of financial decision-making due to its ability to process large volumes of financial data, identify hidden patterns, and generate predictive insights. AI-driven systems improve decision quality through real-time analytics, predictive modelling, and intelligent automation. Existing literature suggests that AI significantly enhances organizational decision efficiency, financial forecasting, and strategic planning (Davenport &amp; </w:t>
      </w:r>
      <w:proofErr w:type="spellStart"/>
      <w:r w:rsidRPr="005429E9">
        <w:rPr>
          <w:rFonts w:ascii="Times New Roman" w:eastAsia="Times New Roman" w:hAnsi="Times New Roman" w:cs="Times New Roman"/>
          <w:kern w:val="0"/>
          <w:lang w:val="en-NG" w:eastAsia="en-GB"/>
          <w14:ligatures w14:val="none"/>
        </w:rPr>
        <w:t>Ronanki</w:t>
      </w:r>
      <w:proofErr w:type="spellEnd"/>
      <w:r w:rsidRPr="005429E9">
        <w:rPr>
          <w:rFonts w:ascii="Times New Roman" w:eastAsia="Times New Roman" w:hAnsi="Times New Roman" w:cs="Times New Roman"/>
          <w:kern w:val="0"/>
          <w:lang w:val="en-NG" w:eastAsia="en-GB"/>
          <w14:ligatures w14:val="none"/>
        </w:rPr>
        <w:t>, 2018).</w:t>
      </w:r>
    </w:p>
    <w:p w14:paraId="7DF69377"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Within financial systems, AI applications support credit scoring, fraud detection, anti-money laundering compliance, and investment analysis. Alles (2021) further argues that AI enhances audit quality and financial reporting reliability through intelligent analytical procedures, while Appelbaum et al. (2022) contend that AI-driven analytics improve managerial decision quality and forecasting capability. In Nigeria, financial institutions increasingly adopt AI-driven technologies to improve operational efficiency and customer service delivery, although infrastructural and regulatory limitations continue to constrain effective deployment.</w:t>
      </w:r>
    </w:p>
    <w:p w14:paraId="77843EE7"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b/>
          <w:bCs/>
          <w:kern w:val="0"/>
          <w:lang w:val="en-NG" w:eastAsia="en-GB"/>
          <w14:ligatures w14:val="none"/>
        </w:rPr>
      </w:pPr>
      <w:r w:rsidRPr="005429E9">
        <w:rPr>
          <w:rFonts w:ascii="Times New Roman" w:eastAsia="Times New Roman" w:hAnsi="Times New Roman" w:cs="Times New Roman"/>
          <w:b/>
          <w:bCs/>
          <w:kern w:val="0"/>
          <w:lang w:val="en-NG" w:eastAsia="en-GB"/>
          <w14:ligatures w14:val="none"/>
        </w:rPr>
        <w:t>Financial Technology and Financial Decision-Making</w:t>
      </w:r>
    </w:p>
    <w:p w14:paraId="276E1BBB"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Financial Technology significantly improves financial decision-making by enhancing access to financial information, increasing transaction efficiency, and facilitating real-time financial analysis. Through digital financial platforms, FinTech enables users to conduct financial transactions, access credit facilities, evaluate investment opportunities, and manage financial resources more efficiently.</w:t>
      </w:r>
    </w:p>
    <w:p w14:paraId="462A997E"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Lee and Shin (2018) argue that FinTech innovations strengthen customer engagement and improve financial service efficiency. Similarly, digital payment systems, online lending platforms, and mobile banking technologies provide real-time financial information that supports informed financial decisions. In Nigeria, FinTech adoption has enhanced financial inclusion, reduced transaction costs, and improved access to digital financial services.</w:t>
      </w:r>
    </w:p>
    <w:p w14:paraId="6B4F5854"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b/>
          <w:bCs/>
          <w:kern w:val="0"/>
          <w:lang w:val="en-NG" w:eastAsia="en-GB"/>
          <w14:ligatures w14:val="none"/>
        </w:rPr>
      </w:pPr>
      <w:r w:rsidRPr="005429E9">
        <w:rPr>
          <w:rFonts w:ascii="Times New Roman" w:eastAsia="Times New Roman" w:hAnsi="Times New Roman" w:cs="Times New Roman"/>
          <w:b/>
          <w:bCs/>
          <w:kern w:val="0"/>
          <w:lang w:val="en-NG" w:eastAsia="en-GB"/>
          <w14:ligatures w14:val="none"/>
        </w:rPr>
        <w:t>Mediating Role of Financial Technology in the Relationship Between Artificial Intelligence and Financial Decision-Making</w:t>
      </w:r>
    </w:p>
    <w:p w14:paraId="5DFC7B63"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The relationship between Artificial Intelligence and financial decision-making may operate through the enabling mechanisms provided by Financial Technology. While AI supplies the analytical intelligence required for predictive modelling, automation, and intelligent decision support, FinTech provides the operational infrastructure through which these capabilities are deployed and utilised. Consequently, FinTech performs a mediating role in the relationship between AI and financial decision-making.</w:t>
      </w:r>
    </w:p>
    <w:p w14:paraId="3A165BF5"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 xml:space="preserve">Existing studies suggest that the effectiveness of AI within financial systems depends substantially on the maturity and efficiency of FinTech ecosystems supporting its implementation (Lee &amp; Shin, 2018; </w:t>
      </w:r>
      <w:proofErr w:type="spellStart"/>
      <w:r w:rsidRPr="005429E9">
        <w:rPr>
          <w:rFonts w:ascii="Times New Roman" w:eastAsia="Times New Roman" w:hAnsi="Times New Roman" w:cs="Times New Roman"/>
          <w:kern w:val="0"/>
          <w:lang w:val="en-NG" w:eastAsia="en-GB"/>
          <w14:ligatures w14:val="none"/>
        </w:rPr>
        <w:t>Gomber</w:t>
      </w:r>
      <w:proofErr w:type="spellEnd"/>
      <w:r w:rsidRPr="005429E9">
        <w:rPr>
          <w:rFonts w:ascii="Times New Roman" w:eastAsia="Times New Roman" w:hAnsi="Times New Roman" w:cs="Times New Roman"/>
          <w:kern w:val="0"/>
          <w:lang w:val="en-NG" w:eastAsia="en-GB"/>
          <w14:ligatures w14:val="none"/>
        </w:rPr>
        <w:t xml:space="preserve"> et al., 2021). Through digital financial platforms, AI-driven systems support automated lending, predictive analytics, fraud detection, and digital investment management. </w:t>
      </w:r>
      <w:r w:rsidRPr="005429E9">
        <w:rPr>
          <w:rFonts w:ascii="Times New Roman" w:eastAsia="Times New Roman" w:hAnsi="Times New Roman" w:cs="Times New Roman"/>
          <w:kern w:val="0"/>
          <w:lang w:val="en-NG" w:eastAsia="en-GB"/>
          <w14:ligatures w14:val="none"/>
        </w:rPr>
        <w:lastRenderedPageBreak/>
        <w:t>Thus, FinTech serves as the transmission mechanism through which AI capabilities are translated into practical financial decision outcomes.</w:t>
      </w:r>
    </w:p>
    <w:p w14:paraId="06D29B6D" w14:textId="77777777" w:rsidR="005429E9" w:rsidRPr="005429E9" w:rsidRDefault="005429E9" w:rsidP="005429E9">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5429E9">
        <w:rPr>
          <w:rFonts w:ascii="Times New Roman" w:eastAsia="Times New Roman" w:hAnsi="Times New Roman" w:cs="Times New Roman"/>
          <w:kern w:val="0"/>
          <w:lang w:val="en-NG" w:eastAsia="en-GB"/>
          <w14:ligatures w14:val="none"/>
        </w:rPr>
        <w:t>Despite the growing interaction between AI and FinTech, empirical evidence regarding the mediating role of FinTech in financial decision-making remains limited, particularly within emerging financial systems such as Nigeria. Most existing studies examine AI and FinTech independently rather than analysing the mechanism linking both technologies to financial decision outcomes. Consequently, this study contributes to digital finance literature by examining how FinTech mediates the relationship between Artificial Intelligence and financial decision-making in Nigeria.</w:t>
      </w:r>
    </w:p>
    <w:p w14:paraId="2024F591" w14:textId="2EC4A945" w:rsidR="00EE21E3" w:rsidRPr="008A0D8D" w:rsidRDefault="005429E9" w:rsidP="008A0D8D">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8A0D8D">
        <w:rPr>
          <w:rFonts w:ascii="Times New Roman" w:eastAsia="Times New Roman" w:hAnsi="Times New Roman" w:cs="Times New Roman"/>
          <w:b/>
          <w:bCs/>
          <w:kern w:val="0"/>
          <w:lang w:eastAsia="en-GB"/>
          <w14:ligatures w14:val="none"/>
        </w:rPr>
        <w:t>CONCEPTUAL FRAMEWORK</w:t>
      </w:r>
    </w:p>
    <w:p w14:paraId="0ABA73E1" w14:textId="7FF2E19C" w:rsidR="007D7DEE" w:rsidRPr="004A3B9C" w:rsidRDefault="004A3B9C" w:rsidP="007D7DE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drawing>
          <wp:inline distT="0" distB="0" distL="0" distR="0" wp14:anchorId="73CC25C6" wp14:editId="5CF6B7B7">
            <wp:extent cx="5994400" cy="2073275"/>
            <wp:effectExtent l="0" t="0" r="0" b="3175"/>
            <wp:docPr id="857759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213" r="-6306" b="28357"/>
                    <a:stretch/>
                  </pic:blipFill>
                  <pic:spPr bwMode="auto">
                    <a:xfrm>
                      <a:off x="0" y="0"/>
                      <a:ext cx="5994400" cy="2073275"/>
                    </a:xfrm>
                    <a:prstGeom prst="rect">
                      <a:avLst/>
                    </a:prstGeom>
                    <a:noFill/>
                    <a:ln>
                      <a:noFill/>
                    </a:ln>
                    <a:extLst>
                      <a:ext uri="{53640926-AAD7-44D8-BBD7-CCE9431645EC}">
                        <a14:shadowObscured xmlns:a14="http://schemas.microsoft.com/office/drawing/2010/main"/>
                      </a:ext>
                    </a:extLst>
                  </pic:spPr>
                </pic:pic>
              </a:graphicData>
            </a:graphic>
          </wp:inline>
        </w:drawing>
      </w:r>
    </w:p>
    <w:p w14:paraId="2BD760EC" w14:textId="731EBA2C" w:rsidR="007D7DEE" w:rsidRPr="008A0D8D" w:rsidRDefault="00DA1926" w:rsidP="008A0D8D">
      <w:pPr>
        <w:spacing w:before="100" w:beforeAutospacing="1" w:after="100" w:afterAutospacing="1" w:line="240" w:lineRule="auto"/>
        <w:jc w:val="both"/>
        <w:rPr>
          <w:rFonts w:ascii="Times New Roman" w:eastAsia="Times New Roman" w:hAnsi="Times New Roman" w:cs="Times New Roman"/>
          <w:i/>
          <w:iCs/>
          <w:kern w:val="0"/>
          <w:lang w:eastAsia="en-GB"/>
          <w14:ligatures w14:val="none"/>
        </w:rPr>
      </w:pPr>
      <w:r w:rsidRPr="008A0D8D">
        <w:rPr>
          <w:rFonts w:ascii="Times New Roman" w:eastAsia="Times New Roman" w:hAnsi="Times New Roman" w:cs="Times New Roman"/>
          <w:i/>
          <w:iCs/>
          <w:kern w:val="0"/>
          <w:lang w:eastAsia="en-GB"/>
          <w14:ligatures w14:val="none"/>
        </w:rPr>
        <w:t xml:space="preserve">Figure 1: Conceptual Framework. </w:t>
      </w:r>
      <w:r w:rsidR="004A3B9C" w:rsidRPr="008A0D8D">
        <w:rPr>
          <w:rFonts w:ascii="Times New Roman" w:eastAsia="Times New Roman" w:hAnsi="Times New Roman" w:cs="Times New Roman"/>
          <w:i/>
          <w:iCs/>
          <w:kern w:val="0"/>
          <w:lang w:eastAsia="en-GB"/>
          <w14:ligatures w14:val="none"/>
        </w:rPr>
        <w:t xml:space="preserve">Source: Author’s conceptualisation (2026), drawing on the Diffusion of Innovation theory (Everett Rogers, 2003), </w:t>
      </w:r>
      <w:r w:rsidR="009B4253" w:rsidRPr="008A0D8D">
        <w:rPr>
          <w:rFonts w:ascii="Times New Roman" w:eastAsia="Times New Roman" w:hAnsi="Times New Roman" w:cs="Times New Roman"/>
          <w:i/>
          <w:iCs/>
          <w:kern w:val="0"/>
          <w:lang w:eastAsia="en-GB"/>
          <w14:ligatures w14:val="none"/>
        </w:rPr>
        <w:t>the Technology–Organisation–Environment</w:t>
      </w:r>
      <w:r w:rsidR="004A3B9C" w:rsidRPr="008A0D8D">
        <w:rPr>
          <w:rFonts w:ascii="Times New Roman" w:eastAsia="Times New Roman" w:hAnsi="Times New Roman" w:cs="Times New Roman"/>
          <w:i/>
          <w:iCs/>
          <w:kern w:val="0"/>
          <w:lang w:eastAsia="en-GB"/>
          <w14:ligatures w14:val="none"/>
        </w:rPr>
        <w:t xml:space="preserve"> framework (Louis Tornatzky &amp; Mitchell Fleischer, 1990), and FinTech–AI integration literature (In Lee &amp; Yong Jae Shin, 2018).</w:t>
      </w:r>
    </w:p>
    <w:p w14:paraId="5E6A659B" w14:textId="06EDEC72" w:rsidR="00EE21E3" w:rsidRPr="00F26A11" w:rsidRDefault="005429E9" w:rsidP="00760B0C">
      <w:pPr>
        <w:spacing w:before="100" w:beforeAutospacing="1" w:after="100" w:afterAutospacing="1" w:line="240" w:lineRule="auto"/>
        <w:jc w:val="both"/>
        <w:rPr>
          <w:rFonts w:ascii="Times New Roman" w:eastAsia="Times New Roman" w:hAnsi="Times New Roman" w:cs="Times New Roman"/>
          <w:b/>
          <w:bCs/>
          <w:kern w:val="0"/>
          <w:lang w:eastAsia="en-GB"/>
          <w14:ligatures w14:val="none"/>
        </w:rPr>
      </w:pPr>
      <w:r w:rsidRPr="00F26A11">
        <w:rPr>
          <w:rFonts w:ascii="Times New Roman" w:eastAsia="Times New Roman" w:hAnsi="Times New Roman" w:cs="Times New Roman"/>
          <w:b/>
          <w:bCs/>
          <w:kern w:val="0"/>
          <w:lang w:eastAsia="en-GB"/>
          <w14:ligatures w14:val="none"/>
        </w:rPr>
        <w:t xml:space="preserve">THEORETICAL </w:t>
      </w:r>
      <w:r>
        <w:rPr>
          <w:rFonts w:ascii="Times New Roman" w:eastAsia="Times New Roman" w:hAnsi="Times New Roman" w:cs="Times New Roman"/>
          <w:b/>
          <w:bCs/>
          <w:kern w:val="0"/>
          <w:lang w:eastAsia="en-GB"/>
          <w14:ligatures w14:val="none"/>
        </w:rPr>
        <w:t>FRAMEWORK</w:t>
      </w:r>
    </w:p>
    <w:p w14:paraId="7C1B8DEF" w14:textId="77777777" w:rsidR="00760B0C" w:rsidRPr="00760B0C" w:rsidRDefault="00760B0C" w:rsidP="00760B0C">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This study is grounded in the Diffusion of Innovation (DOI) Theory, the Technology–Organization–Environment (TOE) Framework, and Decision Theory. These theories collectively provide a suitable foundation for explaining the relationship between Artificial Intelligence (AI), Financial Technology (FinTech), and financial decision-making in Nigeria.</w:t>
      </w:r>
    </w:p>
    <w:p w14:paraId="4820F9C4" w14:textId="77777777" w:rsidR="00760B0C" w:rsidRPr="00760B0C" w:rsidRDefault="00760B0C" w:rsidP="00760B0C">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The Diffusion of Innovation (DOI) Theory developed by Rogers (2003) explains how technological innovations are adopted and diffused within organizations and social systems. The theory posits that adoption depends on factors such as relative advantage, compatibility, complexity, trialability, and observability. In this study, AI represents an emerging financial innovation whose adoption depends on its perceived usefulness and compatibility with existing financial systems. FinTech platforms facilitate the diffusion and operationalisation of AI-driven financial services, thereby supporting improved financial decision-making.</w:t>
      </w:r>
    </w:p>
    <w:p w14:paraId="341ABC6E" w14:textId="77777777" w:rsidR="00760B0C" w:rsidRPr="00760B0C" w:rsidRDefault="00760B0C" w:rsidP="00760B0C">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lastRenderedPageBreak/>
        <w:t xml:space="preserve">The Technology–Organization–Environment (TOE) Framework proposed by </w:t>
      </w:r>
      <w:proofErr w:type="spellStart"/>
      <w:r w:rsidRPr="00760B0C">
        <w:rPr>
          <w:rFonts w:ascii="Times New Roman" w:eastAsia="Times New Roman" w:hAnsi="Times New Roman" w:cs="Times New Roman"/>
          <w:kern w:val="0"/>
          <w:lang w:val="en-NG" w:eastAsia="en-GB"/>
          <w14:ligatures w14:val="none"/>
        </w:rPr>
        <w:t>Tornatzky</w:t>
      </w:r>
      <w:proofErr w:type="spellEnd"/>
      <w:r w:rsidRPr="00760B0C">
        <w:rPr>
          <w:rFonts w:ascii="Times New Roman" w:eastAsia="Times New Roman" w:hAnsi="Times New Roman" w:cs="Times New Roman"/>
          <w:kern w:val="0"/>
          <w:lang w:val="en-NG" w:eastAsia="en-GB"/>
          <w14:ligatures w14:val="none"/>
        </w:rPr>
        <w:t xml:space="preserve"> and Fleischer (1990) explains how technological, organizational, and environmental factors influence technology integration. The framework is relevant because the effectiveness of AI-driven financial systems depends on institutional readiness, technological infrastructure, regulatory support, and technical expertise. In Nigeria, factors such as inadequate infrastructure, cybersecurity concerns, and regulatory uncertainty continue to shape the integration of AI and FinTech within financial institutions.</w:t>
      </w:r>
    </w:p>
    <w:p w14:paraId="00BB94D7" w14:textId="77777777" w:rsidR="00760B0C" w:rsidRPr="00760B0C" w:rsidRDefault="00760B0C" w:rsidP="00760B0C">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Decision Theory provides the analytical basis for understanding financial decision-making within technology-enabled environments. The theory posits that rational decisions are made through the evaluation of available alternatives based on information, risks, and expected outcomes (Simon, 1977). The integration of AI into financial systems improves predictive analytics, information processing, and risk evaluation, while FinTech platforms strengthen operational efficiency and real-time financial accessibility. Consequently, AI- and FinTech-enabled systems support more efficient and data-driven financial decisions.</w:t>
      </w:r>
    </w:p>
    <w:p w14:paraId="3749BD85" w14:textId="77777777" w:rsidR="00760B0C" w:rsidRPr="00760B0C" w:rsidRDefault="00760B0C" w:rsidP="00760B0C">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Collectively, these theories provide a coherent explanation for the conceptual relationships examined in this study. DOI explains the adoption of AI innovations, the TOE framework highlights the contextual factors influencing FinTech integration, while Decision Theory explains how AI- and FinTech-enabled systems improve financial decision outcomes. Together, the theories support the proposition that FinTech mediates the relationship between Artificial Intelligence and financial decision-making in Nigeria.</w:t>
      </w:r>
    </w:p>
    <w:p w14:paraId="0BC3D389" w14:textId="0B1A2341" w:rsidR="00635E58" w:rsidRPr="00D765CC" w:rsidRDefault="005429E9" w:rsidP="00760B0C">
      <w:pPr>
        <w:spacing w:before="100" w:beforeAutospacing="1" w:after="100" w:afterAutospacing="1" w:line="240" w:lineRule="auto"/>
        <w:jc w:val="both"/>
        <w:rPr>
          <w:rFonts w:ascii="Times New Roman" w:eastAsia="Times New Roman" w:hAnsi="Times New Roman" w:cs="Times New Roman"/>
          <w:b/>
          <w:bCs/>
          <w:kern w:val="0"/>
          <w:lang w:eastAsia="en-GB"/>
          <w14:ligatures w14:val="none"/>
        </w:rPr>
      </w:pPr>
      <w:r w:rsidRPr="00D765CC">
        <w:rPr>
          <w:rFonts w:ascii="Times New Roman" w:eastAsia="Times New Roman" w:hAnsi="Times New Roman" w:cs="Times New Roman"/>
          <w:b/>
          <w:bCs/>
          <w:kern w:val="0"/>
          <w:lang w:eastAsia="en-GB"/>
          <w14:ligatures w14:val="none"/>
        </w:rPr>
        <w:t>EMPIRICAL REVIEW</w:t>
      </w:r>
    </w:p>
    <w:p w14:paraId="2C1A9827" w14:textId="77777777" w:rsidR="00D765CC" w:rsidRPr="00D765CC" w:rsidRDefault="00D765CC" w:rsidP="002076B0">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D765CC">
        <w:rPr>
          <w:rFonts w:ascii="Times New Roman" w:eastAsia="Times New Roman" w:hAnsi="Times New Roman" w:cs="Times New Roman"/>
          <w:kern w:val="0"/>
          <w:lang w:val="en-NG" w:eastAsia="en-GB"/>
          <w14:ligatures w14:val="none"/>
        </w:rPr>
        <w:t>Empirical evidence increasingly identifies artificial intelligence (AI) as a major driver of efficiency, predictive capability, and strategic financial decision-making within modern financial systems. Existing studies consistently demonstrate that AI-driven technologies improve analytical precision, reduce information asymmetry, and strengthen the quality of financial decisions through automation and real-time data processing. For instance, Alles (2021) argues that AI significantly improves audit quality and financial reporting reliability by minimizing human bias and enhancing predictive judgement. Similarly, Appelbaum et al. (2022) contend that machine learning and predictive analytics strengthen managerial decision-making through improved forecasting accuracy and automated financial evaluation systems. Collectively, these studies suggest that AI has transformed financial decision-making from intuition-based processes toward more data-driven and algorithmically supported frameworks.</w:t>
      </w:r>
    </w:p>
    <w:p w14:paraId="134BDA6D" w14:textId="77777777" w:rsidR="00D765CC" w:rsidRPr="00D765CC" w:rsidRDefault="00D765CC" w:rsidP="002076B0">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D765CC">
        <w:rPr>
          <w:rFonts w:ascii="Times New Roman" w:eastAsia="Times New Roman" w:hAnsi="Times New Roman" w:cs="Times New Roman"/>
          <w:kern w:val="0"/>
          <w:lang w:val="en-NG" w:eastAsia="en-GB"/>
          <w14:ligatures w14:val="none"/>
        </w:rPr>
        <w:t>The contribution of AI is particularly evident in banking operations and financial risk management. Jha et al. (2022) find that AI-based credit scoring systems outperform traditional statistical models through the integration of behavioural and alternative data sources, thereby improving lending decisions and credit allocation efficiency. Likewise, Kumar et al. (2021) report that AI adoption significantly improves operational efficiency and credit risk modelling within banking institutions. These findings indicate that AI enhances institutional capability to process financial information, evaluate risks, and support evidence-based financial decisions.</w:t>
      </w:r>
    </w:p>
    <w:p w14:paraId="60073B4C" w14:textId="77777777" w:rsidR="00D765CC" w:rsidRPr="00D765CC" w:rsidRDefault="00D765CC" w:rsidP="002076B0">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D765CC">
        <w:rPr>
          <w:rFonts w:ascii="Times New Roman" w:eastAsia="Times New Roman" w:hAnsi="Times New Roman" w:cs="Times New Roman"/>
          <w:kern w:val="0"/>
          <w:lang w:val="en-NG" w:eastAsia="en-GB"/>
          <w14:ligatures w14:val="none"/>
        </w:rPr>
        <w:lastRenderedPageBreak/>
        <w:t>Within emerging economies, the relevance of AI has become increasingly significant due to persistent financial inefficiencies, weak institutional systems, and limited financial inclusion. According to the World Bank (2022), AI-enabled financial systems have improved lending accessibility and financial service delivery across developing economies despite infrastructural and governance constraints. However, although existing empirical studies establish the operational and performance benefits of AI, the literature remains largely concentrated on efficiency, fraud detection, and institutional performance outcomes. Consequently, limited empirical attention has been devoted to understanding the mechanisms through which AI capabilities translate into actionable financial decision outcomes.</w:t>
      </w:r>
    </w:p>
    <w:p w14:paraId="107AB930" w14:textId="77777777" w:rsidR="00D765CC" w:rsidRPr="00D765CC" w:rsidRDefault="00D765CC" w:rsidP="002076B0">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D765CC">
        <w:rPr>
          <w:rFonts w:ascii="Times New Roman" w:eastAsia="Times New Roman" w:hAnsi="Times New Roman" w:cs="Times New Roman"/>
          <w:kern w:val="0"/>
          <w:lang w:val="en-NG" w:eastAsia="en-GB"/>
          <w14:ligatures w14:val="none"/>
        </w:rPr>
        <w:t xml:space="preserve">Parallel empirical evidence highlights the growing role of financial technology (FinTech) in transforming financial intermediation and financial decision-making processes. FinTech innovations such as digital payments, mobile banking, blockchain systems, peer-to-peer lending, and online financial platforms have significantly altered financial service delivery by reducing transaction costs, accelerating transaction speed, and improving financial accessibility. Lee and Shin (2018) observe that FinTech enhances customer engagement and operational efficiency through digital innovation and automation, while </w:t>
      </w:r>
      <w:proofErr w:type="spellStart"/>
      <w:r w:rsidRPr="00D765CC">
        <w:rPr>
          <w:rFonts w:ascii="Times New Roman" w:eastAsia="Times New Roman" w:hAnsi="Times New Roman" w:cs="Times New Roman"/>
          <w:kern w:val="0"/>
          <w:lang w:val="en-NG" w:eastAsia="en-GB"/>
          <w14:ligatures w14:val="none"/>
        </w:rPr>
        <w:t>Gomber</w:t>
      </w:r>
      <w:proofErr w:type="spellEnd"/>
      <w:r w:rsidRPr="00D765CC">
        <w:rPr>
          <w:rFonts w:ascii="Times New Roman" w:eastAsia="Times New Roman" w:hAnsi="Times New Roman" w:cs="Times New Roman"/>
          <w:kern w:val="0"/>
          <w:lang w:val="en-NG" w:eastAsia="en-GB"/>
          <w14:ligatures w14:val="none"/>
        </w:rPr>
        <w:t xml:space="preserve"> et al. (2021) argue that digital financial platforms strengthen financial intermediation by improving transaction efficiency and reducing operational costs.</w:t>
      </w:r>
    </w:p>
    <w:p w14:paraId="4F1F3377" w14:textId="77777777" w:rsidR="00D765CC" w:rsidRPr="00D765CC" w:rsidRDefault="00D765CC" w:rsidP="002076B0">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D765CC">
        <w:rPr>
          <w:rFonts w:ascii="Times New Roman" w:eastAsia="Times New Roman" w:hAnsi="Times New Roman" w:cs="Times New Roman"/>
          <w:kern w:val="0"/>
          <w:lang w:val="en-NG" w:eastAsia="en-GB"/>
          <w14:ligatures w14:val="none"/>
        </w:rPr>
        <w:t xml:space="preserve">Empirical studies further associate FinTech adoption with improved financial inclusion and enhanced financial behaviour, particularly within developing economies. </w:t>
      </w:r>
      <w:proofErr w:type="spellStart"/>
      <w:r w:rsidRPr="00D765CC">
        <w:rPr>
          <w:rFonts w:ascii="Times New Roman" w:eastAsia="Times New Roman" w:hAnsi="Times New Roman" w:cs="Times New Roman"/>
          <w:kern w:val="0"/>
          <w:lang w:val="en-NG" w:eastAsia="en-GB"/>
          <w14:ligatures w14:val="none"/>
        </w:rPr>
        <w:t>Ozili</w:t>
      </w:r>
      <w:proofErr w:type="spellEnd"/>
      <w:r w:rsidRPr="00D765CC">
        <w:rPr>
          <w:rFonts w:ascii="Times New Roman" w:eastAsia="Times New Roman" w:hAnsi="Times New Roman" w:cs="Times New Roman"/>
          <w:kern w:val="0"/>
          <w:lang w:val="en-NG" w:eastAsia="en-GB"/>
          <w14:ligatures w14:val="none"/>
        </w:rPr>
        <w:t xml:space="preserve"> (2023) demonstrates that FinTech development in Africa has expanded access to financial services and strengthened financial participation among underserved populations and small businesses. Within Nigeria, the Central Bank of Nigeria (2023) reports that digital financial services, particularly mobile banking and digital lending systems, have improved transaction efficiency and expanded access to financial services. Similarly, reports by McKinsey &amp; Company (2024) identify Nigeria as one of Africa’s fastest-growing FinTech ecosystems due to increasing adoption of digital financial platforms and sustained investment in financial innovation.</w:t>
      </w:r>
    </w:p>
    <w:p w14:paraId="7B062B94" w14:textId="77777777" w:rsidR="00D765CC" w:rsidRPr="00D765CC" w:rsidRDefault="00D765CC" w:rsidP="002076B0">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D765CC">
        <w:rPr>
          <w:rFonts w:ascii="Times New Roman" w:eastAsia="Times New Roman" w:hAnsi="Times New Roman" w:cs="Times New Roman"/>
          <w:kern w:val="0"/>
          <w:lang w:val="en-NG" w:eastAsia="en-GB"/>
          <w14:ligatures w14:val="none"/>
        </w:rPr>
        <w:t>Beyond financial accessibility, recent empirical literature increasingly emphasizes the convergence between AI and FinTech within digital financial ecosystems. Existing evidence suggests that the integration of AI into FinTech platforms enhances predictive analytics, customer personalization, operational efficiency, and financial intermediation through intelligent automation and scalable digital infrastructure. Chen et al. (2021) demonstrate that AI capabilities significantly improve the performance and adaptability of FinTech systems by strengthening predictive intelligence and data processing capability. Similarly, Frost et al. (2021) argue that the integration of AI into digital financial platforms improves financial intermediation by combining analytical intelligence with scalable digital delivery mechanisms. Philippon (2020) further contends that AI and FinTech collectively reduce the cost of financial intermediation while improving market efficiency and decision quality.</w:t>
      </w:r>
    </w:p>
    <w:p w14:paraId="36C2B451" w14:textId="77777777" w:rsidR="00D765CC" w:rsidRPr="00D765CC" w:rsidRDefault="00D765CC" w:rsidP="002076B0">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D765CC">
        <w:rPr>
          <w:rFonts w:ascii="Times New Roman" w:eastAsia="Times New Roman" w:hAnsi="Times New Roman" w:cs="Times New Roman"/>
          <w:kern w:val="0"/>
          <w:lang w:val="en-NG" w:eastAsia="en-GB"/>
          <w14:ligatures w14:val="none"/>
        </w:rPr>
        <w:t xml:space="preserve">Although these studies provide substantial evidence regarding the independent and complementary roles of AI and FinTech, important empirical gaps remain within the literature. Existing studies predominantly examine AI and FinTech as separate determinants of operational efficiency, financial inclusion, or institutional performance, with relatively limited emphasis on the </w:t>
      </w:r>
      <w:r w:rsidRPr="00D765CC">
        <w:rPr>
          <w:rFonts w:ascii="Times New Roman" w:eastAsia="Times New Roman" w:hAnsi="Times New Roman" w:cs="Times New Roman"/>
          <w:kern w:val="0"/>
          <w:lang w:val="en-NG" w:eastAsia="en-GB"/>
          <w14:ligatures w14:val="none"/>
        </w:rPr>
        <w:lastRenderedPageBreak/>
        <w:t>transmission mechanisms linking both technologies to financial decision-making outcomes. More importantly, empirical evidence from developing economies, particularly Nigeria, remains limited. Most Nigerian studies focus primarily on FinTech adoption and banking service delivery without explicitly examining how FinTech operationalizes AI-driven capabilities into practical financial decision outcomes.</w:t>
      </w:r>
    </w:p>
    <w:p w14:paraId="668C6276" w14:textId="77777777" w:rsidR="00D765CC" w:rsidRPr="00D765CC" w:rsidRDefault="00D765CC" w:rsidP="002076B0">
      <w:pPr>
        <w:spacing w:before="100" w:beforeAutospacing="1" w:after="100" w:afterAutospacing="1" w:line="240" w:lineRule="auto"/>
        <w:jc w:val="both"/>
        <w:rPr>
          <w:rFonts w:ascii="Times New Roman" w:eastAsia="Times New Roman" w:hAnsi="Times New Roman" w:cs="Times New Roman"/>
          <w:kern w:val="0"/>
          <w:lang w:val="en-NG" w:eastAsia="en-GB"/>
          <w14:ligatures w14:val="none"/>
        </w:rPr>
      </w:pPr>
      <w:r w:rsidRPr="00D765CC">
        <w:rPr>
          <w:rFonts w:ascii="Times New Roman" w:eastAsia="Times New Roman" w:hAnsi="Times New Roman" w:cs="Times New Roman"/>
          <w:kern w:val="0"/>
          <w:lang w:val="en-NG" w:eastAsia="en-GB"/>
          <w14:ligatures w14:val="none"/>
        </w:rPr>
        <w:t>Consequently, there remains insufficient empirical understanding of the mediating role of FinTech in the relationship between AI and financial decision-making, particularly within emerging financial systems characterized by infrastructural limitations and evolving digital ecosystems. This unresolved empirical gap provides the justification for the present study and underscores its contribution to the growing literature on digital finance, intelligent financial systems, and technology-enabled financial decision-making.</w:t>
      </w:r>
    </w:p>
    <w:p w14:paraId="11BC695B" w14:textId="6A9B6685" w:rsidR="003C495D" w:rsidRDefault="005429E9" w:rsidP="00760B0C">
      <w:pPr>
        <w:spacing w:before="120" w:after="240" w:line="240" w:lineRule="auto"/>
        <w:jc w:val="both"/>
        <w:rPr>
          <w:rFonts w:ascii="Times New Roman" w:eastAsia="Times New Roman" w:hAnsi="Times New Roman" w:cs="Times New Roman"/>
          <w:b/>
          <w:bCs/>
          <w:kern w:val="0"/>
          <w:lang w:eastAsia="en-GB"/>
          <w14:ligatures w14:val="none"/>
        </w:rPr>
      </w:pPr>
      <w:r w:rsidRPr="00D765CC">
        <w:rPr>
          <w:rFonts w:ascii="Times New Roman" w:eastAsia="Times New Roman" w:hAnsi="Times New Roman" w:cs="Times New Roman"/>
          <w:b/>
          <w:bCs/>
          <w:kern w:val="0"/>
          <w:lang w:eastAsia="en-GB"/>
          <w14:ligatures w14:val="none"/>
        </w:rPr>
        <w:t>METHODOLOGY</w:t>
      </w:r>
    </w:p>
    <w:p w14:paraId="2AC4B9A1" w14:textId="77777777" w:rsidR="00760B0C" w:rsidRPr="00760B0C" w:rsidRDefault="00760B0C" w:rsidP="00760B0C">
      <w:pPr>
        <w:spacing w:after="240"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This study adopts a quantitative research approach based on positivist research philosophy and a deductive research design. A cross-sectional survey design is employed to examine the relationships among Artificial Intelligence (AI), Financial Technology (FinTech), and financial decision-making in Nigeria.</w:t>
      </w:r>
    </w:p>
    <w:p w14:paraId="58122CB4" w14:textId="77777777" w:rsidR="00760B0C" w:rsidRPr="00760B0C" w:rsidRDefault="00760B0C" w:rsidP="00760B0C">
      <w:pPr>
        <w:spacing w:after="240"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The target population comprises banking professionals, FinTech practitioners, SME operators, and digitally active financial service users with practical exposure to AI-driven and FinTech-enabled financial systems. A multi-stage sampling technique involving stratified and purposive sampling is adopted to ensure representation across major financial hubs in Nigeria, including Lagos, Abuja, Port Harcourt, and Kano.</w:t>
      </w:r>
    </w:p>
    <w:p w14:paraId="4C49DFB7" w14:textId="77777777" w:rsidR="00760B0C" w:rsidRPr="00760B0C" w:rsidRDefault="00760B0C" w:rsidP="00760B0C">
      <w:pPr>
        <w:spacing w:after="240"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Using Cochran’s (1977) formula, a minimum sample size of 384 respondents is obtained. However, following Hair et al. (2022), 500 questionnaires are distributed to improve statistical power for structural equation modelling and mediation analysis. A total of 394 valid responses are retrieved and used for the analysis, representing a response rate of 78.8%.</w:t>
      </w:r>
    </w:p>
    <w:p w14:paraId="49183FA7" w14:textId="77777777" w:rsidR="00760B0C" w:rsidRPr="00760B0C" w:rsidRDefault="00760B0C" w:rsidP="00760B0C">
      <w:pPr>
        <w:spacing w:after="240"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 xml:space="preserve">Data are collected through a structured questionnaire measured on a five-point Likert scale. Measurement items for AI, FinTech, and financial decision-making are adapted from validated scales in previous studies. Reliability and validity are assessed using Cronbach’s alpha, Composite Reliability (CR), Average Variance Extracted (AVE), the </w:t>
      </w:r>
      <w:proofErr w:type="spellStart"/>
      <w:r w:rsidRPr="00760B0C">
        <w:rPr>
          <w:rFonts w:ascii="Times New Roman" w:eastAsia="Times New Roman" w:hAnsi="Times New Roman" w:cs="Times New Roman"/>
          <w:kern w:val="0"/>
          <w:lang w:val="en-NG" w:eastAsia="en-GB"/>
          <w14:ligatures w14:val="none"/>
        </w:rPr>
        <w:t>Fornell</w:t>
      </w:r>
      <w:proofErr w:type="spellEnd"/>
      <w:r w:rsidRPr="00760B0C">
        <w:rPr>
          <w:rFonts w:ascii="Times New Roman" w:eastAsia="Times New Roman" w:hAnsi="Times New Roman" w:cs="Times New Roman"/>
          <w:kern w:val="0"/>
          <w:lang w:val="en-NG" w:eastAsia="en-GB"/>
          <w14:ligatures w14:val="none"/>
        </w:rPr>
        <w:t xml:space="preserve">–Larcker criterion, and the </w:t>
      </w:r>
      <w:proofErr w:type="spellStart"/>
      <w:r w:rsidRPr="00760B0C">
        <w:rPr>
          <w:rFonts w:ascii="Times New Roman" w:eastAsia="Times New Roman" w:hAnsi="Times New Roman" w:cs="Times New Roman"/>
          <w:kern w:val="0"/>
          <w:lang w:val="en-NG" w:eastAsia="en-GB"/>
          <w14:ligatures w14:val="none"/>
        </w:rPr>
        <w:t>Heterotrait</w:t>
      </w:r>
      <w:proofErr w:type="spellEnd"/>
      <w:r w:rsidRPr="00760B0C">
        <w:rPr>
          <w:rFonts w:ascii="Times New Roman" w:eastAsia="Times New Roman" w:hAnsi="Times New Roman" w:cs="Times New Roman"/>
          <w:kern w:val="0"/>
          <w:lang w:val="en-NG" w:eastAsia="en-GB"/>
          <w14:ligatures w14:val="none"/>
        </w:rPr>
        <w:t>–</w:t>
      </w:r>
      <w:proofErr w:type="spellStart"/>
      <w:r w:rsidRPr="00760B0C">
        <w:rPr>
          <w:rFonts w:ascii="Times New Roman" w:eastAsia="Times New Roman" w:hAnsi="Times New Roman" w:cs="Times New Roman"/>
          <w:kern w:val="0"/>
          <w:lang w:val="en-NG" w:eastAsia="en-GB"/>
          <w14:ligatures w14:val="none"/>
        </w:rPr>
        <w:t>Monotrait</w:t>
      </w:r>
      <w:proofErr w:type="spellEnd"/>
      <w:r w:rsidRPr="00760B0C">
        <w:rPr>
          <w:rFonts w:ascii="Times New Roman" w:eastAsia="Times New Roman" w:hAnsi="Times New Roman" w:cs="Times New Roman"/>
          <w:kern w:val="0"/>
          <w:lang w:val="en-NG" w:eastAsia="en-GB"/>
          <w14:ligatures w14:val="none"/>
        </w:rPr>
        <w:t xml:space="preserve"> ratio (HTMT).</w:t>
      </w:r>
    </w:p>
    <w:p w14:paraId="7E8D0F91" w14:textId="77777777" w:rsidR="00760B0C" w:rsidRDefault="00760B0C" w:rsidP="00760B0C">
      <w:pPr>
        <w:spacing w:after="240" w:line="240" w:lineRule="auto"/>
        <w:jc w:val="both"/>
        <w:rPr>
          <w:rFonts w:ascii="Times New Roman" w:eastAsia="Times New Roman" w:hAnsi="Times New Roman" w:cs="Times New Roman"/>
          <w:kern w:val="0"/>
          <w:lang w:val="en-NG" w:eastAsia="en-GB"/>
          <w14:ligatures w14:val="none"/>
        </w:rPr>
      </w:pPr>
      <w:r w:rsidRPr="00760B0C">
        <w:rPr>
          <w:rFonts w:ascii="Times New Roman" w:eastAsia="Times New Roman" w:hAnsi="Times New Roman" w:cs="Times New Roman"/>
          <w:kern w:val="0"/>
          <w:lang w:val="en-NG" w:eastAsia="en-GB"/>
          <w14:ligatures w14:val="none"/>
        </w:rPr>
        <w:t>Data analysis is conducted using Partial Least Squares Structural Equation Modelling (PLS-SEM), which is suitable for prediction-oriented models involving latent constructs and mediation analysis. The analysis involves assessment of the measurement model and structural model using path coefficients, significance levels, coefficient of determination (R²), and bootstrapping procedures for indirect effects. Ethical standards relating to voluntary participation, anonymity, confidentiality, and academic use of data are strictly maintained throughout the study.</w:t>
      </w:r>
    </w:p>
    <w:p w14:paraId="1F4B0827" w14:textId="77777777" w:rsidR="00760B0C" w:rsidRDefault="00760B0C">
      <w:pP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br w:type="page"/>
      </w:r>
    </w:p>
    <w:p w14:paraId="538594EA" w14:textId="4B914684" w:rsidR="00C63F24" w:rsidRPr="00760B0C" w:rsidRDefault="00C63F24" w:rsidP="003B4278">
      <w:pPr>
        <w:spacing w:after="0" w:line="240" w:lineRule="auto"/>
        <w:jc w:val="both"/>
        <w:rPr>
          <w:rFonts w:ascii="Times New Roman" w:eastAsia="Times New Roman" w:hAnsi="Times New Roman" w:cs="Times New Roman"/>
          <w:kern w:val="0"/>
          <w:lang w:val="en-NG" w:eastAsia="en-GB"/>
          <w14:ligatures w14:val="none"/>
        </w:rPr>
      </w:pPr>
      <w:r w:rsidRPr="003B4278">
        <w:rPr>
          <w:rFonts w:ascii="Times New Roman" w:eastAsia="Times New Roman" w:hAnsi="Times New Roman" w:cs="Times New Roman"/>
          <w:b/>
          <w:bCs/>
          <w:kern w:val="0"/>
          <w:lang w:eastAsia="en-GB"/>
          <w14:ligatures w14:val="none"/>
        </w:rPr>
        <w:lastRenderedPageBreak/>
        <w:t>DATA ANALYSIS AND INTERPRETATION</w:t>
      </w:r>
    </w:p>
    <w:p w14:paraId="772DB4EA" w14:textId="77777777" w:rsidR="00E80871" w:rsidRDefault="008B00CC" w:rsidP="003B4278">
      <w:pPr>
        <w:pStyle w:val="NormalWeb"/>
        <w:spacing w:before="0" w:beforeAutospacing="0" w:after="0" w:afterAutospacing="0"/>
        <w:jc w:val="both"/>
      </w:pPr>
      <w:r>
        <w:t>The empirical findings from a two-stage PLS-SEM process are presented in this section: (</w:t>
      </w:r>
      <w:proofErr w:type="spellStart"/>
      <w:r>
        <w:t>i</w:t>
      </w:r>
      <w:proofErr w:type="spellEnd"/>
      <w:r>
        <w:t>) measurement model assessment and (ii) structural model evaluation. The analysis makes sense in relation to the goals and hypotheses of the investigation.</w:t>
      </w:r>
    </w:p>
    <w:p w14:paraId="62B9965A" w14:textId="77777777" w:rsidR="003B4278" w:rsidRDefault="003B4278" w:rsidP="003B4278">
      <w:pPr>
        <w:pStyle w:val="NormalWeb"/>
        <w:spacing w:before="0" w:beforeAutospacing="0" w:after="0" w:afterAutospacing="0" w:line="360" w:lineRule="auto"/>
        <w:jc w:val="both"/>
        <w:rPr>
          <w:b/>
          <w:bCs/>
          <w:lang w:val="en-NG"/>
        </w:rPr>
      </w:pPr>
    </w:p>
    <w:p w14:paraId="018F5567" w14:textId="2C054F22" w:rsidR="00E80871" w:rsidRPr="00E80871" w:rsidRDefault="00E80871" w:rsidP="003B4278">
      <w:pPr>
        <w:pStyle w:val="NormalWeb"/>
        <w:spacing w:before="0" w:beforeAutospacing="0" w:after="0" w:afterAutospacing="0" w:line="360" w:lineRule="auto"/>
        <w:jc w:val="both"/>
        <w:rPr>
          <w:b/>
          <w:bCs/>
          <w:lang w:val="en-NG"/>
        </w:rPr>
      </w:pPr>
      <w:r w:rsidRPr="00E80871">
        <w:rPr>
          <w:b/>
          <w:bCs/>
          <w:lang w:val="en-NG"/>
        </w:rPr>
        <w:t>4.1 Descriptive Statistics</w:t>
      </w:r>
    </w:p>
    <w:p w14:paraId="0CB9B034" w14:textId="77777777" w:rsidR="00A57A70" w:rsidRDefault="00E80871" w:rsidP="00E270A5">
      <w:pPr>
        <w:pStyle w:val="NormalWeb"/>
        <w:spacing w:before="0" w:beforeAutospacing="0" w:after="0" w:afterAutospacing="0"/>
        <w:jc w:val="both"/>
        <w:rPr>
          <w:b/>
          <w:bCs/>
          <w:lang w:val="en-NG"/>
        </w:rPr>
      </w:pPr>
      <w:r w:rsidRPr="00E80871">
        <w:rPr>
          <w:b/>
          <w:bCs/>
          <w:lang w:val="en-NG"/>
        </w:rPr>
        <w:t>Table 1</w:t>
      </w:r>
    </w:p>
    <w:p w14:paraId="17A73AE7" w14:textId="3CD9DB2A" w:rsidR="00E80871" w:rsidRPr="00E80871" w:rsidRDefault="00E80871" w:rsidP="00E270A5">
      <w:pPr>
        <w:pStyle w:val="NormalWeb"/>
        <w:spacing w:before="0" w:beforeAutospacing="0" w:after="0" w:afterAutospacing="0"/>
        <w:jc w:val="both"/>
        <w:rPr>
          <w:lang w:val="en-NG"/>
        </w:rPr>
      </w:pPr>
      <w:r w:rsidRPr="00E80871">
        <w:rPr>
          <w:b/>
          <w:bCs/>
          <w:lang w:val="en-NG"/>
        </w:rPr>
        <w:t>Descriptive Statistics of Key Constructs</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3686"/>
        <w:gridCol w:w="850"/>
        <w:gridCol w:w="1276"/>
        <w:gridCol w:w="3544"/>
      </w:tblGrid>
      <w:tr w:rsidR="00E80871" w:rsidRPr="00E80871" w14:paraId="4AFE0733" w14:textId="77777777" w:rsidTr="00E270A5">
        <w:trPr>
          <w:tblHeader/>
          <w:tblCellSpacing w:w="15" w:type="dxa"/>
        </w:trPr>
        <w:tc>
          <w:tcPr>
            <w:tcW w:w="3641" w:type="dxa"/>
            <w:tcBorders>
              <w:top w:val="single" w:sz="12" w:space="0" w:color="auto"/>
              <w:bottom w:val="single" w:sz="12" w:space="0" w:color="auto"/>
            </w:tcBorders>
            <w:vAlign w:val="center"/>
            <w:hideMark/>
          </w:tcPr>
          <w:p w14:paraId="058B6918"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Variable</w:t>
            </w:r>
          </w:p>
        </w:tc>
        <w:tc>
          <w:tcPr>
            <w:tcW w:w="820" w:type="dxa"/>
            <w:tcBorders>
              <w:top w:val="single" w:sz="12" w:space="0" w:color="auto"/>
              <w:bottom w:val="single" w:sz="12" w:space="0" w:color="auto"/>
            </w:tcBorders>
            <w:vAlign w:val="center"/>
            <w:hideMark/>
          </w:tcPr>
          <w:p w14:paraId="504B6189"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Mean</w:t>
            </w:r>
          </w:p>
        </w:tc>
        <w:tc>
          <w:tcPr>
            <w:tcW w:w="1246" w:type="dxa"/>
            <w:tcBorders>
              <w:top w:val="single" w:sz="12" w:space="0" w:color="auto"/>
              <w:bottom w:val="single" w:sz="12" w:space="0" w:color="auto"/>
            </w:tcBorders>
            <w:vAlign w:val="center"/>
            <w:hideMark/>
          </w:tcPr>
          <w:p w14:paraId="76E997DD"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Standard Deviation</w:t>
            </w:r>
          </w:p>
        </w:tc>
        <w:tc>
          <w:tcPr>
            <w:tcW w:w="3499" w:type="dxa"/>
            <w:tcBorders>
              <w:top w:val="single" w:sz="12" w:space="0" w:color="auto"/>
              <w:bottom w:val="single" w:sz="12" w:space="0" w:color="auto"/>
            </w:tcBorders>
            <w:vAlign w:val="center"/>
            <w:hideMark/>
          </w:tcPr>
          <w:p w14:paraId="7A73E3FB"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Interpretation</w:t>
            </w:r>
          </w:p>
        </w:tc>
      </w:tr>
      <w:tr w:rsidR="00E80871" w:rsidRPr="00E80871" w14:paraId="202A607F" w14:textId="77777777" w:rsidTr="00E270A5">
        <w:trPr>
          <w:tblCellSpacing w:w="15" w:type="dxa"/>
        </w:trPr>
        <w:tc>
          <w:tcPr>
            <w:tcW w:w="3641" w:type="dxa"/>
            <w:vAlign w:val="center"/>
            <w:hideMark/>
          </w:tcPr>
          <w:p w14:paraId="0E67027A" w14:textId="77777777" w:rsidR="00E80871" w:rsidRPr="00E80871" w:rsidRDefault="00E80871" w:rsidP="00E270A5">
            <w:pPr>
              <w:pStyle w:val="NormalWeb"/>
              <w:spacing w:before="0" w:beforeAutospacing="0" w:after="0" w:afterAutospacing="0"/>
              <w:jc w:val="both"/>
              <w:rPr>
                <w:lang w:val="en-NG"/>
              </w:rPr>
            </w:pPr>
            <w:r w:rsidRPr="00E80871">
              <w:rPr>
                <w:lang w:val="en-NG"/>
              </w:rPr>
              <w:t>Artificial Intelligence (AI)</w:t>
            </w:r>
          </w:p>
        </w:tc>
        <w:tc>
          <w:tcPr>
            <w:tcW w:w="820" w:type="dxa"/>
            <w:vAlign w:val="center"/>
            <w:hideMark/>
          </w:tcPr>
          <w:p w14:paraId="20D6B8B8" w14:textId="77777777" w:rsidR="00E80871" w:rsidRPr="00E80871" w:rsidRDefault="00E80871" w:rsidP="00E270A5">
            <w:pPr>
              <w:pStyle w:val="NormalWeb"/>
              <w:spacing w:before="0" w:beforeAutospacing="0" w:after="0" w:afterAutospacing="0"/>
              <w:jc w:val="both"/>
              <w:rPr>
                <w:lang w:val="en-NG"/>
              </w:rPr>
            </w:pPr>
            <w:r w:rsidRPr="00E80871">
              <w:rPr>
                <w:lang w:val="en-NG"/>
              </w:rPr>
              <w:t>3.85</w:t>
            </w:r>
          </w:p>
        </w:tc>
        <w:tc>
          <w:tcPr>
            <w:tcW w:w="1246" w:type="dxa"/>
            <w:vAlign w:val="center"/>
            <w:hideMark/>
          </w:tcPr>
          <w:p w14:paraId="68793FBC" w14:textId="77777777" w:rsidR="00E80871" w:rsidRPr="00E80871" w:rsidRDefault="00E80871" w:rsidP="00E270A5">
            <w:pPr>
              <w:pStyle w:val="NormalWeb"/>
              <w:spacing w:before="0" w:beforeAutospacing="0" w:after="0" w:afterAutospacing="0"/>
              <w:jc w:val="both"/>
              <w:rPr>
                <w:lang w:val="en-NG"/>
              </w:rPr>
            </w:pPr>
            <w:r w:rsidRPr="00E80871">
              <w:rPr>
                <w:lang w:val="en-NG"/>
              </w:rPr>
              <w:t>0.74</w:t>
            </w:r>
          </w:p>
        </w:tc>
        <w:tc>
          <w:tcPr>
            <w:tcW w:w="3499" w:type="dxa"/>
            <w:vAlign w:val="center"/>
            <w:hideMark/>
          </w:tcPr>
          <w:p w14:paraId="0E8F07C9" w14:textId="77777777" w:rsidR="00E80871" w:rsidRPr="00E80871" w:rsidRDefault="00E80871" w:rsidP="00E270A5">
            <w:pPr>
              <w:pStyle w:val="NormalWeb"/>
              <w:spacing w:before="0" w:beforeAutospacing="0" w:after="0" w:afterAutospacing="0"/>
              <w:jc w:val="both"/>
              <w:rPr>
                <w:lang w:val="en-NG"/>
              </w:rPr>
            </w:pPr>
            <w:r w:rsidRPr="00E80871">
              <w:rPr>
                <w:lang w:val="en-NG"/>
              </w:rPr>
              <w:t>High adoption and positive perception</w:t>
            </w:r>
          </w:p>
        </w:tc>
      </w:tr>
      <w:tr w:rsidR="00E80871" w:rsidRPr="00E80871" w14:paraId="5C8A3BD6" w14:textId="77777777" w:rsidTr="00E270A5">
        <w:trPr>
          <w:tblCellSpacing w:w="15" w:type="dxa"/>
        </w:trPr>
        <w:tc>
          <w:tcPr>
            <w:tcW w:w="3641" w:type="dxa"/>
            <w:vAlign w:val="center"/>
            <w:hideMark/>
          </w:tcPr>
          <w:p w14:paraId="14C49DA3" w14:textId="77777777" w:rsidR="00E80871" w:rsidRPr="00E80871" w:rsidRDefault="00E80871" w:rsidP="00E270A5">
            <w:pPr>
              <w:pStyle w:val="NormalWeb"/>
              <w:spacing w:before="0" w:beforeAutospacing="0" w:after="0" w:afterAutospacing="0"/>
              <w:jc w:val="both"/>
              <w:rPr>
                <w:lang w:val="en-NG"/>
              </w:rPr>
            </w:pPr>
            <w:r w:rsidRPr="00E80871">
              <w:rPr>
                <w:lang w:val="en-NG"/>
              </w:rPr>
              <w:t>Financial Technology (FinTech)</w:t>
            </w:r>
          </w:p>
        </w:tc>
        <w:tc>
          <w:tcPr>
            <w:tcW w:w="820" w:type="dxa"/>
            <w:vAlign w:val="center"/>
            <w:hideMark/>
          </w:tcPr>
          <w:p w14:paraId="55E04437" w14:textId="77777777" w:rsidR="00E80871" w:rsidRPr="00E80871" w:rsidRDefault="00E80871" w:rsidP="00E270A5">
            <w:pPr>
              <w:pStyle w:val="NormalWeb"/>
              <w:spacing w:before="0" w:beforeAutospacing="0" w:after="0" w:afterAutospacing="0"/>
              <w:jc w:val="both"/>
              <w:rPr>
                <w:lang w:val="en-NG"/>
              </w:rPr>
            </w:pPr>
            <w:r w:rsidRPr="00E80871">
              <w:rPr>
                <w:lang w:val="en-NG"/>
              </w:rPr>
              <w:t>4.02</w:t>
            </w:r>
          </w:p>
        </w:tc>
        <w:tc>
          <w:tcPr>
            <w:tcW w:w="1246" w:type="dxa"/>
            <w:vAlign w:val="center"/>
            <w:hideMark/>
          </w:tcPr>
          <w:p w14:paraId="17A5CF32" w14:textId="77777777" w:rsidR="00E80871" w:rsidRPr="00E80871" w:rsidRDefault="00E80871" w:rsidP="00E270A5">
            <w:pPr>
              <w:pStyle w:val="NormalWeb"/>
              <w:spacing w:before="0" w:beforeAutospacing="0" w:after="0" w:afterAutospacing="0"/>
              <w:jc w:val="both"/>
              <w:rPr>
                <w:lang w:val="en-NG"/>
              </w:rPr>
            </w:pPr>
            <w:r w:rsidRPr="00E80871">
              <w:rPr>
                <w:lang w:val="en-NG"/>
              </w:rPr>
              <w:t>0.69</w:t>
            </w:r>
          </w:p>
        </w:tc>
        <w:tc>
          <w:tcPr>
            <w:tcW w:w="3499" w:type="dxa"/>
            <w:vAlign w:val="center"/>
            <w:hideMark/>
          </w:tcPr>
          <w:p w14:paraId="4F0A6324" w14:textId="77777777" w:rsidR="00E80871" w:rsidRPr="00E80871" w:rsidRDefault="00E80871" w:rsidP="00E270A5">
            <w:pPr>
              <w:pStyle w:val="NormalWeb"/>
              <w:spacing w:before="0" w:beforeAutospacing="0" w:after="0" w:afterAutospacing="0"/>
              <w:jc w:val="both"/>
              <w:rPr>
                <w:lang w:val="en-NG"/>
              </w:rPr>
            </w:pPr>
            <w:r w:rsidRPr="00E80871">
              <w:rPr>
                <w:lang w:val="en-NG"/>
              </w:rPr>
              <w:t>Very high utilisation</w:t>
            </w:r>
          </w:p>
        </w:tc>
      </w:tr>
      <w:tr w:rsidR="00E80871" w:rsidRPr="00E80871" w14:paraId="3131192C" w14:textId="77777777" w:rsidTr="00E270A5">
        <w:trPr>
          <w:tblCellSpacing w:w="15" w:type="dxa"/>
        </w:trPr>
        <w:tc>
          <w:tcPr>
            <w:tcW w:w="3641" w:type="dxa"/>
            <w:tcBorders>
              <w:bottom w:val="single" w:sz="12" w:space="0" w:color="auto"/>
            </w:tcBorders>
            <w:vAlign w:val="center"/>
            <w:hideMark/>
          </w:tcPr>
          <w:p w14:paraId="3E265FD4" w14:textId="77777777" w:rsidR="00E80871" w:rsidRPr="00E80871" w:rsidRDefault="00E80871" w:rsidP="00E270A5">
            <w:pPr>
              <w:pStyle w:val="NormalWeb"/>
              <w:spacing w:before="0" w:beforeAutospacing="0" w:after="0" w:afterAutospacing="0"/>
              <w:jc w:val="both"/>
              <w:rPr>
                <w:lang w:val="en-NG"/>
              </w:rPr>
            </w:pPr>
            <w:r w:rsidRPr="00E80871">
              <w:rPr>
                <w:lang w:val="en-NG"/>
              </w:rPr>
              <w:t>Financial Decision-Making (FDM)</w:t>
            </w:r>
          </w:p>
        </w:tc>
        <w:tc>
          <w:tcPr>
            <w:tcW w:w="820" w:type="dxa"/>
            <w:tcBorders>
              <w:bottom w:val="single" w:sz="12" w:space="0" w:color="auto"/>
            </w:tcBorders>
            <w:vAlign w:val="center"/>
            <w:hideMark/>
          </w:tcPr>
          <w:p w14:paraId="61370EBF" w14:textId="77777777" w:rsidR="00E80871" w:rsidRPr="00E80871" w:rsidRDefault="00E80871" w:rsidP="00E270A5">
            <w:pPr>
              <w:pStyle w:val="NormalWeb"/>
              <w:spacing w:before="0" w:beforeAutospacing="0" w:after="0" w:afterAutospacing="0"/>
              <w:jc w:val="both"/>
              <w:rPr>
                <w:lang w:val="en-NG"/>
              </w:rPr>
            </w:pPr>
            <w:r w:rsidRPr="00E80871">
              <w:rPr>
                <w:lang w:val="en-NG"/>
              </w:rPr>
              <w:t>3.78</w:t>
            </w:r>
          </w:p>
        </w:tc>
        <w:tc>
          <w:tcPr>
            <w:tcW w:w="1246" w:type="dxa"/>
            <w:tcBorders>
              <w:bottom w:val="single" w:sz="12" w:space="0" w:color="auto"/>
            </w:tcBorders>
            <w:vAlign w:val="center"/>
            <w:hideMark/>
          </w:tcPr>
          <w:p w14:paraId="183DA136" w14:textId="77777777" w:rsidR="00E80871" w:rsidRPr="00E80871" w:rsidRDefault="00E80871" w:rsidP="00E270A5">
            <w:pPr>
              <w:pStyle w:val="NormalWeb"/>
              <w:spacing w:before="0" w:beforeAutospacing="0" w:after="0" w:afterAutospacing="0"/>
              <w:jc w:val="both"/>
              <w:rPr>
                <w:lang w:val="en-NG"/>
              </w:rPr>
            </w:pPr>
            <w:r w:rsidRPr="00E80871">
              <w:rPr>
                <w:lang w:val="en-NG"/>
              </w:rPr>
              <w:t>0.72</w:t>
            </w:r>
          </w:p>
        </w:tc>
        <w:tc>
          <w:tcPr>
            <w:tcW w:w="3499" w:type="dxa"/>
            <w:tcBorders>
              <w:bottom w:val="single" w:sz="12" w:space="0" w:color="auto"/>
            </w:tcBorders>
            <w:vAlign w:val="center"/>
            <w:hideMark/>
          </w:tcPr>
          <w:p w14:paraId="0F5E56B5" w14:textId="77777777" w:rsidR="00E80871" w:rsidRPr="00E80871" w:rsidRDefault="00E80871" w:rsidP="00E270A5">
            <w:pPr>
              <w:pStyle w:val="NormalWeb"/>
              <w:spacing w:before="0" w:beforeAutospacing="0" w:after="0" w:afterAutospacing="0"/>
              <w:jc w:val="both"/>
              <w:rPr>
                <w:lang w:val="en-NG"/>
              </w:rPr>
            </w:pPr>
            <w:r w:rsidRPr="00E80871">
              <w:rPr>
                <w:lang w:val="en-NG"/>
              </w:rPr>
              <w:t>Moderately high efficiency</w:t>
            </w:r>
          </w:p>
        </w:tc>
      </w:tr>
    </w:tbl>
    <w:p w14:paraId="439F8866" w14:textId="77777777" w:rsidR="00E80871" w:rsidRPr="00E80871" w:rsidRDefault="00E80871" w:rsidP="00A57A70">
      <w:pPr>
        <w:pStyle w:val="NormalWeb"/>
        <w:jc w:val="both"/>
        <w:rPr>
          <w:lang w:val="en-NG"/>
        </w:rPr>
      </w:pPr>
      <w:r w:rsidRPr="00E80871">
        <w:rPr>
          <w:lang w:val="en-NG"/>
        </w:rPr>
        <w:t>Table 1 presents the descriptive statistics of the key constructs examined in the study. The findings reveal a relatively high level of adoption and positive perception of Artificial Intelligence (AI) among the respondents, as reflected in the mean score of 3.85. This suggests that AI-driven technologies are increasingly integrated into financial activities and decision-support systems within Nigeria’s financial ecosystem.</w:t>
      </w:r>
    </w:p>
    <w:p w14:paraId="5A407B9B" w14:textId="77777777" w:rsidR="00E80871" w:rsidRPr="00E80871" w:rsidRDefault="00E80871" w:rsidP="00A57A70">
      <w:pPr>
        <w:pStyle w:val="NormalWeb"/>
        <w:jc w:val="both"/>
        <w:rPr>
          <w:lang w:val="en-NG"/>
        </w:rPr>
      </w:pPr>
      <w:r w:rsidRPr="00E80871">
        <w:rPr>
          <w:lang w:val="en-NG"/>
        </w:rPr>
        <w:t>Financial Technology (FinTech) recorded the highest mean score (M = 4.02), indicating very high utilisation of digital financial platforms and services among the respondents. This finding implies that FinTech innovations such as digital payments, mobile banking, and online financial platforms have become deeply embedded within Nigeria’s evolving digital financial environment.</w:t>
      </w:r>
    </w:p>
    <w:p w14:paraId="76D2DF3E" w14:textId="77777777" w:rsidR="00E80871" w:rsidRPr="00E80871" w:rsidRDefault="00E80871" w:rsidP="003B4278">
      <w:pPr>
        <w:pStyle w:val="NormalWeb"/>
        <w:jc w:val="both"/>
        <w:rPr>
          <w:lang w:val="en-NG"/>
        </w:rPr>
      </w:pPr>
      <w:r w:rsidRPr="00E80871">
        <w:rPr>
          <w:lang w:val="en-NG"/>
        </w:rPr>
        <w:t>Financial Decision-Making (FDM) recorded a mean score of 3.78, indicating a moderately high level of technology-enabled financial decision efficiency. However, the slightly lower mean value compared to FinTech utilisation suggests that widespread adoption of digital financial technologies does not automatically translate into proportionate improvements in financial decision outcomes. Furthermore, the relatively close standard deviation values across the constructs indicate consistency in respondents’ perceptions and stability in the observed responses.</w:t>
      </w:r>
    </w:p>
    <w:p w14:paraId="1BE1F0C9" w14:textId="1A65F388" w:rsidR="00E80871" w:rsidRPr="00E80871" w:rsidRDefault="00E80871" w:rsidP="00986986">
      <w:pPr>
        <w:rPr>
          <w:rFonts w:ascii="Times New Roman" w:eastAsia="Times New Roman" w:hAnsi="Times New Roman" w:cs="Times New Roman"/>
          <w:b/>
          <w:bCs/>
          <w:kern w:val="0"/>
          <w:lang w:val="en-NG" w:eastAsia="en-GB"/>
          <w14:ligatures w14:val="none"/>
        </w:rPr>
      </w:pPr>
      <w:r w:rsidRPr="00E80871">
        <w:rPr>
          <w:rFonts w:ascii="Times New Roman" w:eastAsia="Times New Roman" w:hAnsi="Times New Roman" w:cs="Times New Roman"/>
          <w:b/>
          <w:bCs/>
          <w:kern w:val="0"/>
          <w:lang w:val="en-NG" w:eastAsia="en-GB"/>
          <w14:ligatures w14:val="none"/>
        </w:rPr>
        <w:t>4.2 Measurement Model Assessment</w:t>
      </w:r>
    </w:p>
    <w:p w14:paraId="45DF1740"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Table 2</w:t>
      </w:r>
    </w:p>
    <w:p w14:paraId="1A8BCFFD" w14:textId="77777777" w:rsidR="00E80871" w:rsidRPr="00E80871" w:rsidRDefault="00E80871" w:rsidP="00E270A5">
      <w:pPr>
        <w:pStyle w:val="NormalWeb"/>
        <w:spacing w:before="0" w:beforeAutospacing="0" w:after="0" w:afterAutospacing="0"/>
        <w:jc w:val="both"/>
        <w:rPr>
          <w:lang w:val="en-NG"/>
        </w:rPr>
      </w:pPr>
      <w:r w:rsidRPr="00E80871">
        <w:rPr>
          <w:b/>
          <w:bCs/>
          <w:lang w:val="en-NG"/>
        </w:rPr>
        <w:t>Reliability and Convergent Validity</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2977"/>
        <w:gridCol w:w="1701"/>
        <w:gridCol w:w="2238"/>
        <w:gridCol w:w="2298"/>
      </w:tblGrid>
      <w:tr w:rsidR="00E80871" w:rsidRPr="00E80871" w14:paraId="5FC98696" w14:textId="77777777" w:rsidTr="00E270A5">
        <w:trPr>
          <w:tblHeader/>
          <w:tblCellSpacing w:w="15" w:type="dxa"/>
        </w:trPr>
        <w:tc>
          <w:tcPr>
            <w:tcW w:w="2932" w:type="dxa"/>
            <w:tcBorders>
              <w:top w:val="single" w:sz="12" w:space="0" w:color="auto"/>
              <w:bottom w:val="single" w:sz="12" w:space="0" w:color="auto"/>
            </w:tcBorders>
            <w:vAlign w:val="center"/>
            <w:hideMark/>
          </w:tcPr>
          <w:p w14:paraId="00B6D94E"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Construct</w:t>
            </w:r>
          </w:p>
        </w:tc>
        <w:tc>
          <w:tcPr>
            <w:tcW w:w="0" w:type="auto"/>
            <w:tcBorders>
              <w:top w:val="single" w:sz="12" w:space="0" w:color="auto"/>
              <w:bottom w:val="single" w:sz="12" w:space="0" w:color="auto"/>
            </w:tcBorders>
            <w:vAlign w:val="center"/>
            <w:hideMark/>
          </w:tcPr>
          <w:p w14:paraId="01BB4840"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Cronbach’s Alpha</w:t>
            </w:r>
          </w:p>
        </w:tc>
        <w:tc>
          <w:tcPr>
            <w:tcW w:w="0" w:type="auto"/>
            <w:tcBorders>
              <w:top w:val="single" w:sz="12" w:space="0" w:color="auto"/>
              <w:bottom w:val="single" w:sz="12" w:space="0" w:color="auto"/>
            </w:tcBorders>
            <w:vAlign w:val="center"/>
            <w:hideMark/>
          </w:tcPr>
          <w:p w14:paraId="08CF7A99"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Composite Reliability (CR)</w:t>
            </w:r>
          </w:p>
        </w:tc>
        <w:tc>
          <w:tcPr>
            <w:tcW w:w="2253" w:type="dxa"/>
            <w:tcBorders>
              <w:top w:val="single" w:sz="12" w:space="0" w:color="auto"/>
              <w:bottom w:val="single" w:sz="12" w:space="0" w:color="auto"/>
            </w:tcBorders>
            <w:vAlign w:val="center"/>
            <w:hideMark/>
          </w:tcPr>
          <w:p w14:paraId="1A9EF92A"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Average Variance Extracted (AVE)</w:t>
            </w:r>
          </w:p>
        </w:tc>
      </w:tr>
      <w:tr w:rsidR="00E80871" w:rsidRPr="00E80871" w14:paraId="4A519277" w14:textId="77777777" w:rsidTr="00E270A5">
        <w:trPr>
          <w:tblCellSpacing w:w="15" w:type="dxa"/>
        </w:trPr>
        <w:tc>
          <w:tcPr>
            <w:tcW w:w="2932" w:type="dxa"/>
            <w:vAlign w:val="center"/>
            <w:hideMark/>
          </w:tcPr>
          <w:p w14:paraId="513D106B" w14:textId="59C92A53" w:rsidR="00E80871" w:rsidRPr="00E80871" w:rsidRDefault="00E80871" w:rsidP="00E270A5">
            <w:pPr>
              <w:pStyle w:val="NormalWeb"/>
              <w:spacing w:before="0" w:beforeAutospacing="0" w:after="0" w:afterAutospacing="0"/>
              <w:jc w:val="both"/>
              <w:rPr>
                <w:lang w:val="en-NG"/>
              </w:rPr>
            </w:pPr>
            <w:r w:rsidRPr="00E80871">
              <w:rPr>
                <w:lang w:val="en-NG"/>
              </w:rPr>
              <w:t>AI</w:t>
            </w:r>
          </w:p>
        </w:tc>
        <w:tc>
          <w:tcPr>
            <w:tcW w:w="0" w:type="auto"/>
            <w:vAlign w:val="center"/>
            <w:hideMark/>
          </w:tcPr>
          <w:p w14:paraId="2EABB03D" w14:textId="77777777" w:rsidR="00E80871" w:rsidRPr="00E80871" w:rsidRDefault="00E80871" w:rsidP="00E270A5">
            <w:pPr>
              <w:pStyle w:val="NormalWeb"/>
              <w:spacing w:before="0" w:beforeAutospacing="0" w:after="0" w:afterAutospacing="0"/>
              <w:jc w:val="both"/>
              <w:rPr>
                <w:lang w:val="en-NG"/>
              </w:rPr>
            </w:pPr>
            <w:r w:rsidRPr="00E80871">
              <w:rPr>
                <w:lang w:val="en-NG"/>
              </w:rPr>
              <w:t>0.88</w:t>
            </w:r>
          </w:p>
        </w:tc>
        <w:tc>
          <w:tcPr>
            <w:tcW w:w="0" w:type="auto"/>
            <w:vAlign w:val="center"/>
            <w:hideMark/>
          </w:tcPr>
          <w:p w14:paraId="0B94E60F" w14:textId="77777777" w:rsidR="00E80871" w:rsidRPr="00E80871" w:rsidRDefault="00E80871" w:rsidP="00E270A5">
            <w:pPr>
              <w:pStyle w:val="NormalWeb"/>
              <w:spacing w:before="0" w:beforeAutospacing="0" w:after="0" w:afterAutospacing="0"/>
              <w:jc w:val="both"/>
              <w:rPr>
                <w:lang w:val="en-NG"/>
              </w:rPr>
            </w:pPr>
            <w:r w:rsidRPr="00E80871">
              <w:rPr>
                <w:lang w:val="en-NG"/>
              </w:rPr>
              <w:t>0.91</w:t>
            </w:r>
          </w:p>
        </w:tc>
        <w:tc>
          <w:tcPr>
            <w:tcW w:w="2253" w:type="dxa"/>
            <w:vAlign w:val="center"/>
            <w:hideMark/>
          </w:tcPr>
          <w:p w14:paraId="6A4A9561" w14:textId="77777777" w:rsidR="00E80871" w:rsidRPr="00E80871" w:rsidRDefault="00E80871" w:rsidP="00E270A5">
            <w:pPr>
              <w:pStyle w:val="NormalWeb"/>
              <w:spacing w:before="0" w:beforeAutospacing="0" w:after="0" w:afterAutospacing="0"/>
              <w:jc w:val="both"/>
              <w:rPr>
                <w:lang w:val="en-NG"/>
              </w:rPr>
            </w:pPr>
            <w:r w:rsidRPr="00E80871">
              <w:rPr>
                <w:lang w:val="en-NG"/>
              </w:rPr>
              <w:t>0.63</w:t>
            </w:r>
          </w:p>
        </w:tc>
      </w:tr>
      <w:tr w:rsidR="00E80871" w:rsidRPr="00E80871" w14:paraId="2E1C3090" w14:textId="77777777" w:rsidTr="00E270A5">
        <w:trPr>
          <w:tblCellSpacing w:w="15" w:type="dxa"/>
        </w:trPr>
        <w:tc>
          <w:tcPr>
            <w:tcW w:w="2932" w:type="dxa"/>
            <w:vAlign w:val="center"/>
            <w:hideMark/>
          </w:tcPr>
          <w:p w14:paraId="366CAC1C" w14:textId="394FA40C" w:rsidR="00E80871" w:rsidRPr="00E80871" w:rsidRDefault="00E80871" w:rsidP="00E270A5">
            <w:pPr>
              <w:pStyle w:val="NormalWeb"/>
              <w:spacing w:before="0" w:beforeAutospacing="0" w:after="0" w:afterAutospacing="0"/>
              <w:jc w:val="both"/>
              <w:rPr>
                <w:lang w:val="en-NG"/>
              </w:rPr>
            </w:pPr>
            <w:r w:rsidRPr="00E80871">
              <w:rPr>
                <w:lang w:val="en-NG"/>
              </w:rPr>
              <w:t>FinTech</w:t>
            </w:r>
          </w:p>
        </w:tc>
        <w:tc>
          <w:tcPr>
            <w:tcW w:w="0" w:type="auto"/>
            <w:vAlign w:val="center"/>
            <w:hideMark/>
          </w:tcPr>
          <w:p w14:paraId="02136F97" w14:textId="77777777" w:rsidR="00E80871" w:rsidRPr="00E80871" w:rsidRDefault="00E80871" w:rsidP="00E270A5">
            <w:pPr>
              <w:pStyle w:val="NormalWeb"/>
              <w:spacing w:before="0" w:beforeAutospacing="0" w:after="0" w:afterAutospacing="0"/>
              <w:jc w:val="both"/>
              <w:rPr>
                <w:lang w:val="en-NG"/>
              </w:rPr>
            </w:pPr>
            <w:r w:rsidRPr="00E80871">
              <w:rPr>
                <w:lang w:val="en-NG"/>
              </w:rPr>
              <w:t>0.90</w:t>
            </w:r>
          </w:p>
        </w:tc>
        <w:tc>
          <w:tcPr>
            <w:tcW w:w="0" w:type="auto"/>
            <w:vAlign w:val="center"/>
            <w:hideMark/>
          </w:tcPr>
          <w:p w14:paraId="3EAC96EC" w14:textId="77777777" w:rsidR="00E80871" w:rsidRPr="00E80871" w:rsidRDefault="00E80871" w:rsidP="00E270A5">
            <w:pPr>
              <w:pStyle w:val="NormalWeb"/>
              <w:spacing w:before="0" w:beforeAutospacing="0" w:after="0" w:afterAutospacing="0"/>
              <w:jc w:val="both"/>
              <w:rPr>
                <w:lang w:val="en-NG"/>
              </w:rPr>
            </w:pPr>
            <w:r w:rsidRPr="00E80871">
              <w:rPr>
                <w:lang w:val="en-NG"/>
              </w:rPr>
              <w:t>0.93</w:t>
            </w:r>
          </w:p>
        </w:tc>
        <w:tc>
          <w:tcPr>
            <w:tcW w:w="2253" w:type="dxa"/>
            <w:vAlign w:val="center"/>
            <w:hideMark/>
          </w:tcPr>
          <w:p w14:paraId="7E26B5DF" w14:textId="77777777" w:rsidR="00E80871" w:rsidRPr="00E80871" w:rsidRDefault="00E80871" w:rsidP="00E270A5">
            <w:pPr>
              <w:pStyle w:val="NormalWeb"/>
              <w:spacing w:before="0" w:beforeAutospacing="0" w:after="0" w:afterAutospacing="0"/>
              <w:jc w:val="both"/>
              <w:rPr>
                <w:lang w:val="en-NG"/>
              </w:rPr>
            </w:pPr>
            <w:r w:rsidRPr="00E80871">
              <w:rPr>
                <w:lang w:val="en-NG"/>
              </w:rPr>
              <w:t>0.68</w:t>
            </w:r>
          </w:p>
        </w:tc>
      </w:tr>
      <w:tr w:rsidR="00E80871" w:rsidRPr="00E80871" w14:paraId="30174804" w14:textId="77777777" w:rsidTr="00E270A5">
        <w:trPr>
          <w:tblCellSpacing w:w="15" w:type="dxa"/>
        </w:trPr>
        <w:tc>
          <w:tcPr>
            <w:tcW w:w="2932" w:type="dxa"/>
            <w:tcBorders>
              <w:bottom w:val="single" w:sz="12" w:space="0" w:color="auto"/>
            </w:tcBorders>
            <w:vAlign w:val="center"/>
            <w:hideMark/>
          </w:tcPr>
          <w:p w14:paraId="0A7FC43B" w14:textId="756D7B0C" w:rsidR="00E80871" w:rsidRPr="00E80871" w:rsidRDefault="00E80871" w:rsidP="00E270A5">
            <w:pPr>
              <w:pStyle w:val="NormalWeb"/>
              <w:spacing w:before="0" w:beforeAutospacing="0" w:after="0" w:afterAutospacing="0"/>
              <w:jc w:val="both"/>
              <w:rPr>
                <w:lang w:val="en-NG"/>
              </w:rPr>
            </w:pPr>
            <w:r w:rsidRPr="00E80871">
              <w:rPr>
                <w:lang w:val="en-NG"/>
              </w:rPr>
              <w:t>FDM</w:t>
            </w:r>
          </w:p>
        </w:tc>
        <w:tc>
          <w:tcPr>
            <w:tcW w:w="0" w:type="auto"/>
            <w:tcBorders>
              <w:bottom w:val="single" w:sz="12" w:space="0" w:color="auto"/>
            </w:tcBorders>
            <w:vAlign w:val="center"/>
            <w:hideMark/>
          </w:tcPr>
          <w:p w14:paraId="6297BC96" w14:textId="77777777" w:rsidR="00E80871" w:rsidRPr="00E80871" w:rsidRDefault="00E80871" w:rsidP="00E270A5">
            <w:pPr>
              <w:pStyle w:val="NormalWeb"/>
              <w:spacing w:before="0" w:beforeAutospacing="0" w:after="0" w:afterAutospacing="0"/>
              <w:jc w:val="both"/>
              <w:rPr>
                <w:lang w:val="en-NG"/>
              </w:rPr>
            </w:pPr>
            <w:r w:rsidRPr="00E80871">
              <w:rPr>
                <w:lang w:val="en-NG"/>
              </w:rPr>
              <w:t>0.87</w:t>
            </w:r>
          </w:p>
        </w:tc>
        <w:tc>
          <w:tcPr>
            <w:tcW w:w="0" w:type="auto"/>
            <w:tcBorders>
              <w:bottom w:val="single" w:sz="12" w:space="0" w:color="auto"/>
            </w:tcBorders>
            <w:vAlign w:val="center"/>
            <w:hideMark/>
          </w:tcPr>
          <w:p w14:paraId="722AA653" w14:textId="77777777" w:rsidR="00E80871" w:rsidRPr="00E80871" w:rsidRDefault="00E80871" w:rsidP="00E270A5">
            <w:pPr>
              <w:pStyle w:val="NormalWeb"/>
              <w:spacing w:before="0" w:beforeAutospacing="0" w:after="0" w:afterAutospacing="0"/>
              <w:jc w:val="both"/>
              <w:rPr>
                <w:lang w:val="en-NG"/>
              </w:rPr>
            </w:pPr>
            <w:r w:rsidRPr="00E80871">
              <w:rPr>
                <w:lang w:val="en-NG"/>
              </w:rPr>
              <w:t>0.90</w:t>
            </w:r>
          </w:p>
        </w:tc>
        <w:tc>
          <w:tcPr>
            <w:tcW w:w="2253" w:type="dxa"/>
            <w:tcBorders>
              <w:bottom w:val="single" w:sz="12" w:space="0" w:color="auto"/>
            </w:tcBorders>
            <w:vAlign w:val="center"/>
            <w:hideMark/>
          </w:tcPr>
          <w:p w14:paraId="693BA434" w14:textId="77777777" w:rsidR="00E80871" w:rsidRPr="00E80871" w:rsidRDefault="00E80871" w:rsidP="00E270A5">
            <w:pPr>
              <w:pStyle w:val="NormalWeb"/>
              <w:spacing w:before="0" w:beforeAutospacing="0" w:after="0" w:afterAutospacing="0"/>
              <w:jc w:val="both"/>
              <w:rPr>
                <w:lang w:val="en-NG"/>
              </w:rPr>
            </w:pPr>
            <w:r w:rsidRPr="00E80871">
              <w:rPr>
                <w:lang w:val="en-NG"/>
              </w:rPr>
              <w:t>0.61</w:t>
            </w:r>
          </w:p>
        </w:tc>
      </w:tr>
    </w:tbl>
    <w:p w14:paraId="0832953A" w14:textId="77777777" w:rsidR="00E80871" w:rsidRPr="00E80871" w:rsidRDefault="00E80871" w:rsidP="00E270A5">
      <w:pPr>
        <w:pStyle w:val="NormalWeb"/>
        <w:spacing w:before="0" w:beforeAutospacing="0" w:after="0" w:afterAutospacing="0"/>
        <w:jc w:val="both"/>
        <w:rPr>
          <w:lang w:val="en-NG"/>
        </w:rPr>
      </w:pPr>
      <w:r w:rsidRPr="00E80871">
        <w:rPr>
          <w:i/>
          <w:iCs/>
          <w:lang w:val="en-NG"/>
        </w:rPr>
        <w:lastRenderedPageBreak/>
        <w:t>Note.</w:t>
      </w:r>
      <w:r w:rsidRPr="00E80871">
        <w:rPr>
          <w:lang w:val="en-NG"/>
        </w:rPr>
        <w:t xml:space="preserve"> Recommended thresholds: Cronbach’s Alpha ≥ 0.70; Composite Reliability ≥ 0.70; AVE ≥ 0.50.</w:t>
      </w:r>
    </w:p>
    <w:p w14:paraId="17938865" w14:textId="77777777" w:rsidR="00E80871" w:rsidRPr="00E80871" w:rsidRDefault="00E80871" w:rsidP="00A57A70">
      <w:pPr>
        <w:pStyle w:val="NormalWeb"/>
        <w:jc w:val="both"/>
        <w:rPr>
          <w:lang w:val="en-NG"/>
        </w:rPr>
      </w:pPr>
      <w:r w:rsidRPr="00E80871">
        <w:rPr>
          <w:lang w:val="en-NG"/>
        </w:rPr>
        <w:t>Table 2 presents the reliability and convergent validity results for the study constructs. The findings indicate that all constructs exceeded the recommended thresholds for Cronbach’s alpha and Composite Reliability (CR), confirming satisfactory internal consistency and reliability of the measurement scales.</w:t>
      </w:r>
    </w:p>
    <w:p w14:paraId="11E4589F" w14:textId="77777777" w:rsidR="00E80871" w:rsidRPr="00E80871" w:rsidRDefault="00E80871" w:rsidP="00A57A70">
      <w:pPr>
        <w:pStyle w:val="NormalWeb"/>
        <w:jc w:val="both"/>
        <w:rPr>
          <w:lang w:val="en-NG"/>
        </w:rPr>
      </w:pPr>
      <w:r w:rsidRPr="00E80871">
        <w:rPr>
          <w:lang w:val="en-NG"/>
        </w:rPr>
        <w:t>Specifically, Artificial Intelligence (AI) recorded a Cronbach’s alpha value of 0.88 and Composite Reliability of 0.91, while Financial Technology (FinTech) recorded values of 0.90 and 0.93 respectively. Financial Decision-Making (FDM) also demonstrated strong reliability with Cronbach’s alpha and Composite Reliability values of 0.87 and 0.90 respectively.</w:t>
      </w:r>
    </w:p>
    <w:p w14:paraId="00287BA5" w14:textId="77777777" w:rsidR="00E80871" w:rsidRPr="00E80871" w:rsidRDefault="00E80871" w:rsidP="003B4278">
      <w:pPr>
        <w:pStyle w:val="NormalWeb"/>
        <w:jc w:val="both"/>
        <w:rPr>
          <w:lang w:val="en-NG"/>
        </w:rPr>
      </w:pPr>
      <w:r w:rsidRPr="00E80871">
        <w:rPr>
          <w:lang w:val="en-NG"/>
        </w:rPr>
        <w:t>Furthermore, the Average Variance Extracted (AVE) values for all constructs exceeded the recommended threshold of 0.50, indicating satisfactory convergent validity. These findings suggest that the measurement items adequately explained the variance of their respective latent constructs.</w:t>
      </w:r>
    </w:p>
    <w:p w14:paraId="4DDFA204"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Table 3</w:t>
      </w:r>
    </w:p>
    <w:p w14:paraId="17576473" w14:textId="77777777" w:rsidR="00E80871" w:rsidRPr="00E80871" w:rsidRDefault="00E80871" w:rsidP="00E270A5">
      <w:pPr>
        <w:pStyle w:val="NormalWeb"/>
        <w:spacing w:before="0" w:beforeAutospacing="0" w:after="0" w:afterAutospacing="0"/>
        <w:jc w:val="both"/>
        <w:rPr>
          <w:lang w:val="en-NG"/>
        </w:rPr>
      </w:pPr>
      <w:r w:rsidRPr="00E80871">
        <w:rPr>
          <w:b/>
          <w:bCs/>
          <w:lang w:val="en-NG"/>
        </w:rPr>
        <w:t>Discriminant Validity Using HTMT Ratio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1429"/>
      </w:tblGrid>
      <w:tr w:rsidR="00E80871" w:rsidRPr="00E80871" w14:paraId="333224B9" w14:textId="77777777" w:rsidTr="00E270A5">
        <w:trPr>
          <w:tblHeader/>
          <w:tblCellSpacing w:w="15" w:type="dxa"/>
        </w:trPr>
        <w:tc>
          <w:tcPr>
            <w:tcW w:w="2365" w:type="dxa"/>
            <w:tcBorders>
              <w:top w:val="single" w:sz="12" w:space="0" w:color="auto"/>
              <w:bottom w:val="single" w:sz="12" w:space="0" w:color="auto"/>
            </w:tcBorders>
            <w:vAlign w:val="center"/>
            <w:hideMark/>
          </w:tcPr>
          <w:p w14:paraId="0EB53FF6"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Construct Pair</w:t>
            </w:r>
          </w:p>
        </w:tc>
        <w:tc>
          <w:tcPr>
            <w:tcW w:w="0" w:type="auto"/>
            <w:tcBorders>
              <w:top w:val="single" w:sz="12" w:space="0" w:color="auto"/>
              <w:bottom w:val="single" w:sz="12" w:space="0" w:color="auto"/>
            </w:tcBorders>
            <w:vAlign w:val="center"/>
            <w:hideMark/>
          </w:tcPr>
          <w:p w14:paraId="5A636BF9"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HTMT Ratio</w:t>
            </w:r>
          </w:p>
        </w:tc>
      </w:tr>
      <w:tr w:rsidR="00E80871" w:rsidRPr="00E80871" w14:paraId="5E29744C" w14:textId="77777777" w:rsidTr="00E270A5">
        <w:trPr>
          <w:tblCellSpacing w:w="15" w:type="dxa"/>
        </w:trPr>
        <w:tc>
          <w:tcPr>
            <w:tcW w:w="2365" w:type="dxa"/>
            <w:vAlign w:val="center"/>
            <w:hideMark/>
          </w:tcPr>
          <w:p w14:paraId="25B78AF3" w14:textId="77777777" w:rsidR="00E80871" w:rsidRPr="00E80871" w:rsidRDefault="00E80871" w:rsidP="00E270A5">
            <w:pPr>
              <w:pStyle w:val="NormalWeb"/>
              <w:spacing w:before="0" w:beforeAutospacing="0" w:after="0" w:afterAutospacing="0"/>
              <w:jc w:val="both"/>
              <w:rPr>
                <w:lang w:val="en-NG"/>
              </w:rPr>
            </w:pPr>
            <w:r w:rsidRPr="00E80871">
              <w:rPr>
                <w:lang w:val="en-NG"/>
              </w:rPr>
              <w:t>AI ↔ FinTech</w:t>
            </w:r>
          </w:p>
        </w:tc>
        <w:tc>
          <w:tcPr>
            <w:tcW w:w="0" w:type="auto"/>
            <w:vAlign w:val="center"/>
            <w:hideMark/>
          </w:tcPr>
          <w:p w14:paraId="0D5A5988" w14:textId="77777777" w:rsidR="00E80871" w:rsidRPr="00E80871" w:rsidRDefault="00E80871" w:rsidP="00E270A5">
            <w:pPr>
              <w:pStyle w:val="NormalWeb"/>
              <w:spacing w:before="0" w:beforeAutospacing="0" w:after="0" w:afterAutospacing="0"/>
              <w:jc w:val="both"/>
              <w:rPr>
                <w:lang w:val="en-NG"/>
              </w:rPr>
            </w:pPr>
            <w:r w:rsidRPr="00E80871">
              <w:rPr>
                <w:lang w:val="en-NG"/>
              </w:rPr>
              <w:t>0.656</w:t>
            </w:r>
          </w:p>
        </w:tc>
      </w:tr>
      <w:tr w:rsidR="00E80871" w:rsidRPr="00E80871" w14:paraId="2F6A6933" w14:textId="77777777" w:rsidTr="00E270A5">
        <w:trPr>
          <w:tblCellSpacing w:w="15" w:type="dxa"/>
        </w:trPr>
        <w:tc>
          <w:tcPr>
            <w:tcW w:w="2365" w:type="dxa"/>
            <w:vAlign w:val="center"/>
            <w:hideMark/>
          </w:tcPr>
          <w:p w14:paraId="775F62CB" w14:textId="77777777" w:rsidR="00E80871" w:rsidRPr="00E80871" w:rsidRDefault="00E80871" w:rsidP="00E270A5">
            <w:pPr>
              <w:pStyle w:val="NormalWeb"/>
              <w:spacing w:before="0" w:beforeAutospacing="0" w:after="0" w:afterAutospacing="0"/>
              <w:jc w:val="both"/>
              <w:rPr>
                <w:lang w:val="en-NG"/>
              </w:rPr>
            </w:pPr>
            <w:r w:rsidRPr="00E80871">
              <w:rPr>
                <w:lang w:val="en-NG"/>
              </w:rPr>
              <w:t>AI ↔ FDM</w:t>
            </w:r>
          </w:p>
        </w:tc>
        <w:tc>
          <w:tcPr>
            <w:tcW w:w="0" w:type="auto"/>
            <w:vAlign w:val="center"/>
            <w:hideMark/>
          </w:tcPr>
          <w:p w14:paraId="215E0820" w14:textId="77777777" w:rsidR="00E80871" w:rsidRPr="00E80871" w:rsidRDefault="00E80871" w:rsidP="00E270A5">
            <w:pPr>
              <w:pStyle w:val="NormalWeb"/>
              <w:spacing w:before="0" w:beforeAutospacing="0" w:after="0" w:afterAutospacing="0"/>
              <w:jc w:val="both"/>
              <w:rPr>
                <w:lang w:val="en-NG"/>
              </w:rPr>
            </w:pPr>
            <w:r w:rsidRPr="00E80871">
              <w:rPr>
                <w:lang w:val="en-NG"/>
              </w:rPr>
              <w:t>0.576</w:t>
            </w:r>
          </w:p>
        </w:tc>
      </w:tr>
      <w:tr w:rsidR="00E80871" w:rsidRPr="00E80871" w14:paraId="729454C8" w14:textId="77777777" w:rsidTr="00E270A5">
        <w:trPr>
          <w:tblCellSpacing w:w="15" w:type="dxa"/>
        </w:trPr>
        <w:tc>
          <w:tcPr>
            <w:tcW w:w="2365" w:type="dxa"/>
            <w:tcBorders>
              <w:bottom w:val="single" w:sz="12" w:space="0" w:color="auto"/>
            </w:tcBorders>
            <w:vAlign w:val="center"/>
            <w:hideMark/>
          </w:tcPr>
          <w:p w14:paraId="20529E80" w14:textId="77777777" w:rsidR="00E80871" w:rsidRPr="00E80871" w:rsidRDefault="00E80871" w:rsidP="00E270A5">
            <w:pPr>
              <w:pStyle w:val="NormalWeb"/>
              <w:spacing w:before="0" w:beforeAutospacing="0" w:after="0" w:afterAutospacing="0"/>
              <w:jc w:val="both"/>
              <w:rPr>
                <w:lang w:val="en-NG"/>
              </w:rPr>
            </w:pPr>
            <w:r w:rsidRPr="00E80871">
              <w:rPr>
                <w:lang w:val="en-NG"/>
              </w:rPr>
              <w:t>FinTech ↔ FDM</w:t>
            </w:r>
          </w:p>
        </w:tc>
        <w:tc>
          <w:tcPr>
            <w:tcW w:w="0" w:type="auto"/>
            <w:tcBorders>
              <w:bottom w:val="single" w:sz="12" w:space="0" w:color="auto"/>
            </w:tcBorders>
            <w:vAlign w:val="center"/>
            <w:hideMark/>
          </w:tcPr>
          <w:p w14:paraId="1C97473B" w14:textId="77777777" w:rsidR="00E80871" w:rsidRPr="00E80871" w:rsidRDefault="00E80871" w:rsidP="00E270A5">
            <w:pPr>
              <w:pStyle w:val="NormalWeb"/>
              <w:spacing w:before="0" w:beforeAutospacing="0" w:after="0" w:afterAutospacing="0"/>
              <w:jc w:val="both"/>
              <w:rPr>
                <w:lang w:val="en-NG"/>
              </w:rPr>
            </w:pPr>
            <w:r w:rsidRPr="00E80871">
              <w:rPr>
                <w:lang w:val="en-NG"/>
              </w:rPr>
              <w:t>0.626</w:t>
            </w:r>
          </w:p>
        </w:tc>
      </w:tr>
    </w:tbl>
    <w:p w14:paraId="3F857F42" w14:textId="77777777" w:rsidR="00E80871" w:rsidRPr="00E80871" w:rsidRDefault="00E80871" w:rsidP="00E270A5">
      <w:pPr>
        <w:pStyle w:val="NormalWeb"/>
        <w:spacing w:before="0" w:beforeAutospacing="0" w:after="0" w:afterAutospacing="0"/>
        <w:jc w:val="both"/>
        <w:rPr>
          <w:lang w:val="en-NG"/>
        </w:rPr>
      </w:pPr>
      <w:r w:rsidRPr="00E80871">
        <w:rPr>
          <w:i/>
          <w:iCs/>
          <w:lang w:val="en-NG"/>
        </w:rPr>
        <w:t>Note.</w:t>
      </w:r>
      <w:r w:rsidRPr="00E80871">
        <w:rPr>
          <w:lang w:val="en-NG"/>
        </w:rPr>
        <w:t xml:space="preserve"> HTMT values below 0.85 indicate satisfactory discriminant validity.</w:t>
      </w:r>
    </w:p>
    <w:p w14:paraId="7F6FD187" w14:textId="77777777" w:rsidR="00E80871" w:rsidRPr="00E80871" w:rsidRDefault="00E80871" w:rsidP="00E270A5">
      <w:pPr>
        <w:pStyle w:val="NormalWeb"/>
        <w:jc w:val="both"/>
        <w:rPr>
          <w:lang w:val="en-NG"/>
        </w:rPr>
      </w:pPr>
      <w:r w:rsidRPr="00E80871">
        <w:rPr>
          <w:lang w:val="en-NG"/>
        </w:rPr>
        <w:t xml:space="preserve">Table 3 presents the </w:t>
      </w:r>
      <w:proofErr w:type="spellStart"/>
      <w:r w:rsidRPr="00E80871">
        <w:rPr>
          <w:lang w:val="en-NG"/>
        </w:rPr>
        <w:t>Heterotrait</w:t>
      </w:r>
      <w:proofErr w:type="spellEnd"/>
      <w:r w:rsidRPr="00E80871">
        <w:rPr>
          <w:lang w:val="en-NG"/>
        </w:rPr>
        <w:t>–</w:t>
      </w:r>
      <w:proofErr w:type="spellStart"/>
      <w:r w:rsidRPr="00E80871">
        <w:rPr>
          <w:lang w:val="en-NG"/>
        </w:rPr>
        <w:t>Monotrait</w:t>
      </w:r>
      <w:proofErr w:type="spellEnd"/>
      <w:r w:rsidRPr="00E80871">
        <w:rPr>
          <w:lang w:val="en-NG"/>
        </w:rPr>
        <w:t xml:space="preserve"> Ratio (HTMT) results used to assess discriminant validity among the study constructs. The findings indicate that all HTMT values were below the recommended threshold of 0.85, confirming satisfactory discriminant validity.</w:t>
      </w:r>
    </w:p>
    <w:p w14:paraId="7FC61DFA" w14:textId="77777777" w:rsidR="00E80871" w:rsidRPr="00E80871" w:rsidRDefault="00E80871" w:rsidP="00A57A70">
      <w:pPr>
        <w:pStyle w:val="NormalWeb"/>
        <w:jc w:val="both"/>
        <w:rPr>
          <w:lang w:val="en-NG"/>
        </w:rPr>
      </w:pPr>
      <w:r w:rsidRPr="00E80871">
        <w:rPr>
          <w:lang w:val="en-NG"/>
        </w:rPr>
        <w:t>Specifically, the HTMT ratios for AI–FinTech, AI–FDM, and FinTech–FDM were 0.656, 0.576, and 0.626 respectively. These findings indicate that the constructs are empirically distinct and adequately capture different conceptual dimensions within the structural model.</w:t>
      </w:r>
    </w:p>
    <w:p w14:paraId="3278BE23"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4.3 Structural Model Results</w:t>
      </w:r>
    </w:p>
    <w:p w14:paraId="5D2304C7"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Table 4</w:t>
      </w:r>
    </w:p>
    <w:p w14:paraId="237B2BBF" w14:textId="77777777" w:rsidR="00E80871" w:rsidRPr="00E80871" w:rsidRDefault="00E80871" w:rsidP="00E270A5">
      <w:pPr>
        <w:pStyle w:val="NormalWeb"/>
        <w:spacing w:before="0" w:beforeAutospacing="0" w:after="0" w:afterAutospacing="0"/>
        <w:jc w:val="both"/>
        <w:rPr>
          <w:lang w:val="en-NG"/>
        </w:rPr>
      </w:pPr>
      <w:r w:rsidRPr="00E80871">
        <w:rPr>
          <w:b/>
          <w:bCs/>
          <w:lang w:val="en-NG"/>
        </w:rPr>
        <w:t>Structural Model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993"/>
        <w:gridCol w:w="992"/>
        <w:gridCol w:w="1134"/>
        <w:gridCol w:w="1062"/>
      </w:tblGrid>
      <w:tr w:rsidR="00E80871" w:rsidRPr="00E80871" w14:paraId="7E570AAC" w14:textId="77777777" w:rsidTr="00E270A5">
        <w:trPr>
          <w:tblHeader/>
          <w:tblCellSpacing w:w="15" w:type="dxa"/>
        </w:trPr>
        <w:tc>
          <w:tcPr>
            <w:tcW w:w="2790" w:type="dxa"/>
            <w:tcBorders>
              <w:top w:val="single" w:sz="12" w:space="0" w:color="auto"/>
              <w:bottom w:val="single" w:sz="12" w:space="0" w:color="auto"/>
            </w:tcBorders>
            <w:vAlign w:val="center"/>
            <w:hideMark/>
          </w:tcPr>
          <w:p w14:paraId="474A15FA" w14:textId="77777777" w:rsidR="00E80871" w:rsidRPr="00E80871" w:rsidRDefault="00E80871" w:rsidP="00E270A5">
            <w:pPr>
              <w:pStyle w:val="NormalWeb"/>
              <w:jc w:val="both"/>
              <w:rPr>
                <w:b/>
                <w:bCs/>
                <w:lang w:val="en-NG"/>
              </w:rPr>
            </w:pPr>
            <w:r w:rsidRPr="00E80871">
              <w:rPr>
                <w:b/>
                <w:bCs/>
                <w:lang w:val="en-NG"/>
              </w:rPr>
              <w:t>Path</w:t>
            </w:r>
          </w:p>
        </w:tc>
        <w:tc>
          <w:tcPr>
            <w:tcW w:w="963" w:type="dxa"/>
            <w:tcBorders>
              <w:top w:val="single" w:sz="12" w:space="0" w:color="auto"/>
              <w:bottom w:val="single" w:sz="12" w:space="0" w:color="auto"/>
            </w:tcBorders>
            <w:vAlign w:val="center"/>
            <w:hideMark/>
          </w:tcPr>
          <w:p w14:paraId="0039FEA0" w14:textId="77777777" w:rsidR="00E80871" w:rsidRPr="00E80871" w:rsidRDefault="00E80871" w:rsidP="00E270A5">
            <w:pPr>
              <w:pStyle w:val="NormalWeb"/>
              <w:jc w:val="both"/>
              <w:rPr>
                <w:b/>
                <w:bCs/>
                <w:lang w:val="en-NG"/>
              </w:rPr>
            </w:pPr>
            <w:r w:rsidRPr="00E80871">
              <w:rPr>
                <w:b/>
                <w:bCs/>
                <w:lang w:val="en-NG"/>
              </w:rPr>
              <w:t>Beta (β)</w:t>
            </w:r>
          </w:p>
        </w:tc>
        <w:tc>
          <w:tcPr>
            <w:tcW w:w="962" w:type="dxa"/>
            <w:tcBorders>
              <w:top w:val="single" w:sz="12" w:space="0" w:color="auto"/>
              <w:bottom w:val="single" w:sz="12" w:space="0" w:color="auto"/>
            </w:tcBorders>
            <w:vAlign w:val="center"/>
            <w:hideMark/>
          </w:tcPr>
          <w:p w14:paraId="4BE9FBB1" w14:textId="77777777" w:rsidR="00E80871" w:rsidRPr="00E80871" w:rsidRDefault="00E80871" w:rsidP="00E270A5">
            <w:pPr>
              <w:pStyle w:val="NormalWeb"/>
              <w:jc w:val="both"/>
              <w:rPr>
                <w:b/>
                <w:bCs/>
                <w:lang w:val="en-NG"/>
              </w:rPr>
            </w:pPr>
            <w:r w:rsidRPr="00E80871">
              <w:rPr>
                <w:b/>
                <w:bCs/>
                <w:lang w:val="en-NG"/>
              </w:rPr>
              <w:t>t-value</w:t>
            </w:r>
          </w:p>
        </w:tc>
        <w:tc>
          <w:tcPr>
            <w:tcW w:w="1104" w:type="dxa"/>
            <w:tcBorders>
              <w:top w:val="single" w:sz="12" w:space="0" w:color="auto"/>
              <w:bottom w:val="single" w:sz="12" w:space="0" w:color="auto"/>
            </w:tcBorders>
            <w:vAlign w:val="center"/>
            <w:hideMark/>
          </w:tcPr>
          <w:p w14:paraId="6A699EA6" w14:textId="77777777" w:rsidR="00E80871" w:rsidRPr="00E80871" w:rsidRDefault="00E80871" w:rsidP="00E270A5">
            <w:pPr>
              <w:pStyle w:val="NormalWeb"/>
              <w:jc w:val="both"/>
              <w:rPr>
                <w:b/>
                <w:bCs/>
                <w:lang w:val="en-NG"/>
              </w:rPr>
            </w:pPr>
            <w:r w:rsidRPr="00E80871">
              <w:rPr>
                <w:b/>
                <w:bCs/>
                <w:lang w:val="en-NG"/>
              </w:rPr>
              <w:t>p-value</w:t>
            </w:r>
          </w:p>
        </w:tc>
        <w:tc>
          <w:tcPr>
            <w:tcW w:w="0" w:type="auto"/>
            <w:tcBorders>
              <w:top w:val="single" w:sz="12" w:space="0" w:color="auto"/>
              <w:bottom w:val="single" w:sz="12" w:space="0" w:color="auto"/>
            </w:tcBorders>
            <w:vAlign w:val="center"/>
            <w:hideMark/>
          </w:tcPr>
          <w:p w14:paraId="70F83D5D" w14:textId="77777777" w:rsidR="00E80871" w:rsidRPr="00E80871" w:rsidRDefault="00E80871" w:rsidP="00E270A5">
            <w:pPr>
              <w:pStyle w:val="NormalWeb"/>
              <w:jc w:val="both"/>
              <w:rPr>
                <w:b/>
                <w:bCs/>
                <w:lang w:val="en-NG"/>
              </w:rPr>
            </w:pPr>
            <w:r w:rsidRPr="00E80871">
              <w:rPr>
                <w:b/>
                <w:bCs/>
                <w:lang w:val="en-NG"/>
              </w:rPr>
              <w:t>Decision</w:t>
            </w:r>
          </w:p>
        </w:tc>
      </w:tr>
      <w:tr w:rsidR="00E80871" w:rsidRPr="00E80871" w14:paraId="1384D307" w14:textId="77777777" w:rsidTr="00E270A5">
        <w:trPr>
          <w:tblCellSpacing w:w="15" w:type="dxa"/>
        </w:trPr>
        <w:tc>
          <w:tcPr>
            <w:tcW w:w="2790" w:type="dxa"/>
            <w:vAlign w:val="center"/>
            <w:hideMark/>
          </w:tcPr>
          <w:p w14:paraId="6C416C48" w14:textId="77777777" w:rsidR="00E80871" w:rsidRPr="00E80871" w:rsidRDefault="00E80871" w:rsidP="00A57A70">
            <w:pPr>
              <w:pStyle w:val="NormalWeb"/>
              <w:jc w:val="both"/>
              <w:rPr>
                <w:lang w:val="en-NG"/>
              </w:rPr>
            </w:pPr>
            <w:r w:rsidRPr="00E80871">
              <w:rPr>
                <w:lang w:val="en-NG"/>
              </w:rPr>
              <w:t>AI → FDM</w:t>
            </w:r>
          </w:p>
        </w:tc>
        <w:tc>
          <w:tcPr>
            <w:tcW w:w="963" w:type="dxa"/>
            <w:vAlign w:val="center"/>
            <w:hideMark/>
          </w:tcPr>
          <w:p w14:paraId="24E3F37B" w14:textId="77777777" w:rsidR="00E80871" w:rsidRPr="00E80871" w:rsidRDefault="00E80871" w:rsidP="00A57A70">
            <w:pPr>
              <w:pStyle w:val="NormalWeb"/>
              <w:jc w:val="both"/>
              <w:rPr>
                <w:lang w:val="en-NG"/>
              </w:rPr>
            </w:pPr>
            <w:r w:rsidRPr="00E80871">
              <w:rPr>
                <w:lang w:val="en-NG"/>
              </w:rPr>
              <w:t>0.29</w:t>
            </w:r>
          </w:p>
        </w:tc>
        <w:tc>
          <w:tcPr>
            <w:tcW w:w="962" w:type="dxa"/>
            <w:vAlign w:val="center"/>
            <w:hideMark/>
          </w:tcPr>
          <w:p w14:paraId="580069C2" w14:textId="77777777" w:rsidR="00E80871" w:rsidRPr="00E80871" w:rsidRDefault="00E80871" w:rsidP="00A57A70">
            <w:pPr>
              <w:pStyle w:val="NormalWeb"/>
              <w:jc w:val="both"/>
              <w:rPr>
                <w:lang w:val="en-NG"/>
              </w:rPr>
            </w:pPr>
            <w:r w:rsidRPr="00E80871">
              <w:rPr>
                <w:lang w:val="en-NG"/>
              </w:rPr>
              <w:t>4.12</w:t>
            </w:r>
          </w:p>
        </w:tc>
        <w:tc>
          <w:tcPr>
            <w:tcW w:w="1104" w:type="dxa"/>
            <w:vAlign w:val="center"/>
            <w:hideMark/>
          </w:tcPr>
          <w:p w14:paraId="22E61A89" w14:textId="77777777" w:rsidR="00E80871" w:rsidRPr="00E80871" w:rsidRDefault="00E80871" w:rsidP="00A57A70">
            <w:pPr>
              <w:pStyle w:val="NormalWeb"/>
              <w:jc w:val="both"/>
              <w:rPr>
                <w:lang w:val="en-NG"/>
              </w:rPr>
            </w:pPr>
            <w:r w:rsidRPr="00E80871">
              <w:rPr>
                <w:lang w:val="en-NG"/>
              </w:rPr>
              <w:t>0.000</w:t>
            </w:r>
          </w:p>
        </w:tc>
        <w:tc>
          <w:tcPr>
            <w:tcW w:w="0" w:type="auto"/>
            <w:vAlign w:val="center"/>
            <w:hideMark/>
          </w:tcPr>
          <w:p w14:paraId="7094B230" w14:textId="77777777" w:rsidR="00E80871" w:rsidRPr="00E80871" w:rsidRDefault="00E80871" w:rsidP="00A57A70">
            <w:pPr>
              <w:pStyle w:val="NormalWeb"/>
              <w:jc w:val="both"/>
              <w:rPr>
                <w:lang w:val="en-NG"/>
              </w:rPr>
            </w:pPr>
            <w:r w:rsidRPr="00E80871">
              <w:rPr>
                <w:lang w:val="en-NG"/>
              </w:rPr>
              <w:t>Supported</w:t>
            </w:r>
          </w:p>
        </w:tc>
      </w:tr>
      <w:tr w:rsidR="00E80871" w:rsidRPr="00E80871" w14:paraId="08236981" w14:textId="77777777" w:rsidTr="00E270A5">
        <w:trPr>
          <w:tblCellSpacing w:w="15" w:type="dxa"/>
        </w:trPr>
        <w:tc>
          <w:tcPr>
            <w:tcW w:w="2790" w:type="dxa"/>
            <w:vAlign w:val="center"/>
            <w:hideMark/>
          </w:tcPr>
          <w:p w14:paraId="69A0631F" w14:textId="77777777" w:rsidR="00E80871" w:rsidRPr="00E80871" w:rsidRDefault="00E80871" w:rsidP="00A57A70">
            <w:pPr>
              <w:pStyle w:val="NormalWeb"/>
              <w:jc w:val="both"/>
              <w:rPr>
                <w:lang w:val="en-NG"/>
              </w:rPr>
            </w:pPr>
            <w:r w:rsidRPr="00E80871">
              <w:rPr>
                <w:lang w:val="en-NG"/>
              </w:rPr>
              <w:t>AI → FinTech</w:t>
            </w:r>
          </w:p>
        </w:tc>
        <w:tc>
          <w:tcPr>
            <w:tcW w:w="963" w:type="dxa"/>
            <w:vAlign w:val="center"/>
            <w:hideMark/>
          </w:tcPr>
          <w:p w14:paraId="49078337" w14:textId="77777777" w:rsidR="00E80871" w:rsidRPr="00E80871" w:rsidRDefault="00E80871" w:rsidP="00A57A70">
            <w:pPr>
              <w:pStyle w:val="NormalWeb"/>
              <w:jc w:val="both"/>
              <w:rPr>
                <w:lang w:val="en-NG"/>
              </w:rPr>
            </w:pPr>
            <w:r w:rsidRPr="00E80871">
              <w:rPr>
                <w:lang w:val="en-NG"/>
              </w:rPr>
              <w:t>0.61</w:t>
            </w:r>
          </w:p>
        </w:tc>
        <w:tc>
          <w:tcPr>
            <w:tcW w:w="962" w:type="dxa"/>
            <w:vAlign w:val="center"/>
            <w:hideMark/>
          </w:tcPr>
          <w:p w14:paraId="40419E7C" w14:textId="77777777" w:rsidR="00E80871" w:rsidRPr="00E80871" w:rsidRDefault="00E80871" w:rsidP="00A57A70">
            <w:pPr>
              <w:pStyle w:val="NormalWeb"/>
              <w:jc w:val="both"/>
              <w:rPr>
                <w:lang w:val="en-NG"/>
              </w:rPr>
            </w:pPr>
            <w:r w:rsidRPr="00E80871">
              <w:rPr>
                <w:lang w:val="en-NG"/>
              </w:rPr>
              <w:t>9.45</w:t>
            </w:r>
          </w:p>
        </w:tc>
        <w:tc>
          <w:tcPr>
            <w:tcW w:w="1104" w:type="dxa"/>
            <w:vAlign w:val="center"/>
            <w:hideMark/>
          </w:tcPr>
          <w:p w14:paraId="3069DC28" w14:textId="77777777" w:rsidR="00E80871" w:rsidRPr="00E80871" w:rsidRDefault="00E80871" w:rsidP="00A57A70">
            <w:pPr>
              <w:pStyle w:val="NormalWeb"/>
              <w:jc w:val="both"/>
              <w:rPr>
                <w:lang w:val="en-NG"/>
              </w:rPr>
            </w:pPr>
            <w:r w:rsidRPr="00E80871">
              <w:rPr>
                <w:lang w:val="en-NG"/>
              </w:rPr>
              <w:t>0.000</w:t>
            </w:r>
          </w:p>
        </w:tc>
        <w:tc>
          <w:tcPr>
            <w:tcW w:w="0" w:type="auto"/>
            <w:vAlign w:val="center"/>
            <w:hideMark/>
          </w:tcPr>
          <w:p w14:paraId="682FAD97" w14:textId="77777777" w:rsidR="00E80871" w:rsidRPr="00E80871" w:rsidRDefault="00E80871" w:rsidP="00A57A70">
            <w:pPr>
              <w:pStyle w:val="NormalWeb"/>
              <w:jc w:val="both"/>
              <w:rPr>
                <w:lang w:val="en-NG"/>
              </w:rPr>
            </w:pPr>
            <w:r w:rsidRPr="00E80871">
              <w:rPr>
                <w:lang w:val="en-NG"/>
              </w:rPr>
              <w:t>Supported</w:t>
            </w:r>
          </w:p>
        </w:tc>
      </w:tr>
      <w:tr w:rsidR="00E80871" w:rsidRPr="00E80871" w14:paraId="67574193" w14:textId="77777777" w:rsidTr="00E270A5">
        <w:trPr>
          <w:tblCellSpacing w:w="15" w:type="dxa"/>
        </w:trPr>
        <w:tc>
          <w:tcPr>
            <w:tcW w:w="2790" w:type="dxa"/>
            <w:vAlign w:val="center"/>
            <w:hideMark/>
          </w:tcPr>
          <w:p w14:paraId="51931FB4" w14:textId="77777777" w:rsidR="00E80871" w:rsidRPr="00E80871" w:rsidRDefault="00E80871" w:rsidP="00A57A70">
            <w:pPr>
              <w:pStyle w:val="NormalWeb"/>
              <w:jc w:val="both"/>
              <w:rPr>
                <w:lang w:val="en-NG"/>
              </w:rPr>
            </w:pPr>
            <w:r w:rsidRPr="00E80871">
              <w:rPr>
                <w:lang w:val="en-NG"/>
              </w:rPr>
              <w:t>FinTech → FDM</w:t>
            </w:r>
          </w:p>
        </w:tc>
        <w:tc>
          <w:tcPr>
            <w:tcW w:w="963" w:type="dxa"/>
            <w:vAlign w:val="center"/>
            <w:hideMark/>
          </w:tcPr>
          <w:p w14:paraId="14340BD1" w14:textId="77777777" w:rsidR="00E80871" w:rsidRPr="00E80871" w:rsidRDefault="00E80871" w:rsidP="00A57A70">
            <w:pPr>
              <w:pStyle w:val="NormalWeb"/>
              <w:jc w:val="both"/>
              <w:rPr>
                <w:lang w:val="en-NG"/>
              </w:rPr>
            </w:pPr>
            <w:r w:rsidRPr="00E80871">
              <w:rPr>
                <w:lang w:val="en-NG"/>
              </w:rPr>
              <w:t>0.43</w:t>
            </w:r>
          </w:p>
        </w:tc>
        <w:tc>
          <w:tcPr>
            <w:tcW w:w="962" w:type="dxa"/>
            <w:vAlign w:val="center"/>
            <w:hideMark/>
          </w:tcPr>
          <w:p w14:paraId="2BB61915" w14:textId="77777777" w:rsidR="00E80871" w:rsidRPr="00E80871" w:rsidRDefault="00E80871" w:rsidP="00A57A70">
            <w:pPr>
              <w:pStyle w:val="NormalWeb"/>
              <w:jc w:val="both"/>
              <w:rPr>
                <w:lang w:val="en-NG"/>
              </w:rPr>
            </w:pPr>
            <w:r w:rsidRPr="00E80871">
              <w:rPr>
                <w:lang w:val="en-NG"/>
              </w:rPr>
              <w:t>6.88</w:t>
            </w:r>
          </w:p>
        </w:tc>
        <w:tc>
          <w:tcPr>
            <w:tcW w:w="1104" w:type="dxa"/>
            <w:vAlign w:val="center"/>
            <w:hideMark/>
          </w:tcPr>
          <w:p w14:paraId="03ED1166" w14:textId="77777777" w:rsidR="00E80871" w:rsidRPr="00E80871" w:rsidRDefault="00E80871" w:rsidP="00A57A70">
            <w:pPr>
              <w:pStyle w:val="NormalWeb"/>
              <w:jc w:val="both"/>
              <w:rPr>
                <w:lang w:val="en-NG"/>
              </w:rPr>
            </w:pPr>
            <w:r w:rsidRPr="00E80871">
              <w:rPr>
                <w:lang w:val="en-NG"/>
              </w:rPr>
              <w:t>0.000</w:t>
            </w:r>
          </w:p>
        </w:tc>
        <w:tc>
          <w:tcPr>
            <w:tcW w:w="0" w:type="auto"/>
            <w:vAlign w:val="center"/>
            <w:hideMark/>
          </w:tcPr>
          <w:p w14:paraId="38C13692" w14:textId="77777777" w:rsidR="00E80871" w:rsidRPr="00E80871" w:rsidRDefault="00E80871" w:rsidP="00A57A70">
            <w:pPr>
              <w:pStyle w:val="NormalWeb"/>
              <w:jc w:val="both"/>
              <w:rPr>
                <w:lang w:val="en-NG"/>
              </w:rPr>
            </w:pPr>
            <w:r w:rsidRPr="00E80871">
              <w:rPr>
                <w:lang w:val="en-NG"/>
              </w:rPr>
              <w:t>Supported</w:t>
            </w:r>
          </w:p>
        </w:tc>
      </w:tr>
      <w:tr w:rsidR="00E80871" w:rsidRPr="00E80871" w14:paraId="2E41162F" w14:textId="77777777" w:rsidTr="00E270A5">
        <w:trPr>
          <w:tblCellSpacing w:w="15" w:type="dxa"/>
        </w:trPr>
        <w:tc>
          <w:tcPr>
            <w:tcW w:w="2790" w:type="dxa"/>
            <w:tcBorders>
              <w:bottom w:val="single" w:sz="12" w:space="0" w:color="auto"/>
            </w:tcBorders>
            <w:vAlign w:val="center"/>
            <w:hideMark/>
          </w:tcPr>
          <w:p w14:paraId="197B89A2" w14:textId="77777777" w:rsidR="00E80871" w:rsidRPr="00E80871" w:rsidRDefault="00E80871" w:rsidP="00A57A70">
            <w:pPr>
              <w:pStyle w:val="NormalWeb"/>
              <w:jc w:val="both"/>
              <w:rPr>
                <w:lang w:val="en-NG"/>
              </w:rPr>
            </w:pPr>
            <w:r w:rsidRPr="00E80871">
              <w:rPr>
                <w:lang w:val="en-NG"/>
              </w:rPr>
              <w:t>AI → FinTech → FDM</w:t>
            </w:r>
          </w:p>
        </w:tc>
        <w:tc>
          <w:tcPr>
            <w:tcW w:w="963" w:type="dxa"/>
            <w:tcBorders>
              <w:bottom w:val="single" w:sz="12" w:space="0" w:color="auto"/>
            </w:tcBorders>
            <w:vAlign w:val="center"/>
            <w:hideMark/>
          </w:tcPr>
          <w:p w14:paraId="335BCE8A" w14:textId="77777777" w:rsidR="00E80871" w:rsidRPr="00E80871" w:rsidRDefault="00E80871" w:rsidP="00A57A70">
            <w:pPr>
              <w:pStyle w:val="NormalWeb"/>
              <w:jc w:val="both"/>
              <w:rPr>
                <w:lang w:val="en-NG"/>
              </w:rPr>
            </w:pPr>
            <w:r w:rsidRPr="00E80871">
              <w:rPr>
                <w:lang w:val="en-NG"/>
              </w:rPr>
              <w:t>0.26</w:t>
            </w:r>
          </w:p>
        </w:tc>
        <w:tc>
          <w:tcPr>
            <w:tcW w:w="962" w:type="dxa"/>
            <w:tcBorders>
              <w:bottom w:val="single" w:sz="12" w:space="0" w:color="auto"/>
            </w:tcBorders>
            <w:vAlign w:val="center"/>
            <w:hideMark/>
          </w:tcPr>
          <w:p w14:paraId="640F50EF" w14:textId="77777777" w:rsidR="00E80871" w:rsidRPr="00E80871" w:rsidRDefault="00E80871" w:rsidP="00A57A70">
            <w:pPr>
              <w:pStyle w:val="NormalWeb"/>
              <w:jc w:val="both"/>
              <w:rPr>
                <w:lang w:val="en-NG"/>
              </w:rPr>
            </w:pPr>
            <w:r w:rsidRPr="00E80871">
              <w:rPr>
                <w:lang w:val="en-NG"/>
              </w:rPr>
              <w:t>5.73</w:t>
            </w:r>
          </w:p>
        </w:tc>
        <w:tc>
          <w:tcPr>
            <w:tcW w:w="1104" w:type="dxa"/>
            <w:tcBorders>
              <w:bottom w:val="single" w:sz="12" w:space="0" w:color="auto"/>
            </w:tcBorders>
            <w:vAlign w:val="center"/>
            <w:hideMark/>
          </w:tcPr>
          <w:p w14:paraId="3AA0C1A2" w14:textId="77777777" w:rsidR="00E80871" w:rsidRPr="00E80871" w:rsidRDefault="00E80871" w:rsidP="00A57A70">
            <w:pPr>
              <w:pStyle w:val="NormalWeb"/>
              <w:jc w:val="both"/>
              <w:rPr>
                <w:lang w:val="en-NG"/>
              </w:rPr>
            </w:pPr>
            <w:r w:rsidRPr="00E80871">
              <w:rPr>
                <w:lang w:val="en-NG"/>
              </w:rPr>
              <w:t>0.000</w:t>
            </w:r>
          </w:p>
        </w:tc>
        <w:tc>
          <w:tcPr>
            <w:tcW w:w="0" w:type="auto"/>
            <w:tcBorders>
              <w:bottom w:val="single" w:sz="12" w:space="0" w:color="auto"/>
            </w:tcBorders>
            <w:vAlign w:val="center"/>
            <w:hideMark/>
          </w:tcPr>
          <w:p w14:paraId="44313167" w14:textId="77777777" w:rsidR="00E80871" w:rsidRPr="00E80871" w:rsidRDefault="00E80871" w:rsidP="00A57A70">
            <w:pPr>
              <w:pStyle w:val="NormalWeb"/>
              <w:jc w:val="both"/>
              <w:rPr>
                <w:lang w:val="en-NG"/>
              </w:rPr>
            </w:pPr>
            <w:r w:rsidRPr="00E80871">
              <w:rPr>
                <w:lang w:val="en-NG"/>
              </w:rPr>
              <w:t>Supported</w:t>
            </w:r>
          </w:p>
        </w:tc>
      </w:tr>
    </w:tbl>
    <w:p w14:paraId="11FCD3C8" w14:textId="77777777" w:rsidR="00E80871" w:rsidRPr="00E80871" w:rsidRDefault="00E80871" w:rsidP="00A57A70">
      <w:pPr>
        <w:pStyle w:val="NormalWeb"/>
        <w:jc w:val="both"/>
        <w:rPr>
          <w:lang w:val="en-NG"/>
        </w:rPr>
      </w:pPr>
      <w:r w:rsidRPr="00E80871">
        <w:rPr>
          <w:lang w:val="en-NG"/>
        </w:rPr>
        <w:lastRenderedPageBreak/>
        <w:t>Table 4 presents the structural model results obtained using PLS-SEM bootstrapping procedures. The findings reveal that all proposed relationships were positive and statistically significant at the 5% significance level, thereby confirming the robustness of the structural model.</w:t>
      </w:r>
    </w:p>
    <w:p w14:paraId="2B5556CE" w14:textId="77777777" w:rsidR="00E80871" w:rsidRPr="00E80871" w:rsidRDefault="00E80871" w:rsidP="00A57A70">
      <w:pPr>
        <w:pStyle w:val="NormalWeb"/>
        <w:jc w:val="both"/>
        <w:rPr>
          <w:lang w:val="en-NG"/>
        </w:rPr>
      </w:pPr>
      <w:r w:rsidRPr="00E80871">
        <w:rPr>
          <w:lang w:val="en-NG"/>
        </w:rPr>
        <w:t>Specifically, Artificial Intelligence (AI) demonstrated a positive and statistically significant effect on Financial Decision-Making (FDM) (β = 0.29, p &lt; 0.05). This finding suggests that AI-driven technologies improve the quality, speed, and effectiveness of financial decisions through enhanced analytical capability and predictive intelligence.</w:t>
      </w:r>
    </w:p>
    <w:p w14:paraId="03EFEAB1" w14:textId="77777777" w:rsidR="00E80871" w:rsidRPr="00E80871" w:rsidRDefault="00E80871" w:rsidP="00A57A70">
      <w:pPr>
        <w:pStyle w:val="NormalWeb"/>
        <w:jc w:val="both"/>
        <w:rPr>
          <w:lang w:val="en-NG"/>
        </w:rPr>
      </w:pPr>
      <w:r w:rsidRPr="00E80871">
        <w:rPr>
          <w:lang w:val="en-NG"/>
        </w:rPr>
        <w:t>The results further revealed that AI exerted a strong positive effect on Financial Technology (FinTech) (β = 0.61, p &lt; 0.05), indicating that AI significantly drives the adoption and utilisation of digital financial platforms within the financial ecosystem. The magnitude of this relationship suggests that AI functions as a major technological enabler of FinTech innovation and digital financial transformation.</w:t>
      </w:r>
    </w:p>
    <w:p w14:paraId="260B3137" w14:textId="77777777" w:rsidR="00E80871" w:rsidRPr="00E80871" w:rsidRDefault="00E80871" w:rsidP="00A57A70">
      <w:pPr>
        <w:pStyle w:val="NormalWeb"/>
        <w:jc w:val="both"/>
        <w:rPr>
          <w:lang w:val="en-NG"/>
        </w:rPr>
      </w:pPr>
      <w:r w:rsidRPr="00E80871">
        <w:rPr>
          <w:lang w:val="en-NG"/>
        </w:rPr>
        <w:t>Similarly, FinTech demonstrated a positive and statistically significant effect on Financial Decision-Making (FDM) (β = 0.43, p &lt; 0.05). This finding indicates that digital financial platforms significantly improve financial accessibility, transaction efficiency, and real-time financial decision processes.</w:t>
      </w:r>
    </w:p>
    <w:p w14:paraId="166BC534" w14:textId="77777777" w:rsidR="00E80871" w:rsidRPr="00E80871" w:rsidRDefault="00E80871" w:rsidP="00A57A70">
      <w:pPr>
        <w:pStyle w:val="NormalWeb"/>
        <w:jc w:val="both"/>
        <w:rPr>
          <w:lang w:val="en-NG"/>
        </w:rPr>
      </w:pPr>
      <w:r w:rsidRPr="00E80871">
        <w:rPr>
          <w:lang w:val="en-NG"/>
        </w:rPr>
        <w:t>The mediation analysis further revealed that the indirect effect of AI on financial decision-making through FinTech was positive and statistically significant (β = 0.26, p &lt; 0.05). This finding confirms that FinTech significantly mediates the relationship between AI and financial decision-making. The significance of both the direct and indirect relationships indicates partial mediation, suggesting that while AI directly improves financial decision-making, a substantial proportion of its influence is transmitted indirectly through FinTech-enabled digital financial systems.</w:t>
      </w:r>
    </w:p>
    <w:p w14:paraId="3F791489" w14:textId="77777777" w:rsidR="00E80871" w:rsidRPr="00E80871" w:rsidRDefault="00E80871" w:rsidP="003B4278">
      <w:pPr>
        <w:pStyle w:val="NormalWeb"/>
        <w:jc w:val="both"/>
        <w:rPr>
          <w:lang w:val="en-NG"/>
        </w:rPr>
      </w:pPr>
      <w:r w:rsidRPr="00E80871">
        <w:rPr>
          <w:lang w:val="en-NG"/>
        </w:rPr>
        <w:t>The structural model further revealed that AI explained 33.6% of the variance in FinTech, while AI and FinTech jointly explained 36.3% of the variance in Financial Decision-Making. These findings indicate moderate predictive power and suggest that AI and FinTech are substantial determinants of financial decision-making within Nigeria’s digital financial ecosystem.</w:t>
      </w:r>
    </w:p>
    <w:p w14:paraId="12568E23" w14:textId="01FF99C6" w:rsidR="00E80871" w:rsidRPr="00E80871" w:rsidRDefault="00E80871" w:rsidP="00E270A5">
      <w:pPr>
        <w:pStyle w:val="NormalWeb"/>
        <w:spacing w:before="0" w:beforeAutospacing="0" w:after="0" w:afterAutospacing="0"/>
        <w:jc w:val="both"/>
        <w:rPr>
          <w:b/>
          <w:bCs/>
          <w:lang w:val="en-NG"/>
        </w:rPr>
      </w:pPr>
      <w:r w:rsidRPr="00E80871">
        <w:rPr>
          <w:b/>
          <w:bCs/>
          <w:lang w:val="en-NG"/>
        </w:rPr>
        <w:t>4.4 Test of Hypotheses</w:t>
      </w:r>
    </w:p>
    <w:p w14:paraId="1D97966E" w14:textId="77777777" w:rsidR="00E80871" w:rsidRPr="00E80871" w:rsidRDefault="00E80871" w:rsidP="00E270A5">
      <w:pPr>
        <w:pStyle w:val="NormalWeb"/>
        <w:spacing w:before="0" w:beforeAutospacing="0" w:after="0" w:afterAutospacing="0"/>
        <w:jc w:val="both"/>
        <w:rPr>
          <w:b/>
          <w:bCs/>
          <w:lang w:val="en-NG"/>
        </w:rPr>
      </w:pPr>
      <w:r w:rsidRPr="00E80871">
        <w:rPr>
          <w:b/>
          <w:bCs/>
          <w:lang w:val="en-NG"/>
        </w:rPr>
        <w:t>Table 5</w:t>
      </w:r>
    </w:p>
    <w:p w14:paraId="5B72B8E6" w14:textId="77777777" w:rsidR="00E80871" w:rsidRPr="00E80871" w:rsidRDefault="00E80871" w:rsidP="00E270A5">
      <w:pPr>
        <w:pStyle w:val="NormalWeb"/>
        <w:spacing w:before="0" w:beforeAutospacing="0" w:after="0" w:afterAutospacing="0"/>
        <w:jc w:val="both"/>
        <w:rPr>
          <w:lang w:val="en-NG"/>
        </w:rPr>
      </w:pPr>
      <w:r w:rsidRPr="00E80871">
        <w:rPr>
          <w:b/>
          <w:bCs/>
          <w:lang w:val="en-NG"/>
        </w:rPr>
        <w:t>Summary of Hypothesis Testing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2760"/>
        <w:gridCol w:w="1067"/>
        <w:gridCol w:w="992"/>
        <w:gridCol w:w="1134"/>
        <w:gridCol w:w="1062"/>
      </w:tblGrid>
      <w:tr w:rsidR="00E80871" w:rsidRPr="00E80871" w14:paraId="423C50D4" w14:textId="77777777" w:rsidTr="00E270A5">
        <w:trPr>
          <w:tblHeader/>
          <w:tblCellSpacing w:w="15" w:type="dxa"/>
        </w:trPr>
        <w:tc>
          <w:tcPr>
            <w:tcW w:w="1373" w:type="dxa"/>
            <w:tcBorders>
              <w:top w:val="single" w:sz="12" w:space="0" w:color="auto"/>
              <w:bottom w:val="single" w:sz="12" w:space="0" w:color="auto"/>
            </w:tcBorders>
            <w:vAlign w:val="center"/>
            <w:hideMark/>
          </w:tcPr>
          <w:p w14:paraId="5B2C3F92" w14:textId="77777777" w:rsidR="00E80871" w:rsidRPr="00E80871" w:rsidRDefault="00E80871" w:rsidP="003B4278">
            <w:pPr>
              <w:pStyle w:val="NormalWeb"/>
              <w:jc w:val="both"/>
              <w:rPr>
                <w:b/>
                <w:bCs/>
                <w:lang w:val="en-NG"/>
              </w:rPr>
            </w:pPr>
            <w:r w:rsidRPr="00E80871">
              <w:rPr>
                <w:b/>
                <w:bCs/>
                <w:lang w:val="en-NG"/>
              </w:rPr>
              <w:t>Hypothesis</w:t>
            </w:r>
          </w:p>
        </w:tc>
        <w:tc>
          <w:tcPr>
            <w:tcW w:w="2730" w:type="dxa"/>
            <w:tcBorders>
              <w:top w:val="single" w:sz="12" w:space="0" w:color="auto"/>
              <w:bottom w:val="single" w:sz="12" w:space="0" w:color="auto"/>
            </w:tcBorders>
            <w:vAlign w:val="center"/>
            <w:hideMark/>
          </w:tcPr>
          <w:p w14:paraId="4B8FB315" w14:textId="77777777" w:rsidR="00E80871" w:rsidRPr="00E80871" w:rsidRDefault="00E80871" w:rsidP="00E270A5">
            <w:pPr>
              <w:pStyle w:val="NormalWeb"/>
              <w:jc w:val="both"/>
              <w:rPr>
                <w:b/>
                <w:bCs/>
                <w:lang w:val="en-NG"/>
              </w:rPr>
            </w:pPr>
            <w:r w:rsidRPr="00E80871">
              <w:rPr>
                <w:b/>
                <w:bCs/>
                <w:lang w:val="en-NG"/>
              </w:rPr>
              <w:t>Path</w:t>
            </w:r>
          </w:p>
        </w:tc>
        <w:tc>
          <w:tcPr>
            <w:tcW w:w="1037" w:type="dxa"/>
            <w:tcBorders>
              <w:top w:val="single" w:sz="12" w:space="0" w:color="auto"/>
              <w:bottom w:val="single" w:sz="12" w:space="0" w:color="auto"/>
            </w:tcBorders>
            <w:vAlign w:val="center"/>
            <w:hideMark/>
          </w:tcPr>
          <w:p w14:paraId="62D60DCF" w14:textId="77777777" w:rsidR="00E80871" w:rsidRPr="00E80871" w:rsidRDefault="00E80871" w:rsidP="00E270A5">
            <w:pPr>
              <w:pStyle w:val="NormalWeb"/>
              <w:jc w:val="both"/>
              <w:rPr>
                <w:b/>
                <w:bCs/>
                <w:lang w:val="en-NG"/>
              </w:rPr>
            </w:pPr>
            <w:r w:rsidRPr="00E80871">
              <w:rPr>
                <w:b/>
                <w:bCs/>
                <w:lang w:val="en-NG"/>
              </w:rPr>
              <w:t>Beta (β)</w:t>
            </w:r>
          </w:p>
        </w:tc>
        <w:tc>
          <w:tcPr>
            <w:tcW w:w="962" w:type="dxa"/>
            <w:tcBorders>
              <w:top w:val="single" w:sz="12" w:space="0" w:color="auto"/>
              <w:bottom w:val="single" w:sz="12" w:space="0" w:color="auto"/>
            </w:tcBorders>
            <w:vAlign w:val="center"/>
            <w:hideMark/>
          </w:tcPr>
          <w:p w14:paraId="48DCAE97" w14:textId="77777777" w:rsidR="00E80871" w:rsidRPr="00E80871" w:rsidRDefault="00E80871" w:rsidP="00E270A5">
            <w:pPr>
              <w:pStyle w:val="NormalWeb"/>
              <w:jc w:val="both"/>
              <w:rPr>
                <w:b/>
                <w:bCs/>
                <w:lang w:val="en-NG"/>
              </w:rPr>
            </w:pPr>
            <w:r w:rsidRPr="00E80871">
              <w:rPr>
                <w:b/>
                <w:bCs/>
                <w:lang w:val="en-NG"/>
              </w:rPr>
              <w:t>t-value</w:t>
            </w:r>
          </w:p>
        </w:tc>
        <w:tc>
          <w:tcPr>
            <w:tcW w:w="1104" w:type="dxa"/>
            <w:tcBorders>
              <w:top w:val="single" w:sz="12" w:space="0" w:color="auto"/>
              <w:bottom w:val="single" w:sz="12" w:space="0" w:color="auto"/>
            </w:tcBorders>
            <w:vAlign w:val="center"/>
            <w:hideMark/>
          </w:tcPr>
          <w:p w14:paraId="5522C260" w14:textId="77777777" w:rsidR="00E80871" w:rsidRPr="00E80871" w:rsidRDefault="00E80871" w:rsidP="00E270A5">
            <w:pPr>
              <w:pStyle w:val="NormalWeb"/>
              <w:jc w:val="both"/>
              <w:rPr>
                <w:b/>
                <w:bCs/>
                <w:lang w:val="en-NG"/>
              </w:rPr>
            </w:pPr>
            <w:r w:rsidRPr="00E80871">
              <w:rPr>
                <w:b/>
                <w:bCs/>
                <w:lang w:val="en-NG"/>
              </w:rPr>
              <w:t>p-value</w:t>
            </w:r>
          </w:p>
        </w:tc>
        <w:tc>
          <w:tcPr>
            <w:tcW w:w="0" w:type="auto"/>
            <w:tcBorders>
              <w:top w:val="single" w:sz="12" w:space="0" w:color="auto"/>
              <w:bottom w:val="single" w:sz="12" w:space="0" w:color="auto"/>
            </w:tcBorders>
            <w:vAlign w:val="center"/>
            <w:hideMark/>
          </w:tcPr>
          <w:p w14:paraId="3187CFD1" w14:textId="77777777" w:rsidR="00E80871" w:rsidRPr="00E80871" w:rsidRDefault="00E80871" w:rsidP="00E270A5">
            <w:pPr>
              <w:pStyle w:val="NormalWeb"/>
              <w:jc w:val="both"/>
              <w:rPr>
                <w:b/>
                <w:bCs/>
                <w:lang w:val="en-NG"/>
              </w:rPr>
            </w:pPr>
            <w:r w:rsidRPr="00E80871">
              <w:rPr>
                <w:b/>
                <w:bCs/>
                <w:lang w:val="en-NG"/>
              </w:rPr>
              <w:t>Decision</w:t>
            </w:r>
          </w:p>
        </w:tc>
      </w:tr>
      <w:tr w:rsidR="00E80871" w:rsidRPr="00E80871" w14:paraId="26BECBCA" w14:textId="77777777" w:rsidTr="00E270A5">
        <w:trPr>
          <w:tblCellSpacing w:w="15" w:type="dxa"/>
        </w:trPr>
        <w:tc>
          <w:tcPr>
            <w:tcW w:w="1373" w:type="dxa"/>
            <w:vAlign w:val="center"/>
            <w:hideMark/>
          </w:tcPr>
          <w:p w14:paraId="1EF5AEEF" w14:textId="77777777" w:rsidR="00E80871" w:rsidRPr="00E80871" w:rsidRDefault="00E80871" w:rsidP="00A57A70">
            <w:pPr>
              <w:pStyle w:val="NormalWeb"/>
              <w:jc w:val="both"/>
              <w:rPr>
                <w:lang w:val="en-NG"/>
              </w:rPr>
            </w:pPr>
            <w:r w:rsidRPr="00E80871">
              <w:rPr>
                <w:lang w:val="en-NG"/>
              </w:rPr>
              <w:t>H1</w:t>
            </w:r>
          </w:p>
        </w:tc>
        <w:tc>
          <w:tcPr>
            <w:tcW w:w="2730" w:type="dxa"/>
            <w:vAlign w:val="center"/>
            <w:hideMark/>
          </w:tcPr>
          <w:p w14:paraId="5244B91A" w14:textId="77777777" w:rsidR="00E80871" w:rsidRPr="00E80871" w:rsidRDefault="00E80871" w:rsidP="00A57A70">
            <w:pPr>
              <w:pStyle w:val="NormalWeb"/>
              <w:jc w:val="both"/>
              <w:rPr>
                <w:lang w:val="en-NG"/>
              </w:rPr>
            </w:pPr>
            <w:r w:rsidRPr="00E80871">
              <w:rPr>
                <w:lang w:val="en-NG"/>
              </w:rPr>
              <w:t>AI → FDM</w:t>
            </w:r>
          </w:p>
        </w:tc>
        <w:tc>
          <w:tcPr>
            <w:tcW w:w="1037" w:type="dxa"/>
            <w:vAlign w:val="center"/>
            <w:hideMark/>
          </w:tcPr>
          <w:p w14:paraId="317DEFB7" w14:textId="77777777" w:rsidR="00E80871" w:rsidRPr="00E80871" w:rsidRDefault="00E80871" w:rsidP="00A57A70">
            <w:pPr>
              <w:pStyle w:val="NormalWeb"/>
              <w:jc w:val="both"/>
              <w:rPr>
                <w:lang w:val="en-NG"/>
              </w:rPr>
            </w:pPr>
            <w:r w:rsidRPr="00E80871">
              <w:rPr>
                <w:lang w:val="en-NG"/>
              </w:rPr>
              <w:t>0.29</w:t>
            </w:r>
          </w:p>
        </w:tc>
        <w:tc>
          <w:tcPr>
            <w:tcW w:w="962" w:type="dxa"/>
            <w:vAlign w:val="center"/>
            <w:hideMark/>
          </w:tcPr>
          <w:p w14:paraId="47620E15" w14:textId="77777777" w:rsidR="00E80871" w:rsidRPr="00E80871" w:rsidRDefault="00E80871" w:rsidP="00A57A70">
            <w:pPr>
              <w:pStyle w:val="NormalWeb"/>
              <w:jc w:val="both"/>
              <w:rPr>
                <w:lang w:val="en-NG"/>
              </w:rPr>
            </w:pPr>
            <w:r w:rsidRPr="00E80871">
              <w:rPr>
                <w:lang w:val="en-NG"/>
              </w:rPr>
              <w:t>4.12</w:t>
            </w:r>
          </w:p>
        </w:tc>
        <w:tc>
          <w:tcPr>
            <w:tcW w:w="1104" w:type="dxa"/>
            <w:vAlign w:val="center"/>
            <w:hideMark/>
          </w:tcPr>
          <w:p w14:paraId="17C303DD" w14:textId="77777777" w:rsidR="00E80871" w:rsidRPr="00E80871" w:rsidRDefault="00E80871" w:rsidP="00A57A70">
            <w:pPr>
              <w:pStyle w:val="NormalWeb"/>
              <w:jc w:val="both"/>
              <w:rPr>
                <w:lang w:val="en-NG"/>
              </w:rPr>
            </w:pPr>
            <w:r w:rsidRPr="00E80871">
              <w:rPr>
                <w:lang w:val="en-NG"/>
              </w:rPr>
              <w:t>0.000</w:t>
            </w:r>
          </w:p>
        </w:tc>
        <w:tc>
          <w:tcPr>
            <w:tcW w:w="0" w:type="auto"/>
            <w:vAlign w:val="center"/>
            <w:hideMark/>
          </w:tcPr>
          <w:p w14:paraId="2F77ECA9" w14:textId="77777777" w:rsidR="00E80871" w:rsidRPr="00E80871" w:rsidRDefault="00E80871" w:rsidP="00A57A70">
            <w:pPr>
              <w:pStyle w:val="NormalWeb"/>
              <w:jc w:val="both"/>
              <w:rPr>
                <w:lang w:val="en-NG"/>
              </w:rPr>
            </w:pPr>
            <w:r w:rsidRPr="00E80871">
              <w:rPr>
                <w:lang w:val="en-NG"/>
              </w:rPr>
              <w:t>Supported</w:t>
            </w:r>
          </w:p>
        </w:tc>
      </w:tr>
      <w:tr w:rsidR="00E80871" w:rsidRPr="00E80871" w14:paraId="73A13EB9" w14:textId="77777777" w:rsidTr="00E270A5">
        <w:trPr>
          <w:tblCellSpacing w:w="15" w:type="dxa"/>
        </w:trPr>
        <w:tc>
          <w:tcPr>
            <w:tcW w:w="1373" w:type="dxa"/>
            <w:vAlign w:val="center"/>
            <w:hideMark/>
          </w:tcPr>
          <w:p w14:paraId="009CC74C" w14:textId="77777777" w:rsidR="00E80871" w:rsidRPr="00E80871" w:rsidRDefault="00E80871" w:rsidP="00A57A70">
            <w:pPr>
              <w:pStyle w:val="NormalWeb"/>
              <w:jc w:val="both"/>
              <w:rPr>
                <w:lang w:val="en-NG"/>
              </w:rPr>
            </w:pPr>
            <w:r w:rsidRPr="00E80871">
              <w:rPr>
                <w:lang w:val="en-NG"/>
              </w:rPr>
              <w:t>H2</w:t>
            </w:r>
          </w:p>
        </w:tc>
        <w:tc>
          <w:tcPr>
            <w:tcW w:w="2730" w:type="dxa"/>
            <w:vAlign w:val="center"/>
            <w:hideMark/>
          </w:tcPr>
          <w:p w14:paraId="199669F5" w14:textId="77777777" w:rsidR="00E80871" w:rsidRPr="00E80871" w:rsidRDefault="00E80871" w:rsidP="00A57A70">
            <w:pPr>
              <w:pStyle w:val="NormalWeb"/>
              <w:jc w:val="both"/>
              <w:rPr>
                <w:lang w:val="en-NG"/>
              </w:rPr>
            </w:pPr>
            <w:r w:rsidRPr="00E80871">
              <w:rPr>
                <w:lang w:val="en-NG"/>
              </w:rPr>
              <w:t>AI → FinTech</w:t>
            </w:r>
          </w:p>
        </w:tc>
        <w:tc>
          <w:tcPr>
            <w:tcW w:w="1037" w:type="dxa"/>
            <w:vAlign w:val="center"/>
            <w:hideMark/>
          </w:tcPr>
          <w:p w14:paraId="3A6B8A16" w14:textId="77777777" w:rsidR="00E80871" w:rsidRPr="00E80871" w:rsidRDefault="00E80871" w:rsidP="00A57A70">
            <w:pPr>
              <w:pStyle w:val="NormalWeb"/>
              <w:jc w:val="both"/>
              <w:rPr>
                <w:lang w:val="en-NG"/>
              </w:rPr>
            </w:pPr>
            <w:r w:rsidRPr="00E80871">
              <w:rPr>
                <w:lang w:val="en-NG"/>
              </w:rPr>
              <w:t>0.61</w:t>
            </w:r>
          </w:p>
        </w:tc>
        <w:tc>
          <w:tcPr>
            <w:tcW w:w="962" w:type="dxa"/>
            <w:vAlign w:val="center"/>
            <w:hideMark/>
          </w:tcPr>
          <w:p w14:paraId="4A9D482B" w14:textId="77777777" w:rsidR="00E80871" w:rsidRPr="00E80871" w:rsidRDefault="00E80871" w:rsidP="00A57A70">
            <w:pPr>
              <w:pStyle w:val="NormalWeb"/>
              <w:jc w:val="both"/>
              <w:rPr>
                <w:lang w:val="en-NG"/>
              </w:rPr>
            </w:pPr>
            <w:r w:rsidRPr="00E80871">
              <w:rPr>
                <w:lang w:val="en-NG"/>
              </w:rPr>
              <w:t>9.45</w:t>
            </w:r>
          </w:p>
        </w:tc>
        <w:tc>
          <w:tcPr>
            <w:tcW w:w="1104" w:type="dxa"/>
            <w:vAlign w:val="center"/>
            <w:hideMark/>
          </w:tcPr>
          <w:p w14:paraId="0EE6776F" w14:textId="77777777" w:rsidR="00E80871" w:rsidRPr="00E80871" w:rsidRDefault="00E80871" w:rsidP="00A57A70">
            <w:pPr>
              <w:pStyle w:val="NormalWeb"/>
              <w:jc w:val="both"/>
              <w:rPr>
                <w:lang w:val="en-NG"/>
              </w:rPr>
            </w:pPr>
            <w:r w:rsidRPr="00E80871">
              <w:rPr>
                <w:lang w:val="en-NG"/>
              </w:rPr>
              <w:t>0.000</w:t>
            </w:r>
          </w:p>
        </w:tc>
        <w:tc>
          <w:tcPr>
            <w:tcW w:w="0" w:type="auto"/>
            <w:vAlign w:val="center"/>
            <w:hideMark/>
          </w:tcPr>
          <w:p w14:paraId="3A80A0AF" w14:textId="77777777" w:rsidR="00E80871" w:rsidRPr="00E80871" w:rsidRDefault="00E80871" w:rsidP="00A57A70">
            <w:pPr>
              <w:pStyle w:val="NormalWeb"/>
              <w:jc w:val="both"/>
              <w:rPr>
                <w:lang w:val="en-NG"/>
              </w:rPr>
            </w:pPr>
            <w:r w:rsidRPr="00E80871">
              <w:rPr>
                <w:lang w:val="en-NG"/>
              </w:rPr>
              <w:t>Supported</w:t>
            </w:r>
          </w:p>
        </w:tc>
      </w:tr>
      <w:tr w:rsidR="00E80871" w:rsidRPr="00E80871" w14:paraId="52AC5D65" w14:textId="77777777" w:rsidTr="00E270A5">
        <w:trPr>
          <w:tblCellSpacing w:w="15" w:type="dxa"/>
        </w:trPr>
        <w:tc>
          <w:tcPr>
            <w:tcW w:w="1373" w:type="dxa"/>
            <w:vAlign w:val="center"/>
            <w:hideMark/>
          </w:tcPr>
          <w:p w14:paraId="0BF047A8" w14:textId="77777777" w:rsidR="00E80871" w:rsidRPr="00E80871" w:rsidRDefault="00E80871" w:rsidP="003B4278">
            <w:pPr>
              <w:pStyle w:val="NormalWeb"/>
              <w:jc w:val="both"/>
              <w:rPr>
                <w:lang w:val="en-NG"/>
              </w:rPr>
            </w:pPr>
            <w:r w:rsidRPr="00E80871">
              <w:rPr>
                <w:lang w:val="en-NG"/>
              </w:rPr>
              <w:t>H3</w:t>
            </w:r>
          </w:p>
        </w:tc>
        <w:tc>
          <w:tcPr>
            <w:tcW w:w="2730" w:type="dxa"/>
            <w:vAlign w:val="center"/>
            <w:hideMark/>
          </w:tcPr>
          <w:p w14:paraId="1BF9A2AB" w14:textId="77777777" w:rsidR="00E80871" w:rsidRPr="00E80871" w:rsidRDefault="00E80871" w:rsidP="00A57A70">
            <w:pPr>
              <w:pStyle w:val="NormalWeb"/>
              <w:jc w:val="both"/>
              <w:rPr>
                <w:lang w:val="en-NG"/>
              </w:rPr>
            </w:pPr>
            <w:r w:rsidRPr="00E80871">
              <w:rPr>
                <w:lang w:val="en-NG"/>
              </w:rPr>
              <w:t>FinTech → FDM</w:t>
            </w:r>
          </w:p>
        </w:tc>
        <w:tc>
          <w:tcPr>
            <w:tcW w:w="1037" w:type="dxa"/>
            <w:vAlign w:val="center"/>
            <w:hideMark/>
          </w:tcPr>
          <w:p w14:paraId="52E23B28" w14:textId="77777777" w:rsidR="00E80871" w:rsidRPr="00E80871" w:rsidRDefault="00E80871" w:rsidP="00A57A70">
            <w:pPr>
              <w:pStyle w:val="NormalWeb"/>
              <w:jc w:val="both"/>
              <w:rPr>
                <w:lang w:val="en-NG"/>
              </w:rPr>
            </w:pPr>
            <w:r w:rsidRPr="00E80871">
              <w:rPr>
                <w:lang w:val="en-NG"/>
              </w:rPr>
              <w:t>0.43</w:t>
            </w:r>
          </w:p>
        </w:tc>
        <w:tc>
          <w:tcPr>
            <w:tcW w:w="962" w:type="dxa"/>
            <w:vAlign w:val="center"/>
            <w:hideMark/>
          </w:tcPr>
          <w:p w14:paraId="4C0460D8" w14:textId="77777777" w:rsidR="00E80871" w:rsidRPr="00E80871" w:rsidRDefault="00E80871" w:rsidP="00A57A70">
            <w:pPr>
              <w:pStyle w:val="NormalWeb"/>
              <w:jc w:val="both"/>
              <w:rPr>
                <w:lang w:val="en-NG"/>
              </w:rPr>
            </w:pPr>
            <w:r w:rsidRPr="00E80871">
              <w:rPr>
                <w:lang w:val="en-NG"/>
              </w:rPr>
              <w:t>6.88</w:t>
            </w:r>
          </w:p>
        </w:tc>
        <w:tc>
          <w:tcPr>
            <w:tcW w:w="1104" w:type="dxa"/>
            <w:vAlign w:val="center"/>
            <w:hideMark/>
          </w:tcPr>
          <w:p w14:paraId="5F042D36" w14:textId="77777777" w:rsidR="00E80871" w:rsidRPr="00E80871" w:rsidRDefault="00E80871" w:rsidP="00A57A70">
            <w:pPr>
              <w:pStyle w:val="NormalWeb"/>
              <w:jc w:val="both"/>
              <w:rPr>
                <w:lang w:val="en-NG"/>
              </w:rPr>
            </w:pPr>
            <w:r w:rsidRPr="00E80871">
              <w:rPr>
                <w:lang w:val="en-NG"/>
              </w:rPr>
              <w:t>0.000</w:t>
            </w:r>
          </w:p>
        </w:tc>
        <w:tc>
          <w:tcPr>
            <w:tcW w:w="0" w:type="auto"/>
            <w:vAlign w:val="center"/>
            <w:hideMark/>
          </w:tcPr>
          <w:p w14:paraId="3E475C4A" w14:textId="77777777" w:rsidR="00E80871" w:rsidRPr="00E80871" w:rsidRDefault="00E80871" w:rsidP="00A57A70">
            <w:pPr>
              <w:pStyle w:val="NormalWeb"/>
              <w:jc w:val="both"/>
              <w:rPr>
                <w:lang w:val="en-NG"/>
              </w:rPr>
            </w:pPr>
            <w:r w:rsidRPr="00E80871">
              <w:rPr>
                <w:lang w:val="en-NG"/>
              </w:rPr>
              <w:t>Supported</w:t>
            </w:r>
          </w:p>
        </w:tc>
      </w:tr>
      <w:tr w:rsidR="00E80871" w:rsidRPr="00E80871" w14:paraId="73C0D3C2" w14:textId="77777777" w:rsidTr="00E270A5">
        <w:trPr>
          <w:tblCellSpacing w:w="15" w:type="dxa"/>
        </w:trPr>
        <w:tc>
          <w:tcPr>
            <w:tcW w:w="1373" w:type="dxa"/>
            <w:tcBorders>
              <w:bottom w:val="single" w:sz="12" w:space="0" w:color="auto"/>
            </w:tcBorders>
            <w:vAlign w:val="center"/>
            <w:hideMark/>
          </w:tcPr>
          <w:p w14:paraId="3987D5B7" w14:textId="77777777" w:rsidR="00E80871" w:rsidRPr="00E80871" w:rsidRDefault="00E80871" w:rsidP="00E270A5">
            <w:pPr>
              <w:pStyle w:val="NormalWeb"/>
              <w:spacing w:before="0" w:beforeAutospacing="0" w:after="0" w:afterAutospacing="0"/>
              <w:jc w:val="both"/>
              <w:rPr>
                <w:lang w:val="en-NG"/>
              </w:rPr>
            </w:pPr>
            <w:r w:rsidRPr="00E80871">
              <w:rPr>
                <w:lang w:val="en-NG"/>
              </w:rPr>
              <w:t>H4</w:t>
            </w:r>
          </w:p>
        </w:tc>
        <w:tc>
          <w:tcPr>
            <w:tcW w:w="2730" w:type="dxa"/>
            <w:tcBorders>
              <w:bottom w:val="single" w:sz="12" w:space="0" w:color="auto"/>
            </w:tcBorders>
            <w:vAlign w:val="center"/>
            <w:hideMark/>
          </w:tcPr>
          <w:p w14:paraId="2B1EA825" w14:textId="77777777" w:rsidR="00E80871" w:rsidRPr="00E80871" w:rsidRDefault="00E80871" w:rsidP="00E270A5">
            <w:pPr>
              <w:pStyle w:val="NormalWeb"/>
              <w:spacing w:before="0" w:beforeAutospacing="0" w:after="0" w:afterAutospacing="0"/>
              <w:jc w:val="both"/>
              <w:rPr>
                <w:lang w:val="en-NG"/>
              </w:rPr>
            </w:pPr>
            <w:r w:rsidRPr="00E80871">
              <w:rPr>
                <w:lang w:val="en-NG"/>
              </w:rPr>
              <w:t>AI → FinTech → FDM</w:t>
            </w:r>
          </w:p>
        </w:tc>
        <w:tc>
          <w:tcPr>
            <w:tcW w:w="1037" w:type="dxa"/>
            <w:tcBorders>
              <w:bottom w:val="single" w:sz="12" w:space="0" w:color="auto"/>
            </w:tcBorders>
            <w:vAlign w:val="center"/>
            <w:hideMark/>
          </w:tcPr>
          <w:p w14:paraId="5225650A" w14:textId="77777777" w:rsidR="00E80871" w:rsidRPr="00E80871" w:rsidRDefault="00E80871" w:rsidP="00E270A5">
            <w:pPr>
              <w:pStyle w:val="NormalWeb"/>
              <w:spacing w:before="0" w:beforeAutospacing="0" w:after="0" w:afterAutospacing="0"/>
              <w:jc w:val="both"/>
              <w:rPr>
                <w:lang w:val="en-NG"/>
              </w:rPr>
            </w:pPr>
            <w:r w:rsidRPr="00E80871">
              <w:rPr>
                <w:lang w:val="en-NG"/>
              </w:rPr>
              <w:t>0.26</w:t>
            </w:r>
          </w:p>
        </w:tc>
        <w:tc>
          <w:tcPr>
            <w:tcW w:w="962" w:type="dxa"/>
            <w:tcBorders>
              <w:bottom w:val="single" w:sz="12" w:space="0" w:color="auto"/>
            </w:tcBorders>
            <w:vAlign w:val="center"/>
            <w:hideMark/>
          </w:tcPr>
          <w:p w14:paraId="7FA2030D" w14:textId="77777777" w:rsidR="00E80871" w:rsidRPr="00E80871" w:rsidRDefault="00E80871" w:rsidP="00E270A5">
            <w:pPr>
              <w:pStyle w:val="NormalWeb"/>
              <w:spacing w:before="0" w:beforeAutospacing="0" w:after="0" w:afterAutospacing="0"/>
              <w:jc w:val="both"/>
              <w:rPr>
                <w:lang w:val="en-NG"/>
              </w:rPr>
            </w:pPr>
            <w:r w:rsidRPr="00E80871">
              <w:rPr>
                <w:lang w:val="en-NG"/>
              </w:rPr>
              <w:t>5.73</w:t>
            </w:r>
          </w:p>
        </w:tc>
        <w:tc>
          <w:tcPr>
            <w:tcW w:w="1104" w:type="dxa"/>
            <w:tcBorders>
              <w:bottom w:val="single" w:sz="12" w:space="0" w:color="auto"/>
            </w:tcBorders>
            <w:vAlign w:val="center"/>
            <w:hideMark/>
          </w:tcPr>
          <w:p w14:paraId="055C0270" w14:textId="77777777" w:rsidR="00E80871" w:rsidRPr="00E80871" w:rsidRDefault="00E80871" w:rsidP="00E270A5">
            <w:pPr>
              <w:pStyle w:val="NormalWeb"/>
              <w:spacing w:before="0" w:beforeAutospacing="0" w:after="0" w:afterAutospacing="0"/>
              <w:jc w:val="both"/>
              <w:rPr>
                <w:lang w:val="en-NG"/>
              </w:rPr>
            </w:pPr>
            <w:r w:rsidRPr="00E80871">
              <w:rPr>
                <w:lang w:val="en-NG"/>
              </w:rPr>
              <w:t>0.000</w:t>
            </w:r>
          </w:p>
        </w:tc>
        <w:tc>
          <w:tcPr>
            <w:tcW w:w="0" w:type="auto"/>
            <w:tcBorders>
              <w:bottom w:val="single" w:sz="12" w:space="0" w:color="auto"/>
            </w:tcBorders>
            <w:vAlign w:val="center"/>
            <w:hideMark/>
          </w:tcPr>
          <w:p w14:paraId="35D627C7" w14:textId="77777777" w:rsidR="00E80871" w:rsidRPr="00E80871" w:rsidRDefault="00E80871" w:rsidP="00E270A5">
            <w:pPr>
              <w:pStyle w:val="NormalWeb"/>
              <w:spacing w:before="0" w:beforeAutospacing="0" w:after="0" w:afterAutospacing="0"/>
              <w:jc w:val="both"/>
              <w:rPr>
                <w:lang w:val="en-NG"/>
              </w:rPr>
            </w:pPr>
            <w:r w:rsidRPr="00E80871">
              <w:rPr>
                <w:lang w:val="en-NG"/>
              </w:rPr>
              <w:t>Supported</w:t>
            </w:r>
          </w:p>
        </w:tc>
      </w:tr>
    </w:tbl>
    <w:p w14:paraId="4788AAD8" w14:textId="77777777" w:rsidR="00E80871" w:rsidRPr="00E80871" w:rsidRDefault="00E80871" w:rsidP="00E270A5">
      <w:pPr>
        <w:pStyle w:val="NormalWeb"/>
        <w:spacing w:before="0" w:beforeAutospacing="0" w:after="0" w:afterAutospacing="0"/>
        <w:jc w:val="both"/>
        <w:rPr>
          <w:lang w:val="en-NG"/>
        </w:rPr>
      </w:pPr>
      <w:r w:rsidRPr="00E80871">
        <w:rPr>
          <w:i/>
          <w:iCs/>
          <w:lang w:val="en-NG"/>
        </w:rPr>
        <w:t>Note.</w:t>
      </w:r>
      <w:r w:rsidRPr="00E80871">
        <w:rPr>
          <w:lang w:val="en-NG"/>
        </w:rPr>
        <w:t xml:space="preserve"> Hypotheses are supported where p &lt; 0.05.</w:t>
      </w:r>
    </w:p>
    <w:p w14:paraId="610EF390" w14:textId="77777777" w:rsidR="00E80871" w:rsidRPr="00E80871" w:rsidRDefault="00E80871" w:rsidP="003B4278">
      <w:pPr>
        <w:pStyle w:val="NormalWeb"/>
        <w:jc w:val="both"/>
        <w:rPr>
          <w:lang w:val="en-NG"/>
        </w:rPr>
      </w:pPr>
      <w:r w:rsidRPr="00E80871">
        <w:rPr>
          <w:lang w:val="en-NG"/>
        </w:rPr>
        <w:t xml:space="preserve">Table 5 presents the summary of hypothesis testing results. The findings reveal that all hypothesized relationships were positive and statistically significant at the 5% significance level. Specifically, Artificial Intelligence (AI) significantly improved Financial Decision-Making </w:t>
      </w:r>
      <w:r w:rsidRPr="00E80871">
        <w:rPr>
          <w:lang w:val="en-NG"/>
        </w:rPr>
        <w:lastRenderedPageBreak/>
        <w:t>(FDM) and strongly influenced Financial Technology (FinTech) adoption and utilisation within Nigeria’s financial ecosystem.</w:t>
      </w:r>
    </w:p>
    <w:p w14:paraId="15A2C603" w14:textId="77777777" w:rsidR="00E80871" w:rsidRPr="00E80871" w:rsidRDefault="00E80871" w:rsidP="00A57A70">
      <w:pPr>
        <w:pStyle w:val="NormalWeb"/>
        <w:jc w:val="both"/>
        <w:rPr>
          <w:lang w:val="en-NG"/>
        </w:rPr>
      </w:pPr>
      <w:r w:rsidRPr="00E80871">
        <w:rPr>
          <w:lang w:val="en-NG"/>
        </w:rPr>
        <w:t>The results further demonstrate that Financial Technology (FinTech) significantly enhanced financial decision-making, indicating that digital financial platforms improve transaction efficiency, accessibility, and real-time financial operations. In addition, the mediation results confirm that FinTech significantly mediates the relationship between AI and financial decision-making.</w:t>
      </w:r>
    </w:p>
    <w:p w14:paraId="20932DBE" w14:textId="77777777" w:rsidR="00E80871" w:rsidRPr="00E80871" w:rsidRDefault="00E80871" w:rsidP="00A57A70">
      <w:pPr>
        <w:pStyle w:val="NormalWeb"/>
        <w:jc w:val="both"/>
        <w:rPr>
          <w:lang w:val="en-NG"/>
        </w:rPr>
      </w:pPr>
      <w:r w:rsidRPr="00E80871">
        <w:rPr>
          <w:lang w:val="en-NG"/>
        </w:rPr>
        <w:t>Collectively, the findings suggest that AI and FinTech function as complementary technologies within modern digital financial systems, with FinTech serving as an operational mechanism through which AI capabilities are translated into practical financial decision outcomes.</w:t>
      </w:r>
    </w:p>
    <w:p w14:paraId="2BDCCBB9" w14:textId="496FB962" w:rsidR="008904D1" w:rsidRPr="008904D1" w:rsidRDefault="00760B0C" w:rsidP="00760B0C">
      <w:pPr>
        <w:pStyle w:val="NormalWeb"/>
        <w:jc w:val="both"/>
        <w:rPr>
          <w:b/>
          <w:bCs/>
          <w:lang w:val="en-NG"/>
        </w:rPr>
      </w:pPr>
      <w:r w:rsidRPr="008904D1">
        <w:rPr>
          <w:b/>
          <w:bCs/>
          <w:lang w:val="en-NG"/>
        </w:rPr>
        <w:t>DISCUSSION OF FINDINGS</w:t>
      </w:r>
    </w:p>
    <w:p w14:paraId="5C06D8F4"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The findings of this study provide strong empirical evidence regarding the integrated relationship between Artificial Intelligence (AI), Financial Technology (FinTech), and financial decision-making within Nigeria’s digital financial ecosystem. The results also offer important theoretical and practical insights into how intelligent digital technologies improve financial operations, innovation, and strategic decision processes in emerging economies.</w:t>
      </w:r>
    </w:p>
    <w:p w14:paraId="0DBDFCA2"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The study revealed that Artificial Intelligence (AI) exerts a positive and statistically significant effect on financial decision-making. This result suggests that AI-driven technologies enhance the speed, accuracy, quality, and efficiency of financial decisions through predictive analytics, intelligent automation, and improved information-processing capability. The finding implies that financial institutions and digitally active financial actors increasingly rely on intelligent systems to support operational and strategic financial decisions within Nigeria’s rapidly evolving digital economy.</w:t>
      </w:r>
    </w:p>
    <w:p w14:paraId="4C918D38"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This result is consistent with previous empirical studies such as Alles (2021), Appelbaum et al. (2022), and Kumar et al. (2022), which demonstrated that AI improves operational efficiency, fraud detection, risk assessment, and decision accuracy through advanced analytics and machine learning systems. The outcome also supports Decision Theory, which posits that rational decision-making improves when decision-makers have access to higher-quality information, predictive analytical tools, and enhanced information-processing capability (Simon, 1977). In the Nigerian context, the result suggests that AI-driven systems can improve investment analysis, credit evaluation, financial forecasting, and risk management within financial institutions and digital financial platforms.</w:t>
      </w:r>
    </w:p>
    <w:p w14:paraId="06E38A4B"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However, the relatively moderate coefficient of the direct AI–financial decision-making relationship compared to other relationships within the model suggests that technological sophistication alone may not automatically guarantee optimal financial decision outcomes. This may indicate the existence of institutional, infrastructural, and technological integration challenges that constrain the full operational effectiveness of AI within Nigeria’s financial ecosystem. Inadequate digital infrastructure, inconsistent regulatory frameworks, cybersecurity concerns, and limited digital literacy may reduce the direct influence of AI on financial decision processes.</w:t>
      </w:r>
    </w:p>
    <w:p w14:paraId="623D16C4"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lastRenderedPageBreak/>
        <w:t>The findings further revealed that AI exerts a strong positive and statistically significant effect on Financial Technology (FinTech) adoption and utilisation. This result indicates that AI functions as a major technological driver of digital financial innovation and transformation within Nigeria’s financial sector. The strength of the relationship further suggests that AI substantially improves automation capability, operational efficiency, scalability, predictive intelligence, and intelligent service delivery within FinTech platforms.</w:t>
      </w:r>
    </w:p>
    <w:p w14:paraId="5C9F4DE5"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This finding corroborates the studies of Dwivedi et al. (2021) and Frost et al. (2021), which argued that AI strengthens the effectiveness of digital financial systems through automation, predictive intelligence, enhanced data processing, and personalised financial services. The result also supports the Diffusion of Innovation (DOI) Theory, which explains how technological innovations such as AI are adopted, operationalised, and diffused through enabling technological systems such as FinTech platforms.</w:t>
      </w:r>
    </w:p>
    <w:p w14:paraId="667C2B39"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Fundamentally, AI serves as the innovation driver, while FinTech functions as the operational and diffusion mechanism through which intelligent technologies are implemented within financial systems. The strong coefficient observed in the study therefore suggests that FinTech platforms in Nigeria are increasingly becoming AI-enabled systems rather than merely stand-alone digital financial technologies. This reflects the growing convergence between intelligent technologies and digital financial infrastructure within modern financial ecosystems.</w:t>
      </w:r>
    </w:p>
    <w:p w14:paraId="44930C2A"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The study also revealed that FinTech significantly improves financial decision-making. This finding suggests that digital financial platforms enhance transaction efficiency, financial accessibility, operational speed, service delivery, and real-time information processing, thereby improving financial decision outcomes among individuals, businesses, and financial institutions.</w:t>
      </w:r>
    </w:p>
    <w:p w14:paraId="584674A8"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 xml:space="preserve">This outcome aligns with the studies of Lee and Shin (2018) and </w:t>
      </w:r>
      <w:proofErr w:type="spellStart"/>
      <w:r w:rsidRPr="003277A5">
        <w:rPr>
          <w:rFonts w:ascii="Times New Roman" w:eastAsia="Times New Roman" w:hAnsi="Times New Roman" w:cs="Times New Roman"/>
          <w:kern w:val="0"/>
          <w:lang w:val="en-NG" w:eastAsia="en-GB"/>
          <w14:ligatures w14:val="none"/>
        </w:rPr>
        <w:t>Gomber</w:t>
      </w:r>
      <w:proofErr w:type="spellEnd"/>
      <w:r w:rsidRPr="003277A5">
        <w:rPr>
          <w:rFonts w:ascii="Times New Roman" w:eastAsia="Times New Roman" w:hAnsi="Times New Roman" w:cs="Times New Roman"/>
          <w:kern w:val="0"/>
          <w:lang w:val="en-NG" w:eastAsia="en-GB"/>
          <w14:ligatures w14:val="none"/>
        </w:rPr>
        <w:t xml:space="preserve"> et al. (2021), which emphasised the role of FinTech in improving transaction efficiency, reducing operational costs, and facilitating real-time financial service delivery. The result also supports reports by the Central Bank of Nigeria (2023), which indicate that digital financial services have improved accessibility, operational efficiency, and financial inclusion within Nigeria’s financial sector. The implication is that FinTech platforms have become important instruments for facilitating intelligent and technology-enabled financial decision processes within emerging digital economies.</w:t>
      </w:r>
    </w:p>
    <w:p w14:paraId="21F64339"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The finding further supports the Technology–Organization–Environment (TOE) Framework, which emphasises that technological infrastructure significantly influences organisational outcomes and operational effectiveness. In this context, FinTech platforms provide the technological infrastructure through which intelligent digital capabilities are transformed into practical financial actions and decision processes. Consequently, the effectiveness of AI-driven financial systems depends substantially on the quality, accessibility, and operational capacity of FinTech infrastructure.</w:t>
      </w:r>
    </w:p>
    <w:p w14:paraId="7F7DB4A6"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The most significant outcome of the study is that FinTech significantly mediates the relationship between AI and financial decision-making. The mediation analysis revealed that while AI directly improves financial decision-making, a substantial proportion of its influence operates indirectly through FinTech-enabled digital financial systems. The significance of both the direct and indirect effects confirms partial mediation.</w:t>
      </w:r>
    </w:p>
    <w:p w14:paraId="1488476F"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lastRenderedPageBreak/>
        <w:t>This result represents the major contribution of the study because it empirically validates a relationship that has largely been theorised but insufficiently tested within existing literature, particularly in developing economies such as Nigeria. Although previous studies such as Frost et al. (2021) and Shao et al. (2024) suggested that digital platforms function as channels for technological influence, this study specifically demonstrates the mediating mechanism through which FinTech operationalises AI capabilities within financial decision-making systems.</w:t>
      </w:r>
    </w:p>
    <w:p w14:paraId="4B291C01"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The mediation outcome therefore implies that the effectiveness of AI in financial decision-making is substantially strengthened when integrated into functional FinTech systems. In essence, AI provides predictive intelligence, automation, and analytical capability, while FinTech provides the digital infrastructure and operational platforms through which these capabilities are implemented in practical financial activities. This confirms that AI and FinTech are increasingly complementary technologies within modern financial systems rather than isolated technological innovations.</w:t>
      </w:r>
    </w:p>
    <w:p w14:paraId="0324326D"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From a broader perspective, the findings suggest that digital financial transformation within emerging economies requires more than the mere adoption of intelligent technologies. Effective digital transformation also depends on supportive institutional structures, functional digital infrastructure, regulatory readiness, and technological integration capability. Consequently, the practical value of AI within financial systems is significantly enhanced when embedded within efficient and accessible FinTech ecosystems.</w:t>
      </w:r>
    </w:p>
    <w:p w14:paraId="1EAF2DD5"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From a practical standpoint, the findings imply that financial institutions, FinTech firms, regulators, and policymakers should prioritise investments in AI-enabled digital financial infrastructure, institutional technological readiness, cybersecurity systems, and digital literacy programmes. Strengthening these areas will improve the operational effectiveness of AI-driven FinTech solutions and accelerate digital financial transformation within Nigeria’s financial ecosystem.</w:t>
      </w:r>
    </w:p>
    <w:p w14:paraId="178BD4C7" w14:textId="19323718" w:rsidR="005C30A1" w:rsidRPr="008904D1" w:rsidRDefault="00760B0C" w:rsidP="003B4278">
      <w:pPr>
        <w:spacing w:line="240" w:lineRule="auto"/>
        <w:jc w:val="both"/>
        <w:rPr>
          <w:rFonts w:ascii="Times New Roman" w:hAnsi="Times New Roman" w:cs="Times New Roman"/>
          <w:b/>
          <w:bCs/>
        </w:rPr>
      </w:pPr>
      <w:r w:rsidRPr="008904D1">
        <w:rPr>
          <w:rFonts w:ascii="Times New Roman" w:hAnsi="Times New Roman" w:cs="Times New Roman"/>
          <w:b/>
          <w:bCs/>
        </w:rPr>
        <w:t>CONCLUSION</w:t>
      </w:r>
    </w:p>
    <w:p w14:paraId="2BA28D68" w14:textId="77777777" w:rsidR="008904D1" w:rsidRPr="008904D1" w:rsidRDefault="008904D1" w:rsidP="003B4278">
      <w:pPr>
        <w:spacing w:line="240" w:lineRule="auto"/>
        <w:jc w:val="both"/>
        <w:rPr>
          <w:rFonts w:ascii="Times New Roman" w:hAnsi="Times New Roman" w:cs="Times New Roman"/>
          <w:lang w:val="en-NG"/>
        </w:rPr>
      </w:pPr>
      <w:r w:rsidRPr="008904D1">
        <w:rPr>
          <w:rFonts w:ascii="Times New Roman" w:hAnsi="Times New Roman" w:cs="Times New Roman"/>
          <w:lang w:val="en-NG"/>
        </w:rPr>
        <w:t>This study examined the mediating role of Financial Technology (FinTech) in the relationship between Artificial Intelligence (AI) and financial decision-making within Nigeria’s digital financial ecosystem. Specifically, the study investigated the direct effect of AI on financial decision-making, the influence of AI on FinTech adoption and utilisation, the effect of FinTech on financial decision-making, and the mediating role of FinTech in the AI–financial decision-making relationship.</w:t>
      </w:r>
    </w:p>
    <w:p w14:paraId="16178628" w14:textId="77777777" w:rsidR="008904D1" w:rsidRPr="008904D1" w:rsidRDefault="008904D1" w:rsidP="003B4278">
      <w:pPr>
        <w:spacing w:line="240" w:lineRule="auto"/>
        <w:jc w:val="both"/>
        <w:rPr>
          <w:rFonts w:ascii="Times New Roman" w:hAnsi="Times New Roman" w:cs="Times New Roman"/>
          <w:lang w:val="en-NG"/>
        </w:rPr>
      </w:pPr>
      <w:r w:rsidRPr="008904D1">
        <w:rPr>
          <w:rFonts w:ascii="Times New Roman" w:hAnsi="Times New Roman" w:cs="Times New Roman"/>
          <w:lang w:val="en-NG"/>
        </w:rPr>
        <w:t>The findings revealed that AI significantly improves financial decision-making through enhanced predictive capability, automation, analytical efficiency, and information-processing capability. The study further established that AI exerts a strong positive influence on FinTech adoption and utilisation, indicating that intelligent technologies are increasingly driving digital financial innovation and transformation within Nigeria’s financial sector.</w:t>
      </w:r>
    </w:p>
    <w:p w14:paraId="1F8268ED" w14:textId="77777777" w:rsidR="008904D1" w:rsidRPr="008904D1" w:rsidRDefault="008904D1" w:rsidP="003B4278">
      <w:pPr>
        <w:spacing w:line="240" w:lineRule="auto"/>
        <w:jc w:val="both"/>
        <w:rPr>
          <w:rFonts w:ascii="Times New Roman" w:hAnsi="Times New Roman" w:cs="Times New Roman"/>
          <w:lang w:val="en-NG"/>
        </w:rPr>
      </w:pPr>
      <w:r w:rsidRPr="008904D1">
        <w:rPr>
          <w:rFonts w:ascii="Times New Roman" w:hAnsi="Times New Roman" w:cs="Times New Roman"/>
          <w:lang w:val="en-NG"/>
        </w:rPr>
        <w:t>The results also demonstrated that FinTech significantly enhances financial decision-making through improved transaction efficiency, operational speed, financial accessibility, and real-time information processing. Most importantly, the study confirmed that FinTech significantly mediates the relationship between AI and financial decision-making, indicating that a substantial proportion of AI’s influence on financial decision outcomes is operationalised through FinTech-enabled digital financial systems.</w:t>
      </w:r>
    </w:p>
    <w:p w14:paraId="69000F02" w14:textId="77777777" w:rsidR="008904D1" w:rsidRPr="008904D1" w:rsidRDefault="008904D1" w:rsidP="003B4278">
      <w:pPr>
        <w:spacing w:line="240" w:lineRule="auto"/>
        <w:jc w:val="both"/>
        <w:rPr>
          <w:rFonts w:ascii="Times New Roman" w:hAnsi="Times New Roman" w:cs="Times New Roman"/>
          <w:lang w:val="en-NG"/>
        </w:rPr>
      </w:pPr>
      <w:r w:rsidRPr="008904D1">
        <w:rPr>
          <w:rFonts w:ascii="Times New Roman" w:hAnsi="Times New Roman" w:cs="Times New Roman"/>
          <w:lang w:val="en-NG"/>
        </w:rPr>
        <w:lastRenderedPageBreak/>
        <w:t>The study therefore concludes that AI and FinTech are complementary technologies within modern financial systems rather than isolated technological innovations. While AI provides predictive intelligence, automation, and analytical capability, FinTech provides the digital infrastructure and operational platforms through which these capabilities are transformed into practical financial decision outcomes.</w:t>
      </w:r>
    </w:p>
    <w:p w14:paraId="424CA16F" w14:textId="77777777" w:rsidR="008904D1" w:rsidRPr="008904D1" w:rsidRDefault="008904D1" w:rsidP="003B4278">
      <w:pPr>
        <w:spacing w:line="240" w:lineRule="auto"/>
        <w:jc w:val="both"/>
        <w:rPr>
          <w:rFonts w:ascii="Times New Roman" w:hAnsi="Times New Roman" w:cs="Times New Roman"/>
          <w:lang w:val="en-NG"/>
        </w:rPr>
      </w:pPr>
      <w:r w:rsidRPr="008904D1">
        <w:rPr>
          <w:rFonts w:ascii="Times New Roman" w:hAnsi="Times New Roman" w:cs="Times New Roman"/>
          <w:lang w:val="en-NG"/>
        </w:rPr>
        <w:t>The study contributes to existing literature by empirically validating the mediating mechanism through which FinTech operationalises AI capabilities within financial decision-making systems, particularly within the context of a developing economy such as Nigeria. The findings further reinforce the relevance of Decision Theory, the Diffusion of Innovation (DOI) Theory, and the Technology–Organization–Environment (TOE) Framework in explaining the interaction between intelligent technologies, digital financial systems, and financial decision processes.</w:t>
      </w:r>
    </w:p>
    <w:p w14:paraId="10D9F3C6" w14:textId="77777777" w:rsidR="008904D1" w:rsidRPr="008904D1" w:rsidRDefault="008904D1" w:rsidP="003B4278">
      <w:pPr>
        <w:spacing w:line="240" w:lineRule="auto"/>
        <w:jc w:val="both"/>
        <w:rPr>
          <w:rFonts w:ascii="Times New Roman" w:hAnsi="Times New Roman" w:cs="Times New Roman"/>
          <w:lang w:val="en-NG"/>
        </w:rPr>
      </w:pPr>
      <w:r w:rsidRPr="008904D1">
        <w:rPr>
          <w:rFonts w:ascii="Times New Roman" w:hAnsi="Times New Roman" w:cs="Times New Roman"/>
          <w:lang w:val="en-NG"/>
        </w:rPr>
        <w:t>From a practical perspective, the study highlights the need for financial institutions, FinTech firms, regulators, and policymakers to prioritise investments in AI-enabled digital financial infrastructure, institutional technological readiness, digital literacy, and supportive regulatory systems. Strengthening these areas will improve the effectiveness of AI-driven FinTech solutions and accelerate digital financial transformation within Nigeria’s financial ecosystem.</w:t>
      </w:r>
    </w:p>
    <w:p w14:paraId="14699B3E" w14:textId="4AF22E03" w:rsidR="008904D1" w:rsidRPr="008904D1" w:rsidRDefault="008904D1" w:rsidP="003B4278">
      <w:pPr>
        <w:spacing w:line="240" w:lineRule="auto"/>
        <w:jc w:val="both"/>
        <w:rPr>
          <w:rFonts w:ascii="Times New Roman" w:hAnsi="Times New Roman" w:cs="Times New Roman"/>
          <w:lang w:val="en-NG"/>
        </w:rPr>
      </w:pPr>
      <w:r>
        <w:rPr>
          <w:rFonts w:ascii="Times New Roman" w:hAnsi="Times New Roman" w:cs="Times New Roman"/>
          <w:lang w:val="en-NG"/>
        </w:rPr>
        <w:t>Finally</w:t>
      </w:r>
      <w:r w:rsidRPr="008904D1">
        <w:rPr>
          <w:rFonts w:ascii="Times New Roman" w:hAnsi="Times New Roman" w:cs="Times New Roman"/>
          <w:lang w:val="en-NG"/>
        </w:rPr>
        <w:t>, the study demonstrates that the effectiveness of AI in financial decision-making is significantly strengthened when integrated into functional FinTech systems. Consequently, FinTech serves as the operational mechanism through which AI capabilities are translated into efficient, intelligent, and practical financial decision-making outcomes within Nigeria’s digital economy.</w:t>
      </w:r>
    </w:p>
    <w:p w14:paraId="11E4DB5C" w14:textId="7A058ACE" w:rsidR="00E90AA1" w:rsidRPr="003277A5" w:rsidRDefault="00760B0C" w:rsidP="003B4278">
      <w:pPr>
        <w:spacing w:line="240" w:lineRule="auto"/>
        <w:jc w:val="both"/>
        <w:rPr>
          <w:rFonts w:ascii="Times New Roman" w:hAnsi="Times New Roman" w:cs="Times New Roman"/>
          <w:b/>
          <w:bCs/>
        </w:rPr>
      </w:pPr>
      <w:r w:rsidRPr="003277A5">
        <w:rPr>
          <w:rFonts w:ascii="Times New Roman" w:hAnsi="Times New Roman" w:cs="Times New Roman"/>
          <w:b/>
          <w:bCs/>
        </w:rPr>
        <w:t>RECOMMENDATIONS</w:t>
      </w:r>
    </w:p>
    <w:p w14:paraId="480CFC48" w14:textId="77777777" w:rsidR="003277A5" w:rsidRPr="003277A5" w:rsidRDefault="003277A5" w:rsidP="003B4278">
      <w:p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Based on the findings of this study, the following recommendations are proposed:</w:t>
      </w:r>
    </w:p>
    <w:p w14:paraId="3537316B" w14:textId="77777777" w:rsidR="003277A5" w:rsidRPr="003277A5" w:rsidRDefault="003277A5" w:rsidP="003B4278">
      <w:pPr>
        <w:numPr>
          <w:ilvl w:val="0"/>
          <w:numId w:val="12"/>
        </w:num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Financial institutions and FinTech firms in Nigeria should intensify investments in AI-enabled financial systems capable of improving predictive analytics, fraud detection, risk assessment, and real-time financial decision-making. This can be achieved through the integration of machine learning tools, intelligent automation systems, and AI-driven financial analytics into existing digital financial platforms.</w:t>
      </w:r>
    </w:p>
    <w:p w14:paraId="216FB8DB" w14:textId="77777777" w:rsidR="003277A5" w:rsidRPr="003277A5" w:rsidRDefault="003277A5" w:rsidP="003B4278">
      <w:pPr>
        <w:numPr>
          <w:ilvl w:val="0"/>
          <w:numId w:val="12"/>
        </w:num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Regulators and policymakers, particularly the Central Bank of Nigeria (CBN) and financial regulatory agencies, should establish supportive regulatory frameworks and digital infrastructure policies that encourage the responsible adoption of AI-driven FinTech innovations. This should include investments in digital infrastructure, cybersecurity systems, regulatory technology (</w:t>
      </w:r>
      <w:proofErr w:type="spellStart"/>
      <w:r w:rsidRPr="003277A5">
        <w:rPr>
          <w:rFonts w:ascii="Times New Roman" w:eastAsia="Times New Roman" w:hAnsi="Times New Roman" w:cs="Times New Roman"/>
          <w:kern w:val="0"/>
          <w:lang w:val="en-NG" w:eastAsia="en-GB"/>
          <w14:ligatures w14:val="none"/>
        </w:rPr>
        <w:t>RegTech</w:t>
      </w:r>
      <w:proofErr w:type="spellEnd"/>
      <w:r w:rsidRPr="003277A5">
        <w:rPr>
          <w:rFonts w:ascii="Times New Roman" w:eastAsia="Times New Roman" w:hAnsi="Times New Roman" w:cs="Times New Roman"/>
          <w:kern w:val="0"/>
          <w:lang w:val="en-NG" w:eastAsia="en-GB"/>
          <w14:ligatures w14:val="none"/>
        </w:rPr>
        <w:t>), and institutional digital literacy programmes to enhance the operational effectiveness of AI-enabled financial systems.</w:t>
      </w:r>
    </w:p>
    <w:p w14:paraId="56135B03" w14:textId="77777777" w:rsidR="003277A5" w:rsidRPr="003277A5" w:rsidRDefault="003277A5" w:rsidP="003B4278">
      <w:pPr>
        <w:numPr>
          <w:ilvl w:val="0"/>
          <w:numId w:val="12"/>
        </w:num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Financial institutions and FinTech operators should prioritise continuous training and digital capacity development for employees and users to improve technological readiness and effective utilisation of AI-driven financial platforms. This will reduce operational inefficiencies and enhance the quality of financial decision-making within Nigeria’s digital financial ecosystem.</w:t>
      </w:r>
    </w:p>
    <w:p w14:paraId="3F97576F" w14:textId="77777777" w:rsidR="003277A5" w:rsidRPr="003277A5" w:rsidRDefault="003277A5" w:rsidP="003B4278">
      <w:pPr>
        <w:numPr>
          <w:ilvl w:val="0"/>
          <w:numId w:val="12"/>
        </w:numPr>
        <w:spacing w:line="240" w:lineRule="auto"/>
        <w:jc w:val="both"/>
        <w:rPr>
          <w:rFonts w:ascii="Times New Roman" w:eastAsia="Times New Roman" w:hAnsi="Times New Roman" w:cs="Times New Roman"/>
          <w:kern w:val="0"/>
          <w:lang w:val="en-NG" w:eastAsia="en-GB"/>
          <w14:ligatures w14:val="none"/>
        </w:rPr>
      </w:pPr>
      <w:r w:rsidRPr="003277A5">
        <w:rPr>
          <w:rFonts w:ascii="Times New Roman" w:eastAsia="Times New Roman" w:hAnsi="Times New Roman" w:cs="Times New Roman"/>
          <w:kern w:val="0"/>
          <w:lang w:val="en-NG" w:eastAsia="en-GB"/>
          <w14:ligatures w14:val="none"/>
        </w:rPr>
        <w:t xml:space="preserve">FinTech firms should strengthen the integration of AI capabilities into digital financial platforms to improve service personalisation, operational scalability, transaction efficiency, </w:t>
      </w:r>
      <w:r w:rsidRPr="003277A5">
        <w:rPr>
          <w:rFonts w:ascii="Times New Roman" w:eastAsia="Times New Roman" w:hAnsi="Times New Roman" w:cs="Times New Roman"/>
          <w:kern w:val="0"/>
          <w:lang w:val="en-NG" w:eastAsia="en-GB"/>
          <w14:ligatures w14:val="none"/>
        </w:rPr>
        <w:lastRenderedPageBreak/>
        <w:t>and intelligent financial service delivery. Greater AI–FinTech integration will significantly enhance the practical effectiveness of financial decision processes within the Nigerian financial sector.</w:t>
      </w:r>
    </w:p>
    <w:p w14:paraId="5BFFD4EB" w14:textId="77777777" w:rsidR="002009FF" w:rsidRDefault="002009FF" w:rsidP="003B4278">
      <w:pPr>
        <w:spacing w:line="240" w:lineRule="auto"/>
        <w:jc w:val="both"/>
        <w:rPr>
          <w:rFonts w:ascii="Times New Roman" w:hAnsi="Times New Roman" w:cs="Times New Roman"/>
        </w:rPr>
      </w:pPr>
    </w:p>
    <w:p w14:paraId="66753EA6" w14:textId="77777777" w:rsidR="002009FF" w:rsidRDefault="002009FF" w:rsidP="003B4278">
      <w:pPr>
        <w:spacing w:line="240" w:lineRule="auto"/>
        <w:jc w:val="both"/>
        <w:rPr>
          <w:rFonts w:ascii="Times New Roman" w:hAnsi="Times New Roman" w:cs="Times New Roman"/>
        </w:rPr>
      </w:pPr>
    </w:p>
    <w:p w14:paraId="560E135E" w14:textId="77777777" w:rsidR="002009FF" w:rsidRDefault="002009FF" w:rsidP="003B4278">
      <w:pPr>
        <w:spacing w:line="240" w:lineRule="auto"/>
        <w:jc w:val="both"/>
        <w:rPr>
          <w:rFonts w:ascii="Times New Roman" w:hAnsi="Times New Roman" w:cs="Times New Roman"/>
        </w:rPr>
      </w:pPr>
    </w:p>
    <w:p w14:paraId="16780EDA" w14:textId="77777777" w:rsidR="002009FF" w:rsidRDefault="002009FF" w:rsidP="003B4278">
      <w:pPr>
        <w:spacing w:line="240" w:lineRule="auto"/>
        <w:jc w:val="both"/>
        <w:rPr>
          <w:rFonts w:ascii="Times New Roman" w:hAnsi="Times New Roman" w:cs="Times New Roman"/>
        </w:rPr>
      </w:pPr>
    </w:p>
    <w:p w14:paraId="6F9BF73D" w14:textId="77777777" w:rsidR="002009FF" w:rsidRDefault="002009FF" w:rsidP="00E90AA1">
      <w:pPr>
        <w:spacing w:line="360" w:lineRule="auto"/>
        <w:jc w:val="both"/>
        <w:rPr>
          <w:rFonts w:ascii="Times New Roman" w:hAnsi="Times New Roman" w:cs="Times New Roman"/>
        </w:rPr>
      </w:pPr>
    </w:p>
    <w:p w14:paraId="4AC3CABD" w14:textId="77777777" w:rsidR="002009FF" w:rsidRDefault="002009FF" w:rsidP="00E90AA1">
      <w:pPr>
        <w:spacing w:line="360" w:lineRule="auto"/>
        <w:jc w:val="both"/>
        <w:rPr>
          <w:rFonts w:ascii="Times New Roman" w:hAnsi="Times New Roman" w:cs="Times New Roman"/>
        </w:rPr>
      </w:pPr>
    </w:p>
    <w:p w14:paraId="0D58A094" w14:textId="77777777" w:rsidR="002009FF" w:rsidRDefault="002009FF" w:rsidP="00E90AA1">
      <w:pPr>
        <w:spacing w:line="360" w:lineRule="auto"/>
        <w:jc w:val="both"/>
        <w:rPr>
          <w:rFonts w:ascii="Times New Roman" w:hAnsi="Times New Roman" w:cs="Times New Roman"/>
        </w:rPr>
      </w:pPr>
    </w:p>
    <w:p w14:paraId="6D2555F6" w14:textId="77777777" w:rsidR="002009FF" w:rsidRDefault="002009FF" w:rsidP="00E90AA1">
      <w:pPr>
        <w:spacing w:line="360" w:lineRule="auto"/>
        <w:jc w:val="both"/>
        <w:rPr>
          <w:rFonts w:ascii="Times New Roman" w:hAnsi="Times New Roman" w:cs="Times New Roman"/>
        </w:rPr>
      </w:pPr>
    </w:p>
    <w:p w14:paraId="0C1C8709" w14:textId="77777777" w:rsidR="002009FF" w:rsidRDefault="002009FF" w:rsidP="00E90AA1">
      <w:pPr>
        <w:spacing w:line="360" w:lineRule="auto"/>
        <w:jc w:val="both"/>
        <w:rPr>
          <w:rFonts w:ascii="Times New Roman" w:hAnsi="Times New Roman" w:cs="Times New Roman"/>
        </w:rPr>
      </w:pPr>
    </w:p>
    <w:p w14:paraId="4E64FFD8" w14:textId="77777777" w:rsidR="002009FF" w:rsidRDefault="002009FF" w:rsidP="00E90AA1">
      <w:pPr>
        <w:spacing w:line="360" w:lineRule="auto"/>
        <w:jc w:val="both"/>
        <w:rPr>
          <w:rFonts w:ascii="Times New Roman" w:hAnsi="Times New Roman" w:cs="Times New Roman"/>
        </w:rPr>
      </w:pPr>
    </w:p>
    <w:p w14:paraId="720F865A" w14:textId="4E6EE0D6" w:rsidR="002C4F74" w:rsidRDefault="002C4F74" w:rsidP="00E90AA1">
      <w:pPr>
        <w:spacing w:line="360" w:lineRule="auto"/>
        <w:jc w:val="both"/>
        <w:rPr>
          <w:rFonts w:ascii="Times New Roman" w:hAnsi="Times New Roman" w:cs="Times New Roman"/>
        </w:rPr>
      </w:pPr>
    </w:p>
    <w:p w14:paraId="0EB45879" w14:textId="77777777" w:rsidR="007D3902" w:rsidRDefault="007D3902" w:rsidP="00E90AA1">
      <w:pPr>
        <w:spacing w:line="360" w:lineRule="auto"/>
        <w:jc w:val="both"/>
        <w:rPr>
          <w:rFonts w:ascii="Times New Roman" w:hAnsi="Times New Roman" w:cs="Times New Roman"/>
        </w:rPr>
      </w:pPr>
    </w:p>
    <w:p w14:paraId="6C638F64" w14:textId="2C1A3815" w:rsidR="00C35B5E" w:rsidRDefault="00C35B5E" w:rsidP="00E90AA1">
      <w:pPr>
        <w:spacing w:line="360" w:lineRule="auto"/>
        <w:jc w:val="both"/>
        <w:rPr>
          <w:rFonts w:ascii="Times New Roman" w:hAnsi="Times New Roman" w:cs="Times New Roman"/>
        </w:rPr>
      </w:pPr>
    </w:p>
    <w:p w14:paraId="04E64C3C" w14:textId="12073BAB" w:rsidR="00743465" w:rsidRDefault="00743465" w:rsidP="00E90AA1">
      <w:pPr>
        <w:spacing w:line="360" w:lineRule="auto"/>
        <w:jc w:val="both"/>
        <w:rPr>
          <w:rFonts w:ascii="Times New Roman" w:hAnsi="Times New Roman" w:cs="Times New Roman"/>
        </w:rPr>
      </w:pPr>
    </w:p>
    <w:p w14:paraId="17C59172" w14:textId="77777777" w:rsidR="00760B0C" w:rsidRDefault="00760B0C">
      <w:pPr>
        <w:rPr>
          <w:rFonts w:ascii="Times New Roman" w:hAnsi="Times New Roman" w:cs="Times New Roman"/>
          <w:b/>
          <w:bCs/>
          <w:lang w:eastAsia="en-GB"/>
        </w:rPr>
      </w:pPr>
      <w:r>
        <w:rPr>
          <w:rFonts w:ascii="Times New Roman" w:hAnsi="Times New Roman" w:cs="Times New Roman"/>
          <w:b/>
          <w:bCs/>
          <w:lang w:eastAsia="en-GB"/>
        </w:rPr>
        <w:br w:type="page"/>
      </w:r>
    </w:p>
    <w:p w14:paraId="69913506" w14:textId="6425C363" w:rsidR="00D04B88" w:rsidRPr="009B4253" w:rsidRDefault="00D04B88" w:rsidP="009B4253">
      <w:pPr>
        <w:rPr>
          <w:rFonts w:ascii="Times New Roman" w:hAnsi="Times New Roman" w:cs="Times New Roman"/>
          <w:b/>
          <w:bCs/>
          <w:lang w:eastAsia="en-GB"/>
        </w:rPr>
      </w:pPr>
      <w:r w:rsidRPr="009B4253">
        <w:rPr>
          <w:rFonts w:ascii="Times New Roman" w:hAnsi="Times New Roman" w:cs="Times New Roman"/>
          <w:b/>
          <w:bCs/>
          <w:lang w:eastAsia="en-GB"/>
        </w:rPr>
        <w:lastRenderedPageBreak/>
        <w:t xml:space="preserve">REFERENCES </w:t>
      </w:r>
    </w:p>
    <w:p w14:paraId="72EFE6B4"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Alles, M. G. (2021). </w:t>
      </w:r>
      <w:r w:rsidRPr="003B4278">
        <w:rPr>
          <w:rFonts w:ascii="Times New Roman" w:hAnsi="Times New Roman" w:cs="Times New Roman"/>
          <w:i/>
          <w:iCs/>
          <w:lang w:val="en-NG" w:eastAsia="en-GB"/>
        </w:rPr>
        <w:t>Automating audit: Artificial intelligence in accounting</w:t>
      </w:r>
      <w:r w:rsidRPr="003B4278">
        <w:rPr>
          <w:rFonts w:ascii="Times New Roman" w:hAnsi="Times New Roman" w:cs="Times New Roman"/>
          <w:lang w:val="en-NG" w:eastAsia="en-GB"/>
        </w:rPr>
        <w:t>. Routledge.</w:t>
      </w:r>
    </w:p>
    <w:p w14:paraId="787283FE"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Appelbaum, D., Kogan, A., &amp; </w:t>
      </w:r>
      <w:proofErr w:type="spellStart"/>
      <w:r w:rsidRPr="003B4278">
        <w:rPr>
          <w:rFonts w:ascii="Times New Roman" w:hAnsi="Times New Roman" w:cs="Times New Roman"/>
          <w:lang w:val="en-NG" w:eastAsia="en-GB"/>
        </w:rPr>
        <w:t>Vasarhelyi</w:t>
      </w:r>
      <w:proofErr w:type="spellEnd"/>
      <w:r w:rsidRPr="003B4278">
        <w:rPr>
          <w:rFonts w:ascii="Times New Roman" w:hAnsi="Times New Roman" w:cs="Times New Roman"/>
          <w:lang w:val="en-NG" w:eastAsia="en-GB"/>
        </w:rPr>
        <w:t xml:space="preserve">, M. (2022). Big data and analytics in the modern audit environment. </w:t>
      </w:r>
      <w:r w:rsidRPr="003B4278">
        <w:rPr>
          <w:rFonts w:ascii="Times New Roman" w:hAnsi="Times New Roman" w:cs="Times New Roman"/>
          <w:i/>
          <w:iCs/>
          <w:lang w:val="en-NG" w:eastAsia="en-GB"/>
        </w:rPr>
        <w:t>Accounting Horizons, 36</w:t>
      </w:r>
      <w:r w:rsidRPr="003B4278">
        <w:rPr>
          <w:rFonts w:ascii="Times New Roman" w:hAnsi="Times New Roman" w:cs="Times New Roman"/>
          <w:lang w:val="en-NG" w:eastAsia="en-GB"/>
        </w:rPr>
        <w:t xml:space="preserve">(1), 1–23. </w:t>
      </w:r>
      <w:hyperlink r:id="rId8" w:history="1">
        <w:r w:rsidRPr="003B4278">
          <w:rPr>
            <w:rStyle w:val="Hyperlink"/>
            <w:rFonts w:ascii="Times New Roman" w:hAnsi="Times New Roman" w:cs="Times New Roman"/>
            <w:lang w:val="en-NG" w:eastAsia="en-GB"/>
          </w:rPr>
          <w:t>https://doi.org/10.2308/HORIZONS-2020-121</w:t>
        </w:r>
      </w:hyperlink>
    </w:p>
    <w:p w14:paraId="5C3EAA2C" w14:textId="77777777" w:rsidR="003B4278" w:rsidRPr="003B4278" w:rsidRDefault="003B4278" w:rsidP="003B4278">
      <w:pPr>
        <w:spacing w:line="240" w:lineRule="auto"/>
        <w:jc w:val="both"/>
        <w:rPr>
          <w:rFonts w:ascii="Times New Roman" w:hAnsi="Times New Roman" w:cs="Times New Roman"/>
          <w:lang w:val="en-NG" w:eastAsia="en-GB"/>
        </w:rPr>
      </w:pPr>
      <w:proofErr w:type="spellStart"/>
      <w:r w:rsidRPr="003B4278">
        <w:rPr>
          <w:rFonts w:ascii="Times New Roman" w:hAnsi="Times New Roman" w:cs="Times New Roman"/>
          <w:lang w:val="en-NG" w:eastAsia="en-GB"/>
        </w:rPr>
        <w:t>Bisati</w:t>
      </w:r>
      <w:proofErr w:type="spellEnd"/>
      <w:r w:rsidRPr="003B4278">
        <w:rPr>
          <w:rFonts w:ascii="Times New Roman" w:hAnsi="Times New Roman" w:cs="Times New Roman"/>
          <w:lang w:val="en-NG" w:eastAsia="en-GB"/>
        </w:rPr>
        <w:t xml:space="preserve">, A. I., Haque, S. M. I., </w:t>
      </w:r>
      <w:proofErr w:type="spellStart"/>
      <w:r w:rsidRPr="003B4278">
        <w:rPr>
          <w:rFonts w:ascii="Times New Roman" w:hAnsi="Times New Roman" w:cs="Times New Roman"/>
          <w:lang w:val="en-NG" w:eastAsia="en-GB"/>
        </w:rPr>
        <w:t>Ganai</w:t>
      </w:r>
      <w:proofErr w:type="spellEnd"/>
      <w:r w:rsidRPr="003B4278">
        <w:rPr>
          <w:rFonts w:ascii="Times New Roman" w:hAnsi="Times New Roman" w:cs="Times New Roman"/>
          <w:lang w:val="en-NG" w:eastAsia="en-GB"/>
        </w:rPr>
        <w:t xml:space="preserve">, U. J., &amp; Gulzar, I. (2021). Decision making in financial markets: A thematic review and discussion. </w:t>
      </w:r>
      <w:r w:rsidRPr="003B4278">
        <w:rPr>
          <w:rFonts w:ascii="Times New Roman" w:hAnsi="Times New Roman" w:cs="Times New Roman"/>
          <w:i/>
          <w:iCs/>
          <w:lang w:val="en-NG" w:eastAsia="en-GB"/>
        </w:rPr>
        <w:t>Journal of Business Strategy Finance and Management, 3</w:t>
      </w:r>
      <w:r w:rsidRPr="003B4278">
        <w:rPr>
          <w:rFonts w:ascii="Times New Roman" w:hAnsi="Times New Roman" w:cs="Times New Roman"/>
          <w:lang w:val="en-NG" w:eastAsia="en-GB"/>
        </w:rPr>
        <w:t xml:space="preserve">(1–2), 54–66. </w:t>
      </w:r>
      <w:hyperlink r:id="rId9" w:history="1">
        <w:r w:rsidRPr="003B4278">
          <w:rPr>
            <w:rStyle w:val="Hyperlink"/>
            <w:rFonts w:ascii="Times New Roman" w:hAnsi="Times New Roman" w:cs="Times New Roman"/>
            <w:lang w:val="en-NG" w:eastAsia="en-GB"/>
          </w:rPr>
          <w:t>http://dx.doi.org/10.12944/JBSFM.03.01-02.06</w:t>
        </w:r>
      </w:hyperlink>
    </w:p>
    <w:p w14:paraId="6B134069"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Central Bank of Nigeria. (2023). </w:t>
      </w:r>
      <w:r w:rsidRPr="003B4278">
        <w:rPr>
          <w:rFonts w:ascii="Times New Roman" w:hAnsi="Times New Roman" w:cs="Times New Roman"/>
          <w:i/>
          <w:iCs/>
          <w:lang w:val="en-NG" w:eastAsia="en-GB"/>
        </w:rPr>
        <w:t>Annual report and financial statements 2023</w:t>
      </w:r>
      <w:r w:rsidRPr="003B4278">
        <w:rPr>
          <w:rFonts w:ascii="Times New Roman" w:hAnsi="Times New Roman" w:cs="Times New Roman"/>
          <w:lang w:val="en-NG" w:eastAsia="en-GB"/>
        </w:rPr>
        <w:t>. Central Bank of Nigeria.</w:t>
      </w:r>
    </w:p>
    <w:p w14:paraId="5C9AE199"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Chand, S. A., Singh, B., Narayan, K., &amp; Chand, A. (2025). The impact of financial technology (FinTech) on bank risk-taking and profitability in small developing island states: A study of Fiji. </w:t>
      </w:r>
      <w:r w:rsidRPr="003B4278">
        <w:rPr>
          <w:rFonts w:ascii="Times New Roman" w:hAnsi="Times New Roman" w:cs="Times New Roman"/>
          <w:i/>
          <w:iCs/>
          <w:lang w:val="en-NG" w:eastAsia="en-GB"/>
        </w:rPr>
        <w:t>Journal of Risk and Financial Management, 18</w:t>
      </w:r>
      <w:r w:rsidRPr="003B4278">
        <w:rPr>
          <w:rFonts w:ascii="Times New Roman" w:hAnsi="Times New Roman" w:cs="Times New Roman"/>
          <w:lang w:val="en-NG" w:eastAsia="en-GB"/>
        </w:rPr>
        <w:t xml:space="preserve">(7), 366. </w:t>
      </w:r>
      <w:hyperlink r:id="rId10" w:history="1">
        <w:r w:rsidRPr="003B4278">
          <w:rPr>
            <w:rStyle w:val="Hyperlink"/>
            <w:rFonts w:ascii="Times New Roman" w:hAnsi="Times New Roman" w:cs="Times New Roman"/>
            <w:lang w:val="en-NG" w:eastAsia="en-GB"/>
          </w:rPr>
          <w:t>https://doi.org/10.3390/jrfm18070366</w:t>
        </w:r>
      </w:hyperlink>
    </w:p>
    <w:p w14:paraId="3CCD8253"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Cochran, W. G. (1977). </w:t>
      </w:r>
      <w:r w:rsidRPr="003B4278">
        <w:rPr>
          <w:rFonts w:ascii="Times New Roman" w:hAnsi="Times New Roman" w:cs="Times New Roman"/>
          <w:i/>
          <w:iCs/>
          <w:lang w:val="en-NG" w:eastAsia="en-GB"/>
        </w:rPr>
        <w:t>Sampling techniques</w:t>
      </w:r>
      <w:r w:rsidRPr="003B4278">
        <w:rPr>
          <w:rFonts w:ascii="Times New Roman" w:hAnsi="Times New Roman" w:cs="Times New Roman"/>
          <w:lang w:val="en-NG" w:eastAsia="en-GB"/>
        </w:rPr>
        <w:t xml:space="preserve"> (3rd ed.). John Wiley &amp; Sons.</w:t>
      </w:r>
    </w:p>
    <w:p w14:paraId="330D7887"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Deloitte. (2023). </w:t>
      </w:r>
      <w:r w:rsidRPr="003B4278">
        <w:rPr>
          <w:rFonts w:ascii="Times New Roman" w:hAnsi="Times New Roman" w:cs="Times New Roman"/>
          <w:i/>
          <w:iCs/>
          <w:lang w:val="en-NG" w:eastAsia="en-GB"/>
        </w:rPr>
        <w:t>How artificial intelligence is transforming financial services</w:t>
      </w:r>
      <w:r w:rsidRPr="003B4278">
        <w:rPr>
          <w:rFonts w:ascii="Times New Roman" w:hAnsi="Times New Roman" w:cs="Times New Roman"/>
          <w:lang w:val="en-NG" w:eastAsia="en-GB"/>
        </w:rPr>
        <w:t>. Deloitte Insights.</w:t>
      </w:r>
    </w:p>
    <w:p w14:paraId="26D5ACBC" w14:textId="6A0C1304"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Dwivedi, Y. K., Hughes, L., </w:t>
      </w:r>
      <w:proofErr w:type="spellStart"/>
      <w:r w:rsidRPr="003B4278">
        <w:rPr>
          <w:rFonts w:ascii="Times New Roman" w:hAnsi="Times New Roman" w:cs="Times New Roman"/>
          <w:lang w:val="en-NG" w:eastAsia="en-GB"/>
        </w:rPr>
        <w:t>Ismagilova</w:t>
      </w:r>
      <w:proofErr w:type="spellEnd"/>
      <w:r w:rsidRPr="003B4278">
        <w:rPr>
          <w:rFonts w:ascii="Times New Roman" w:hAnsi="Times New Roman" w:cs="Times New Roman"/>
          <w:lang w:val="en-NG" w:eastAsia="en-GB"/>
        </w:rPr>
        <w:t xml:space="preserve">, E., </w:t>
      </w:r>
      <w:proofErr w:type="spellStart"/>
      <w:r w:rsidRPr="003B4278">
        <w:rPr>
          <w:rFonts w:ascii="Times New Roman" w:hAnsi="Times New Roman" w:cs="Times New Roman"/>
          <w:lang w:val="en-NG" w:eastAsia="en-GB"/>
        </w:rPr>
        <w:t>Aarts</w:t>
      </w:r>
      <w:proofErr w:type="spellEnd"/>
      <w:r w:rsidRPr="003B4278">
        <w:rPr>
          <w:rFonts w:ascii="Times New Roman" w:hAnsi="Times New Roman" w:cs="Times New Roman"/>
          <w:lang w:val="en-NG" w:eastAsia="en-GB"/>
        </w:rPr>
        <w:t xml:space="preserve">, G., Coombs, C., Crick, T., Duan, Y., Dwivedi, R., Edwards, J., </w:t>
      </w:r>
      <w:proofErr w:type="spellStart"/>
      <w:r w:rsidRPr="003B4278">
        <w:rPr>
          <w:rFonts w:ascii="Times New Roman" w:hAnsi="Times New Roman" w:cs="Times New Roman"/>
          <w:lang w:val="en-NG" w:eastAsia="en-GB"/>
        </w:rPr>
        <w:t>Eirug</w:t>
      </w:r>
      <w:proofErr w:type="spellEnd"/>
      <w:r w:rsidRPr="003B4278">
        <w:rPr>
          <w:rFonts w:ascii="Times New Roman" w:hAnsi="Times New Roman" w:cs="Times New Roman"/>
          <w:lang w:val="en-NG" w:eastAsia="en-GB"/>
        </w:rPr>
        <w:t xml:space="preserve">, A., Galanos, V., </w:t>
      </w:r>
      <w:proofErr w:type="spellStart"/>
      <w:r w:rsidRPr="003B4278">
        <w:rPr>
          <w:rFonts w:ascii="Times New Roman" w:hAnsi="Times New Roman" w:cs="Times New Roman"/>
          <w:lang w:val="en-NG" w:eastAsia="en-GB"/>
        </w:rPr>
        <w:t>Ilavarasan</w:t>
      </w:r>
      <w:proofErr w:type="spellEnd"/>
      <w:r w:rsidRPr="003B4278">
        <w:rPr>
          <w:rFonts w:ascii="Times New Roman" w:hAnsi="Times New Roman" w:cs="Times New Roman"/>
          <w:lang w:val="en-NG" w:eastAsia="en-GB"/>
        </w:rPr>
        <w:t xml:space="preserve">, P. V., Janssen, M., Jones, P., Kar, A. K., </w:t>
      </w:r>
      <w:proofErr w:type="spellStart"/>
      <w:r w:rsidRPr="003B4278">
        <w:rPr>
          <w:rFonts w:ascii="Times New Roman" w:hAnsi="Times New Roman" w:cs="Times New Roman"/>
          <w:lang w:val="en-NG" w:eastAsia="en-GB"/>
        </w:rPr>
        <w:t>Kizgin</w:t>
      </w:r>
      <w:proofErr w:type="spellEnd"/>
      <w:r w:rsidRPr="003B4278">
        <w:rPr>
          <w:rFonts w:ascii="Times New Roman" w:hAnsi="Times New Roman" w:cs="Times New Roman"/>
          <w:lang w:val="en-NG" w:eastAsia="en-GB"/>
        </w:rPr>
        <w:t xml:space="preserve">, H., </w:t>
      </w:r>
      <w:proofErr w:type="spellStart"/>
      <w:r w:rsidRPr="003B4278">
        <w:rPr>
          <w:rFonts w:ascii="Times New Roman" w:hAnsi="Times New Roman" w:cs="Times New Roman"/>
          <w:lang w:val="en-NG" w:eastAsia="en-GB"/>
        </w:rPr>
        <w:t>Kronemann</w:t>
      </w:r>
      <w:proofErr w:type="spellEnd"/>
      <w:r w:rsidRPr="003B4278">
        <w:rPr>
          <w:rFonts w:ascii="Times New Roman" w:hAnsi="Times New Roman" w:cs="Times New Roman"/>
          <w:lang w:val="en-NG" w:eastAsia="en-GB"/>
        </w:rPr>
        <w:t xml:space="preserve">, B., Lal, B., </w:t>
      </w:r>
      <w:proofErr w:type="spellStart"/>
      <w:r w:rsidRPr="003B4278">
        <w:rPr>
          <w:rFonts w:ascii="Times New Roman" w:hAnsi="Times New Roman" w:cs="Times New Roman"/>
          <w:lang w:val="en-NG" w:eastAsia="en-GB"/>
        </w:rPr>
        <w:t>Lucini</w:t>
      </w:r>
      <w:proofErr w:type="spellEnd"/>
      <w:r w:rsidRPr="003B4278">
        <w:rPr>
          <w:rFonts w:ascii="Times New Roman" w:hAnsi="Times New Roman" w:cs="Times New Roman"/>
          <w:lang w:val="en-NG" w:eastAsia="en-GB"/>
        </w:rPr>
        <w:t>, B.,</w:t>
      </w:r>
      <w:r w:rsidR="00CC28D5">
        <w:rPr>
          <w:rFonts w:ascii="Times New Roman" w:hAnsi="Times New Roman" w:cs="Times New Roman"/>
          <w:lang w:val="en-NG" w:eastAsia="en-GB"/>
        </w:rPr>
        <w:t xml:space="preserve"> </w:t>
      </w:r>
      <w:r w:rsidRPr="003B4278">
        <w:rPr>
          <w:rFonts w:ascii="Times New Roman" w:hAnsi="Times New Roman" w:cs="Times New Roman"/>
          <w:lang w:val="en-NG" w:eastAsia="en-GB"/>
        </w:rPr>
        <w:t xml:space="preserve">Williams, M. D. (2021). Artificial intelligence (AI): Multidisciplinary perspectives on emerging challenges, opportunities, and agenda for research, practice and policy. </w:t>
      </w:r>
      <w:r w:rsidRPr="003B4278">
        <w:rPr>
          <w:rFonts w:ascii="Times New Roman" w:hAnsi="Times New Roman" w:cs="Times New Roman"/>
          <w:i/>
          <w:iCs/>
          <w:lang w:val="en-NG" w:eastAsia="en-GB"/>
        </w:rPr>
        <w:t>International Journal of Information Management, 57</w:t>
      </w:r>
      <w:r w:rsidRPr="003B4278">
        <w:rPr>
          <w:rFonts w:ascii="Times New Roman" w:hAnsi="Times New Roman" w:cs="Times New Roman"/>
          <w:lang w:val="en-NG" w:eastAsia="en-GB"/>
        </w:rPr>
        <w:t xml:space="preserve">, 101994. </w:t>
      </w:r>
      <w:hyperlink r:id="rId11" w:history="1">
        <w:r w:rsidRPr="003B4278">
          <w:rPr>
            <w:rStyle w:val="Hyperlink"/>
            <w:rFonts w:ascii="Times New Roman" w:hAnsi="Times New Roman" w:cs="Times New Roman"/>
            <w:lang w:val="en-NG" w:eastAsia="en-GB"/>
          </w:rPr>
          <w:t>https://doi.org/10.1016/j.ijinfomgt.2019.08.002</w:t>
        </w:r>
      </w:hyperlink>
    </w:p>
    <w:p w14:paraId="6E506C08" w14:textId="77777777" w:rsidR="003B4278" w:rsidRPr="003B4278" w:rsidRDefault="003B4278" w:rsidP="003B4278">
      <w:pPr>
        <w:spacing w:line="240" w:lineRule="auto"/>
        <w:jc w:val="both"/>
        <w:rPr>
          <w:rFonts w:ascii="Times New Roman" w:hAnsi="Times New Roman" w:cs="Times New Roman"/>
          <w:lang w:val="en-NG" w:eastAsia="en-GB"/>
        </w:rPr>
      </w:pPr>
      <w:proofErr w:type="spellStart"/>
      <w:r w:rsidRPr="003B4278">
        <w:rPr>
          <w:rFonts w:ascii="Times New Roman" w:hAnsi="Times New Roman" w:cs="Times New Roman"/>
          <w:lang w:val="en-NG" w:eastAsia="en-GB"/>
        </w:rPr>
        <w:t>Fornell</w:t>
      </w:r>
      <w:proofErr w:type="spellEnd"/>
      <w:r w:rsidRPr="003B4278">
        <w:rPr>
          <w:rFonts w:ascii="Times New Roman" w:hAnsi="Times New Roman" w:cs="Times New Roman"/>
          <w:lang w:val="en-NG" w:eastAsia="en-GB"/>
        </w:rPr>
        <w:t xml:space="preserve">, C., &amp; Larcker, D. F. (1981). Evaluating structural equation models with unobservable variables and measurement error. </w:t>
      </w:r>
      <w:r w:rsidRPr="003B4278">
        <w:rPr>
          <w:rFonts w:ascii="Times New Roman" w:hAnsi="Times New Roman" w:cs="Times New Roman"/>
          <w:i/>
          <w:iCs/>
          <w:lang w:val="en-NG" w:eastAsia="en-GB"/>
        </w:rPr>
        <w:t>Journal of Marketing Research, 18</w:t>
      </w:r>
      <w:r w:rsidRPr="003B4278">
        <w:rPr>
          <w:rFonts w:ascii="Times New Roman" w:hAnsi="Times New Roman" w:cs="Times New Roman"/>
          <w:lang w:val="en-NG" w:eastAsia="en-GB"/>
        </w:rPr>
        <w:t xml:space="preserve">(1), 39–50. </w:t>
      </w:r>
      <w:hyperlink r:id="rId12" w:history="1">
        <w:r w:rsidRPr="003B4278">
          <w:rPr>
            <w:rStyle w:val="Hyperlink"/>
            <w:rFonts w:ascii="Times New Roman" w:hAnsi="Times New Roman" w:cs="Times New Roman"/>
            <w:lang w:val="en-NG" w:eastAsia="en-GB"/>
          </w:rPr>
          <w:t>https://doi.org/10.1177/002224378101800104</w:t>
        </w:r>
      </w:hyperlink>
    </w:p>
    <w:p w14:paraId="1E4D508A"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Frost, J., </w:t>
      </w:r>
      <w:proofErr w:type="spellStart"/>
      <w:r w:rsidRPr="003B4278">
        <w:rPr>
          <w:rFonts w:ascii="Times New Roman" w:hAnsi="Times New Roman" w:cs="Times New Roman"/>
          <w:lang w:val="en-NG" w:eastAsia="en-GB"/>
        </w:rPr>
        <w:t>Gambacorta</w:t>
      </w:r>
      <w:proofErr w:type="spellEnd"/>
      <w:r w:rsidRPr="003B4278">
        <w:rPr>
          <w:rFonts w:ascii="Times New Roman" w:hAnsi="Times New Roman" w:cs="Times New Roman"/>
          <w:lang w:val="en-NG" w:eastAsia="en-GB"/>
        </w:rPr>
        <w:t xml:space="preserve">, L., Huang, Y., Shin, H. S., &amp; </w:t>
      </w:r>
      <w:proofErr w:type="spellStart"/>
      <w:r w:rsidRPr="003B4278">
        <w:rPr>
          <w:rFonts w:ascii="Times New Roman" w:hAnsi="Times New Roman" w:cs="Times New Roman"/>
          <w:lang w:val="en-NG" w:eastAsia="en-GB"/>
        </w:rPr>
        <w:t>Zbinden</w:t>
      </w:r>
      <w:proofErr w:type="spellEnd"/>
      <w:r w:rsidRPr="003B4278">
        <w:rPr>
          <w:rFonts w:ascii="Times New Roman" w:hAnsi="Times New Roman" w:cs="Times New Roman"/>
          <w:lang w:val="en-NG" w:eastAsia="en-GB"/>
        </w:rPr>
        <w:t xml:space="preserve">, P. (2021). </w:t>
      </w:r>
      <w:proofErr w:type="spellStart"/>
      <w:r w:rsidRPr="003B4278">
        <w:rPr>
          <w:rFonts w:ascii="Times New Roman" w:hAnsi="Times New Roman" w:cs="Times New Roman"/>
          <w:lang w:val="en-NG" w:eastAsia="en-GB"/>
        </w:rPr>
        <w:t>BigTech</w:t>
      </w:r>
      <w:proofErr w:type="spellEnd"/>
      <w:r w:rsidRPr="003B4278">
        <w:rPr>
          <w:rFonts w:ascii="Times New Roman" w:hAnsi="Times New Roman" w:cs="Times New Roman"/>
          <w:lang w:val="en-NG" w:eastAsia="en-GB"/>
        </w:rPr>
        <w:t xml:space="preserve"> and the changing structure of financial intermediation. </w:t>
      </w:r>
      <w:r w:rsidRPr="003B4278">
        <w:rPr>
          <w:rFonts w:ascii="Times New Roman" w:hAnsi="Times New Roman" w:cs="Times New Roman"/>
          <w:i/>
          <w:iCs/>
          <w:lang w:val="en-NG" w:eastAsia="en-GB"/>
        </w:rPr>
        <w:t>Economic Policy, 36</w:t>
      </w:r>
      <w:r w:rsidRPr="003B4278">
        <w:rPr>
          <w:rFonts w:ascii="Times New Roman" w:hAnsi="Times New Roman" w:cs="Times New Roman"/>
          <w:lang w:val="en-NG" w:eastAsia="en-GB"/>
        </w:rPr>
        <w:t xml:space="preserve">(106), 761–799. </w:t>
      </w:r>
      <w:hyperlink r:id="rId13" w:history="1">
        <w:r w:rsidRPr="003B4278">
          <w:rPr>
            <w:rStyle w:val="Hyperlink"/>
            <w:rFonts w:ascii="Times New Roman" w:hAnsi="Times New Roman" w:cs="Times New Roman"/>
            <w:lang w:val="en-NG" w:eastAsia="en-GB"/>
          </w:rPr>
          <w:t>https://doi.org/10.1093/epolic/eiab018</w:t>
        </w:r>
      </w:hyperlink>
    </w:p>
    <w:p w14:paraId="17178BB0" w14:textId="77777777" w:rsidR="003B4278" w:rsidRPr="003B4278" w:rsidRDefault="003B4278" w:rsidP="003B4278">
      <w:pPr>
        <w:spacing w:line="240" w:lineRule="auto"/>
        <w:jc w:val="both"/>
        <w:rPr>
          <w:rFonts w:ascii="Times New Roman" w:hAnsi="Times New Roman" w:cs="Times New Roman"/>
          <w:lang w:val="en-NG" w:eastAsia="en-GB"/>
        </w:rPr>
      </w:pPr>
      <w:proofErr w:type="spellStart"/>
      <w:r w:rsidRPr="003B4278">
        <w:rPr>
          <w:rFonts w:ascii="Times New Roman" w:hAnsi="Times New Roman" w:cs="Times New Roman"/>
          <w:lang w:val="en-NG" w:eastAsia="en-GB"/>
        </w:rPr>
        <w:t>Gomber</w:t>
      </w:r>
      <w:proofErr w:type="spellEnd"/>
      <w:r w:rsidRPr="003B4278">
        <w:rPr>
          <w:rFonts w:ascii="Times New Roman" w:hAnsi="Times New Roman" w:cs="Times New Roman"/>
          <w:lang w:val="en-NG" w:eastAsia="en-GB"/>
        </w:rPr>
        <w:t xml:space="preserve">, P., Koch, J. A., &amp; </w:t>
      </w:r>
      <w:proofErr w:type="spellStart"/>
      <w:r w:rsidRPr="003B4278">
        <w:rPr>
          <w:rFonts w:ascii="Times New Roman" w:hAnsi="Times New Roman" w:cs="Times New Roman"/>
          <w:lang w:val="en-NG" w:eastAsia="en-GB"/>
        </w:rPr>
        <w:t>Siering</w:t>
      </w:r>
      <w:proofErr w:type="spellEnd"/>
      <w:r w:rsidRPr="003B4278">
        <w:rPr>
          <w:rFonts w:ascii="Times New Roman" w:hAnsi="Times New Roman" w:cs="Times New Roman"/>
          <w:lang w:val="en-NG" w:eastAsia="en-GB"/>
        </w:rPr>
        <w:t xml:space="preserve">, M. (2021). Digital finance and FinTech: Current research and future research directions. </w:t>
      </w:r>
      <w:r w:rsidRPr="003B4278">
        <w:rPr>
          <w:rFonts w:ascii="Times New Roman" w:hAnsi="Times New Roman" w:cs="Times New Roman"/>
          <w:i/>
          <w:iCs/>
          <w:lang w:val="en-NG" w:eastAsia="en-GB"/>
        </w:rPr>
        <w:t>Journal of Business Economics, 91</w:t>
      </w:r>
      <w:r w:rsidRPr="003B4278">
        <w:rPr>
          <w:rFonts w:ascii="Times New Roman" w:hAnsi="Times New Roman" w:cs="Times New Roman"/>
          <w:lang w:val="en-NG" w:eastAsia="en-GB"/>
        </w:rPr>
        <w:t xml:space="preserve">(5), 537–580. </w:t>
      </w:r>
      <w:hyperlink r:id="rId14" w:history="1">
        <w:r w:rsidRPr="003B4278">
          <w:rPr>
            <w:rStyle w:val="Hyperlink"/>
            <w:rFonts w:ascii="Times New Roman" w:hAnsi="Times New Roman" w:cs="Times New Roman"/>
            <w:lang w:val="en-NG" w:eastAsia="en-GB"/>
          </w:rPr>
          <w:t>https://doi.org/10.1007/s11573-021-01039-z</w:t>
        </w:r>
      </w:hyperlink>
    </w:p>
    <w:p w14:paraId="7D569256"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Hair, J. F., </w:t>
      </w:r>
      <w:proofErr w:type="spellStart"/>
      <w:r w:rsidRPr="003B4278">
        <w:rPr>
          <w:rFonts w:ascii="Times New Roman" w:hAnsi="Times New Roman" w:cs="Times New Roman"/>
          <w:lang w:val="en-NG" w:eastAsia="en-GB"/>
        </w:rPr>
        <w:t>Hult</w:t>
      </w:r>
      <w:proofErr w:type="spellEnd"/>
      <w:r w:rsidRPr="003B4278">
        <w:rPr>
          <w:rFonts w:ascii="Times New Roman" w:hAnsi="Times New Roman" w:cs="Times New Roman"/>
          <w:lang w:val="en-NG" w:eastAsia="en-GB"/>
        </w:rPr>
        <w:t xml:space="preserve">, G. T. M., </w:t>
      </w:r>
      <w:proofErr w:type="spellStart"/>
      <w:r w:rsidRPr="003B4278">
        <w:rPr>
          <w:rFonts w:ascii="Times New Roman" w:hAnsi="Times New Roman" w:cs="Times New Roman"/>
          <w:lang w:val="en-NG" w:eastAsia="en-GB"/>
        </w:rPr>
        <w:t>Ringle</w:t>
      </w:r>
      <w:proofErr w:type="spellEnd"/>
      <w:r w:rsidRPr="003B4278">
        <w:rPr>
          <w:rFonts w:ascii="Times New Roman" w:hAnsi="Times New Roman" w:cs="Times New Roman"/>
          <w:lang w:val="en-NG" w:eastAsia="en-GB"/>
        </w:rPr>
        <w:t xml:space="preserve">, C. M., &amp; Sarstedt, M. (2022). </w:t>
      </w:r>
      <w:r w:rsidRPr="003B4278">
        <w:rPr>
          <w:rFonts w:ascii="Times New Roman" w:hAnsi="Times New Roman" w:cs="Times New Roman"/>
          <w:i/>
          <w:iCs/>
          <w:lang w:val="en-NG" w:eastAsia="en-GB"/>
        </w:rPr>
        <w:t xml:space="preserve">A primer on partial least squares structural equation </w:t>
      </w:r>
      <w:proofErr w:type="spellStart"/>
      <w:r w:rsidRPr="003B4278">
        <w:rPr>
          <w:rFonts w:ascii="Times New Roman" w:hAnsi="Times New Roman" w:cs="Times New Roman"/>
          <w:i/>
          <w:iCs/>
          <w:lang w:val="en-NG" w:eastAsia="en-GB"/>
        </w:rPr>
        <w:t>modeling</w:t>
      </w:r>
      <w:proofErr w:type="spellEnd"/>
      <w:r w:rsidRPr="003B4278">
        <w:rPr>
          <w:rFonts w:ascii="Times New Roman" w:hAnsi="Times New Roman" w:cs="Times New Roman"/>
          <w:i/>
          <w:iCs/>
          <w:lang w:val="en-NG" w:eastAsia="en-GB"/>
        </w:rPr>
        <w:t xml:space="preserve"> (PLS-SEM)</w:t>
      </w:r>
      <w:r w:rsidRPr="003B4278">
        <w:rPr>
          <w:rFonts w:ascii="Times New Roman" w:hAnsi="Times New Roman" w:cs="Times New Roman"/>
          <w:lang w:val="en-NG" w:eastAsia="en-GB"/>
        </w:rPr>
        <w:t xml:space="preserve"> (3rd ed.). Sage Publications.</w:t>
      </w:r>
    </w:p>
    <w:p w14:paraId="7D38DE4E" w14:textId="77777777" w:rsidR="003B4278" w:rsidRPr="003B4278" w:rsidRDefault="003B4278" w:rsidP="003B4278">
      <w:pPr>
        <w:spacing w:line="240" w:lineRule="auto"/>
        <w:jc w:val="both"/>
        <w:rPr>
          <w:rFonts w:ascii="Times New Roman" w:hAnsi="Times New Roman" w:cs="Times New Roman"/>
          <w:lang w:val="en-NG" w:eastAsia="en-GB"/>
        </w:rPr>
      </w:pPr>
      <w:proofErr w:type="spellStart"/>
      <w:r w:rsidRPr="003B4278">
        <w:rPr>
          <w:rFonts w:ascii="Times New Roman" w:hAnsi="Times New Roman" w:cs="Times New Roman"/>
          <w:lang w:val="en-NG" w:eastAsia="en-GB"/>
        </w:rPr>
        <w:t>Henseler</w:t>
      </w:r>
      <w:proofErr w:type="spellEnd"/>
      <w:r w:rsidRPr="003B4278">
        <w:rPr>
          <w:rFonts w:ascii="Times New Roman" w:hAnsi="Times New Roman" w:cs="Times New Roman"/>
          <w:lang w:val="en-NG" w:eastAsia="en-GB"/>
        </w:rPr>
        <w:t xml:space="preserve">, J., </w:t>
      </w:r>
      <w:proofErr w:type="spellStart"/>
      <w:r w:rsidRPr="003B4278">
        <w:rPr>
          <w:rFonts w:ascii="Times New Roman" w:hAnsi="Times New Roman" w:cs="Times New Roman"/>
          <w:lang w:val="en-NG" w:eastAsia="en-GB"/>
        </w:rPr>
        <w:t>Ringle</w:t>
      </w:r>
      <w:proofErr w:type="spellEnd"/>
      <w:r w:rsidRPr="003B4278">
        <w:rPr>
          <w:rFonts w:ascii="Times New Roman" w:hAnsi="Times New Roman" w:cs="Times New Roman"/>
          <w:lang w:val="en-NG" w:eastAsia="en-GB"/>
        </w:rPr>
        <w:t xml:space="preserve">, C. M., &amp; Sarstedt, M. (2015). A new criterion for assessing discriminant validity in variance-based structural equation </w:t>
      </w:r>
      <w:proofErr w:type="spellStart"/>
      <w:r w:rsidRPr="003B4278">
        <w:rPr>
          <w:rFonts w:ascii="Times New Roman" w:hAnsi="Times New Roman" w:cs="Times New Roman"/>
          <w:lang w:val="en-NG" w:eastAsia="en-GB"/>
        </w:rPr>
        <w:t>modeling</w:t>
      </w:r>
      <w:proofErr w:type="spellEnd"/>
      <w:r w:rsidRPr="003B4278">
        <w:rPr>
          <w:rFonts w:ascii="Times New Roman" w:hAnsi="Times New Roman" w:cs="Times New Roman"/>
          <w:lang w:val="en-NG" w:eastAsia="en-GB"/>
        </w:rPr>
        <w:t xml:space="preserve">. </w:t>
      </w:r>
      <w:r w:rsidRPr="003B4278">
        <w:rPr>
          <w:rFonts w:ascii="Times New Roman" w:hAnsi="Times New Roman" w:cs="Times New Roman"/>
          <w:i/>
          <w:iCs/>
          <w:lang w:val="en-NG" w:eastAsia="en-GB"/>
        </w:rPr>
        <w:t>Journal of the Academy of Marketing Science, 43</w:t>
      </w:r>
      <w:r w:rsidRPr="003B4278">
        <w:rPr>
          <w:rFonts w:ascii="Times New Roman" w:hAnsi="Times New Roman" w:cs="Times New Roman"/>
          <w:lang w:val="en-NG" w:eastAsia="en-GB"/>
        </w:rPr>
        <w:t xml:space="preserve">(1), 115–135. </w:t>
      </w:r>
      <w:hyperlink r:id="rId15" w:history="1">
        <w:r w:rsidRPr="003B4278">
          <w:rPr>
            <w:rStyle w:val="Hyperlink"/>
            <w:rFonts w:ascii="Times New Roman" w:hAnsi="Times New Roman" w:cs="Times New Roman"/>
            <w:lang w:val="en-NG" w:eastAsia="en-GB"/>
          </w:rPr>
          <w:t>https://doi.org/10.1007/s11747-014-0403-8</w:t>
        </w:r>
      </w:hyperlink>
    </w:p>
    <w:p w14:paraId="09B55A4A"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Jha, S., Guillen, M., &amp; Westland, J. C. (2022). Employing machine learning for credit risk assessment. </w:t>
      </w:r>
      <w:r w:rsidRPr="003B4278">
        <w:rPr>
          <w:rFonts w:ascii="Times New Roman" w:hAnsi="Times New Roman" w:cs="Times New Roman"/>
          <w:i/>
          <w:iCs/>
          <w:lang w:val="en-NG" w:eastAsia="en-GB"/>
        </w:rPr>
        <w:t>Expert Systems with Applications, 188</w:t>
      </w:r>
      <w:r w:rsidRPr="003B4278">
        <w:rPr>
          <w:rFonts w:ascii="Times New Roman" w:hAnsi="Times New Roman" w:cs="Times New Roman"/>
          <w:lang w:val="en-NG" w:eastAsia="en-GB"/>
        </w:rPr>
        <w:t xml:space="preserve">, 116134. </w:t>
      </w:r>
      <w:hyperlink r:id="rId16" w:history="1">
        <w:r w:rsidRPr="003B4278">
          <w:rPr>
            <w:rStyle w:val="Hyperlink"/>
            <w:rFonts w:ascii="Times New Roman" w:hAnsi="Times New Roman" w:cs="Times New Roman"/>
            <w:lang w:val="en-NG" w:eastAsia="en-GB"/>
          </w:rPr>
          <w:t>https://doi.org/10.1016/j.eswa.2021.116134</w:t>
        </w:r>
      </w:hyperlink>
    </w:p>
    <w:p w14:paraId="0D55776B" w14:textId="77777777" w:rsidR="003B4278" w:rsidRPr="003B4278" w:rsidRDefault="003B4278" w:rsidP="003B4278">
      <w:pPr>
        <w:spacing w:line="240" w:lineRule="auto"/>
        <w:jc w:val="both"/>
        <w:rPr>
          <w:rFonts w:ascii="Times New Roman" w:hAnsi="Times New Roman" w:cs="Times New Roman"/>
          <w:lang w:val="en-NG" w:eastAsia="en-GB"/>
        </w:rPr>
      </w:pPr>
      <w:proofErr w:type="spellStart"/>
      <w:r w:rsidRPr="003B4278">
        <w:rPr>
          <w:rFonts w:ascii="Times New Roman" w:hAnsi="Times New Roman" w:cs="Times New Roman"/>
          <w:lang w:val="en-NG" w:eastAsia="en-GB"/>
        </w:rPr>
        <w:lastRenderedPageBreak/>
        <w:t>Khosravi</w:t>
      </w:r>
      <w:proofErr w:type="spellEnd"/>
      <w:r w:rsidRPr="003B4278">
        <w:rPr>
          <w:rFonts w:ascii="Times New Roman" w:hAnsi="Times New Roman" w:cs="Times New Roman"/>
          <w:lang w:val="en-NG" w:eastAsia="en-GB"/>
        </w:rPr>
        <w:t xml:space="preserve">, M., </w:t>
      </w:r>
      <w:proofErr w:type="spellStart"/>
      <w:r w:rsidRPr="003B4278">
        <w:rPr>
          <w:rFonts w:ascii="Times New Roman" w:hAnsi="Times New Roman" w:cs="Times New Roman"/>
          <w:lang w:val="en-NG" w:eastAsia="en-GB"/>
        </w:rPr>
        <w:t>Zare</w:t>
      </w:r>
      <w:proofErr w:type="spellEnd"/>
      <w:r w:rsidRPr="003B4278">
        <w:rPr>
          <w:rFonts w:ascii="Times New Roman" w:hAnsi="Times New Roman" w:cs="Times New Roman"/>
          <w:lang w:val="en-NG" w:eastAsia="en-GB"/>
        </w:rPr>
        <w:t xml:space="preserve">, Z., </w:t>
      </w:r>
      <w:proofErr w:type="spellStart"/>
      <w:r w:rsidRPr="003B4278">
        <w:rPr>
          <w:rFonts w:ascii="Times New Roman" w:hAnsi="Times New Roman" w:cs="Times New Roman"/>
          <w:lang w:val="en-NG" w:eastAsia="en-GB"/>
        </w:rPr>
        <w:t>Mojtabaeian</w:t>
      </w:r>
      <w:proofErr w:type="spellEnd"/>
      <w:r w:rsidRPr="003B4278">
        <w:rPr>
          <w:rFonts w:ascii="Times New Roman" w:hAnsi="Times New Roman" w:cs="Times New Roman"/>
          <w:lang w:val="en-NG" w:eastAsia="en-GB"/>
        </w:rPr>
        <w:t xml:space="preserve">, S. M., &amp; Izadi, R. (2024). Artificial intelligence and decision-making in healthcare: A thematic analysis of a systematic review of reviews. </w:t>
      </w:r>
      <w:r w:rsidRPr="003B4278">
        <w:rPr>
          <w:rFonts w:ascii="Times New Roman" w:hAnsi="Times New Roman" w:cs="Times New Roman"/>
          <w:i/>
          <w:iCs/>
          <w:lang w:val="en-NG" w:eastAsia="en-GB"/>
        </w:rPr>
        <w:t>Health Services Research and Managerial Epidemiology, 11</w:t>
      </w:r>
      <w:r w:rsidRPr="003B4278">
        <w:rPr>
          <w:rFonts w:ascii="Times New Roman" w:hAnsi="Times New Roman" w:cs="Times New Roman"/>
          <w:lang w:val="en-NG" w:eastAsia="en-GB"/>
        </w:rPr>
        <w:t xml:space="preserve">, 23333928241234863. </w:t>
      </w:r>
      <w:hyperlink r:id="rId17" w:history="1">
        <w:r w:rsidRPr="003B4278">
          <w:rPr>
            <w:rStyle w:val="Hyperlink"/>
            <w:rFonts w:ascii="Times New Roman" w:hAnsi="Times New Roman" w:cs="Times New Roman"/>
            <w:lang w:val="en-NG" w:eastAsia="en-GB"/>
          </w:rPr>
          <w:t>https://doi.org/10.1177/23333928241234863</w:t>
        </w:r>
      </w:hyperlink>
    </w:p>
    <w:p w14:paraId="22D2EFA2"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Kumar, V., Dixit, A., </w:t>
      </w:r>
      <w:proofErr w:type="spellStart"/>
      <w:r w:rsidRPr="003B4278">
        <w:rPr>
          <w:rFonts w:ascii="Times New Roman" w:hAnsi="Times New Roman" w:cs="Times New Roman"/>
          <w:lang w:val="en-NG" w:eastAsia="en-GB"/>
        </w:rPr>
        <w:t>Javalgi</w:t>
      </w:r>
      <w:proofErr w:type="spellEnd"/>
      <w:r w:rsidRPr="003B4278">
        <w:rPr>
          <w:rFonts w:ascii="Times New Roman" w:hAnsi="Times New Roman" w:cs="Times New Roman"/>
          <w:lang w:val="en-NG" w:eastAsia="en-GB"/>
        </w:rPr>
        <w:t xml:space="preserve">, R., &amp; Dass, M. (2022). Research framework, strategies, and applications of artificial intelligence in marketing. </w:t>
      </w:r>
      <w:r w:rsidRPr="003B4278">
        <w:rPr>
          <w:rFonts w:ascii="Times New Roman" w:hAnsi="Times New Roman" w:cs="Times New Roman"/>
          <w:i/>
          <w:iCs/>
          <w:lang w:val="en-NG" w:eastAsia="en-GB"/>
        </w:rPr>
        <w:t>Journal of Business Research, 145</w:t>
      </w:r>
      <w:r w:rsidRPr="003B4278">
        <w:rPr>
          <w:rFonts w:ascii="Times New Roman" w:hAnsi="Times New Roman" w:cs="Times New Roman"/>
          <w:lang w:val="en-NG" w:eastAsia="en-GB"/>
        </w:rPr>
        <w:t xml:space="preserve">, 80–95. </w:t>
      </w:r>
      <w:hyperlink r:id="rId18" w:history="1">
        <w:r w:rsidRPr="003B4278">
          <w:rPr>
            <w:rStyle w:val="Hyperlink"/>
            <w:rFonts w:ascii="Times New Roman" w:hAnsi="Times New Roman" w:cs="Times New Roman"/>
            <w:lang w:val="en-NG" w:eastAsia="en-GB"/>
          </w:rPr>
          <w:t>https://doi.org/10.1016/j.jbusres.2022.02.061</w:t>
        </w:r>
      </w:hyperlink>
    </w:p>
    <w:p w14:paraId="113FD054"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Lee, I., &amp; Shin, Y. J. (2018). FinTech: Ecosystem, business models, investment decisions, and challenges. </w:t>
      </w:r>
      <w:r w:rsidRPr="003B4278">
        <w:rPr>
          <w:rFonts w:ascii="Times New Roman" w:hAnsi="Times New Roman" w:cs="Times New Roman"/>
          <w:i/>
          <w:iCs/>
          <w:lang w:val="en-NG" w:eastAsia="en-GB"/>
        </w:rPr>
        <w:t>Business Horizons, 61</w:t>
      </w:r>
      <w:r w:rsidRPr="003B4278">
        <w:rPr>
          <w:rFonts w:ascii="Times New Roman" w:hAnsi="Times New Roman" w:cs="Times New Roman"/>
          <w:lang w:val="en-NG" w:eastAsia="en-GB"/>
        </w:rPr>
        <w:t xml:space="preserve">(1), 35–46. </w:t>
      </w:r>
      <w:hyperlink r:id="rId19" w:history="1">
        <w:r w:rsidRPr="003B4278">
          <w:rPr>
            <w:rStyle w:val="Hyperlink"/>
            <w:rFonts w:ascii="Times New Roman" w:hAnsi="Times New Roman" w:cs="Times New Roman"/>
            <w:lang w:val="en-NG" w:eastAsia="en-GB"/>
          </w:rPr>
          <w:t>https://doi.org/10.1016/j.bushor.2017.09.003</w:t>
        </w:r>
      </w:hyperlink>
    </w:p>
    <w:p w14:paraId="5827DC03"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McKinsey &amp; Company. (2024). </w:t>
      </w:r>
      <w:r w:rsidRPr="003B4278">
        <w:rPr>
          <w:rFonts w:ascii="Times New Roman" w:hAnsi="Times New Roman" w:cs="Times New Roman"/>
          <w:i/>
          <w:iCs/>
          <w:lang w:val="en-NG" w:eastAsia="en-GB"/>
        </w:rPr>
        <w:t>FinTech in Africa: The end of the beginning</w:t>
      </w:r>
      <w:r w:rsidRPr="003B4278">
        <w:rPr>
          <w:rFonts w:ascii="Times New Roman" w:hAnsi="Times New Roman" w:cs="Times New Roman"/>
          <w:lang w:val="en-NG" w:eastAsia="en-GB"/>
        </w:rPr>
        <w:t>. McKinsey Global Institute.</w:t>
      </w:r>
    </w:p>
    <w:p w14:paraId="0C305375"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Organisation for Economic Co-operation and Development (OECD). (2023). </w:t>
      </w:r>
      <w:r w:rsidRPr="003B4278">
        <w:rPr>
          <w:rFonts w:ascii="Times New Roman" w:hAnsi="Times New Roman" w:cs="Times New Roman"/>
          <w:i/>
          <w:iCs/>
          <w:lang w:val="en-NG" w:eastAsia="en-GB"/>
        </w:rPr>
        <w:t>Artificial intelligence in society: Policy perspectives</w:t>
      </w:r>
      <w:r w:rsidRPr="003B4278">
        <w:rPr>
          <w:rFonts w:ascii="Times New Roman" w:hAnsi="Times New Roman" w:cs="Times New Roman"/>
          <w:lang w:val="en-NG" w:eastAsia="en-GB"/>
        </w:rPr>
        <w:t>. OECD Publishing.</w:t>
      </w:r>
    </w:p>
    <w:p w14:paraId="34FE665A" w14:textId="77777777" w:rsidR="003B4278" w:rsidRPr="003B4278" w:rsidRDefault="003B4278" w:rsidP="003B4278">
      <w:pPr>
        <w:spacing w:line="240" w:lineRule="auto"/>
        <w:jc w:val="both"/>
        <w:rPr>
          <w:rFonts w:ascii="Times New Roman" w:hAnsi="Times New Roman" w:cs="Times New Roman"/>
          <w:lang w:val="en-NG" w:eastAsia="en-GB"/>
        </w:rPr>
      </w:pPr>
      <w:proofErr w:type="spellStart"/>
      <w:r w:rsidRPr="003B4278">
        <w:rPr>
          <w:rFonts w:ascii="Times New Roman" w:hAnsi="Times New Roman" w:cs="Times New Roman"/>
          <w:lang w:val="en-NG" w:eastAsia="en-GB"/>
        </w:rPr>
        <w:t>Ozili</w:t>
      </w:r>
      <w:proofErr w:type="spellEnd"/>
      <w:r w:rsidRPr="003B4278">
        <w:rPr>
          <w:rFonts w:ascii="Times New Roman" w:hAnsi="Times New Roman" w:cs="Times New Roman"/>
          <w:lang w:val="en-NG" w:eastAsia="en-GB"/>
        </w:rPr>
        <w:t xml:space="preserve">, P. K. (2023). FinTech, financial inclusion and economic development: Evidence from Africa. </w:t>
      </w:r>
      <w:r w:rsidRPr="003B4278">
        <w:rPr>
          <w:rFonts w:ascii="Times New Roman" w:hAnsi="Times New Roman" w:cs="Times New Roman"/>
          <w:i/>
          <w:iCs/>
          <w:lang w:val="en-NG" w:eastAsia="en-GB"/>
        </w:rPr>
        <w:t>Journal of Financial Regulation and Compliance, 31</w:t>
      </w:r>
      <w:r w:rsidRPr="003B4278">
        <w:rPr>
          <w:rFonts w:ascii="Times New Roman" w:hAnsi="Times New Roman" w:cs="Times New Roman"/>
          <w:lang w:val="en-NG" w:eastAsia="en-GB"/>
        </w:rPr>
        <w:t xml:space="preserve">(2), 145–160. </w:t>
      </w:r>
      <w:hyperlink r:id="rId20" w:history="1">
        <w:r w:rsidRPr="003B4278">
          <w:rPr>
            <w:rStyle w:val="Hyperlink"/>
            <w:rFonts w:ascii="Times New Roman" w:hAnsi="Times New Roman" w:cs="Times New Roman"/>
            <w:lang w:val="en-NG" w:eastAsia="en-GB"/>
          </w:rPr>
          <w:t>https://doi.org/10.1108/JFRC-10-2021-0101</w:t>
        </w:r>
      </w:hyperlink>
    </w:p>
    <w:p w14:paraId="1EA9630A"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Philippon, T. (2020). On FinTech and financial inclusion. </w:t>
      </w:r>
      <w:r w:rsidRPr="003B4278">
        <w:rPr>
          <w:rFonts w:ascii="Times New Roman" w:hAnsi="Times New Roman" w:cs="Times New Roman"/>
          <w:i/>
          <w:iCs/>
          <w:lang w:val="en-NG" w:eastAsia="en-GB"/>
        </w:rPr>
        <w:t>Annual Review of Financial Economics, 12</w:t>
      </w:r>
      <w:r w:rsidRPr="003B4278">
        <w:rPr>
          <w:rFonts w:ascii="Times New Roman" w:hAnsi="Times New Roman" w:cs="Times New Roman"/>
          <w:lang w:val="en-NG" w:eastAsia="en-GB"/>
        </w:rPr>
        <w:t xml:space="preserve">, 273–292. </w:t>
      </w:r>
      <w:hyperlink r:id="rId21" w:history="1">
        <w:r w:rsidRPr="003B4278">
          <w:rPr>
            <w:rStyle w:val="Hyperlink"/>
            <w:rFonts w:ascii="Times New Roman" w:hAnsi="Times New Roman" w:cs="Times New Roman"/>
            <w:lang w:val="en-NG" w:eastAsia="en-GB"/>
          </w:rPr>
          <w:t>https://doi.org/10.1146/annurev-financial-040120-023537</w:t>
        </w:r>
      </w:hyperlink>
    </w:p>
    <w:p w14:paraId="63493007"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Rogers, E. M. (2003). </w:t>
      </w:r>
      <w:r w:rsidRPr="003B4278">
        <w:rPr>
          <w:rFonts w:ascii="Times New Roman" w:hAnsi="Times New Roman" w:cs="Times New Roman"/>
          <w:i/>
          <w:iCs/>
          <w:lang w:val="en-NG" w:eastAsia="en-GB"/>
        </w:rPr>
        <w:t>Diffusion of innovations</w:t>
      </w:r>
      <w:r w:rsidRPr="003B4278">
        <w:rPr>
          <w:rFonts w:ascii="Times New Roman" w:hAnsi="Times New Roman" w:cs="Times New Roman"/>
          <w:lang w:val="en-NG" w:eastAsia="en-GB"/>
        </w:rPr>
        <w:t xml:space="preserve"> (5th ed.). Free Press.</w:t>
      </w:r>
    </w:p>
    <w:p w14:paraId="09C45BA1"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Saunders, M., Lewis, P., &amp; Thornhill, A. (2023). </w:t>
      </w:r>
      <w:r w:rsidRPr="003B4278">
        <w:rPr>
          <w:rFonts w:ascii="Times New Roman" w:hAnsi="Times New Roman" w:cs="Times New Roman"/>
          <w:i/>
          <w:iCs/>
          <w:lang w:val="en-NG" w:eastAsia="en-GB"/>
        </w:rPr>
        <w:t>Research methods for business students</w:t>
      </w:r>
      <w:r w:rsidRPr="003B4278">
        <w:rPr>
          <w:rFonts w:ascii="Times New Roman" w:hAnsi="Times New Roman" w:cs="Times New Roman"/>
          <w:lang w:val="en-NG" w:eastAsia="en-GB"/>
        </w:rPr>
        <w:t xml:space="preserve"> (9th ed.). Pearson Education.</w:t>
      </w:r>
    </w:p>
    <w:p w14:paraId="4CFBF638"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Shao, X., Ahmad, M., &amp; Javed, F. (2024). Firm-level digitalisation for sustainability performance: Evidence from Ningbo City of China. </w:t>
      </w:r>
      <w:r w:rsidRPr="003B4278">
        <w:rPr>
          <w:rFonts w:ascii="Times New Roman" w:hAnsi="Times New Roman" w:cs="Times New Roman"/>
          <w:i/>
          <w:iCs/>
          <w:lang w:val="en-NG" w:eastAsia="en-GB"/>
        </w:rPr>
        <w:t>Sustainability, 16</w:t>
      </w:r>
      <w:r w:rsidRPr="003B4278">
        <w:rPr>
          <w:rFonts w:ascii="Times New Roman" w:hAnsi="Times New Roman" w:cs="Times New Roman"/>
          <w:lang w:val="en-NG" w:eastAsia="en-GB"/>
        </w:rPr>
        <w:t xml:space="preserve">(20), 8881. </w:t>
      </w:r>
      <w:hyperlink r:id="rId22" w:history="1">
        <w:r w:rsidRPr="003B4278">
          <w:rPr>
            <w:rStyle w:val="Hyperlink"/>
            <w:rFonts w:ascii="Times New Roman" w:hAnsi="Times New Roman" w:cs="Times New Roman"/>
            <w:lang w:val="en-NG" w:eastAsia="en-GB"/>
          </w:rPr>
          <w:t>https://doi.org/10.3390/su16208881</w:t>
        </w:r>
      </w:hyperlink>
    </w:p>
    <w:p w14:paraId="7921AE2A"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Simon, H. A. (1977). </w:t>
      </w:r>
      <w:r w:rsidRPr="003B4278">
        <w:rPr>
          <w:rFonts w:ascii="Times New Roman" w:hAnsi="Times New Roman" w:cs="Times New Roman"/>
          <w:i/>
          <w:iCs/>
          <w:lang w:val="en-NG" w:eastAsia="en-GB"/>
        </w:rPr>
        <w:t>The new science of management decision</w:t>
      </w:r>
      <w:r w:rsidRPr="003B4278">
        <w:rPr>
          <w:rFonts w:ascii="Times New Roman" w:hAnsi="Times New Roman" w:cs="Times New Roman"/>
          <w:lang w:val="en-NG" w:eastAsia="en-GB"/>
        </w:rPr>
        <w:t xml:space="preserve"> (Rev. ed.). Prentice Hall.</w:t>
      </w:r>
    </w:p>
    <w:p w14:paraId="1C2369B6" w14:textId="77777777" w:rsidR="003B4278" w:rsidRPr="003B4278" w:rsidRDefault="003B4278" w:rsidP="003B4278">
      <w:pPr>
        <w:spacing w:line="240" w:lineRule="auto"/>
        <w:jc w:val="both"/>
        <w:rPr>
          <w:rFonts w:ascii="Times New Roman" w:hAnsi="Times New Roman" w:cs="Times New Roman"/>
          <w:lang w:val="en-NG" w:eastAsia="en-GB"/>
        </w:rPr>
      </w:pPr>
      <w:proofErr w:type="spellStart"/>
      <w:r w:rsidRPr="003B4278">
        <w:rPr>
          <w:rFonts w:ascii="Times New Roman" w:hAnsi="Times New Roman" w:cs="Times New Roman"/>
          <w:lang w:val="en-NG" w:eastAsia="en-GB"/>
        </w:rPr>
        <w:t>Tornatzky</w:t>
      </w:r>
      <w:proofErr w:type="spellEnd"/>
      <w:r w:rsidRPr="003B4278">
        <w:rPr>
          <w:rFonts w:ascii="Times New Roman" w:hAnsi="Times New Roman" w:cs="Times New Roman"/>
          <w:lang w:val="en-NG" w:eastAsia="en-GB"/>
        </w:rPr>
        <w:t xml:space="preserve">, L. G., &amp; Fleischer, M. (1990). </w:t>
      </w:r>
      <w:r w:rsidRPr="003B4278">
        <w:rPr>
          <w:rFonts w:ascii="Times New Roman" w:hAnsi="Times New Roman" w:cs="Times New Roman"/>
          <w:i/>
          <w:iCs/>
          <w:lang w:val="en-NG" w:eastAsia="en-GB"/>
        </w:rPr>
        <w:t>The processes of technological innovation</w:t>
      </w:r>
      <w:r w:rsidRPr="003B4278">
        <w:rPr>
          <w:rFonts w:ascii="Times New Roman" w:hAnsi="Times New Roman" w:cs="Times New Roman"/>
          <w:lang w:val="en-NG" w:eastAsia="en-GB"/>
        </w:rPr>
        <w:t>. Lexington Books.</w:t>
      </w:r>
    </w:p>
    <w:p w14:paraId="159B26B0"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World Bank. (2022). </w:t>
      </w:r>
      <w:r w:rsidRPr="003B4278">
        <w:rPr>
          <w:rFonts w:ascii="Times New Roman" w:hAnsi="Times New Roman" w:cs="Times New Roman"/>
          <w:i/>
          <w:iCs/>
          <w:lang w:val="en-NG" w:eastAsia="en-GB"/>
        </w:rPr>
        <w:t>Digital financial services and risk management</w:t>
      </w:r>
      <w:r w:rsidRPr="003B4278">
        <w:rPr>
          <w:rFonts w:ascii="Times New Roman" w:hAnsi="Times New Roman" w:cs="Times New Roman"/>
          <w:lang w:val="en-NG" w:eastAsia="en-GB"/>
        </w:rPr>
        <w:t>. World Bank Publications.</w:t>
      </w:r>
    </w:p>
    <w:p w14:paraId="7C27F0EC" w14:textId="77777777" w:rsidR="003B4278" w:rsidRPr="003B4278" w:rsidRDefault="003B4278" w:rsidP="003B4278">
      <w:pPr>
        <w:spacing w:line="240" w:lineRule="auto"/>
        <w:jc w:val="both"/>
        <w:rPr>
          <w:rFonts w:ascii="Times New Roman" w:hAnsi="Times New Roman" w:cs="Times New Roman"/>
          <w:lang w:val="en-NG" w:eastAsia="en-GB"/>
        </w:rPr>
      </w:pPr>
      <w:r w:rsidRPr="003B4278">
        <w:rPr>
          <w:rFonts w:ascii="Times New Roman" w:hAnsi="Times New Roman" w:cs="Times New Roman"/>
          <w:lang w:val="en-NG" w:eastAsia="en-GB"/>
        </w:rPr>
        <w:t xml:space="preserve">World Bank. (2023). </w:t>
      </w:r>
      <w:r w:rsidRPr="003B4278">
        <w:rPr>
          <w:rFonts w:ascii="Times New Roman" w:hAnsi="Times New Roman" w:cs="Times New Roman"/>
          <w:i/>
          <w:iCs/>
          <w:lang w:val="en-NG" w:eastAsia="en-GB"/>
        </w:rPr>
        <w:t>Global Findex database 2023: Financial inclusion indicators</w:t>
      </w:r>
      <w:r w:rsidRPr="003B4278">
        <w:rPr>
          <w:rFonts w:ascii="Times New Roman" w:hAnsi="Times New Roman" w:cs="Times New Roman"/>
          <w:lang w:val="en-NG" w:eastAsia="en-GB"/>
        </w:rPr>
        <w:t>. World Bank.</w:t>
      </w:r>
    </w:p>
    <w:p w14:paraId="0020916E" w14:textId="77777777" w:rsidR="00D04B88" w:rsidRDefault="00D04B88" w:rsidP="003B4278">
      <w:pPr>
        <w:spacing w:line="240" w:lineRule="auto"/>
        <w:jc w:val="both"/>
        <w:rPr>
          <w:rFonts w:ascii="Times New Roman" w:hAnsi="Times New Roman" w:cs="Times New Roman"/>
          <w:lang w:eastAsia="en-GB"/>
        </w:rPr>
      </w:pPr>
    </w:p>
    <w:p w14:paraId="1D92A364" w14:textId="77777777" w:rsidR="00D04B88" w:rsidRDefault="00D04B88" w:rsidP="00C35B5E">
      <w:pPr>
        <w:jc w:val="both"/>
        <w:rPr>
          <w:rFonts w:ascii="Times New Roman" w:hAnsi="Times New Roman" w:cs="Times New Roman"/>
          <w:lang w:eastAsia="en-GB"/>
        </w:rPr>
      </w:pPr>
    </w:p>
    <w:p w14:paraId="2712057E" w14:textId="77777777" w:rsidR="00D04B88" w:rsidRDefault="00D04B88" w:rsidP="002009FF">
      <w:pPr>
        <w:jc w:val="both"/>
        <w:rPr>
          <w:rFonts w:ascii="Times New Roman" w:hAnsi="Times New Roman" w:cs="Times New Roman"/>
          <w:lang w:eastAsia="en-GB"/>
        </w:rPr>
      </w:pPr>
    </w:p>
    <w:p w14:paraId="600DC2AC" w14:textId="77777777" w:rsidR="00D04B88" w:rsidRDefault="00D04B88" w:rsidP="002009FF">
      <w:pPr>
        <w:jc w:val="both"/>
        <w:rPr>
          <w:rFonts w:ascii="Times New Roman" w:hAnsi="Times New Roman" w:cs="Times New Roman"/>
          <w:lang w:eastAsia="en-GB"/>
        </w:rPr>
      </w:pPr>
    </w:p>
    <w:p w14:paraId="7FCF2C6D" w14:textId="77777777" w:rsidR="002C4F74" w:rsidRDefault="002C4F74" w:rsidP="002C4F74">
      <w:pPr>
        <w:spacing w:before="100" w:beforeAutospacing="1" w:after="100" w:afterAutospacing="1" w:line="240" w:lineRule="auto"/>
        <w:rPr>
          <w:rFonts w:ascii="Times New Roman" w:eastAsia="Times New Roman" w:hAnsi="Times New Roman" w:cs="Times New Roman"/>
          <w:kern w:val="0"/>
          <w:lang w:eastAsia="en-GB"/>
          <w14:ligatures w14:val="none"/>
        </w:rPr>
      </w:pPr>
    </w:p>
    <w:sectPr w:rsidR="002C4F74">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AA60" w14:textId="77777777" w:rsidR="00D83129" w:rsidRDefault="00D83129" w:rsidP="003F6A7D">
      <w:pPr>
        <w:spacing w:after="0" w:line="240" w:lineRule="auto"/>
      </w:pPr>
      <w:r>
        <w:separator/>
      </w:r>
    </w:p>
  </w:endnote>
  <w:endnote w:type="continuationSeparator" w:id="0">
    <w:p w14:paraId="71C4CB98" w14:textId="77777777" w:rsidR="00D83129" w:rsidRDefault="00D83129" w:rsidP="003F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87642979"/>
      <w:docPartObj>
        <w:docPartGallery w:val="Page Numbers (Bottom of Page)"/>
        <w:docPartUnique/>
      </w:docPartObj>
    </w:sdtPr>
    <w:sdtContent>
      <w:p w14:paraId="1D121E7D" w14:textId="38163A11" w:rsidR="003F6A7D" w:rsidRPr="00CC28D5" w:rsidRDefault="003F6A7D">
        <w:pPr>
          <w:pStyle w:val="Footer"/>
          <w:jc w:val="right"/>
          <w:rPr>
            <w:rFonts w:ascii="Times New Roman" w:hAnsi="Times New Roman" w:cs="Times New Roman"/>
          </w:rPr>
        </w:pPr>
        <w:r w:rsidRPr="00CC28D5">
          <w:rPr>
            <w:rFonts w:ascii="Times New Roman" w:hAnsi="Times New Roman" w:cs="Times New Roman"/>
          </w:rPr>
          <w:fldChar w:fldCharType="begin"/>
        </w:r>
        <w:r w:rsidRPr="00CC28D5">
          <w:rPr>
            <w:rFonts w:ascii="Times New Roman" w:hAnsi="Times New Roman" w:cs="Times New Roman"/>
          </w:rPr>
          <w:instrText>PAGE   \* MERGEFORMAT</w:instrText>
        </w:r>
        <w:r w:rsidRPr="00CC28D5">
          <w:rPr>
            <w:rFonts w:ascii="Times New Roman" w:hAnsi="Times New Roman" w:cs="Times New Roman"/>
          </w:rPr>
          <w:fldChar w:fldCharType="separate"/>
        </w:r>
        <w:r w:rsidRPr="00CC28D5">
          <w:rPr>
            <w:rFonts w:ascii="Times New Roman" w:hAnsi="Times New Roman" w:cs="Times New Roman"/>
          </w:rPr>
          <w:t>2</w:t>
        </w:r>
        <w:r w:rsidRPr="00CC28D5">
          <w:rPr>
            <w:rFonts w:ascii="Times New Roman" w:hAnsi="Times New Roman" w:cs="Times New Roman"/>
          </w:rPr>
          <w:fldChar w:fldCharType="end"/>
        </w:r>
      </w:p>
    </w:sdtContent>
  </w:sdt>
  <w:p w14:paraId="22E7AC4C" w14:textId="77777777" w:rsidR="003F6A7D" w:rsidRPr="00CC28D5" w:rsidRDefault="003F6A7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8216" w14:textId="77777777" w:rsidR="00D83129" w:rsidRDefault="00D83129" w:rsidP="003F6A7D">
      <w:pPr>
        <w:spacing w:after="0" w:line="240" w:lineRule="auto"/>
      </w:pPr>
      <w:r>
        <w:separator/>
      </w:r>
    </w:p>
  </w:footnote>
  <w:footnote w:type="continuationSeparator" w:id="0">
    <w:p w14:paraId="1FDC0E39" w14:textId="77777777" w:rsidR="00D83129" w:rsidRDefault="00D83129" w:rsidP="003F6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19F"/>
    <w:multiLevelType w:val="multilevel"/>
    <w:tmpl w:val="DFA8EB3E"/>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83DF9"/>
    <w:multiLevelType w:val="multilevel"/>
    <w:tmpl w:val="58DA18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E54E50"/>
    <w:multiLevelType w:val="multilevel"/>
    <w:tmpl w:val="1640E45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553587"/>
    <w:multiLevelType w:val="multilevel"/>
    <w:tmpl w:val="5E507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E4C46"/>
    <w:multiLevelType w:val="multilevel"/>
    <w:tmpl w:val="3BCEAEF6"/>
    <w:lvl w:ilvl="0">
      <w:start w:val="1"/>
      <w:numFmt w:val="upp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C264B"/>
    <w:multiLevelType w:val="multilevel"/>
    <w:tmpl w:val="7A7411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7211E"/>
    <w:multiLevelType w:val="multilevel"/>
    <w:tmpl w:val="8604A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0E1045"/>
    <w:multiLevelType w:val="hybridMultilevel"/>
    <w:tmpl w:val="968C015C"/>
    <w:lvl w:ilvl="0" w:tplc="B11889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955B65"/>
    <w:multiLevelType w:val="multilevel"/>
    <w:tmpl w:val="02DAD4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224C1"/>
    <w:multiLevelType w:val="multilevel"/>
    <w:tmpl w:val="8640B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5F0C8F"/>
    <w:multiLevelType w:val="multilevel"/>
    <w:tmpl w:val="46C6A084"/>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D32E01"/>
    <w:multiLevelType w:val="multilevel"/>
    <w:tmpl w:val="4BCEA9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748285">
    <w:abstractNumId w:val="6"/>
  </w:num>
  <w:num w:numId="2" w16cid:durableId="647441837">
    <w:abstractNumId w:val="0"/>
  </w:num>
  <w:num w:numId="3" w16cid:durableId="1855217912">
    <w:abstractNumId w:val="7"/>
  </w:num>
  <w:num w:numId="4" w16cid:durableId="1071007492">
    <w:abstractNumId w:val="10"/>
  </w:num>
  <w:num w:numId="5" w16cid:durableId="1760248511">
    <w:abstractNumId w:val="2"/>
  </w:num>
  <w:num w:numId="6" w16cid:durableId="770245964">
    <w:abstractNumId w:val="4"/>
  </w:num>
  <w:num w:numId="7" w16cid:durableId="765612624">
    <w:abstractNumId w:val="5"/>
  </w:num>
  <w:num w:numId="8" w16cid:durableId="161165843">
    <w:abstractNumId w:val="3"/>
  </w:num>
  <w:num w:numId="9" w16cid:durableId="1610770754">
    <w:abstractNumId w:val="9"/>
  </w:num>
  <w:num w:numId="10" w16cid:durableId="1499075979">
    <w:abstractNumId w:val="8"/>
  </w:num>
  <w:num w:numId="11" w16cid:durableId="345182458">
    <w:abstractNumId w:val="11"/>
  </w:num>
  <w:num w:numId="12" w16cid:durableId="125412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9C"/>
    <w:rsid w:val="00007D26"/>
    <w:rsid w:val="000341B5"/>
    <w:rsid w:val="000463A4"/>
    <w:rsid w:val="00046C63"/>
    <w:rsid w:val="000637F6"/>
    <w:rsid w:val="00071F6E"/>
    <w:rsid w:val="00086707"/>
    <w:rsid w:val="000B4BAF"/>
    <w:rsid w:val="001547C0"/>
    <w:rsid w:val="001D68DB"/>
    <w:rsid w:val="002009FF"/>
    <w:rsid w:val="002076B0"/>
    <w:rsid w:val="00210C0C"/>
    <w:rsid w:val="00226FBE"/>
    <w:rsid w:val="002C4F74"/>
    <w:rsid w:val="002E0C9C"/>
    <w:rsid w:val="002E325D"/>
    <w:rsid w:val="00304424"/>
    <w:rsid w:val="003277A5"/>
    <w:rsid w:val="003369D3"/>
    <w:rsid w:val="00341707"/>
    <w:rsid w:val="003618CC"/>
    <w:rsid w:val="003B341E"/>
    <w:rsid w:val="003B4278"/>
    <w:rsid w:val="003C495D"/>
    <w:rsid w:val="003F237E"/>
    <w:rsid w:val="003F6A7D"/>
    <w:rsid w:val="00426577"/>
    <w:rsid w:val="00443FC7"/>
    <w:rsid w:val="00457EDD"/>
    <w:rsid w:val="0048514E"/>
    <w:rsid w:val="004A3B9C"/>
    <w:rsid w:val="004D35B3"/>
    <w:rsid w:val="004D5BFE"/>
    <w:rsid w:val="00512F4B"/>
    <w:rsid w:val="005214DC"/>
    <w:rsid w:val="00532FFE"/>
    <w:rsid w:val="005429E9"/>
    <w:rsid w:val="005C30A1"/>
    <w:rsid w:val="005F61F8"/>
    <w:rsid w:val="00635E58"/>
    <w:rsid w:val="00651F02"/>
    <w:rsid w:val="00654393"/>
    <w:rsid w:val="00654E44"/>
    <w:rsid w:val="00690A2B"/>
    <w:rsid w:val="006A31B2"/>
    <w:rsid w:val="006C24D0"/>
    <w:rsid w:val="006C581C"/>
    <w:rsid w:val="006F3033"/>
    <w:rsid w:val="00710CF8"/>
    <w:rsid w:val="00717E33"/>
    <w:rsid w:val="00742CC8"/>
    <w:rsid w:val="00743465"/>
    <w:rsid w:val="00760B0C"/>
    <w:rsid w:val="007A733F"/>
    <w:rsid w:val="007B7EA5"/>
    <w:rsid w:val="007D3902"/>
    <w:rsid w:val="007D7DEE"/>
    <w:rsid w:val="007E594B"/>
    <w:rsid w:val="00850885"/>
    <w:rsid w:val="0085542B"/>
    <w:rsid w:val="008904D1"/>
    <w:rsid w:val="008A0D8D"/>
    <w:rsid w:val="008B0025"/>
    <w:rsid w:val="008B00CC"/>
    <w:rsid w:val="008D052F"/>
    <w:rsid w:val="008F65FB"/>
    <w:rsid w:val="00907CA1"/>
    <w:rsid w:val="00914F25"/>
    <w:rsid w:val="00917B4A"/>
    <w:rsid w:val="00986986"/>
    <w:rsid w:val="00993CEF"/>
    <w:rsid w:val="009B4253"/>
    <w:rsid w:val="009D43D1"/>
    <w:rsid w:val="009F030C"/>
    <w:rsid w:val="009F4DD8"/>
    <w:rsid w:val="00A22C60"/>
    <w:rsid w:val="00A54B63"/>
    <w:rsid w:val="00A56450"/>
    <w:rsid w:val="00A57A70"/>
    <w:rsid w:val="00A74190"/>
    <w:rsid w:val="00A779B6"/>
    <w:rsid w:val="00A81E03"/>
    <w:rsid w:val="00A859DF"/>
    <w:rsid w:val="00A9767F"/>
    <w:rsid w:val="00AB11A1"/>
    <w:rsid w:val="00AE42BA"/>
    <w:rsid w:val="00AE500C"/>
    <w:rsid w:val="00B221E3"/>
    <w:rsid w:val="00B75B5D"/>
    <w:rsid w:val="00B85E6B"/>
    <w:rsid w:val="00BE42E7"/>
    <w:rsid w:val="00BF7004"/>
    <w:rsid w:val="00C06B0B"/>
    <w:rsid w:val="00C35B5E"/>
    <w:rsid w:val="00C63F24"/>
    <w:rsid w:val="00C85795"/>
    <w:rsid w:val="00CA67CE"/>
    <w:rsid w:val="00CB4F27"/>
    <w:rsid w:val="00CC28D5"/>
    <w:rsid w:val="00D04B88"/>
    <w:rsid w:val="00D27ED4"/>
    <w:rsid w:val="00D34304"/>
    <w:rsid w:val="00D765CC"/>
    <w:rsid w:val="00D83129"/>
    <w:rsid w:val="00DA1926"/>
    <w:rsid w:val="00DA5916"/>
    <w:rsid w:val="00DB16D1"/>
    <w:rsid w:val="00DD3B55"/>
    <w:rsid w:val="00E270A5"/>
    <w:rsid w:val="00E34F85"/>
    <w:rsid w:val="00E72223"/>
    <w:rsid w:val="00E80871"/>
    <w:rsid w:val="00E90AA1"/>
    <w:rsid w:val="00EB5F06"/>
    <w:rsid w:val="00EE21E3"/>
    <w:rsid w:val="00F26A11"/>
    <w:rsid w:val="00F721AA"/>
    <w:rsid w:val="00F87206"/>
    <w:rsid w:val="00FA5E68"/>
    <w:rsid w:val="00FF4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2952"/>
  <w15:chartTrackingRefBased/>
  <w15:docId w15:val="{65896328-2FA4-4430-98D3-0D9421D7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E0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0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E0C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E0C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C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C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C9C"/>
    <w:rPr>
      <w:rFonts w:eastAsiaTheme="majorEastAsia" w:cstheme="majorBidi"/>
      <w:color w:val="272727" w:themeColor="text1" w:themeTint="D8"/>
    </w:rPr>
  </w:style>
  <w:style w:type="paragraph" w:styleId="Title">
    <w:name w:val="Title"/>
    <w:basedOn w:val="Normal"/>
    <w:next w:val="Normal"/>
    <w:link w:val="TitleChar"/>
    <w:uiPriority w:val="10"/>
    <w:qFormat/>
    <w:rsid w:val="002E0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C9C"/>
    <w:pPr>
      <w:spacing w:before="160"/>
      <w:jc w:val="center"/>
    </w:pPr>
    <w:rPr>
      <w:i/>
      <w:iCs/>
      <w:color w:val="404040" w:themeColor="text1" w:themeTint="BF"/>
    </w:rPr>
  </w:style>
  <w:style w:type="character" w:customStyle="1" w:styleId="QuoteChar">
    <w:name w:val="Quote Char"/>
    <w:basedOn w:val="DefaultParagraphFont"/>
    <w:link w:val="Quote"/>
    <w:uiPriority w:val="29"/>
    <w:rsid w:val="002E0C9C"/>
    <w:rPr>
      <w:i/>
      <w:iCs/>
      <w:color w:val="404040" w:themeColor="text1" w:themeTint="BF"/>
    </w:rPr>
  </w:style>
  <w:style w:type="paragraph" w:styleId="ListParagraph">
    <w:name w:val="List Paragraph"/>
    <w:basedOn w:val="Normal"/>
    <w:uiPriority w:val="34"/>
    <w:qFormat/>
    <w:rsid w:val="002E0C9C"/>
    <w:pPr>
      <w:ind w:left="720"/>
      <w:contextualSpacing/>
    </w:pPr>
  </w:style>
  <w:style w:type="character" w:styleId="IntenseEmphasis">
    <w:name w:val="Intense Emphasis"/>
    <w:basedOn w:val="DefaultParagraphFont"/>
    <w:uiPriority w:val="21"/>
    <w:qFormat/>
    <w:rsid w:val="002E0C9C"/>
    <w:rPr>
      <w:i/>
      <w:iCs/>
      <w:color w:val="2F5496" w:themeColor="accent1" w:themeShade="BF"/>
    </w:rPr>
  </w:style>
  <w:style w:type="paragraph" w:styleId="IntenseQuote">
    <w:name w:val="Intense Quote"/>
    <w:basedOn w:val="Normal"/>
    <w:next w:val="Normal"/>
    <w:link w:val="IntenseQuoteChar"/>
    <w:uiPriority w:val="30"/>
    <w:qFormat/>
    <w:rsid w:val="002E0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C9C"/>
    <w:rPr>
      <w:i/>
      <w:iCs/>
      <w:color w:val="2F5496" w:themeColor="accent1" w:themeShade="BF"/>
    </w:rPr>
  </w:style>
  <w:style w:type="character" w:styleId="IntenseReference">
    <w:name w:val="Intense Reference"/>
    <w:basedOn w:val="DefaultParagraphFont"/>
    <w:uiPriority w:val="32"/>
    <w:qFormat/>
    <w:rsid w:val="002E0C9C"/>
    <w:rPr>
      <w:b/>
      <w:bCs/>
      <w:smallCaps/>
      <w:color w:val="2F5496" w:themeColor="accent1" w:themeShade="BF"/>
      <w:spacing w:val="5"/>
    </w:rPr>
  </w:style>
  <w:style w:type="paragraph" w:styleId="NormalWeb">
    <w:name w:val="Normal (Web)"/>
    <w:basedOn w:val="Normal"/>
    <w:uiPriority w:val="99"/>
    <w:unhideWhenUsed/>
    <w:rsid w:val="008F65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hitespace-normal">
    <w:name w:val="whitespace-normal"/>
    <w:basedOn w:val="DefaultParagraphFont"/>
    <w:rsid w:val="008F65FB"/>
  </w:style>
  <w:style w:type="character" w:styleId="Strong">
    <w:name w:val="Strong"/>
    <w:basedOn w:val="DefaultParagraphFont"/>
    <w:uiPriority w:val="22"/>
    <w:qFormat/>
    <w:rsid w:val="00210C0C"/>
    <w:rPr>
      <w:b/>
      <w:bCs/>
    </w:rPr>
  </w:style>
  <w:style w:type="table" w:styleId="TableGrid">
    <w:name w:val="Table Grid"/>
    <w:basedOn w:val="TableNormal"/>
    <w:uiPriority w:val="39"/>
    <w:rsid w:val="00A9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C8"/>
    <w:rPr>
      <w:color w:val="0563C1" w:themeColor="hyperlink"/>
      <w:u w:val="single"/>
    </w:rPr>
  </w:style>
  <w:style w:type="character" w:styleId="UnresolvedMention">
    <w:name w:val="Unresolved Mention"/>
    <w:basedOn w:val="DefaultParagraphFont"/>
    <w:uiPriority w:val="99"/>
    <w:semiHidden/>
    <w:unhideWhenUsed/>
    <w:rsid w:val="00742CC8"/>
    <w:rPr>
      <w:color w:val="605E5C"/>
      <w:shd w:val="clear" w:color="auto" w:fill="E1DFDD"/>
    </w:rPr>
  </w:style>
  <w:style w:type="paragraph" w:styleId="Header">
    <w:name w:val="header"/>
    <w:basedOn w:val="Normal"/>
    <w:link w:val="HeaderChar"/>
    <w:uiPriority w:val="99"/>
    <w:unhideWhenUsed/>
    <w:rsid w:val="003F6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A7D"/>
  </w:style>
  <w:style w:type="paragraph" w:styleId="Footer">
    <w:name w:val="footer"/>
    <w:basedOn w:val="Normal"/>
    <w:link w:val="FooterChar"/>
    <w:uiPriority w:val="99"/>
    <w:unhideWhenUsed/>
    <w:rsid w:val="003F6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1524">
      <w:bodyDiv w:val="1"/>
      <w:marLeft w:val="0"/>
      <w:marRight w:val="0"/>
      <w:marTop w:val="0"/>
      <w:marBottom w:val="0"/>
      <w:divBdr>
        <w:top w:val="none" w:sz="0" w:space="0" w:color="auto"/>
        <w:left w:val="none" w:sz="0" w:space="0" w:color="auto"/>
        <w:bottom w:val="none" w:sz="0" w:space="0" w:color="auto"/>
        <w:right w:val="none" w:sz="0" w:space="0" w:color="auto"/>
      </w:divBdr>
    </w:div>
    <w:div w:id="147522968">
      <w:bodyDiv w:val="1"/>
      <w:marLeft w:val="0"/>
      <w:marRight w:val="0"/>
      <w:marTop w:val="0"/>
      <w:marBottom w:val="0"/>
      <w:divBdr>
        <w:top w:val="none" w:sz="0" w:space="0" w:color="auto"/>
        <w:left w:val="none" w:sz="0" w:space="0" w:color="auto"/>
        <w:bottom w:val="none" w:sz="0" w:space="0" w:color="auto"/>
        <w:right w:val="none" w:sz="0" w:space="0" w:color="auto"/>
      </w:divBdr>
    </w:div>
    <w:div w:id="151140273">
      <w:bodyDiv w:val="1"/>
      <w:marLeft w:val="0"/>
      <w:marRight w:val="0"/>
      <w:marTop w:val="0"/>
      <w:marBottom w:val="0"/>
      <w:divBdr>
        <w:top w:val="none" w:sz="0" w:space="0" w:color="auto"/>
        <w:left w:val="none" w:sz="0" w:space="0" w:color="auto"/>
        <w:bottom w:val="none" w:sz="0" w:space="0" w:color="auto"/>
        <w:right w:val="none" w:sz="0" w:space="0" w:color="auto"/>
      </w:divBdr>
    </w:div>
    <w:div w:id="231544017">
      <w:bodyDiv w:val="1"/>
      <w:marLeft w:val="0"/>
      <w:marRight w:val="0"/>
      <w:marTop w:val="0"/>
      <w:marBottom w:val="0"/>
      <w:divBdr>
        <w:top w:val="none" w:sz="0" w:space="0" w:color="auto"/>
        <w:left w:val="none" w:sz="0" w:space="0" w:color="auto"/>
        <w:bottom w:val="none" w:sz="0" w:space="0" w:color="auto"/>
        <w:right w:val="none" w:sz="0" w:space="0" w:color="auto"/>
      </w:divBdr>
    </w:div>
    <w:div w:id="259796378">
      <w:bodyDiv w:val="1"/>
      <w:marLeft w:val="0"/>
      <w:marRight w:val="0"/>
      <w:marTop w:val="0"/>
      <w:marBottom w:val="0"/>
      <w:divBdr>
        <w:top w:val="none" w:sz="0" w:space="0" w:color="auto"/>
        <w:left w:val="none" w:sz="0" w:space="0" w:color="auto"/>
        <w:bottom w:val="none" w:sz="0" w:space="0" w:color="auto"/>
        <w:right w:val="none" w:sz="0" w:space="0" w:color="auto"/>
      </w:divBdr>
    </w:div>
    <w:div w:id="328296506">
      <w:bodyDiv w:val="1"/>
      <w:marLeft w:val="0"/>
      <w:marRight w:val="0"/>
      <w:marTop w:val="0"/>
      <w:marBottom w:val="0"/>
      <w:divBdr>
        <w:top w:val="none" w:sz="0" w:space="0" w:color="auto"/>
        <w:left w:val="none" w:sz="0" w:space="0" w:color="auto"/>
        <w:bottom w:val="none" w:sz="0" w:space="0" w:color="auto"/>
        <w:right w:val="none" w:sz="0" w:space="0" w:color="auto"/>
      </w:divBdr>
      <w:divsChild>
        <w:div w:id="1896044761">
          <w:marLeft w:val="0"/>
          <w:marRight w:val="0"/>
          <w:marTop w:val="0"/>
          <w:marBottom w:val="0"/>
          <w:divBdr>
            <w:top w:val="none" w:sz="0" w:space="0" w:color="auto"/>
            <w:left w:val="none" w:sz="0" w:space="0" w:color="auto"/>
            <w:bottom w:val="none" w:sz="0" w:space="0" w:color="auto"/>
            <w:right w:val="none" w:sz="0" w:space="0" w:color="auto"/>
          </w:divBdr>
          <w:divsChild>
            <w:div w:id="472060945">
              <w:marLeft w:val="0"/>
              <w:marRight w:val="0"/>
              <w:marTop w:val="0"/>
              <w:marBottom w:val="0"/>
              <w:divBdr>
                <w:top w:val="none" w:sz="0" w:space="0" w:color="auto"/>
                <w:left w:val="none" w:sz="0" w:space="0" w:color="auto"/>
                <w:bottom w:val="none" w:sz="0" w:space="0" w:color="auto"/>
                <w:right w:val="none" w:sz="0" w:space="0" w:color="auto"/>
              </w:divBdr>
              <w:divsChild>
                <w:div w:id="1780026029">
                  <w:marLeft w:val="0"/>
                  <w:marRight w:val="0"/>
                  <w:marTop w:val="0"/>
                  <w:marBottom w:val="0"/>
                  <w:divBdr>
                    <w:top w:val="none" w:sz="0" w:space="0" w:color="auto"/>
                    <w:left w:val="none" w:sz="0" w:space="0" w:color="auto"/>
                    <w:bottom w:val="none" w:sz="0" w:space="0" w:color="auto"/>
                    <w:right w:val="none" w:sz="0" w:space="0" w:color="auto"/>
                  </w:divBdr>
                  <w:divsChild>
                    <w:div w:id="1787385524">
                      <w:marLeft w:val="0"/>
                      <w:marRight w:val="0"/>
                      <w:marTop w:val="0"/>
                      <w:marBottom w:val="0"/>
                      <w:divBdr>
                        <w:top w:val="none" w:sz="0" w:space="0" w:color="auto"/>
                        <w:left w:val="none" w:sz="0" w:space="0" w:color="auto"/>
                        <w:bottom w:val="none" w:sz="0" w:space="0" w:color="auto"/>
                        <w:right w:val="none" w:sz="0" w:space="0" w:color="auto"/>
                      </w:divBdr>
                      <w:divsChild>
                        <w:div w:id="825628826">
                          <w:marLeft w:val="0"/>
                          <w:marRight w:val="0"/>
                          <w:marTop w:val="0"/>
                          <w:marBottom w:val="0"/>
                          <w:divBdr>
                            <w:top w:val="none" w:sz="0" w:space="0" w:color="auto"/>
                            <w:left w:val="none" w:sz="0" w:space="0" w:color="auto"/>
                            <w:bottom w:val="none" w:sz="0" w:space="0" w:color="auto"/>
                            <w:right w:val="none" w:sz="0" w:space="0" w:color="auto"/>
                          </w:divBdr>
                          <w:divsChild>
                            <w:div w:id="799036163">
                              <w:marLeft w:val="0"/>
                              <w:marRight w:val="0"/>
                              <w:marTop w:val="0"/>
                              <w:marBottom w:val="0"/>
                              <w:divBdr>
                                <w:top w:val="none" w:sz="0" w:space="0" w:color="auto"/>
                                <w:left w:val="none" w:sz="0" w:space="0" w:color="auto"/>
                                <w:bottom w:val="none" w:sz="0" w:space="0" w:color="auto"/>
                                <w:right w:val="none" w:sz="0" w:space="0" w:color="auto"/>
                              </w:divBdr>
                              <w:divsChild>
                                <w:div w:id="841819680">
                                  <w:marLeft w:val="0"/>
                                  <w:marRight w:val="0"/>
                                  <w:marTop w:val="0"/>
                                  <w:marBottom w:val="0"/>
                                  <w:divBdr>
                                    <w:top w:val="none" w:sz="0" w:space="0" w:color="auto"/>
                                    <w:left w:val="none" w:sz="0" w:space="0" w:color="auto"/>
                                    <w:bottom w:val="none" w:sz="0" w:space="0" w:color="auto"/>
                                    <w:right w:val="none" w:sz="0" w:space="0" w:color="auto"/>
                                  </w:divBdr>
                                  <w:divsChild>
                                    <w:div w:id="20776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710919">
      <w:bodyDiv w:val="1"/>
      <w:marLeft w:val="0"/>
      <w:marRight w:val="0"/>
      <w:marTop w:val="0"/>
      <w:marBottom w:val="0"/>
      <w:divBdr>
        <w:top w:val="none" w:sz="0" w:space="0" w:color="auto"/>
        <w:left w:val="none" w:sz="0" w:space="0" w:color="auto"/>
        <w:bottom w:val="none" w:sz="0" w:space="0" w:color="auto"/>
        <w:right w:val="none" w:sz="0" w:space="0" w:color="auto"/>
      </w:divBdr>
    </w:div>
    <w:div w:id="362555966">
      <w:bodyDiv w:val="1"/>
      <w:marLeft w:val="0"/>
      <w:marRight w:val="0"/>
      <w:marTop w:val="0"/>
      <w:marBottom w:val="0"/>
      <w:divBdr>
        <w:top w:val="none" w:sz="0" w:space="0" w:color="auto"/>
        <w:left w:val="none" w:sz="0" w:space="0" w:color="auto"/>
        <w:bottom w:val="none" w:sz="0" w:space="0" w:color="auto"/>
        <w:right w:val="none" w:sz="0" w:space="0" w:color="auto"/>
      </w:divBdr>
    </w:div>
    <w:div w:id="419105861">
      <w:bodyDiv w:val="1"/>
      <w:marLeft w:val="0"/>
      <w:marRight w:val="0"/>
      <w:marTop w:val="0"/>
      <w:marBottom w:val="0"/>
      <w:divBdr>
        <w:top w:val="none" w:sz="0" w:space="0" w:color="auto"/>
        <w:left w:val="none" w:sz="0" w:space="0" w:color="auto"/>
        <w:bottom w:val="none" w:sz="0" w:space="0" w:color="auto"/>
        <w:right w:val="none" w:sz="0" w:space="0" w:color="auto"/>
      </w:divBdr>
    </w:div>
    <w:div w:id="425543934">
      <w:bodyDiv w:val="1"/>
      <w:marLeft w:val="0"/>
      <w:marRight w:val="0"/>
      <w:marTop w:val="0"/>
      <w:marBottom w:val="0"/>
      <w:divBdr>
        <w:top w:val="none" w:sz="0" w:space="0" w:color="auto"/>
        <w:left w:val="none" w:sz="0" w:space="0" w:color="auto"/>
        <w:bottom w:val="none" w:sz="0" w:space="0" w:color="auto"/>
        <w:right w:val="none" w:sz="0" w:space="0" w:color="auto"/>
      </w:divBdr>
    </w:div>
    <w:div w:id="488984439">
      <w:bodyDiv w:val="1"/>
      <w:marLeft w:val="0"/>
      <w:marRight w:val="0"/>
      <w:marTop w:val="0"/>
      <w:marBottom w:val="0"/>
      <w:divBdr>
        <w:top w:val="none" w:sz="0" w:space="0" w:color="auto"/>
        <w:left w:val="none" w:sz="0" w:space="0" w:color="auto"/>
        <w:bottom w:val="none" w:sz="0" w:space="0" w:color="auto"/>
        <w:right w:val="none" w:sz="0" w:space="0" w:color="auto"/>
      </w:divBdr>
    </w:div>
    <w:div w:id="685836820">
      <w:bodyDiv w:val="1"/>
      <w:marLeft w:val="0"/>
      <w:marRight w:val="0"/>
      <w:marTop w:val="0"/>
      <w:marBottom w:val="0"/>
      <w:divBdr>
        <w:top w:val="none" w:sz="0" w:space="0" w:color="auto"/>
        <w:left w:val="none" w:sz="0" w:space="0" w:color="auto"/>
        <w:bottom w:val="none" w:sz="0" w:space="0" w:color="auto"/>
        <w:right w:val="none" w:sz="0" w:space="0" w:color="auto"/>
      </w:divBdr>
    </w:div>
    <w:div w:id="804003838">
      <w:bodyDiv w:val="1"/>
      <w:marLeft w:val="0"/>
      <w:marRight w:val="0"/>
      <w:marTop w:val="0"/>
      <w:marBottom w:val="0"/>
      <w:divBdr>
        <w:top w:val="none" w:sz="0" w:space="0" w:color="auto"/>
        <w:left w:val="none" w:sz="0" w:space="0" w:color="auto"/>
        <w:bottom w:val="none" w:sz="0" w:space="0" w:color="auto"/>
        <w:right w:val="none" w:sz="0" w:space="0" w:color="auto"/>
      </w:divBdr>
    </w:div>
    <w:div w:id="851915871">
      <w:bodyDiv w:val="1"/>
      <w:marLeft w:val="0"/>
      <w:marRight w:val="0"/>
      <w:marTop w:val="0"/>
      <w:marBottom w:val="0"/>
      <w:divBdr>
        <w:top w:val="none" w:sz="0" w:space="0" w:color="auto"/>
        <w:left w:val="none" w:sz="0" w:space="0" w:color="auto"/>
        <w:bottom w:val="none" w:sz="0" w:space="0" w:color="auto"/>
        <w:right w:val="none" w:sz="0" w:space="0" w:color="auto"/>
      </w:divBdr>
    </w:div>
    <w:div w:id="1146698268">
      <w:bodyDiv w:val="1"/>
      <w:marLeft w:val="0"/>
      <w:marRight w:val="0"/>
      <w:marTop w:val="0"/>
      <w:marBottom w:val="0"/>
      <w:divBdr>
        <w:top w:val="none" w:sz="0" w:space="0" w:color="auto"/>
        <w:left w:val="none" w:sz="0" w:space="0" w:color="auto"/>
        <w:bottom w:val="none" w:sz="0" w:space="0" w:color="auto"/>
        <w:right w:val="none" w:sz="0" w:space="0" w:color="auto"/>
      </w:divBdr>
    </w:div>
    <w:div w:id="1199708069">
      <w:bodyDiv w:val="1"/>
      <w:marLeft w:val="0"/>
      <w:marRight w:val="0"/>
      <w:marTop w:val="0"/>
      <w:marBottom w:val="0"/>
      <w:divBdr>
        <w:top w:val="none" w:sz="0" w:space="0" w:color="auto"/>
        <w:left w:val="none" w:sz="0" w:space="0" w:color="auto"/>
        <w:bottom w:val="none" w:sz="0" w:space="0" w:color="auto"/>
        <w:right w:val="none" w:sz="0" w:space="0" w:color="auto"/>
      </w:divBdr>
    </w:div>
    <w:div w:id="1205556694">
      <w:bodyDiv w:val="1"/>
      <w:marLeft w:val="0"/>
      <w:marRight w:val="0"/>
      <w:marTop w:val="0"/>
      <w:marBottom w:val="0"/>
      <w:divBdr>
        <w:top w:val="none" w:sz="0" w:space="0" w:color="auto"/>
        <w:left w:val="none" w:sz="0" w:space="0" w:color="auto"/>
        <w:bottom w:val="none" w:sz="0" w:space="0" w:color="auto"/>
        <w:right w:val="none" w:sz="0" w:space="0" w:color="auto"/>
      </w:divBdr>
    </w:div>
    <w:div w:id="1234200758">
      <w:bodyDiv w:val="1"/>
      <w:marLeft w:val="0"/>
      <w:marRight w:val="0"/>
      <w:marTop w:val="0"/>
      <w:marBottom w:val="0"/>
      <w:divBdr>
        <w:top w:val="none" w:sz="0" w:space="0" w:color="auto"/>
        <w:left w:val="none" w:sz="0" w:space="0" w:color="auto"/>
        <w:bottom w:val="none" w:sz="0" w:space="0" w:color="auto"/>
        <w:right w:val="none" w:sz="0" w:space="0" w:color="auto"/>
      </w:divBdr>
    </w:div>
    <w:div w:id="1247348180">
      <w:bodyDiv w:val="1"/>
      <w:marLeft w:val="0"/>
      <w:marRight w:val="0"/>
      <w:marTop w:val="0"/>
      <w:marBottom w:val="0"/>
      <w:divBdr>
        <w:top w:val="none" w:sz="0" w:space="0" w:color="auto"/>
        <w:left w:val="none" w:sz="0" w:space="0" w:color="auto"/>
        <w:bottom w:val="none" w:sz="0" w:space="0" w:color="auto"/>
        <w:right w:val="none" w:sz="0" w:space="0" w:color="auto"/>
      </w:divBdr>
    </w:div>
    <w:div w:id="1360742831">
      <w:bodyDiv w:val="1"/>
      <w:marLeft w:val="0"/>
      <w:marRight w:val="0"/>
      <w:marTop w:val="0"/>
      <w:marBottom w:val="0"/>
      <w:divBdr>
        <w:top w:val="none" w:sz="0" w:space="0" w:color="auto"/>
        <w:left w:val="none" w:sz="0" w:space="0" w:color="auto"/>
        <w:bottom w:val="none" w:sz="0" w:space="0" w:color="auto"/>
        <w:right w:val="none" w:sz="0" w:space="0" w:color="auto"/>
      </w:divBdr>
    </w:div>
    <w:div w:id="1377005359">
      <w:bodyDiv w:val="1"/>
      <w:marLeft w:val="0"/>
      <w:marRight w:val="0"/>
      <w:marTop w:val="0"/>
      <w:marBottom w:val="0"/>
      <w:divBdr>
        <w:top w:val="none" w:sz="0" w:space="0" w:color="auto"/>
        <w:left w:val="none" w:sz="0" w:space="0" w:color="auto"/>
        <w:bottom w:val="none" w:sz="0" w:space="0" w:color="auto"/>
        <w:right w:val="none" w:sz="0" w:space="0" w:color="auto"/>
      </w:divBdr>
    </w:div>
    <w:div w:id="1378774489">
      <w:bodyDiv w:val="1"/>
      <w:marLeft w:val="0"/>
      <w:marRight w:val="0"/>
      <w:marTop w:val="0"/>
      <w:marBottom w:val="0"/>
      <w:divBdr>
        <w:top w:val="none" w:sz="0" w:space="0" w:color="auto"/>
        <w:left w:val="none" w:sz="0" w:space="0" w:color="auto"/>
        <w:bottom w:val="none" w:sz="0" w:space="0" w:color="auto"/>
        <w:right w:val="none" w:sz="0" w:space="0" w:color="auto"/>
      </w:divBdr>
    </w:div>
    <w:div w:id="1389572457">
      <w:bodyDiv w:val="1"/>
      <w:marLeft w:val="0"/>
      <w:marRight w:val="0"/>
      <w:marTop w:val="0"/>
      <w:marBottom w:val="0"/>
      <w:divBdr>
        <w:top w:val="none" w:sz="0" w:space="0" w:color="auto"/>
        <w:left w:val="none" w:sz="0" w:space="0" w:color="auto"/>
        <w:bottom w:val="none" w:sz="0" w:space="0" w:color="auto"/>
        <w:right w:val="none" w:sz="0" w:space="0" w:color="auto"/>
      </w:divBdr>
    </w:div>
    <w:div w:id="1437670691">
      <w:bodyDiv w:val="1"/>
      <w:marLeft w:val="0"/>
      <w:marRight w:val="0"/>
      <w:marTop w:val="0"/>
      <w:marBottom w:val="0"/>
      <w:divBdr>
        <w:top w:val="none" w:sz="0" w:space="0" w:color="auto"/>
        <w:left w:val="none" w:sz="0" w:space="0" w:color="auto"/>
        <w:bottom w:val="none" w:sz="0" w:space="0" w:color="auto"/>
        <w:right w:val="none" w:sz="0" w:space="0" w:color="auto"/>
      </w:divBdr>
    </w:div>
    <w:div w:id="1521043262">
      <w:bodyDiv w:val="1"/>
      <w:marLeft w:val="0"/>
      <w:marRight w:val="0"/>
      <w:marTop w:val="0"/>
      <w:marBottom w:val="0"/>
      <w:divBdr>
        <w:top w:val="none" w:sz="0" w:space="0" w:color="auto"/>
        <w:left w:val="none" w:sz="0" w:space="0" w:color="auto"/>
        <w:bottom w:val="none" w:sz="0" w:space="0" w:color="auto"/>
        <w:right w:val="none" w:sz="0" w:space="0" w:color="auto"/>
      </w:divBdr>
    </w:div>
    <w:div w:id="1564828216">
      <w:bodyDiv w:val="1"/>
      <w:marLeft w:val="0"/>
      <w:marRight w:val="0"/>
      <w:marTop w:val="0"/>
      <w:marBottom w:val="0"/>
      <w:divBdr>
        <w:top w:val="none" w:sz="0" w:space="0" w:color="auto"/>
        <w:left w:val="none" w:sz="0" w:space="0" w:color="auto"/>
        <w:bottom w:val="none" w:sz="0" w:space="0" w:color="auto"/>
        <w:right w:val="none" w:sz="0" w:space="0" w:color="auto"/>
      </w:divBdr>
    </w:div>
    <w:div w:id="1647588873">
      <w:bodyDiv w:val="1"/>
      <w:marLeft w:val="0"/>
      <w:marRight w:val="0"/>
      <w:marTop w:val="0"/>
      <w:marBottom w:val="0"/>
      <w:divBdr>
        <w:top w:val="none" w:sz="0" w:space="0" w:color="auto"/>
        <w:left w:val="none" w:sz="0" w:space="0" w:color="auto"/>
        <w:bottom w:val="none" w:sz="0" w:space="0" w:color="auto"/>
        <w:right w:val="none" w:sz="0" w:space="0" w:color="auto"/>
      </w:divBdr>
    </w:div>
    <w:div w:id="1711874743">
      <w:bodyDiv w:val="1"/>
      <w:marLeft w:val="0"/>
      <w:marRight w:val="0"/>
      <w:marTop w:val="0"/>
      <w:marBottom w:val="0"/>
      <w:divBdr>
        <w:top w:val="none" w:sz="0" w:space="0" w:color="auto"/>
        <w:left w:val="none" w:sz="0" w:space="0" w:color="auto"/>
        <w:bottom w:val="none" w:sz="0" w:space="0" w:color="auto"/>
        <w:right w:val="none" w:sz="0" w:space="0" w:color="auto"/>
      </w:divBdr>
    </w:div>
    <w:div w:id="1715420664">
      <w:bodyDiv w:val="1"/>
      <w:marLeft w:val="0"/>
      <w:marRight w:val="0"/>
      <w:marTop w:val="0"/>
      <w:marBottom w:val="0"/>
      <w:divBdr>
        <w:top w:val="none" w:sz="0" w:space="0" w:color="auto"/>
        <w:left w:val="none" w:sz="0" w:space="0" w:color="auto"/>
        <w:bottom w:val="none" w:sz="0" w:space="0" w:color="auto"/>
        <w:right w:val="none" w:sz="0" w:space="0" w:color="auto"/>
      </w:divBdr>
    </w:div>
    <w:div w:id="1751923313">
      <w:bodyDiv w:val="1"/>
      <w:marLeft w:val="0"/>
      <w:marRight w:val="0"/>
      <w:marTop w:val="0"/>
      <w:marBottom w:val="0"/>
      <w:divBdr>
        <w:top w:val="none" w:sz="0" w:space="0" w:color="auto"/>
        <w:left w:val="none" w:sz="0" w:space="0" w:color="auto"/>
        <w:bottom w:val="none" w:sz="0" w:space="0" w:color="auto"/>
        <w:right w:val="none" w:sz="0" w:space="0" w:color="auto"/>
      </w:divBdr>
    </w:div>
    <w:div w:id="1831678336">
      <w:bodyDiv w:val="1"/>
      <w:marLeft w:val="0"/>
      <w:marRight w:val="0"/>
      <w:marTop w:val="0"/>
      <w:marBottom w:val="0"/>
      <w:divBdr>
        <w:top w:val="none" w:sz="0" w:space="0" w:color="auto"/>
        <w:left w:val="none" w:sz="0" w:space="0" w:color="auto"/>
        <w:bottom w:val="none" w:sz="0" w:space="0" w:color="auto"/>
        <w:right w:val="none" w:sz="0" w:space="0" w:color="auto"/>
      </w:divBdr>
    </w:div>
    <w:div w:id="1898007142">
      <w:bodyDiv w:val="1"/>
      <w:marLeft w:val="0"/>
      <w:marRight w:val="0"/>
      <w:marTop w:val="0"/>
      <w:marBottom w:val="0"/>
      <w:divBdr>
        <w:top w:val="none" w:sz="0" w:space="0" w:color="auto"/>
        <w:left w:val="none" w:sz="0" w:space="0" w:color="auto"/>
        <w:bottom w:val="none" w:sz="0" w:space="0" w:color="auto"/>
        <w:right w:val="none" w:sz="0" w:space="0" w:color="auto"/>
      </w:divBdr>
    </w:div>
    <w:div w:id="1899393981">
      <w:bodyDiv w:val="1"/>
      <w:marLeft w:val="0"/>
      <w:marRight w:val="0"/>
      <w:marTop w:val="0"/>
      <w:marBottom w:val="0"/>
      <w:divBdr>
        <w:top w:val="none" w:sz="0" w:space="0" w:color="auto"/>
        <w:left w:val="none" w:sz="0" w:space="0" w:color="auto"/>
        <w:bottom w:val="none" w:sz="0" w:space="0" w:color="auto"/>
        <w:right w:val="none" w:sz="0" w:space="0" w:color="auto"/>
      </w:divBdr>
    </w:div>
    <w:div w:id="1974172610">
      <w:bodyDiv w:val="1"/>
      <w:marLeft w:val="0"/>
      <w:marRight w:val="0"/>
      <w:marTop w:val="0"/>
      <w:marBottom w:val="0"/>
      <w:divBdr>
        <w:top w:val="none" w:sz="0" w:space="0" w:color="auto"/>
        <w:left w:val="none" w:sz="0" w:space="0" w:color="auto"/>
        <w:bottom w:val="none" w:sz="0" w:space="0" w:color="auto"/>
        <w:right w:val="none" w:sz="0" w:space="0" w:color="auto"/>
      </w:divBdr>
    </w:div>
    <w:div w:id="2095006365">
      <w:bodyDiv w:val="1"/>
      <w:marLeft w:val="0"/>
      <w:marRight w:val="0"/>
      <w:marTop w:val="0"/>
      <w:marBottom w:val="0"/>
      <w:divBdr>
        <w:top w:val="none" w:sz="0" w:space="0" w:color="auto"/>
        <w:left w:val="none" w:sz="0" w:space="0" w:color="auto"/>
        <w:bottom w:val="none" w:sz="0" w:space="0" w:color="auto"/>
        <w:right w:val="none" w:sz="0" w:space="0" w:color="auto"/>
      </w:divBdr>
    </w:div>
    <w:div w:id="2095514722">
      <w:bodyDiv w:val="1"/>
      <w:marLeft w:val="0"/>
      <w:marRight w:val="0"/>
      <w:marTop w:val="0"/>
      <w:marBottom w:val="0"/>
      <w:divBdr>
        <w:top w:val="none" w:sz="0" w:space="0" w:color="auto"/>
        <w:left w:val="none" w:sz="0" w:space="0" w:color="auto"/>
        <w:bottom w:val="none" w:sz="0" w:space="0" w:color="auto"/>
        <w:right w:val="none" w:sz="0" w:space="0" w:color="auto"/>
      </w:divBdr>
    </w:div>
    <w:div w:id="21381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8/HORIZONS-2020-121" TargetMode="External"/><Relationship Id="rId13" Type="http://schemas.openxmlformats.org/officeDocument/2006/relationships/hyperlink" Target="https://doi.org/10.1093/epolic/eiab018" TargetMode="External"/><Relationship Id="rId18" Type="http://schemas.openxmlformats.org/officeDocument/2006/relationships/hyperlink" Target="https://doi.org/10.1016/j.jbusres.2022.02.061" TargetMode="External"/><Relationship Id="rId3" Type="http://schemas.openxmlformats.org/officeDocument/2006/relationships/settings" Target="settings.xml"/><Relationship Id="rId21" Type="http://schemas.openxmlformats.org/officeDocument/2006/relationships/hyperlink" Target="https://doi.org/10.1146/annurev-financial-040120-023537" TargetMode="External"/><Relationship Id="rId7" Type="http://schemas.openxmlformats.org/officeDocument/2006/relationships/image" Target="media/image1.png"/><Relationship Id="rId12" Type="http://schemas.openxmlformats.org/officeDocument/2006/relationships/hyperlink" Target="https://doi.org/10.1177/002224378101800104" TargetMode="External"/><Relationship Id="rId17" Type="http://schemas.openxmlformats.org/officeDocument/2006/relationships/hyperlink" Target="https://doi.org/10.1177/2333392824123486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eswa.2021.116134" TargetMode="External"/><Relationship Id="rId20" Type="http://schemas.openxmlformats.org/officeDocument/2006/relationships/hyperlink" Target="https://doi.org/10.1108/JFRC-10-2021-01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infomgt.2019.08.00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1747-014-0403-8" TargetMode="External"/><Relationship Id="rId23" Type="http://schemas.openxmlformats.org/officeDocument/2006/relationships/footer" Target="footer1.xml"/><Relationship Id="rId10" Type="http://schemas.openxmlformats.org/officeDocument/2006/relationships/hyperlink" Target="https://doi.org/10.3390/jrfm18070366" TargetMode="External"/><Relationship Id="rId19" Type="http://schemas.openxmlformats.org/officeDocument/2006/relationships/hyperlink" Target="https://doi.org/10.1016/j.bushor.2017.09.003" TargetMode="External"/><Relationship Id="rId4" Type="http://schemas.openxmlformats.org/officeDocument/2006/relationships/webSettings" Target="webSettings.xml"/><Relationship Id="rId9" Type="http://schemas.openxmlformats.org/officeDocument/2006/relationships/hyperlink" Target="http://dx.doi.org/10.12944/JBSFM.03.01-02.06" TargetMode="External"/><Relationship Id="rId14" Type="http://schemas.openxmlformats.org/officeDocument/2006/relationships/hyperlink" Target="https://doi.org/10.1007/s11573-021-01039-z" TargetMode="External"/><Relationship Id="rId22" Type="http://schemas.openxmlformats.org/officeDocument/2006/relationships/hyperlink" Target="https://doi.org/10.3390/su16208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811FC9-380C-4C24-B1AE-F4EFE63FAD7F}">
  <we:reference id="wa200000368" version="1.0.0.0" store="en-US" storeType="OMEX"/>
  <we:alternateReferences>
    <we:reference id="WA200000368" version="1.0.0.0" store="" storeType="OMEX"/>
  </we:alternateReferences>
  <we:properties>
    <we:property name="documentId" value="&quot;f04580d21094bdc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63</TotalTime>
  <Pages>18</Pages>
  <Words>7650</Words>
  <Characters>43605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Akintunde Ayeni</dc:creator>
  <cp:keywords/>
  <dc:description/>
  <cp:lastModifiedBy>Stanley Nnedu</cp:lastModifiedBy>
  <cp:revision>6</cp:revision>
  <dcterms:created xsi:type="dcterms:W3CDTF">2026-05-29T09:55:00Z</dcterms:created>
  <dcterms:modified xsi:type="dcterms:W3CDTF">2026-05-29T11:06:00Z</dcterms:modified>
</cp:coreProperties>
</file>