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6694" w14:textId="77777777" w:rsidR="006C7F62" w:rsidRPr="00CA20CC" w:rsidRDefault="00C061C9" w:rsidP="00CA20CC">
      <w:pPr>
        <w:pStyle w:val="Title"/>
        <w:jc w:val="both"/>
        <w:rPr>
          <w:b/>
          <w:bCs/>
          <w:sz w:val="40"/>
          <w:szCs w:val="40"/>
          <w:lang w:val="en-GB"/>
        </w:rPr>
      </w:pPr>
      <w:r w:rsidRPr="00CA20CC">
        <w:rPr>
          <w:b/>
          <w:bCs/>
          <w:sz w:val="40"/>
          <w:szCs w:val="40"/>
          <w:lang w:val="en-GB"/>
        </w:rPr>
        <w:t>Girls at the Top, Boys at the Margin? Revisiting Gender Differences in Moroccan Baccalaureate Achievement</w:t>
      </w:r>
    </w:p>
    <w:p w14:paraId="58D8786B" w14:textId="77777777" w:rsidR="00CA20CC" w:rsidRDefault="00CA20CC" w:rsidP="00CA20CC">
      <w:pPr>
        <w:pStyle w:val="Title"/>
        <w:jc w:val="both"/>
        <w:rPr>
          <w:sz w:val="40"/>
          <w:szCs w:val="40"/>
          <w:lang w:val="en-GB"/>
        </w:rPr>
      </w:pPr>
    </w:p>
    <w:p w14:paraId="12C8F630" w14:textId="77777777" w:rsidR="00CA20CC" w:rsidRDefault="00CA20CC" w:rsidP="00CA20CC">
      <w:pPr>
        <w:pStyle w:val="NormalWeb"/>
        <w:jc w:val="both"/>
      </w:pPr>
      <w:r>
        <w:rPr>
          <w:rStyle w:val="Strong"/>
        </w:rPr>
        <w:t>Abstract</w:t>
      </w:r>
    </w:p>
    <w:p w14:paraId="429955B8" w14:textId="77777777" w:rsidR="00CA20CC" w:rsidRDefault="00CA20CC" w:rsidP="00CA20CC">
      <w:pPr>
        <w:pStyle w:val="NormalWeb"/>
        <w:jc w:val="both"/>
      </w:pPr>
      <w:r>
        <w:t xml:space="preserve">Recent Moroccan Baccalaureate results have drawn considerable public attention due to the consistent academic superiority of female students across multiple indicators of achievement. While media discussions often celebrate the exceptional performance of individual female candidates, less attention has been devoted to understanding the broader social and educational factors underlying this trend. This article examines the growing female advantage in Moroccan secondary education and explores its implications for educational equity and social mobility. Drawing on a critical review of international and regional literature, official educational statistics, and secondary data from Moroccan and international institutions, the study situates the Moroccan case within a broader global pattern of gendered educational achievement. The analysis demonstrates that girls increasingly outperform boys in academic attainment, examination success, school retention, and progression to higher education. To explain this phenomenon, the article mobilizes theoretical perspectives derived from Bourdieu’s concept of cultural capital, Connell’s theory of hegemonic masculinity, Gilligan’s work on gendered socialization, Kimmel’s analysis of male identity, and </w:t>
      </w:r>
      <w:proofErr w:type="spellStart"/>
      <w:r>
        <w:t>Youdell’s</w:t>
      </w:r>
      <w:proofErr w:type="spellEnd"/>
      <w:r>
        <w:t xml:space="preserve"> insights into the social construction of gender within educational institutions. The findings suggest that female academic success is closely associated with educational aspirations, self-regulation, family expectations, and forms of </w:t>
      </w:r>
      <w:proofErr w:type="spellStart"/>
      <w:r>
        <w:t>behaviour</w:t>
      </w:r>
      <w:proofErr w:type="spellEnd"/>
      <w:r>
        <w:t xml:space="preserve"> increasingly rewarded by contemporary schooling, whereas some boys experience tensions between academic engagement and dominant constructions of masculinity. The article further introduces the concept of the </w:t>
      </w:r>
      <w:r w:rsidRPr="00CA20CC">
        <w:rPr>
          <w:rStyle w:val="Strong"/>
          <w:b w:val="0"/>
          <w:bCs w:val="0"/>
        </w:rPr>
        <w:t>Moroccan Educational Paradox</w:t>
      </w:r>
      <w:r>
        <w:t xml:space="preserve">, whereby girls’ growing educational success is not matched by equivalent gains in </w:t>
      </w:r>
      <w:proofErr w:type="spellStart"/>
      <w:r>
        <w:t>labour</w:t>
      </w:r>
      <w:proofErr w:type="spellEnd"/>
      <w:r>
        <w:t>-market participation, leadership representation, or socioeconomic empowerment. The study argues that understanding contemporary gender dynamics requires moving beyond examination results and examining the broader relationship between educational achievement, social opportunity, and structural inequality.</w:t>
      </w:r>
    </w:p>
    <w:p w14:paraId="0F7A5C39" w14:textId="77777777" w:rsidR="00CA20CC" w:rsidRPr="00CA20CC" w:rsidRDefault="00CA20CC" w:rsidP="00CA20CC">
      <w:pPr>
        <w:pStyle w:val="NormalWeb"/>
        <w:jc w:val="both"/>
        <w:rPr>
          <w:i/>
          <w:iCs/>
        </w:rPr>
      </w:pPr>
      <w:r>
        <w:rPr>
          <w:rStyle w:val="Strong"/>
        </w:rPr>
        <w:t>Keywords:</w:t>
      </w:r>
      <w:r>
        <w:t xml:space="preserve"> </w:t>
      </w:r>
      <w:r w:rsidRPr="00CA20CC">
        <w:rPr>
          <w:i/>
          <w:iCs/>
        </w:rPr>
        <w:t>gender and education; female academic advantage; male underachievement; Baccalaureate; educational achievement; Morocco; educational sociology; social mobility; Moroccan Educational Paradox.</w:t>
      </w:r>
    </w:p>
    <w:p w14:paraId="704C1E72" w14:textId="77777777" w:rsidR="006C7F62" w:rsidRPr="0071582C" w:rsidRDefault="00C061C9" w:rsidP="00CA20CC">
      <w:pPr>
        <w:pStyle w:val="Heading1"/>
        <w:jc w:val="both"/>
        <w:rPr>
          <w:lang w:val="en-GB"/>
        </w:rPr>
      </w:pPr>
      <w:r w:rsidRPr="0071582C">
        <w:rPr>
          <w:lang w:val="en-GB"/>
        </w:rPr>
        <w:t>1. Introduction</w:t>
      </w:r>
    </w:p>
    <w:p w14:paraId="3338DDB9" w14:textId="77777777" w:rsidR="006C7F62" w:rsidRPr="0071582C" w:rsidRDefault="00C061C9" w:rsidP="00CA20CC">
      <w:pPr>
        <w:pStyle w:val="Heading2"/>
        <w:jc w:val="both"/>
        <w:rPr>
          <w:lang w:val="en-GB"/>
        </w:rPr>
      </w:pPr>
      <w:r w:rsidRPr="0071582C">
        <w:rPr>
          <w:lang w:val="en-GB"/>
        </w:rPr>
        <w:t>1.1 Background and Rationale</w:t>
      </w:r>
    </w:p>
    <w:p w14:paraId="279EC1AC" w14:textId="77777777" w:rsidR="006C7F62" w:rsidRPr="0071582C" w:rsidRDefault="00C061C9" w:rsidP="00CA20CC">
      <w:pPr>
        <w:spacing w:after="160" w:line="276" w:lineRule="auto"/>
        <w:jc w:val="both"/>
      </w:pPr>
      <w:r w:rsidRPr="0071582C">
        <w:t xml:space="preserve">The announcement of Morocco’s Baccalaureate examination results is among the most anticipated educational events of the year, serving not only as a gateway to higher education but as a barometer of the national education system more broadly. In recent years, one recurring feature of these results has drawn considerable public attention: female students consistently outperform their male counterparts in pass rates, distinctions, and the attainment of the highest national scores. While </w:t>
      </w:r>
      <w:r w:rsidRPr="0071582C">
        <w:lastRenderedPageBreak/>
        <w:t>media coverage frequently celebrates this outcome as evidence of progress in girls’ education, the phenomenon raises deeper questions about the changing dynamics of gender and educational achievement in Morocco.</w:t>
      </w:r>
    </w:p>
    <w:p w14:paraId="1078B78F" w14:textId="77777777" w:rsidR="006C7F62" w:rsidRPr="0071582C" w:rsidRDefault="00C061C9" w:rsidP="00CA20CC">
      <w:pPr>
        <w:spacing w:after="160" w:line="276" w:lineRule="auto"/>
        <w:jc w:val="both"/>
      </w:pPr>
      <w:r w:rsidRPr="0071582C">
        <w:t xml:space="preserve">Historically, educational debates in Morocco, as in many developing countries, centred on improving girls’ access to schooling and reducing gender disparities in enrolment, particularly for female students in rural and socioeconomically disadvantaged areas. Considerable progress has since been made: gender gaps in enrolment have narrowed substantially, and female participation in secondary and higher education has increased markedly. Yet as access has become more equitable, a new pattern has </w:t>
      </w:r>
      <w:proofErr w:type="gramStart"/>
      <w:r w:rsidRPr="0071582C">
        <w:t>emerged—girls</w:t>
      </w:r>
      <w:proofErr w:type="gramEnd"/>
      <w:r w:rsidRPr="0071582C">
        <w:t xml:space="preserve"> are no longer merely catching up with boys but are increasingly surpassing them in measures of academic performance.</w:t>
      </w:r>
    </w:p>
    <w:p w14:paraId="022694C9" w14:textId="77777777" w:rsidR="006C7F62" w:rsidRPr="0071582C" w:rsidRDefault="00C061C9" w:rsidP="00CA20CC">
      <w:pPr>
        <w:spacing w:after="160" w:line="276" w:lineRule="auto"/>
        <w:jc w:val="both"/>
      </w:pPr>
      <w:r w:rsidRPr="0071582C">
        <w:t>This reflects a broader international trend. Over the past three decades, research across Europe, North America, Asia, and parts of Africa has documented what some scholars term the “reversal of the gender gap” in education, whereby contemporary systems increasingly report higher achievement among girls, particularly in secondary and post-secondary education and in reading literacy on international assessments. Despite this growing international interest, relatively little scholarly attention has examined the implications of female academic advantage within the Moroccan context specifically. Public discussion of Baccalaureate results often reduces the issue to simplistic explanations—portraying girls as inherently more hardworking or capable than boys—that obscure the complex interplay of motivations, family expectations, school experiences, peer cultures, and socioeconomic conditions shaping educational outcomes.</w:t>
      </w:r>
    </w:p>
    <w:p w14:paraId="1D26A077" w14:textId="77777777" w:rsidR="006C7F62" w:rsidRPr="0071582C" w:rsidRDefault="00C061C9" w:rsidP="00CA20CC">
      <w:pPr>
        <w:spacing w:after="160" w:line="276" w:lineRule="auto"/>
        <w:jc w:val="both"/>
      </w:pPr>
      <w:r w:rsidRPr="0071582C">
        <w:t>The growing academic advantage of girls also raises questions about boys’ educational experiences. International scholarship increasingly points to boys’ declining academic performance, reduced school engagement, and weaker educational aspirations in many systems, inviting a shift in analytical focus from celebrating female success alone toward a broader investigation of both female advancement and male underachievement. The issue, therefore, is not simply why girls are performing well, but also why boys appear to be falling behind.</w:t>
      </w:r>
    </w:p>
    <w:p w14:paraId="6DE6A69C" w14:textId="77777777" w:rsidR="006C7F62" w:rsidRPr="0071582C" w:rsidRDefault="00C061C9" w:rsidP="00CA20CC">
      <w:pPr>
        <w:spacing w:after="160" w:line="276" w:lineRule="auto"/>
        <w:jc w:val="both"/>
      </w:pPr>
      <w:r w:rsidRPr="0071582C">
        <w:t>The phenomenon is particularly striking against the backdrop of persistent gender inequalities beyond the educational sphere. Although female students frequently outperform males in school, women continue to encounter significant barriers in employment, leadership, and economic participation—a contradiction suggesting that educational achievement and social outcomes do not always progress in parallel, and one that presents a broader sociological puzzle concerning education, gender, and social mobility in contemporary Morocco.</w:t>
      </w:r>
    </w:p>
    <w:p w14:paraId="4492940D" w14:textId="77777777" w:rsidR="006C7F62" w:rsidRPr="0071582C" w:rsidRDefault="00C061C9" w:rsidP="00CA20CC">
      <w:pPr>
        <w:pStyle w:val="Heading2"/>
        <w:jc w:val="both"/>
        <w:rPr>
          <w:lang w:val="en-GB"/>
        </w:rPr>
      </w:pPr>
      <w:r w:rsidRPr="0071582C">
        <w:rPr>
          <w:lang w:val="en-GB"/>
        </w:rPr>
        <w:t>1.2 Purpose and Significance of the Study</w:t>
      </w:r>
    </w:p>
    <w:p w14:paraId="4646876C" w14:textId="77777777" w:rsidR="006C7F62" w:rsidRPr="0071582C" w:rsidRDefault="00C061C9" w:rsidP="00CA20CC">
      <w:pPr>
        <w:spacing w:after="160" w:line="276" w:lineRule="auto"/>
        <w:jc w:val="both"/>
      </w:pPr>
      <w:r w:rsidRPr="0071582C">
        <w:t xml:space="preserve">This article argues that the gender gap observed in Moroccan Baccalaureate results should not be read as evidence of inherent female academic superiority, but as reflecting a dual process of increasing educational engagement among girls and growing disengagement among boys. The persistence of this pattern points to transformations in student aspirations, family expectations, school culture, and gender identities. Moreover, the Moroccan case reveals an educational paradox </w:t>
      </w:r>
      <w:r w:rsidRPr="0071582C">
        <w:lastRenderedPageBreak/>
        <w:t>in which female academic success coexists with enduring gender inequalities in the wider social and economic domain.</w:t>
      </w:r>
    </w:p>
    <w:p w14:paraId="1AC605C4" w14:textId="77777777" w:rsidR="006C7F62" w:rsidRPr="0071582C" w:rsidRDefault="00C061C9" w:rsidP="00CA20CC">
      <w:pPr>
        <w:spacing w:after="160" w:line="276" w:lineRule="auto"/>
        <w:jc w:val="both"/>
      </w:pPr>
      <w:r w:rsidRPr="0071582C">
        <w:t>Drawing on international and national research, the article examines the factors contributing to girls’ superior Baccalaureate performance—educational aspirations, self-regulated learning, family socialization, teacher expectations, and school engagement—alongside explanations for male underachievement, including changing constructions of masculinity and alternative pathways to social mobility. The discussion proceeds in seven further sections: a review of international scholarship on the reversal of the gender gap; an examination of the Moroccan case and Baccalaureate evidence; explanations of female success and male underachievement respectively; an analysis of what is termed the Moroccan educational paradox; and a discussion of implications for policy, practice, and future research.</w:t>
      </w:r>
    </w:p>
    <w:p w14:paraId="39D7E747" w14:textId="77777777" w:rsidR="006C7F62" w:rsidRPr="0071582C" w:rsidRDefault="00C061C9" w:rsidP="00CA20CC">
      <w:pPr>
        <w:pStyle w:val="Heading2"/>
        <w:jc w:val="both"/>
        <w:rPr>
          <w:lang w:val="en-GB"/>
        </w:rPr>
      </w:pPr>
      <w:r w:rsidRPr="0071582C">
        <w:rPr>
          <w:lang w:val="en-GB"/>
        </w:rPr>
        <w:t>1.3 Methodological Approach</w:t>
      </w:r>
    </w:p>
    <w:p w14:paraId="2AD055AD" w14:textId="77777777" w:rsidR="006C7F62" w:rsidRPr="0071582C" w:rsidRDefault="00C061C9" w:rsidP="00CA20CC">
      <w:pPr>
        <w:spacing w:after="160" w:line="276" w:lineRule="auto"/>
        <w:jc w:val="both"/>
      </w:pPr>
      <w:r w:rsidRPr="0071582C">
        <w:t xml:space="preserve">This article adopts a qualitative, conceptual, and policy-analytical approach. Rather than generating primary empirical data, it synthesizes existing scholarship, official statistics, and policy reports from Moroccan and international institutions, combining critical literature review with secondary data analysis. The review draws on cultural reproduction theory, gender socialization approaches, theories of masculinity, and institutional perspectives on schooling, which are then mobilized to interpret recent Moroccan trends within broader international debates on the reversal of the gender gap. Official statistics are </w:t>
      </w:r>
      <w:proofErr w:type="spellStart"/>
      <w:r w:rsidRPr="0071582C">
        <w:t>analyzed</w:t>
      </w:r>
      <w:proofErr w:type="spellEnd"/>
      <w:r w:rsidRPr="0071582C">
        <w:t xml:space="preserve"> not for statistical inference but to identify broad trends and illuminate the social implications of gendered educational outcomes, with the aim of developing the concept of the Moroccan educational paradox to explain the coexistence of growing female educational success and persistent inequality beyond the educational sphere.</w:t>
      </w:r>
    </w:p>
    <w:p w14:paraId="1573A13F" w14:textId="77777777" w:rsidR="006C7F62" w:rsidRPr="0071582C" w:rsidRDefault="00C061C9" w:rsidP="00CA20CC">
      <w:pPr>
        <w:pStyle w:val="Heading1"/>
        <w:jc w:val="both"/>
        <w:rPr>
          <w:lang w:val="en-GB"/>
        </w:rPr>
      </w:pPr>
      <w:r w:rsidRPr="0071582C">
        <w:rPr>
          <w:lang w:val="en-GB"/>
        </w:rPr>
        <w:t>2. From Female Disadvantage to Female Advantage: A Global Perspective</w:t>
      </w:r>
    </w:p>
    <w:p w14:paraId="0FFDA7BC" w14:textId="77777777" w:rsidR="006C7F62" w:rsidRPr="0071582C" w:rsidRDefault="00C061C9" w:rsidP="00CA20CC">
      <w:pPr>
        <w:pStyle w:val="Heading2"/>
        <w:jc w:val="both"/>
        <w:rPr>
          <w:lang w:val="en-GB"/>
        </w:rPr>
      </w:pPr>
      <w:r w:rsidRPr="0071582C">
        <w:rPr>
          <w:lang w:val="en-GB"/>
        </w:rPr>
        <w:t>2.1 Historical Gender Gaps in Education</w:t>
      </w:r>
    </w:p>
    <w:p w14:paraId="11189378" w14:textId="77777777" w:rsidR="006C7F62" w:rsidRPr="0071582C" w:rsidRDefault="00C061C9" w:rsidP="00CA20CC">
      <w:pPr>
        <w:spacing w:after="160" w:line="276" w:lineRule="auto"/>
        <w:jc w:val="both"/>
      </w:pPr>
      <w:r w:rsidRPr="0071582C">
        <w:t xml:space="preserve">For much of the twentieth century, discussions of gender and education were dominated by concerns about female disadvantage. Girls across many societies faced barriers including limited school access, restrictive social norms, early marriage, and unequal investment in education, prompting research and policy to focus on expanding enrolment, retention, and achievement for girls. This concern was closely linked to feminist scholarship of the 1970s and 1980s, which challenged the assumption that schools were neutral institutions and documented gender stereotyping in textbooks, differential teacher expectations, and the underrepresentation of women in educational leadership. International development agendas, including Education for All and the Sustainable Development Goals, reinforced gender parity as a central objective, particularly in developing countries where female literacy and attendance </w:t>
      </w:r>
      <w:proofErr w:type="gramStart"/>
      <w:r w:rsidRPr="0071582C">
        <w:t>lagged behind</w:t>
      </w:r>
      <w:proofErr w:type="gramEnd"/>
      <w:r w:rsidRPr="0071582C">
        <w:t xml:space="preserve"> male rates.</w:t>
      </w:r>
    </w:p>
    <w:p w14:paraId="76DE1099" w14:textId="77777777" w:rsidR="006C7F62" w:rsidRPr="0071582C" w:rsidRDefault="00C061C9" w:rsidP="00CA20CC">
      <w:pPr>
        <w:spacing w:after="160" w:line="276" w:lineRule="auto"/>
        <w:jc w:val="both"/>
      </w:pPr>
      <w:r w:rsidRPr="0071582C">
        <w:t xml:space="preserve">These efforts produced substantial progress: female enrolment increased dramatically from the late twentieth century onward, and gender gaps in access to primary and secondary education narrowed </w:t>
      </w:r>
      <w:r w:rsidRPr="0071582C">
        <w:lastRenderedPageBreak/>
        <w:t>considerably. As access expanded, however, researchers’ attention shifted from whether girls could access education to why they were beginning to outperform boys—a development that gradually transformed the discourse of female disadvantage into one of female academic advantage and male underachievement.</w:t>
      </w:r>
    </w:p>
    <w:p w14:paraId="402FABA7" w14:textId="77777777" w:rsidR="006C7F62" w:rsidRPr="0071582C" w:rsidRDefault="00C061C9" w:rsidP="00CA20CC">
      <w:pPr>
        <w:pStyle w:val="Heading2"/>
        <w:jc w:val="both"/>
        <w:rPr>
          <w:lang w:val="en-GB"/>
        </w:rPr>
      </w:pPr>
      <w:r w:rsidRPr="0071582C">
        <w:rPr>
          <w:lang w:val="en-GB"/>
        </w:rPr>
        <w:t>2.2 The Reversal of the Gender Gap</w:t>
      </w:r>
    </w:p>
    <w:p w14:paraId="7FD8F90F" w14:textId="77777777" w:rsidR="006C7F62" w:rsidRPr="0071582C" w:rsidRDefault="00C061C9" w:rsidP="00CA20CC">
      <w:pPr>
        <w:spacing w:after="160" w:line="276" w:lineRule="auto"/>
        <w:jc w:val="both"/>
      </w:pPr>
      <w:r w:rsidRPr="0071582C">
        <w:t>Over the past three decades, evidence from numerous countries has documented this reversal: girls increasingly outperform boys in school grades, examination results, secondary completion rates, and university enrolment. Large-scale international assessments confirm that girls outperform boys in reading literacy across virtually all participating countries, and although gender differences in mathematics and science are smaller and more variable, female students frequently achieve equal or superior overall outcomes. The trend is not confined to Western societies; similar patterns have been documented across Europe, North America, Australia, East Asia, Latin America, and parts of Africa, suggesting that broader structural factors are at work.</w:t>
      </w:r>
    </w:p>
    <w:p w14:paraId="41D7BB05" w14:textId="77777777" w:rsidR="006C7F62" w:rsidRPr="0071582C" w:rsidRDefault="00C061C9" w:rsidP="00CA20CC">
      <w:pPr>
        <w:spacing w:after="160" w:line="276" w:lineRule="auto"/>
        <w:jc w:val="both"/>
      </w:pPr>
      <w:r w:rsidRPr="0071582C">
        <w:t>Several explanations have been proposed. Some researchers argue that contemporary educational systems increasingly reward behaviours traditionally associated with female socialization—organization, attentiveness, cooperation, and sustained effort—while others point to changes in labour markets and social expectations that have strengthened girls’ educational aspirations. Concurrently, boys are more likely to experience disciplinary problems, absenteeism, and dropout, raising concerns about schools’ capacity to sustain male engagement. Importantly, researchers caution against reading the reversal as evidence that educational inequality has disappeared: outcomes remain shaped by socioeconomic status, ethnicity, and geography, and female educational success does not necessarily translate into equality in employment, income, or political representation.</w:t>
      </w:r>
    </w:p>
    <w:p w14:paraId="0C2E915A" w14:textId="77777777" w:rsidR="006C7F62" w:rsidRPr="0071582C" w:rsidRDefault="00C061C9" w:rsidP="00CA20CC">
      <w:pPr>
        <w:pStyle w:val="Heading2"/>
        <w:jc w:val="both"/>
        <w:rPr>
          <w:lang w:val="en-GB"/>
        </w:rPr>
      </w:pPr>
      <w:r w:rsidRPr="0071582C">
        <w:rPr>
          <w:lang w:val="en-GB"/>
        </w:rPr>
        <w:t>2.3 Theoretical Perspectives on Gendered Educational Achievement</w:t>
      </w:r>
    </w:p>
    <w:p w14:paraId="718AD7B3" w14:textId="77777777" w:rsidR="006C7F62" w:rsidRPr="0071582C" w:rsidRDefault="00C061C9" w:rsidP="00CA20CC">
      <w:pPr>
        <w:spacing w:after="160" w:line="276" w:lineRule="auto"/>
        <w:jc w:val="both"/>
      </w:pPr>
      <w:r w:rsidRPr="0071582C">
        <w:t>The reversal of the gender gap has stimulated considerable theoretical debate. Contemporary scholarship increasingly rejects biological explanations in favour of sociological and educational perspectives emphasizing socialization, institutional structures, gender identity, and individual agency. Five contributions are particularly influential.</w:t>
      </w:r>
    </w:p>
    <w:p w14:paraId="7681DC18" w14:textId="77777777" w:rsidR="006C7F62" w:rsidRPr="0071582C" w:rsidRDefault="00C061C9" w:rsidP="00CA20CC">
      <w:pPr>
        <w:spacing w:after="160" w:line="276" w:lineRule="auto"/>
        <w:jc w:val="both"/>
      </w:pPr>
      <w:r w:rsidRPr="0071582C">
        <w:t>Pierre Bourdieu’s (1977, 1986) theory of cultural reproduction holds that schools are not neutral arbiters of merit but institutions that value particular forms of cultural capital and disposition. His concept of habitus—the durable dispositions acquired through socialization that shape perception, aspiration, and behaviour—suggests that girls’ growing academic advantage may partly reflect an alignment between socialization commonly associated with femininity (organization, attentiveness, self-discipline) and the behavioural norms rewarded in contemporary schooling. Carol Gilligan (1982) similarly argued that girls often develop relational orientations characterized by responsibility and attentiveness to others, orientations that—without implying fixed gender traits—may facilitate classroom participation and academic engagement.</w:t>
      </w:r>
    </w:p>
    <w:p w14:paraId="6EE57E7A" w14:textId="77777777" w:rsidR="006C7F62" w:rsidRPr="0071582C" w:rsidRDefault="00C061C9" w:rsidP="00CA20CC">
      <w:pPr>
        <w:spacing w:after="160" w:line="276" w:lineRule="auto"/>
        <w:jc w:val="both"/>
      </w:pPr>
      <w:r w:rsidRPr="0071582C">
        <w:lastRenderedPageBreak/>
        <w:t>Where Bourdieu and Gilligan illuminate female success, Raewyn Connell’s (2005) concept of hegemonic masculinity and Michael Kimmel’s (2008) work on peer culture help explain boys’ difficulties. Connell argues that dominant, socially constructed forms of masculinity emphasize independence, competitiveness, and resistance to authority, placing diligence and compliance—behaviours associated with successful schooling—in tension with masculine identity for some boys. Kimmel extends this by emphasizing peer-group pressures that discourage overt academic commitment in favour of risk-taking and anti-intellectualism, framing male underachievement as a socially situated phenomenon rather than a matter of individual motivation or ability.</w:t>
      </w:r>
    </w:p>
    <w:p w14:paraId="7531EE9A" w14:textId="77777777" w:rsidR="006C7F62" w:rsidRPr="0071582C" w:rsidRDefault="00C061C9" w:rsidP="00CA20CC">
      <w:pPr>
        <w:spacing w:after="160" w:line="276" w:lineRule="auto"/>
        <w:jc w:val="both"/>
      </w:pPr>
      <w:r w:rsidRPr="0071582C">
        <w:t>Deborah Youdell (2006) adds an institutional dimension, arguing that gender is not simply brought into schools by students but is actively constructed through classroom interaction, disciplinary practice, and everyday institutional routines; schools thus participate in producing, rather than merely evaluating, gendered identities. Collectively, these perspectives suggest that gendered achievement emerges from the interaction of cultural capital, socialization, identity formation, and institutional practice rather than from innate difference.</w:t>
      </w:r>
    </w:p>
    <w:p w14:paraId="179B7386" w14:textId="77777777" w:rsidR="006C7F62" w:rsidRPr="0071582C" w:rsidRDefault="00C061C9" w:rsidP="00CA20CC">
      <w:pPr>
        <w:spacing w:after="160" w:line="276" w:lineRule="auto"/>
        <w:jc w:val="both"/>
      </w:pPr>
      <w:r w:rsidRPr="0071582C">
        <w:t>These arguments find empirical support in major international reports. UNESCO (2023) documents progress in reducing gender disparities in access alongside emerging inequalities in achievement, while successive OECD PISA cycles (2015, 2019, 2023) show girls outperforming boys in reading literacy across most participating countries and reporting stronger aspirations and self-regulation. Both organizations caution, however, against equating female educational advantage with the achievement of full gender equality, since educational success does not automatically translate into equal opportunity in employment or leadership—a caveat directly relevant to the Moroccan case examined below.</w:t>
      </w:r>
    </w:p>
    <w:p w14:paraId="41AB8C9C" w14:textId="77777777" w:rsidR="006C7F62" w:rsidRPr="0071582C" w:rsidRDefault="00C061C9" w:rsidP="00CA20CC">
      <w:pPr>
        <w:pStyle w:val="Heading2"/>
        <w:jc w:val="both"/>
        <w:rPr>
          <w:lang w:val="en-GB"/>
        </w:rPr>
      </w:pPr>
      <w:r w:rsidRPr="0071582C">
        <w:rPr>
          <w:lang w:val="en-GB"/>
        </w:rPr>
        <w:t>2.4 Gender and Educational Achievement in Arab and North African Contexts</w:t>
      </w:r>
    </w:p>
    <w:p w14:paraId="6D3E0799" w14:textId="77777777" w:rsidR="006C7F62" w:rsidRPr="0071582C" w:rsidRDefault="00C061C9" w:rsidP="00CA20CC">
      <w:pPr>
        <w:spacing w:after="160" w:line="276" w:lineRule="auto"/>
        <w:jc w:val="both"/>
      </w:pPr>
      <w:r w:rsidRPr="0071582C">
        <w:t xml:space="preserve">The growing academic advantage of girls is not confined to Western systems. Over the past two decades, similar trends have emerged across the Arab region and North Africa, where female students increasingly outperform male counterparts in attainment, completion, and examination performance—a particularly notable development given the historical barriers girls faced in accessing education throughout the region. As access expanded following the educational investments of the 1990s onward, women came to constitute </w:t>
      </w:r>
      <w:proofErr w:type="gramStart"/>
      <w:r w:rsidRPr="0071582C">
        <w:t>the majority of</w:t>
      </w:r>
      <w:proofErr w:type="gramEnd"/>
      <w:r w:rsidRPr="0071582C">
        <w:t xml:space="preserve"> students in higher education across several countries, with research from Morocco, Tunisia, Algeria, and </w:t>
      </w:r>
      <w:proofErr w:type="gramStart"/>
      <w:r w:rsidRPr="0071582C">
        <w:t>a number of</w:t>
      </w:r>
      <w:proofErr w:type="gramEnd"/>
      <w:r w:rsidRPr="0071582C">
        <w:t xml:space="preserve"> Gulf states reporting that girls achieve higher grades, lower dropout rates, and stronger examination results than boys.</w:t>
      </w:r>
    </w:p>
    <w:p w14:paraId="7FB66AFE" w14:textId="77777777" w:rsidR="006C7F62" w:rsidRPr="0071582C" w:rsidRDefault="00C061C9" w:rsidP="00CA20CC">
      <w:pPr>
        <w:spacing w:after="160" w:line="276" w:lineRule="auto"/>
        <w:jc w:val="both"/>
      </w:pPr>
      <w:r w:rsidRPr="0071582C">
        <w:t xml:space="preserve">Explanations parallel those advanced for the global trend, with particular emphasis on education’s heightened significance as a mechanism of social mobility for women in societies where other economic and professional opportunities remain comparatively constrained. Girls in the region also report stronger commitment to academic work and school engagement, paralleling international research on self-regulated learning, while boys’ disengagement has been attributed </w:t>
      </w:r>
      <w:r w:rsidRPr="0071582C">
        <w:lastRenderedPageBreak/>
        <w:t>to changing constructions of masculinity and to labour-market structures that draw some young men into employment before completing their education.</w:t>
      </w:r>
    </w:p>
    <w:p w14:paraId="1433A091" w14:textId="77777777" w:rsidR="006C7F62" w:rsidRPr="0071582C" w:rsidRDefault="00C061C9" w:rsidP="00CA20CC">
      <w:pPr>
        <w:spacing w:after="160" w:line="276" w:lineRule="auto"/>
        <w:jc w:val="both"/>
      </w:pPr>
      <w:r w:rsidRPr="0071582C">
        <w:t>Crucially, however, this advantage has not been accompanied by gender equality more broadly. A persistent paradox characterizes many Arab and North African societies: women outperform men educationally while continuing to face substantial disadvantages in employment, income, leadership, and political participation, as institutions such as labour markets, family structures, and political systems evolve more slowly than schools. The Moroccan case reflects these regional dynamics closely, combining significant gains in female educational participation with persistent gender inequality in employment and public life—a tension explored in detail in the sections that follow.</w:t>
      </w:r>
    </w:p>
    <w:p w14:paraId="1BA38BC2" w14:textId="77777777" w:rsidR="006C7F62" w:rsidRPr="0071582C" w:rsidRDefault="00C061C9" w:rsidP="00CA20CC">
      <w:pPr>
        <w:pStyle w:val="Heading1"/>
        <w:jc w:val="both"/>
        <w:rPr>
          <w:lang w:val="en-GB"/>
        </w:rPr>
      </w:pPr>
      <w:r w:rsidRPr="0071582C">
        <w:rPr>
          <w:lang w:val="en-GB"/>
        </w:rPr>
        <w:t>3. The Moroccan Case</w:t>
      </w:r>
    </w:p>
    <w:p w14:paraId="6C3543FA" w14:textId="77777777" w:rsidR="006C7F62" w:rsidRPr="0071582C" w:rsidRDefault="00C061C9" w:rsidP="00CA20CC">
      <w:pPr>
        <w:pStyle w:val="Heading2"/>
        <w:jc w:val="both"/>
        <w:rPr>
          <w:lang w:val="en-GB"/>
        </w:rPr>
      </w:pPr>
      <w:r w:rsidRPr="0071582C">
        <w:rPr>
          <w:lang w:val="en-GB"/>
        </w:rPr>
        <w:t>3.1 Educational Reform and Gender Equity in Morocco</w:t>
      </w:r>
    </w:p>
    <w:p w14:paraId="527DB7FE" w14:textId="77777777" w:rsidR="006C7F62" w:rsidRPr="0071582C" w:rsidRDefault="00C061C9" w:rsidP="00CA20CC">
      <w:pPr>
        <w:spacing w:after="160" w:line="276" w:lineRule="auto"/>
        <w:jc w:val="both"/>
      </w:pPr>
      <w:r w:rsidRPr="0071582C">
        <w:t>The evolution of gendered achievement patterns in Morocco cannot be understood independently of the reforms that have reshaped the country’s educational landscape over the past three decades. Since the late 1990s, successive reforms—beginning with the National Charter for Education and Training (1999–2009) and continuing through the Emergency Plan (2009–2012) and the Strategic Vision for Reform 2015–2030—have sought to expand access, improve quality, and reduce social and regional inequality, with gender equity occupying a central position throughout. These reforms were complemented by targeted interventions such as school transportation programs, boarding facilities for rural girls, conditional financial support for disadvantaged families, and awareness campaigns promoting girls’ education, addressing the particularly severe obstacles—poverty, limited infrastructure, distance, sociocultural attitudes—long faced by rural girls.</w:t>
      </w:r>
    </w:p>
    <w:p w14:paraId="3C0873F3" w14:textId="77777777" w:rsidR="006C7F62" w:rsidRPr="0071582C" w:rsidRDefault="00C061C9" w:rsidP="00CA20CC">
      <w:pPr>
        <w:spacing w:after="160" w:line="276" w:lineRule="auto"/>
        <w:jc w:val="both"/>
      </w:pPr>
      <w:r w:rsidRPr="0071582C">
        <w:t>The cumulative impact has been substantial: female enrolment has increased significantly at all levels, and gender gaps in primary and lower-secondary education have narrowed considerably. This shift reflects a broader transformation in Moroccan society, in which educational attainment has become increasingly associated with social mobility and economic security, and investment in daughters’ education is increasingly viewed as a strategic response to changing realities rather than merely a social obligation. The Moroccan educational system thus presents an intriguing case in which efforts to achieve gender parity have coincided with the emergence of a persistent female advantage in academic performance, a phenomenon best examined through the Baccalaureate examination itself.</w:t>
      </w:r>
    </w:p>
    <w:p w14:paraId="2B55019A" w14:textId="77777777" w:rsidR="006C7F62" w:rsidRPr="0071582C" w:rsidRDefault="00C061C9" w:rsidP="00CA20CC">
      <w:pPr>
        <w:pStyle w:val="Heading2"/>
        <w:jc w:val="both"/>
        <w:rPr>
          <w:lang w:val="en-GB"/>
        </w:rPr>
      </w:pPr>
      <w:r w:rsidRPr="0071582C">
        <w:rPr>
          <w:lang w:val="en-GB"/>
        </w:rPr>
        <w:t>3.2 Evidence of Female Academic Advantage</w:t>
      </w:r>
    </w:p>
    <w:p w14:paraId="772B3FFE" w14:textId="77777777" w:rsidR="006C7F62" w:rsidRPr="0071582C" w:rsidRDefault="00C061C9" w:rsidP="00CA20CC">
      <w:pPr>
        <w:spacing w:after="160" w:line="276" w:lineRule="auto"/>
        <w:jc w:val="both"/>
      </w:pPr>
      <w:r w:rsidRPr="0071582C">
        <w:t>The Moroccan Baccalaureate, as the principal gateway to higher education and professional opportunity, constitutes one of the most consequential examinations in students’ academic careers, offering a valuable lens for examining gender differences in outcomes. Recent results reveal a remarkably consistent pattern, as shown in Table 1.</w:t>
      </w:r>
    </w:p>
    <w:p w14:paraId="5142E550" w14:textId="77777777" w:rsidR="006C7F62" w:rsidRPr="0071582C" w:rsidRDefault="00C061C9" w:rsidP="00CA20CC">
      <w:pPr>
        <w:spacing w:before="120" w:after="80"/>
        <w:jc w:val="both"/>
      </w:pPr>
      <w:r w:rsidRPr="0071582C">
        <w:rPr>
          <w:b/>
          <w:bCs/>
        </w:rPr>
        <w:lastRenderedPageBreak/>
        <w:t>Table 1</w:t>
      </w:r>
    </w:p>
    <w:p w14:paraId="0E641997" w14:textId="77777777" w:rsidR="006C7F62" w:rsidRPr="0071582C" w:rsidRDefault="00C061C9" w:rsidP="00CA20CC">
      <w:pPr>
        <w:spacing w:after="160" w:line="276" w:lineRule="auto"/>
        <w:jc w:val="both"/>
      </w:pPr>
      <w:r w:rsidRPr="0071582C">
        <w:rPr>
          <w:i/>
          <w:iCs/>
        </w:rPr>
        <w:t>National Baccalaureate Regular Session Pass Rates by Gender (2022–2026)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6C7F62" w:rsidRPr="0071582C" w14:paraId="6A0C97C7" w14:textId="77777777">
        <w:tc>
          <w:tcPr>
            <w:tcW w:w="2340" w:type="dxa"/>
            <w:tcBorders>
              <w:top w:val="single" w:sz="2" w:space="0" w:color="999999"/>
              <w:left w:val="single" w:sz="2" w:space="0" w:color="999999"/>
              <w:bottom w:val="single" w:sz="2" w:space="0" w:color="999999"/>
              <w:right w:val="single" w:sz="2" w:space="0" w:color="999999"/>
            </w:tcBorders>
            <w:shd w:val="clear" w:color="auto" w:fill="D9E2F3"/>
            <w:tcMar>
              <w:top w:w="80" w:type="dxa"/>
              <w:left w:w="100" w:type="dxa"/>
              <w:bottom w:w="80" w:type="dxa"/>
              <w:right w:w="100" w:type="dxa"/>
            </w:tcMar>
          </w:tcPr>
          <w:p w14:paraId="31365C12" w14:textId="77777777" w:rsidR="006C7F62" w:rsidRPr="0071582C" w:rsidRDefault="00C061C9" w:rsidP="00CA20CC">
            <w:pPr>
              <w:jc w:val="both"/>
            </w:pPr>
            <w:r w:rsidRPr="0071582C">
              <w:rPr>
                <w:b/>
                <w:bCs/>
                <w:sz w:val="22"/>
                <w:szCs w:val="22"/>
              </w:rPr>
              <w:t>Year</w:t>
            </w:r>
          </w:p>
        </w:tc>
        <w:tc>
          <w:tcPr>
            <w:tcW w:w="2340" w:type="dxa"/>
            <w:tcBorders>
              <w:top w:val="single" w:sz="2" w:space="0" w:color="999999"/>
              <w:left w:val="single" w:sz="2" w:space="0" w:color="999999"/>
              <w:bottom w:val="single" w:sz="2" w:space="0" w:color="999999"/>
              <w:right w:val="single" w:sz="2" w:space="0" w:color="999999"/>
            </w:tcBorders>
            <w:shd w:val="clear" w:color="auto" w:fill="D9E2F3"/>
            <w:tcMar>
              <w:top w:w="80" w:type="dxa"/>
              <w:left w:w="100" w:type="dxa"/>
              <w:bottom w:w="80" w:type="dxa"/>
              <w:right w:w="100" w:type="dxa"/>
            </w:tcMar>
          </w:tcPr>
          <w:p w14:paraId="0D76EA72" w14:textId="77777777" w:rsidR="006C7F62" w:rsidRPr="0071582C" w:rsidRDefault="00C061C9" w:rsidP="00CA20CC">
            <w:pPr>
              <w:jc w:val="both"/>
            </w:pPr>
            <w:r w:rsidRPr="0071582C">
              <w:rPr>
                <w:b/>
                <w:bCs/>
                <w:sz w:val="22"/>
                <w:szCs w:val="22"/>
              </w:rPr>
              <w:t>Female Pass Rate</w:t>
            </w:r>
          </w:p>
        </w:tc>
        <w:tc>
          <w:tcPr>
            <w:tcW w:w="2340" w:type="dxa"/>
            <w:tcBorders>
              <w:top w:val="single" w:sz="2" w:space="0" w:color="999999"/>
              <w:left w:val="single" w:sz="2" w:space="0" w:color="999999"/>
              <w:bottom w:val="single" w:sz="2" w:space="0" w:color="999999"/>
              <w:right w:val="single" w:sz="2" w:space="0" w:color="999999"/>
            </w:tcBorders>
            <w:shd w:val="clear" w:color="auto" w:fill="D9E2F3"/>
            <w:tcMar>
              <w:top w:w="80" w:type="dxa"/>
              <w:left w:w="100" w:type="dxa"/>
              <w:bottom w:w="80" w:type="dxa"/>
              <w:right w:w="100" w:type="dxa"/>
            </w:tcMar>
          </w:tcPr>
          <w:p w14:paraId="260CCAF7" w14:textId="77777777" w:rsidR="006C7F62" w:rsidRPr="0071582C" w:rsidRDefault="00C061C9" w:rsidP="00CA20CC">
            <w:pPr>
              <w:jc w:val="both"/>
            </w:pPr>
            <w:r w:rsidRPr="0071582C">
              <w:rPr>
                <w:b/>
                <w:bCs/>
                <w:sz w:val="22"/>
                <w:szCs w:val="22"/>
              </w:rPr>
              <w:t>Male Pass Rate</w:t>
            </w:r>
          </w:p>
        </w:tc>
        <w:tc>
          <w:tcPr>
            <w:tcW w:w="2340" w:type="dxa"/>
            <w:tcBorders>
              <w:top w:val="single" w:sz="2" w:space="0" w:color="999999"/>
              <w:left w:val="single" w:sz="2" w:space="0" w:color="999999"/>
              <w:bottom w:val="single" w:sz="2" w:space="0" w:color="999999"/>
              <w:right w:val="single" w:sz="2" w:space="0" w:color="999999"/>
            </w:tcBorders>
            <w:shd w:val="clear" w:color="auto" w:fill="D9E2F3"/>
            <w:tcMar>
              <w:top w:w="80" w:type="dxa"/>
              <w:left w:w="100" w:type="dxa"/>
              <w:bottom w:w="80" w:type="dxa"/>
              <w:right w:w="100" w:type="dxa"/>
            </w:tcMar>
          </w:tcPr>
          <w:p w14:paraId="53D33E5F" w14:textId="77777777" w:rsidR="006C7F62" w:rsidRPr="0071582C" w:rsidRDefault="00C061C9" w:rsidP="00CA20CC">
            <w:pPr>
              <w:jc w:val="both"/>
            </w:pPr>
            <w:r w:rsidRPr="0071582C">
              <w:rPr>
                <w:b/>
                <w:bCs/>
                <w:sz w:val="22"/>
                <w:szCs w:val="22"/>
              </w:rPr>
              <w:t>Gender Gap</w:t>
            </w:r>
          </w:p>
        </w:tc>
      </w:tr>
      <w:tr w:rsidR="006C7F62" w:rsidRPr="0071582C" w14:paraId="2ED0663A" w14:textId="77777777">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0027A243" w14:textId="77777777" w:rsidR="006C7F62" w:rsidRPr="0071582C" w:rsidRDefault="00C061C9" w:rsidP="00CA20CC">
            <w:pPr>
              <w:jc w:val="both"/>
            </w:pPr>
            <w:r w:rsidRPr="0071582C">
              <w:rPr>
                <w:sz w:val="22"/>
                <w:szCs w:val="22"/>
              </w:rPr>
              <w:t>2022</w:t>
            </w:r>
          </w:p>
        </w:tc>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0B888636" w14:textId="77777777" w:rsidR="006C7F62" w:rsidRPr="0071582C" w:rsidRDefault="00C061C9" w:rsidP="00CA20CC">
            <w:pPr>
              <w:jc w:val="both"/>
            </w:pPr>
            <w:r w:rsidRPr="0071582C">
              <w:rPr>
                <w:sz w:val="22"/>
                <w:szCs w:val="22"/>
              </w:rPr>
              <w:t>70.87%</w:t>
            </w:r>
          </w:p>
        </w:tc>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0F917CFE" w14:textId="77777777" w:rsidR="006C7F62" w:rsidRPr="0071582C" w:rsidRDefault="00C061C9" w:rsidP="00CA20CC">
            <w:pPr>
              <w:jc w:val="both"/>
            </w:pPr>
            <w:r w:rsidRPr="0071582C">
              <w:rPr>
                <w:sz w:val="22"/>
                <w:szCs w:val="22"/>
              </w:rPr>
              <w:t>61.01%</w:t>
            </w:r>
          </w:p>
        </w:tc>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5B74E70B" w14:textId="77777777" w:rsidR="006C7F62" w:rsidRPr="0071582C" w:rsidRDefault="00C061C9" w:rsidP="00CA20CC">
            <w:pPr>
              <w:jc w:val="both"/>
            </w:pPr>
            <w:r w:rsidRPr="0071582C">
              <w:rPr>
                <w:sz w:val="22"/>
                <w:szCs w:val="22"/>
              </w:rPr>
              <w:t>+9.86%</w:t>
            </w:r>
          </w:p>
        </w:tc>
      </w:tr>
      <w:tr w:rsidR="006C7F62" w:rsidRPr="0071582C" w14:paraId="4E5686B1" w14:textId="77777777">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0BEE9D55" w14:textId="77777777" w:rsidR="006C7F62" w:rsidRPr="0071582C" w:rsidRDefault="00C061C9" w:rsidP="00CA20CC">
            <w:pPr>
              <w:jc w:val="both"/>
            </w:pPr>
            <w:r w:rsidRPr="0071582C">
              <w:rPr>
                <w:sz w:val="22"/>
                <w:szCs w:val="22"/>
              </w:rPr>
              <w:t>2023</w:t>
            </w:r>
          </w:p>
        </w:tc>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5C168CAF" w14:textId="77777777" w:rsidR="006C7F62" w:rsidRPr="0071582C" w:rsidRDefault="00C061C9" w:rsidP="00CA20CC">
            <w:pPr>
              <w:jc w:val="both"/>
            </w:pPr>
            <w:r w:rsidRPr="0071582C">
              <w:rPr>
                <w:sz w:val="22"/>
                <w:szCs w:val="22"/>
              </w:rPr>
              <w:t>76.35%</w:t>
            </w:r>
          </w:p>
        </w:tc>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6820085D" w14:textId="77777777" w:rsidR="006C7F62" w:rsidRPr="0071582C" w:rsidRDefault="00C061C9" w:rsidP="00CA20CC">
            <w:pPr>
              <w:jc w:val="both"/>
            </w:pPr>
            <w:r w:rsidRPr="0071582C">
              <w:rPr>
                <w:sz w:val="22"/>
                <w:szCs w:val="22"/>
              </w:rPr>
              <w:t>74.29%</w:t>
            </w:r>
          </w:p>
        </w:tc>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2FEDBC1E" w14:textId="77777777" w:rsidR="006C7F62" w:rsidRPr="0071582C" w:rsidRDefault="00C061C9" w:rsidP="00CA20CC">
            <w:pPr>
              <w:jc w:val="both"/>
            </w:pPr>
            <w:r w:rsidRPr="0071582C">
              <w:rPr>
                <w:sz w:val="22"/>
                <w:szCs w:val="22"/>
              </w:rPr>
              <w:t>+2.06%</w:t>
            </w:r>
          </w:p>
        </w:tc>
      </w:tr>
      <w:tr w:rsidR="006C7F62" w:rsidRPr="0071582C" w14:paraId="11D4767F" w14:textId="77777777">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687A0C31" w14:textId="77777777" w:rsidR="006C7F62" w:rsidRPr="0071582C" w:rsidRDefault="00C061C9" w:rsidP="00CA20CC">
            <w:pPr>
              <w:jc w:val="both"/>
            </w:pPr>
            <w:r w:rsidRPr="0071582C">
              <w:rPr>
                <w:sz w:val="22"/>
                <w:szCs w:val="22"/>
              </w:rPr>
              <w:t>2024</w:t>
            </w:r>
          </w:p>
        </w:tc>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2D32901D" w14:textId="77777777" w:rsidR="006C7F62" w:rsidRPr="0071582C" w:rsidRDefault="00C061C9" w:rsidP="00CA20CC">
            <w:pPr>
              <w:jc w:val="both"/>
            </w:pPr>
            <w:r w:rsidRPr="0071582C">
              <w:rPr>
                <w:sz w:val="22"/>
                <w:szCs w:val="22"/>
              </w:rPr>
              <w:t>72.00%</w:t>
            </w:r>
          </w:p>
        </w:tc>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07CF79FC" w14:textId="77777777" w:rsidR="006C7F62" w:rsidRPr="0071582C" w:rsidRDefault="00C061C9" w:rsidP="00CA20CC">
            <w:pPr>
              <w:jc w:val="both"/>
            </w:pPr>
            <w:r w:rsidRPr="0071582C">
              <w:rPr>
                <w:sz w:val="22"/>
                <w:szCs w:val="22"/>
              </w:rPr>
              <w:t>62.60%</w:t>
            </w:r>
          </w:p>
        </w:tc>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3D877D08" w14:textId="77777777" w:rsidR="006C7F62" w:rsidRPr="0071582C" w:rsidRDefault="00C061C9" w:rsidP="00CA20CC">
            <w:pPr>
              <w:jc w:val="both"/>
            </w:pPr>
            <w:r w:rsidRPr="0071582C">
              <w:rPr>
                <w:sz w:val="22"/>
                <w:szCs w:val="22"/>
              </w:rPr>
              <w:t>+9.40%</w:t>
            </w:r>
          </w:p>
        </w:tc>
      </w:tr>
      <w:tr w:rsidR="006C7F62" w:rsidRPr="0071582C" w14:paraId="4055D7E5" w14:textId="77777777">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1ED2B0C5" w14:textId="77777777" w:rsidR="006C7F62" w:rsidRPr="0071582C" w:rsidRDefault="00C061C9" w:rsidP="00CA20CC">
            <w:pPr>
              <w:jc w:val="both"/>
            </w:pPr>
            <w:r w:rsidRPr="0071582C">
              <w:rPr>
                <w:sz w:val="22"/>
                <w:szCs w:val="22"/>
              </w:rPr>
              <w:t>2025</w:t>
            </w:r>
          </w:p>
        </w:tc>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13D425C0" w14:textId="77777777" w:rsidR="006C7F62" w:rsidRPr="0071582C" w:rsidRDefault="00C061C9" w:rsidP="00CA20CC">
            <w:pPr>
              <w:jc w:val="both"/>
            </w:pPr>
            <w:r w:rsidRPr="0071582C">
              <w:rPr>
                <w:sz w:val="22"/>
                <w:szCs w:val="22"/>
              </w:rPr>
              <w:t>71.30%</w:t>
            </w:r>
          </w:p>
        </w:tc>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4CB8E25C" w14:textId="77777777" w:rsidR="006C7F62" w:rsidRPr="0071582C" w:rsidRDefault="00C061C9" w:rsidP="00CA20CC">
            <w:pPr>
              <w:jc w:val="both"/>
            </w:pPr>
            <w:r w:rsidRPr="0071582C">
              <w:rPr>
                <w:sz w:val="22"/>
                <w:szCs w:val="22"/>
              </w:rPr>
              <w:t>61.81%</w:t>
            </w:r>
          </w:p>
        </w:tc>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6BD0B252" w14:textId="77777777" w:rsidR="006C7F62" w:rsidRPr="0071582C" w:rsidRDefault="00C061C9" w:rsidP="00CA20CC">
            <w:pPr>
              <w:jc w:val="both"/>
            </w:pPr>
            <w:r w:rsidRPr="0071582C">
              <w:rPr>
                <w:sz w:val="22"/>
                <w:szCs w:val="22"/>
              </w:rPr>
              <w:t>+9.49%</w:t>
            </w:r>
          </w:p>
        </w:tc>
      </w:tr>
      <w:tr w:rsidR="006C7F62" w:rsidRPr="0071582C" w14:paraId="52F55D3D" w14:textId="77777777">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38483971" w14:textId="77777777" w:rsidR="006C7F62" w:rsidRPr="0071582C" w:rsidRDefault="00C061C9" w:rsidP="00CA20CC">
            <w:pPr>
              <w:jc w:val="both"/>
            </w:pPr>
            <w:r w:rsidRPr="0071582C">
              <w:rPr>
                <w:sz w:val="22"/>
                <w:szCs w:val="22"/>
              </w:rPr>
              <w:t>2026*</w:t>
            </w:r>
          </w:p>
        </w:tc>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45D0884E" w14:textId="77777777" w:rsidR="006C7F62" w:rsidRPr="0071582C" w:rsidRDefault="00C061C9" w:rsidP="00CA20CC">
            <w:pPr>
              <w:jc w:val="both"/>
            </w:pPr>
            <w:r w:rsidRPr="0071582C">
              <w:rPr>
                <w:sz w:val="22"/>
                <w:szCs w:val="22"/>
              </w:rPr>
              <w:t>68.70%</w:t>
            </w:r>
          </w:p>
        </w:tc>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6C09F385" w14:textId="77777777" w:rsidR="006C7F62" w:rsidRPr="0071582C" w:rsidRDefault="00C061C9" w:rsidP="00CA20CC">
            <w:pPr>
              <w:jc w:val="both"/>
            </w:pPr>
            <w:r w:rsidRPr="0071582C">
              <w:rPr>
                <w:sz w:val="22"/>
                <w:szCs w:val="22"/>
              </w:rPr>
              <w:t>60.00%</w:t>
            </w:r>
          </w:p>
        </w:tc>
        <w:tc>
          <w:tcPr>
            <w:tcW w:w="234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54D037B1" w14:textId="77777777" w:rsidR="006C7F62" w:rsidRPr="0071582C" w:rsidRDefault="00C061C9" w:rsidP="00CA20CC">
            <w:pPr>
              <w:jc w:val="both"/>
            </w:pPr>
            <w:r w:rsidRPr="0071582C">
              <w:rPr>
                <w:sz w:val="22"/>
                <w:szCs w:val="22"/>
              </w:rPr>
              <w:t>+8.70%</w:t>
            </w:r>
          </w:p>
        </w:tc>
      </w:tr>
    </w:tbl>
    <w:p w14:paraId="2A06C221" w14:textId="77777777" w:rsidR="006C7F62" w:rsidRPr="0071582C" w:rsidRDefault="00C061C9" w:rsidP="00CA20CC">
      <w:pPr>
        <w:spacing w:after="160" w:line="276" w:lineRule="auto"/>
        <w:jc w:val="both"/>
      </w:pPr>
      <w:r w:rsidRPr="0071582C">
        <w:rPr>
          <w:i/>
          <w:iCs/>
        </w:rPr>
        <w:t>Note. * Data from 2026 concern the regular June session only.</w:t>
      </w:r>
    </w:p>
    <w:p w14:paraId="60524514" w14:textId="77777777" w:rsidR="006C7F62" w:rsidRPr="0071582C" w:rsidRDefault="00C061C9" w:rsidP="00CA20CC">
      <w:pPr>
        <w:spacing w:after="160" w:line="276" w:lineRule="auto"/>
        <w:jc w:val="both"/>
      </w:pPr>
      <w:proofErr w:type="gramStart"/>
      <w:r w:rsidRPr="0071582C">
        <w:t>With the exception of</w:t>
      </w:r>
      <w:proofErr w:type="gramEnd"/>
      <w:r w:rsidRPr="0071582C">
        <w:t xml:space="preserve"> 2023, when the gap narrowed considerably, girls have outperformed boys by approximately eight to ten percentage points in every recent session—a stability suggesting structural rather than incidental factors. In the 2026 regular session, 262,442 school candidates passed the examination, of whom 154,881 (approximately 59%) were female, with a female pass rate of 68.70% against 60.00% for boys, preserving a gap of 8.70 percentage points.</w:t>
      </w:r>
    </w:p>
    <w:p w14:paraId="4F30E8FB" w14:textId="77777777" w:rsidR="006C7F62" w:rsidRPr="0071582C" w:rsidRDefault="00C061C9" w:rsidP="00CA20CC">
      <w:pPr>
        <w:spacing w:after="160" w:line="276" w:lineRule="auto"/>
        <w:jc w:val="both"/>
      </w:pPr>
      <w:r w:rsidRPr="0071582C">
        <w:t xml:space="preserve">The female advantage extends beyond pass–fail measures to indicators of excellence: more than half of successful candidates obtained a distinction, with female students disproportionately represented among recipients of higher honours, and girls obtained the highest regional score in </w:t>
      </w:r>
      <w:proofErr w:type="gramStart"/>
      <w:r w:rsidRPr="0071582C">
        <w:t>the overwhelming majority of</w:t>
      </w:r>
      <w:proofErr w:type="gramEnd"/>
      <w:r w:rsidRPr="0071582C">
        <w:t xml:space="preserve"> Morocco’s regional academies in 2026, even though the single highest national score was achieved by a male student.</w:t>
      </w:r>
    </w:p>
    <w:p w14:paraId="2266C16C" w14:textId="77777777" w:rsidR="006C7F62" w:rsidRPr="0071582C" w:rsidRDefault="00C061C9" w:rsidP="00CA20CC">
      <w:pPr>
        <w:spacing w:after="160" w:line="276" w:lineRule="auto"/>
        <w:jc w:val="both"/>
      </w:pPr>
      <w:r w:rsidRPr="0071582C">
        <w:t>This advantage should not, however, obscure inequalities within the female population itself. Educational opportunity remains unevenly distributed across urban–rural and socioeconomic lines, and barriers such as geographic isolation, transportation difficulty, and economic hardship continue to constrain rural girls’ progression to upper-secondary education. The female advantage visible in Baccalaureate statistics is therefore most pronounced among students who have already navigated these structural constraints successfully. The pattern also extends to school retention and progression more broadly, with girls generally demonstrating lower dropout rates and stronger educational persistence—suggesting that the Baccalaureate gap forms part of a wider pattern of educational engagement rather than an isolated phenomenon.</w:t>
      </w:r>
    </w:p>
    <w:p w14:paraId="5B1716B6" w14:textId="77777777" w:rsidR="006C7F62" w:rsidRPr="0071582C" w:rsidRDefault="00C061C9" w:rsidP="00CA20CC">
      <w:pPr>
        <w:spacing w:after="160" w:line="276" w:lineRule="auto"/>
        <w:jc w:val="both"/>
      </w:pPr>
      <w:r w:rsidRPr="0071582C">
        <w:t>Caution remains warranted in interpretation: these outcomes should not be read as evidence of innate differences in ability, but rather as products of study habits, motivation, family support, and access to resources, pointing toward structural and cultural mechanisms explored in the sections that follow.</w:t>
      </w:r>
    </w:p>
    <w:p w14:paraId="1FCF3317" w14:textId="77777777" w:rsidR="006C7F62" w:rsidRPr="0071582C" w:rsidRDefault="00C061C9" w:rsidP="00CA20CC">
      <w:pPr>
        <w:pStyle w:val="Heading2"/>
        <w:jc w:val="both"/>
        <w:rPr>
          <w:lang w:val="en-GB"/>
        </w:rPr>
      </w:pPr>
      <w:r w:rsidRPr="0071582C">
        <w:rPr>
          <w:lang w:val="en-GB"/>
        </w:rPr>
        <w:t>3.3 The Emerging Moroccan Educational Paradox</w:t>
      </w:r>
    </w:p>
    <w:p w14:paraId="6AE7AD34" w14:textId="77777777" w:rsidR="006C7F62" w:rsidRPr="0071582C" w:rsidRDefault="00C061C9" w:rsidP="00CA20CC">
      <w:pPr>
        <w:spacing w:after="160" w:line="276" w:lineRule="auto"/>
        <w:jc w:val="both"/>
      </w:pPr>
      <w:r w:rsidRPr="0071582C">
        <w:t xml:space="preserve">The growing educational success of girls contrasts sharply with persistent gender inequality beyond the educational sphere. Despite outperforming boys academically, Moroccan women </w:t>
      </w:r>
      <w:r w:rsidRPr="0071582C">
        <w:lastRenderedPageBreak/>
        <w:t>remain significantly underrepresented in economic activity: World Bank estimates place female labour-force participation at approximately 19.5% in 2024, compared with more than 68% for men. This contradiction—in which schools increasingly reward and certify female academic excellence without equivalent gains in labour-market participation or economic influence—suggests that academic achievement alone cannot explain broader patterns of gender stratification, and that educational outcomes must be examined within the wider social and institutional contexts in which they acquire value. This tension, the Moroccan educational paradox, is developed in detail in Section 6.</w:t>
      </w:r>
    </w:p>
    <w:p w14:paraId="54EC9867" w14:textId="77777777" w:rsidR="006C7F62" w:rsidRPr="0071582C" w:rsidRDefault="00C061C9" w:rsidP="00CA20CC">
      <w:pPr>
        <w:pStyle w:val="Heading1"/>
        <w:jc w:val="both"/>
        <w:rPr>
          <w:lang w:val="en-GB"/>
        </w:rPr>
      </w:pPr>
      <w:r w:rsidRPr="0071582C">
        <w:rPr>
          <w:lang w:val="en-GB"/>
        </w:rPr>
        <w:t>4. Why Are Girls Outperforming Boys?</w:t>
      </w:r>
    </w:p>
    <w:p w14:paraId="139F92A5" w14:textId="77777777" w:rsidR="006C7F62" w:rsidRPr="0071582C" w:rsidRDefault="00C061C9" w:rsidP="00CA20CC">
      <w:pPr>
        <w:spacing w:after="160" w:line="276" w:lineRule="auto"/>
        <w:jc w:val="both"/>
      </w:pPr>
      <w:r w:rsidRPr="0071582C">
        <w:t>The persistence of female academic advantage in Morocco cannot be attributed to a single factor; rather, it emerges from the complex interaction of individual, familial, institutional, and societal influences. Rather than reflecting cognitive difference, the gender gap appears to stem from differences in educational aspirations, learning behaviours, family expectations, and engagement with school culture—factors that reinforce one another across students’ trajectories.</w:t>
      </w:r>
    </w:p>
    <w:p w14:paraId="6BC974A4" w14:textId="77777777" w:rsidR="006C7F62" w:rsidRPr="0071582C" w:rsidRDefault="00C061C9" w:rsidP="00CA20CC">
      <w:pPr>
        <w:pStyle w:val="Heading2"/>
        <w:jc w:val="both"/>
        <w:rPr>
          <w:lang w:val="en-GB"/>
        </w:rPr>
      </w:pPr>
      <w:r w:rsidRPr="0071582C">
        <w:rPr>
          <w:lang w:val="en-GB"/>
        </w:rPr>
        <w:t>4.1 Educational Aspirations and Social Mobility</w:t>
      </w:r>
    </w:p>
    <w:p w14:paraId="2A8CBA54" w14:textId="77777777" w:rsidR="006C7F62" w:rsidRPr="0071582C" w:rsidRDefault="00C061C9" w:rsidP="00CA20CC">
      <w:pPr>
        <w:spacing w:after="160" w:line="276" w:lineRule="auto"/>
        <w:jc w:val="both"/>
      </w:pPr>
      <w:r w:rsidRPr="0071582C">
        <w:t xml:space="preserve">One compelling explanation lies in the changing relationship between education and social mobility. As educational attainment becomes increasingly central to employment, economic security, and social status, this development appears particularly significant for girls, for whom academic achievement often represents a pathway toward autonomy and advancement. Viewed through a </w:t>
      </w:r>
      <w:proofErr w:type="spellStart"/>
      <w:r w:rsidRPr="0071582C">
        <w:t>Bourdieusian</w:t>
      </w:r>
      <w:proofErr w:type="spellEnd"/>
      <w:r w:rsidRPr="0071582C">
        <w:t xml:space="preserve"> lens, education constitutes a form of institutionalized cultural capital, and girls who recognize its value are more likely to invest sustained time and effort in academic pursuits—a pattern reflected in research showing that female students often report higher educational aspirations and stronger intentions to pursue higher education than their male counterparts.</w:t>
      </w:r>
    </w:p>
    <w:p w14:paraId="73D50101" w14:textId="77777777" w:rsidR="006C7F62" w:rsidRPr="0071582C" w:rsidRDefault="00C061C9" w:rsidP="00CA20CC">
      <w:pPr>
        <w:spacing w:after="160" w:line="276" w:lineRule="auto"/>
        <w:jc w:val="both"/>
      </w:pPr>
      <w:r w:rsidRPr="0071582C">
        <w:t>By contrast, some boys may perceive a wider range of alternative pathways to status and economic participation—employment, entrepreneurship, migration, informal economic activity—that appear attainable without prolonged educational investment, thereby reducing, for some, the motivational significance of academic achievement. Differences in educational aspiration may therefore contribute significantly to the observed gender gap in Baccalaureate performance.</w:t>
      </w:r>
    </w:p>
    <w:p w14:paraId="4D94710F" w14:textId="77777777" w:rsidR="006C7F62" w:rsidRPr="0071582C" w:rsidRDefault="00C061C9" w:rsidP="00CA20CC">
      <w:pPr>
        <w:pStyle w:val="Heading2"/>
        <w:jc w:val="both"/>
        <w:rPr>
          <w:lang w:val="en-GB"/>
        </w:rPr>
      </w:pPr>
      <w:r w:rsidRPr="0071582C">
        <w:rPr>
          <w:lang w:val="en-GB"/>
        </w:rPr>
        <w:t>4.2 Self-Regulation, Academic Discipline, and Study Habits</w:t>
      </w:r>
    </w:p>
    <w:p w14:paraId="52C2234A" w14:textId="77777777" w:rsidR="006C7F62" w:rsidRPr="0071582C" w:rsidRDefault="00C061C9" w:rsidP="00CA20CC">
      <w:pPr>
        <w:spacing w:after="160" w:line="276" w:lineRule="auto"/>
        <w:jc w:val="both"/>
      </w:pPr>
      <w:r w:rsidRPr="0071582C">
        <w:t xml:space="preserve">A second explanation concerns differences in self-regulated learning, one of the strongest predictors of academic success identified in educational research. Self-regulated learners actively manage their learning by setting goals, organizing study schedules, monitoring progress, and adapting strategies—behaviours that numerous studies find girls demonstrate more consistently than boys, including completing assignments on time and maintaining regular study routines. The Moroccan Baccalaureate is particularly demanding in this respect, requiring sustained preparation, </w:t>
      </w:r>
      <w:r w:rsidRPr="0071582C">
        <w:lastRenderedPageBreak/>
        <w:t>effective time management, and the capacity to balance multiple subjects simultaneously, conditions under which strong organizational skills confer a clear advantage.</w:t>
      </w:r>
    </w:p>
    <w:p w14:paraId="7CD0BBB9" w14:textId="77777777" w:rsidR="006C7F62" w:rsidRPr="0071582C" w:rsidRDefault="00C061C9" w:rsidP="00CA20CC">
      <w:pPr>
        <w:spacing w:after="160" w:line="276" w:lineRule="auto"/>
        <w:jc w:val="both"/>
      </w:pPr>
      <w:r w:rsidRPr="0071582C">
        <w:t>Girls also generally exhibit lower rates of absenteeism and behavioural infraction, increasing instructional exposure over the course of secondary education in ways that may accumulate into substantial disparities in performance. The female advantage observed in the Baccalaureate may therefore reflect not superior cognitive ability but more effective learning behaviours and stronger educational self-management.</w:t>
      </w:r>
    </w:p>
    <w:p w14:paraId="6EBEB359" w14:textId="77777777" w:rsidR="006C7F62" w:rsidRPr="0071582C" w:rsidRDefault="00C061C9" w:rsidP="00CA20CC">
      <w:pPr>
        <w:pStyle w:val="Heading2"/>
        <w:jc w:val="both"/>
        <w:rPr>
          <w:lang w:val="en-GB"/>
        </w:rPr>
      </w:pPr>
      <w:r w:rsidRPr="0071582C">
        <w:rPr>
          <w:lang w:val="en-GB"/>
        </w:rPr>
        <w:t>4.3 Family Socialization and Parental Expectations</w:t>
      </w:r>
    </w:p>
    <w:p w14:paraId="24F34303" w14:textId="77777777" w:rsidR="006C7F62" w:rsidRPr="0071582C" w:rsidRDefault="00C061C9" w:rsidP="00CA20CC">
      <w:pPr>
        <w:spacing w:after="160" w:line="276" w:lineRule="auto"/>
        <w:jc w:val="both"/>
      </w:pPr>
      <w:r w:rsidRPr="0071582C">
        <w:t>Family environments shape children’s attitudes toward education through expectations, encouragement, supervision, and resource allocation. While families historically invested more heavily in boys’ education, social and economic transformation has increasingly led families to recognize education as a critical asset for daughters, viewing academic success as a means toward economic independence and social mobility. Parents may accordingly monitor girls’ progress more closely and place strong emphasis on attainment, reinforcing positive attitudes toward learning.</w:t>
      </w:r>
    </w:p>
    <w:p w14:paraId="235E904D" w14:textId="77777777" w:rsidR="006C7F62" w:rsidRPr="0071582C" w:rsidRDefault="00C061C9" w:rsidP="00CA20CC">
      <w:pPr>
        <w:spacing w:after="160" w:line="276" w:lineRule="auto"/>
        <w:jc w:val="both"/>
      </w:pPr>
      <w:r w:rsidRPr="0071582C">
        <w:t>Gender socialization processes reinforce this dynamic: girls are often encouraged from an early age to demonstrate responsibility, attentiveness, and self-discipline—dispositions that, per Gilligan, frequently correspond to behaviours rewarded in educational settings. Bourdieu’s concept of habitus is similarly relevant, since family environments that foster academic commitment cultivate dispositions conducive to school success. Families are not, however, homogeneous: aspirations and parenting practices vary considerably by socioeconomic status and region, though family socialization remains an important mechanism through which gendered attitudes toward education are produced and reproduced.</w:t>
      </w:r>
    </w:p>
    <w:p w14:paraId="7DD29503" w14:textId="77777777" w:rsidR="006C7F62" w:rsidRPr="0071582C" w:rsidRDefault="00C061C9" w:rsidP="00CA20CC">
      <w:pPr>
        <w:pStyle w:val="Heading2"/>
        <w:jc w:val="both"/>
        <w:rPr>
          <w:lang w:val="en-GB"/>
        </w:rPr>
      </w:pPr>
      <w:r w:rsidRPr="0071582C">
        <w:rPr>
          <w:lang w:val="en-GB"/>
        </w:rPr>
        <w:t>4.4 School Culture and Teacher Expectations</w:t>
      </w:r>
    </w:p>
    <w:p w14:paraId="12AB9964" w14:textId="77777777" w:rsidR="006C7F62" w:rsidRPr="0071582C" w:rsidRDefault="00C061C9" w:rsidP="00CA20CC">
      <w:pPr>
        <w:spacing w:after="160" w:line="276" w:lineRule="auto"/>
        <w:jc w:val="both"/>
      </w:pPr>
      <w:r w:rsidRPr="0071582C">
        <w:t xml:space="preserve">Schools themselves actively shape academic outcomes through classroom interaction, teacher expectation, and disciplinary practice. Research suggests teachers frequently perceive girls as more diligent, organized, and cooperative, perceptions that translate into greater encouragement and stronger academic support over time. Boys, conversely, are more often associated with behavioural difficulty and disciplinary concern, a pattern that—per </w:t>
      </w:r>
      <w:proofErr w:type="spellStart"/>
      <w:r w:rsidRPr="0071582C">
        <w:t>Youdell</w:t>
      </w:r>
      <w:proofErr w:type="spellEnd"/>
      <w:r w:rsidRPr="0071582C">
        <w:t xml:space="preserve"> (2006)—reflects schools’ active role in producing, rather than merely evaluating, gendered identities through everyday institutional practice. Repeated disciplinary sanctions or negative evaluation may gradually weaken some boys’ attachment to schooling and academic motivation.</w:t>
      </w:r>
    </w:p>
    <w:p w14:paraId="5C284A33" w14:textId="77777777" w:rsidR="006C7F62" w:rsidRPr="0071582C" w:rsidRDefault="00C061C9" w:rsidP="00CA20CC">
      <w:pPr>
        <w:spacing w:after="160" w:line="276" w:lineRule="auto"/>
        <w:jc w:val="both"/>
      </w:pPr>
      <w:r w:rsidRPr="0071582C">
        <w:t>Contemporary schooling, moreover, tends to reward attentiveness, organization, perseverance, and compliance—qualities more commonly associated with feminine socialization—such that educational environments may inadvertently favour behaviours aligned with feminine rather than masculine norms. Taken together, female academic advantage thus emerges from the cumulative interaction of aspiration, self-regulation, family socialization, and school culture, rather than from any single causal mechanism.</w:t>
      </w:r>
    </w:p>
    <w:p w14:paraId="10B35B33" w14:textId="77777777" w:rsidR="006C7F62" w:rsidRPr="0071582C" w:rsidRDefault="00C061C9" w:rsidP="00CA20CC">
      <w:pPr>
        <w:pStyle w:val="Heading1"/>
        <w:jc w:val="both"/>
        <w:rPr>
          <w:lang w:val="en-GB"/>
        </w:rPr>
      </w:pPr>
      <w:r w:rsidRPr="0071582C">
        <w:rPr>
          <w:lang w:val="en-GB"/>
        </w:rPr>
        <w:lastRenderedPageBreak/>
        <w:t>5. Understanding Male Underachievement</w:t>
      </w:r>
    </w:p>
    <w:p w14:paraId="4BBE70BE" w14:textId="77777777" w:rsidR="006C7F62" w:rsidRPr="0071582C" w:rsidRDefault="00C061C9" w:rsidP="00CA20CC">
      <w:pPr>
        <w:spacing w:after="160" w:line="276" w:lineRule="auto"/>
        <w:jc w:val="both"/>
      </w:pPr>
      <w:r w:rsidRPr="0071582C">
        <w:t>The growing academic advantage of girls cannot be fully understood without examining boys’ educational experiences. A substantial body of international research suggests the phenomenon also reflects increasing male underachievement, manifest in academic difficulty, behavioural problems, absenteeism, and dropout; Morocco appears no exception. Importantly, this should not be read as evidence of intellectual deficiency, but as a complex interaction of social, cultural, institutional, and economic factors shaping how masculine identities are constructed and educational choices made.</w:t>
      </w:r>
    </w:p>
    <w:p w14:paraId="63F81239" w14:textId="77777777" w:rsidR="006C7F62" w:rsidRPr="0071582C" w:rsidRDefault="00C061C9" w:rsidP="00CA20CC">
      <w:pPr>
        <w:pStyle w:val="Heading2"/>
        <w:jc w:val="both"/>
        <w:rPr>
          <w:lang w:val="en-GB"/>
        </w:rPr>
      </w:pPr>
      <w:r w:rsidRPr="0071582C">
        <w:rPr>
          <w:lang w:val="en-GB"/>
        </w:rPr>
        <w:t>5.1 School Disengagement and Academic Motivation</w:t>
      </w:r>
    </w:p>
    <w:p w14:paraId="3EDFEF72" w14:textId="77777777" w:rsidR="006C7F62" w:rsidRPr="0071582C" w:rsidRDefault="00C061C9" w:rsidP="00CA20CC">
      <w:pPr>
        <w:spacing w:after="160" w:line="276" w:lineRule="auto"/>
        <w:jc w:val="both"/>
      </w:pPr>
      <w:r w:rsidRPr="0071582C">
        <w:t>One consistent finding concerns differences in school engagement: academic success depends not only on ability but on sustained participation, and boys are generally more likely than girls to exhibit disengagement through reduced participation, lower homework commitment, absenteeism, and disciplinary difficulty. Within the Moroccan context, this may be reinforced by perceptions that academic credentials are not always necessary for accessing employment, particularly where informal work, vocational activity, or migration appear as immediate alternatives. Repeated academic difficulty can also generate a self-reinforcing cycle, as failure produces negative attitudes toward schooling that further reduce effort and achievement.</w:t>
      </w:r>
    </w:p>
    <w:p w14:paraId="2FF1C0FB" w14:textId="77777777" w:rsidR="006C7F62" w:rsidRPr="0071582C" w:rsidRDefault="00C061C9" w:rsidP="00CA20CC">
      <w:pPr>
        <w:pStyle w:val="Heading2"/>
        <w:jc w:val="both"/>
        <w:rPr>
          <w:lang w:val="en-GB"/>
        </w:rPr>
      </w:pPr>
      <w:r w:rsidRPr="0071582C">
        <w:rPr>
          <w:lang w:val="en-GB"/>
        </w:rPr>
        <w:t>5.2 Masculinity and Academic Identity</w:t>
      </w:r>
    </w:p>
    <w:p w14:paraId="68852B7B" w14:textId="77777777" w:rsidR="006C7F62" w:rsidRPr="0071582C" w:rsidRDefault="00C061C9" w:rsidP="00CA20CC">
      <w:pPr>
        <w:spacing w:after="160" w:line="276" w:lineRule="auto"/>
        <w:jc w:val="both"/>
      </w:pPr>
      <w:r w:rsidRPr="0071582C">
        <w:t>Drawing on Connell’s (2005) concept of hegemonic masculinity—socially valued masculine behaviour emphasizing independence, competitiveness, toughness, and resistance to vulnerability—scholars argue that dominant cultural definitions of manhood shape boys’ attitudes toward schooling in important ways. Academic success requires attentiveness, patience, compliance, and a willingness to seek help, behaviours that in some peer cultures may be perceived as inconsistent with prevailing ideals of masculinity. Certain boys may consequently distance themselves from academic engagement to maintain social acceptance, such that underperformance becomes intertwined with identity formation rather than merely reflecting ability or motivation. Educational outcomes, in this sense, must be understood as socially situated phenomena rather than individual choices.</w:t>
      </w:r>
    </w:p>
    <w:p w14:paraId="57E206C4" w14:textId="77777777" w:rsidR="006C7F62" w:rsidRPr="0071582C" w:rsidRDefault="00C061C9" w:rsidP="00CA20CC">
      <w:pPr>
        <w:pStyle w:val="Heading2"/>
        <w:jc w:val="both"/>
        <w:rPr>
          <w:lang w:val="en-GB"/>
        </w:rPr>
      </w:pPr>
      <w:r w:rsidRPr="0071582C">
        <w:rPr>
          <w:lang w:val="en-GB"/>
        </w:rPr>
        <w:t>5.3 Peer Culture and the Social Construction of Achievement</w:t>
      </w:r>
    </w:p>
    <w:p w14:paraId="152A7B6D" w14:textId="77777777" w:rsidR="006C7F62" w:rsidRPr="0071582C" w:rsidRDefault="00C061C9" w:rsidP="00CA20CC">
      <w:pPr>
        <w:spacing w:after="160" w:line="276" w:lineRule="auto"/>
        <w:jc w:val="both"/>
      </w:pPr>
      <w:r w:rsidRPr="0071582C">
        <w:t xml:space="preserve">Peer approval is a powerful source of adolescent identity, and Michael Kimmel’s (2008) work on masculinity suggests peer cultures can pressure boys toward specific models of masculine behaviour, in which excessive academic commitment may carry ambiguous or even negative social value. Boys may consequently develop strategies for balancing performance with peer acceptance, sometimes deliberately limiting visible academic effort—behaviour that reflects the social negotiation of masculine identity rather than a lack of ability. Peer influence may also encourage </w:t>
      </w:r>
      <w:r w:rsidRPr="0071582C">
        <w:lastRenderedPageBreak/>
        <w:t>risk-taking and resistance to authority, with consequences for engagement and ultimately for achievement.</w:t>
      </w:r>
    </w:p>
    <w:p w14:paraId="19CDBF7E" w14:textId="77777777" w:rsidR="006C7F62" w:rsidRPr="0071582C" w:rsidRDefault="00C061C9" w:rsidP="00CA20CC">
      <w:pPr>
        <w:pStyle w:val="Heading2"/>
        <w:jc w:val="both"/>
        <w:rPr>
          <w:lang w:val="en-GB"/>
        </w:rPr>
      </w:pPr>
      <w:r w:rsidRPr="0071582C">
        <w:rPr>
          <w:lang w:val="en-GB"/>
        </w:rPr>
        <w:t>5.4 Alternative Pathways to Status and Success</w:t>
      </w:r>
    </w:p>
    <w:p w14:paraId="053815C6" w14:textId="77777777" w:rsidR="006C7F62" w:rsidRPr="0071582C" w:rsidRDefault="00C061C9" w:rsidP="00CA20CC">
      <w:pPr>
        <w:spacing w:after="160" w:line="276" w:lineRule="auto"/>
        <w:jc w:val="both"/>
      </w:pPr>
      <w:r w:rsidRPr="0071582C">
        <w:t>Educational achievement derives much of its motivational value from its perceived connection to future opportunity. For some boys, status and economic recognition appear attainable through routes—employment, entrepreneurship, vocational work, migration—that do not depend on academic excellence, particularly in contexts of high youth unemployment where graduates are observed struggling to secure stable work. Girls, by contrast, may perceive educational credentials as among the most reliable mechanisms available for improving their prospects. This does not imply that boys reject education outright, but rather that academic achievement competes with alternative visions of success that may appear more immediate or attainable.</w:t>
      </w:r>
    </w:p>
    <w:p w14:paraId="53A80DF7" w14:textId="77777777" w:rsidR="006C7F62" w:rsidRPr="0071582C" w:rsidRDefault="00C061C9" w:rsidP="00CA20CC">
      <w:pPr>
        <w:pStyle w:val="Heading2"/>
        <w:jc w:val="both"/>
        <w:rPr>
          <w:lang w:val="en-GB"/>
        </w:rPr>
      </w:pPr>
      <w:r w:rsidRPr="0071582C">
        <w:rPr>
          <w:lang w:val="en-GB"/>
        </w:rPr>
        <w:t>5.5 Digital Culture, Distraction, and Educational Commitment</w:t>
      </w:r>
    </w:p>
    <w:p w14:paraId="712CB00B" w14:textId="77777777" w:rsidR="006C7F62" w:rsidRPr="0071582C" w:rsidRDefault="00C061C9" w:rsidP="00CA20CC">
      <w:pPr>
        <w:spacing w:after="160" w:line="276" w:lineRule="auto"/>
        <w:jc w:val="both"/>
      </w:pPr>
      <w:r w:rsidRPr="0071582C">
        <w:t>Digital technologies increasingly function as spaces in which masculine identities are performed and validated. Building on Connell’s (2005) and Kimmel’s (2008) frameworks, online gaming communities and social media networks can be understood as arenas in which competitiveness, risk-taking, and resistance to institutional authority are structurally reinforced, such that digital culture functions not merely as distraction but as a component of the social environment through which some boys construct identities in tension with academic engagement. Within these spaces, compliance with school expectations is often stigmatized while digital performances of independence or rebellion are rewarded, gradually alienating some male students from the self-regulated learning habits that high-stakes examinations demand.</w:t>
      </w:r>
    </w:p>
    <w:p w14:paraId="5A6A84BD" w14:textId="77777777" w:rsidR="006C7F62" w:rsidRPr="0071582C" w:rsidRDefault="00C061C9" w:rsidP="00CA20CC">
      <w:pPr>
        <w:spacing w:after="160" w:line="276" w:lineRule="auto"/>
        <w:jc w:val="both"/>
      </w:pPr>
      <w:r w:rsidRPr="0071582C">
        <w:t xml:space="preserve">Several studies suggest boys spend more time than girls on competitive </w:t>
      </w:r>
      <w:proofErr w:type="gramStart"/>
      <w:r w:rsidRPr="0071582C">
        <w:t>gaming in particular, with</w:t>
      </w:r>
      <w:proofErr w:type="gramEnd"/>
      <w:r w:rsidRPr="0071582C">
        <w:t xml:space="preserve"> excessive involvement capable of reducing study time and reinforcing peer cultures that prioritize immediate gratification over sustained effort—though the significance of digital culture should not be exaggerated relative to the many other factors shaping achievement.</w:t>
      </w:r>
    </w:p>
    <w:p w14:paraId="4373327B" w14:textId="77777777" w:rsidR="006C7F62" w:rsidRPr="0071582C" w:rsidRDefault="00C061C9" w:rsidP="00CA20CC">
      <w:pPr>
        <w:pStyle w:val="Heading2"/>
        <w:jc w:val="both"/>
        <w:rPr>
          <w:lang w:val="en-GB"/>
        </w:rPr>
      </w:pPr>
      <w:r w:rsidRPr="0071582C">
        <w:rPr>
          <w:lang w:val="en-GB"/>
        </w:rPr>
        <w:t>5.6 Beyond Deficit Narratives</w:t>
      </w:r>
    </w:p>
    <w:p w14:paraId="35648122" w14:textId="77777777" w:rsidR="006C7F62" w:rsidRPr="0071582C" w:rsidRDefault="00C061C9" w:rsidP="00CA20CC">
      <w:pPr>
        <w:spacing w:after="160" w:line="276" w:lineRule="auto"/>
        <w:jc w:val="both"/>
      </w:pPr>
      <w:r w:rsidRPr="0071582C">
        <w:t>These concerns should not, however, be read as evidence that boys constitute a uniformly disadvantaged group; such narratives risk oversimplifying a complex phenomenon and obscuring variation by social class, geography, and family background. Socioeconomic inequality often exerts a stronger influence on outcomes than gender alone, and many boys perform exceptionally well while many girls continue to face real barriers. Male underachievement is therefore best understood as a pattern requiring careful, contextualized analysis rather than a new narrative of male victimhood—female academic success and male underachievement are interconnected dimensions of the same broader transformation in educational aspiration, socialization, and perceived opportunity among young Moroccans.</w:t>
      </w:r>
    </w:p>
    <w:p w14:paraId="6BBAD721" w14:textId="77777777" w:rsidR="006C7F62" w:rsidRPr="0071582C" w:rsidRDefault="00C061C9" w:rsidP="00CA20CC">
      <w:pPr>
        <w:pStyle w:val="Heading1"/>
        <w:jc w:val="both"/>
        <w:rPr>
          <w:lang w:val="en-GB"/>
        </w:rPr>
      </w:pPr>
      <w:r w:rsidRPr="0071582C">
        <w:rPr>
          <w:lang w:val="en-GB"/>
        </w:rPr>
        <w:lastRenderedPageBreak/>
        <w:t>6. The Moroccan Educational Paradox</w:t>
      </w:r>
    </w:p>
    <w:p w14:paraId="79DC0EC3" w14:textId="77777777" w:rsidR="006C7F62" w:rsidRPr="0071582C" w:rsidRDefault="00C061C9" w:rsidP="00CA20CC">
      <w:pPr>
        <w:spacing w:after="160" w:line="276" w:lineRule="auto"/>
        <w:jc w:val="both"/>
      </w:pPr>
      <w:r w:rsidRPr="0071582C">
        <w:t>The growing academic advantage of girls represents one of the most significant educational transformations of recent decades, yet a closer examination of broader social and economic realities reveals a more complex picture. Despite their achievements, Moroccan women continue to face significant difficulty translating academic success into equivalent professional and economic outcomes—lower labour-market participation, higher graduate unemployment, and limited representation in leadership suggest that educational advancement does not automatically produce broader social empowerment. This apparent contradiction, termed here the Moroccan educational paradox, highlights a tension between educational modernization and the slower pace of broader social change, one that requires moving beyond the educational sphere to examine the wider structures within which educational qualifications acquire value.</w:t>
      </w:r>
    </w:p>
    <w:p w14:paraId="0A2F3FC3" w14:textId="77777777" w:rsidR="006C7F62" w:rsidRPr="0071582C" w:rsidRDefault="00C061C9" w:rsidP="00CA20CC">
      <w:pPr>
        <w:pStyle w:val="Heading2"/>
        <w:jc w:val="both"/>
        <w:rPr>
          <w:lang w:val="en-GB"/>
        </w:rPr>
      </w:pPr>
      <w:r w:rsidRPr="0071582C">
        <w:rPr>
          <w:lang w:val="en-GB"/>
        </w:rPr>
        <w:t>6.1 The Paradox in Numbers</w:t>
      </w:r>
    </w:p>
    <w:p w14:paraId="51ADC520" w14:textId="77777777" w:rsidR="006C7F62" w:rsidRPr="0071582C" w:rsidRDefault="00C061C9" w:rsidP="00CA20CC">
      <w:pPr>
        <w:spacing w:after="160" w:line="276" w:lineRule="auto"/>
        <w:jc w:val="both"/>
      </w:pPr>
      <w:r w:rsidRPr="0071582C">
        <w:t>This contrast between educational achievement and socioeconomic outcome is illustrated in Table 2.</w:t>
      </w:r>
    </w:p>
    <w:p w14:paraId="127039B0" w14:textId="77777777" w:rsidR="006C7F62" w:rsidRPr="0071582C" w:rsidRDefault="00C061C9" w:rsidP="00CA20CC">
      <w:pPr>
        <w:spacing w:before="120" w:after="80"/>
        <w:jc w:val="both"/>
      </w:pPr>
      <w:r w:rsidRPr="0071582C">
        <w:rPr>
          <w:b/>
          <w:bCs/>
        </w:rPr>
        <w:t>Table 2</w:t>
      </w:r>
    </w:p>
    <w:p w14:paraId="7661DF57" w14:textId="77777777" w:rsidR="006C7F62" w:rsidRPr="0071582C" w:rsidRDefault="00C061C9" w:rsidP="00CA20CC">
      <w:pPr>
        <w:spacing w:after="160" w:line="276" w:lineRule="auto"/>
        <w:jc w:val="both"/>
      </w:pPr>
      <w:r w:rsidRPr="0071582C">
        <w:rPr>
          <w:i/>
          <w:iCs/>
        </w:rPr>
        <w:t>The Moroccan Educational Paradox in Numbers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999"/>
        <w:gridCol w:w="993"/>
        <w:gridCol w:w="1984"/>
        <w:gridCol w:w="2984"/>
      </w:tblGrid>
      <w:tr w:rsidR="006C7F62" w:rsidRPr="0071582C" w14:paraId="641569DC" w14:textId="77777777" w:rsidTr="00C144A4">
        <w:tc>
          <w:tcPr>
            <w:tcW w:w="2400" w:type="dxa"/>
            <w:tcBorders>
              <w:top w:val="single" w:sz="2" w:space="0" w:color="999999"/>
              <w:left w:val="single" w:sz="2" w:space="0" w:color="999999"/>
              <w:bottom w:val="single" w:sz="2" w:space="0" w:color="999999"/>
              <w:right w:val="single" w:sz="2" w:space="0" w:color="999999"/>
            </w:tcBorders>
            <w:shd w:val="clear" w:color="auto" w:fill="D9E2F3"/>
            <w:tcMar>
              <w:top w:w="80" w:type="dxa"/>
              <w:left w:w="100" w:type="dxa"/>
              <w:bottom w:w="80" w:type="dxa"/>
              <w:right w:w="100" w:type="dxa"/>
            </w:tcMar>
          </w:tcPr>
          <w:p w14:paraId="23C1F49C" w14:textId="77777777" w:rsidR="006C7F62" w:rsidRPr="0071582C" w:rsidRDefault="00C061C9" w:rsidP="00C144A4">
            <w:r w:rsidRPr="0071582C">
              <w:rPr>
                <w:b/>
                <w:bCs/>
                <w:sz w:val="22"/>
                <w:szCs w:val="22"/>
              </w:rPr>
              <w:t>Indicator</w:t>
            </w:r>
          </w:p>
        </w:tc>
        <w:tc>
          <w:tcPr>
            <w:tcW w:w="999" w:type="dxa"/>
            <w:tcBorders>
              <w:top w:val="single" w:sz="2" w:space="0" w:color="999999"/>
              <w:left w:val="single" w:sz="2" w:space="0" w:color="999999"/>
              <w:bottom w:val="single" w:sz="2" w:space="0" w:color="999999"/>
              <w:right w:val="single" w:sz="2" w:space="0" w:color="999999"/>
            </w:tcBorders>
            <w:shd w:val="clear" w:color="auto" w:fill="D9E2F3"/>
            <w:tcMar>
              <w:top w:w="80" w:type="dxa"/>
              <w:left w:w="100" w:type="dxa"/>
              <w:bottom w:w="80" w:type="dxa"/>
              <w:right w:w="100" w:type="dxa"/>
            </w:tcMar>
          </w:tcPr>
          <w:p w14:paraId="62D1BCA4" w14:textId="77777777" w:rsidR="006C7F62" w:rsidRPr="0071582C" w:rsidRDefault="00C061C9" w:rsidP="00C144A4">
            <w:r w:rsidRPr="0071582C">
              <w:rPr>
                <w:b/>
                <w:bCs/>
                <w:sz w:val="22"/>
                <w:szCs w:val="22"/>
              </w:rPr>
              <w:t>Women</w:t>
            </w:r>
          </w:p>
        </w:tc>
        <w:tc>
          <w:tcPr>
            <w:tcW w:w="993" w:type="dxa"/>
            <w:tcBorders>
              <w:top w:val="single" w:sz="2" w:space="0" w:color="999999"/>
              <w:left w:val="single" w:sz="2" w:space="0" w:color="999999"/>
              <w:bottom w:val="single" w:sz="2" w:space="0" w:color="999999"/>
              <w:right w:val="single" w:sz="2" w:space="0" w:color="999999"/>
            </w:tcBorders>
            <w:shd w:val="clear" w:color="auto" w:fill="D9E2F3"/>
            <w:tcMar>
              <w:top w:w="80" w:type="dxa"/>
              <w:left w:w="100" w:type="dxa"/>
              <w:bottom w:w="80" w:type="dxa"/>
              <w:right w:w="100" w:type="dxa"/>
            </w:tcMar>
          </w:tcPr>
          <w:p w14:paraId="233ED3B8" w14:textId="77777777" w:rsidR="006C7F62" w:rsidRPr="0071582C" w:rsidRDefault="00C061C9" w:rsidP="00C144A4">
            <w:r w:rsidRPr="0071582C">
              <w:rPr>
                <w:b/>
                <w:bCs/>
                <w:sz w:val="22"/>
                <w:szCs w:val="22"/>
              </w:rPr>
              <w:t>Men</w:t>
            </w:r>
          </w:p>
        </w:tc>
        <w:tc>
          <w:tcPr>
            <w:tcW w:w="1984" w:type="dxa"/>
            <w:tcBorders>
              <w:top w:val="single" w:sz="2" w:space="0" w:color="999999"/>
              <w:left w:val="single" w:sz="2" w:space="0" w:color="999999"/>
              <w:bottom w:val="single" w:sz="2" w:space="0" w:color="999999"/>
              <w:right w:val="single" w:sz="2" w:space="0" w:color="999999"/>
            </w:tcBorders>
            <w:shd w:val="clear" w:color="auto" w:fill="D9E2F3"/>
            <w:tcMar>
              <w:top w:w="80" w:type="dxa"/>
              <w:left w:w="100" w:type="dxa"/>
              <w:bottom w:w="80" w:type="dxa"/>
              <w:right w:w="100" w:type="dxa"/>
            </w:tcMar>
          </w:tcPr>
          <w:p w14:paraId="3C4D0226" w14:textId="77777777" w:rsidR="006C7F62" w:rsidRPr="0071582C" w:rsidRDefault="00C061C9" w:rsidP="00C144A4">
            <w:r w:rsidRPr="0071582C">
              <w:rPr>
                <w:b/>
                <w:bCs/>
                <w:sz w:val="22"/>
                <w:szCs w:val="22"/>
              </w:rPr>
              <w:t>Gender Gap / Ratio</w:t>
            </w:r>
          </w:p>
        </w:tc>
        <w:tc>
          <w:tcPr>
            <w:tcW w:w="2984" w:type="dxa"/>
            <w:tcBorders>
              <w:top w:val="single" w:sz="2" w:space="0" w:color="999999"/>
              <w:left w:val="single" w:sz="2" w:space="0" w:color="999999"/>
              <w:bottom w:val="single" w:sz="2" w:space="0" w:color="999999"/>
              <w:right w:val="single" w:sz="2" w:space="0" w:color="999999"/>
            </w:tcBorders>
            <w:shd w:val="clear" w:color="auto" w:fill="D9E2F3"/>
            <w:tcMar>
              <w:top w:w="80" w:type="dxa"/>
              <w:left w:w="100" w:type="dxa"/>
              <w:bottom w:w="80" w:type="dxa"/>
              <w:right w:w="100" w:type="dxa"/>
            </w:tcMar>
          </w:tcPr>
          <w:p w14:paraId="71585081" w14:textId="77777777" w:rsidR="006C7F62" w:rsidRPr="0071582C" w:rsidRDefault="00C061C9" w:rsidP="00C144A4">
            <w:r w:rsidRPr="0071582C">
              <w:rPr>
                <w:b/>
                <w:bCs/>
                <w:sz w:val="22"/>
                <w:szCs w:val="22"/>
              </w:rPr>
              <w:t>Data Source</w:t>
            </w:r>
          </w:p>
        </w:tc>
      </w:tr>
      <w:tr w:rsidR="006C7F62" w:rsidRPr="0071582C" w14:paraId="6F7303B2" w14:textId="77777777" w:rsidTr="00C144A4">
        <w:tc>
          <w:tcPr>
            <w:tcW w:w="240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248B06A6" w14:textId="77777777" w:rsidR="006C7F62" w:rsidRPr="0071582C" w:rsidRDefault="00C061C9" w:rsidP="00C144A4">
            <w:r w:rsidRPr="0071582C">
              <w:rPr>
                <w:sz w:val="22"/>
                <w:szCs w:val="22"/>
              </w:rPr>
              <w:t>Baccalaureate Pass Rate (2025)</w:t>
            </w:r>
          </w:p>
        </w:tc>
        <w:tc>
          <w:tcPr>
            <w:tcW w:w="999"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048ACD19" w14:textId="77777777" w:rsidR="006C7F62" w:rsidRPr="0071582C" w:rsidRDefault="00C061C9" w:rsidP="00C144A4">
            <w:r w:rsidRPr="0071582C">
              <w:rPr>
                <w:sz w:val="22"/>
                <w:szCs w:val="22"/>
              </w:rPr>
              <w:t>71.3%</w:t>
            </w:r>
          </w:p>
        </w:tc>
        <w:tc>
          <w:tcPr>
            <w:tcW w:w="993"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5BEAF3CC" w14:textId="77777777" w:rsidR="006C7F62" w:rsidRPr="0071582C" w:rsidRDefault="00C061C9" w:rsidP="00C144A4">
            <w:r w:rsidRPr="0071582C">
              <w:rPr>
                <w:sz w:val="22"/>
                <w:szCs w:val="22"/>
              </w:rPr>
              <w:t>61.81%</w:t>
            </w:r>
          </w:p>
        </w:tc>
        <w:tc>
          <w:tcPr>
            <w:tcW w:w="1984"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5F97D065" w14:textId="77777777" w:rsidR="006C7F62" w:rsidRPr="0071582C" w:rsidRDefault="00C061C9" w:rsidP="00C144A4">
            <w:r w:rsidRPr="0071582C">
              <w:rPr>
                <w:sz w:val="22"/>
                <w:szCs w:val="22"/>
              </w:rPr>
              <w:t>+9.49% (Female Advantage)</w:t>
            </w:r>
          </w:p>
        </w:tc>
        <w:tc>
          <w:tcPr>
            <w:tcW w:w="2984"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5E22931F" w14:textId="77777777" w:rsidR="006C7F62" w:rsidRPr="0071582C" w:rsidRDefault="00C061C9" w:rsidP="00C144A4">
            <w:r w:rsidRPr="0071582C">
              <w:rPr>
                <w:sz w:val="22"/>
                <w:szCs w:val="22"/>
              </w:rPr>
              <w:t>Moroccan Ministry of Education</w:t>
            </w:r>
          </w:p>
        </w:tc>
      </w:tr>
      <w:tr w:rsidR="006C7F62" w:rsidRPr="0071582C" w14:paraId="1DDFC161" w14:textId="77777777" w:rsidTr="00C144A4">
        <w:tc>
          <w:tcPr>
            <w:tcW w:w="240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2A61B209" w14:textId="77777777" w:rsidR="006C7F62" w:rsidRPr="0071582C" w:rsidRDefault="00C061C9" w:rsidP="00C144A4">
            <w:r w:rsidRPr="0071582C">
              <w:rPr>
                <w:sz w:val="22"/>
                <w:szCs w:val="22"/>
              </w:rPr>
              <w:t>Labour-Force Participation Rate</w:t>
            </w:r>
          </w:p>
        </w:tc>
        <w:tc>
          <w:tcPr>
            <w:tcW w:w="999"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00F7CC2E" w14:textId="77777777" w:rsidR="006C7F62" w:rsidRPr="0071582C" w:rsidRDefault="00C061C9" w:rsidP="00C144A4">
            <w:r w:rsidRPr="0071582C">
              <w:rPr>
                <w:sz w:val="22"/>
                <w:szCs w:val="22"/>
              </w:rPr>
              <w:t>19.1%</w:t>
            </w:r>
          </w:p>
        </w:tc>
        <w:tc>
          <w:tcPr>
            <w:tcW w:w="993"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3D60AA12" w14:textId="77777777" w:rsidR="006C7F62" w:rsidRPr="0071582C" w:rsidRDefault="00C061C9" w:rsidP="00C144A4">
            <w:r w:rsidRPr="0071582C">
              <w:rPr>
                <w:sz w:val="22"/>
                <w:szCs w:val="22"/>
              </w:rPr>
              <w:t>68.1%</w:t>
            </w:r>
          </w:p>
        </w:tc>
        <w:tc>
          <w:tcPr>
            <w:tcW w:w="1984"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40695892" w14:textId="77777777" w:rsidR="006C7F62" w:rsidRPr="0071582C" w:rsidRDefault="00C061C9" w:rsidP="00C144A4">
            <w:r w:rsidRPr="0071582C">
              <w:rPr>
                <w:sz w:val="22"/>
                <w:szCs w:val="22"/>
              </w:rPr>
              <w:t>−49.0% Gap</w:t>
            </w:r>
          </w:p>
        </w:tc>
        <w:tc>
          <w:tcPr>
            <w:tcW w:w="2984"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2477AACA" w14:textId="77777777" w:rsidR="006C7F62" w:rsidRPr="0071582C" w:rsidRDefault="00C061C9" w:rsidP="00C144A4">
            <w:r w:rsidRPr="0071582C">
              <w:rPr>
                <w:sz w:val="22"/>
                <w:szCs w:val="22"/>
              </w:rPr>
              <w:t>HCP / World Bank (2025/2026)</w:t>
            </w:r>
          </w:p>
        </w:tc>
      </w:tr>
      <w:tr w:rsidR="006C7F62" w:rsidRPr="0071582C" w14:paraId="16D8552C" w14:textId="77777777" w:rsidTr="00C144A4">
        <w:tc>
          <w:tcPr>
            <w:tcW w:w="240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2C0A7058" w14:textId="77777777" w:rsidR="006C7F62" w:rsidRPr="0071582C" w:rsidRDefault="00C061C9" w:rsidP="00C144A4">
            <w:r w:rsidRPr="0071582C">
              <w:rPr>
                <w:sz w:val="22"/>
                <w:szCs w:val="22"/>
              </w:rPr>
              <w:t>Graduate Unemployment Rate</w:t>
            </w:r>
          </w:p>
        </w:tc>
        <w:tc>
          <w:tcPr>
            <w:tcW w:w="999"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2784AC19" w14:textId="77777777" w:rsidR="006C7F62" w:rsidRPr="0071582C" w:rsidRDefault="00C061C9" w:rsidP="00C144A4">
            <w:r w:rsidRPr="0071582C">
              <w:rPr>
                <w:sz w:val="22"/>
                <w:szCs w:val="22"/>
              </w:rPr>
              <w:t>24.8%</w:t>
            </w:r>
          </w:p>
        </w:tc>
        <w:tc>
          <w:tcPr>
            <w:tcW w:w="993"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27CB038A" w14:textId="77777777" w:rsidR="006C7F62" w:rsidRPr="0071582C" w:rsidRDefault="00C061C9" w:rsidP="00C144A4">
            <w:r w:rsidRPr="0071582C">
              <w:rPr>
                <w:sz w:val="22"/>
                <w:szCs w:val="22"/>
              </w:rPr>
              <w:t>14.2%</w:t>
            </w:r>
          </w:p>
        </w:tc>
        <w:tc>
          <w:tcPr>
            <w:tcW w:w="1984"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32539169" w14:textId="77777777" w:rsidR="006C7F62" w:rsidRPr="0071582C" w:rsidRDefault="00C061C9" w:rsidP="00C144A4">
            <w:r w:rsidRPr="0071582C">
              <w:rPr>
                <w:sz w:val="22"/>
                <w:szCs w:val="22"/>
              </w:rPr>
              <w:t>+10.6% (Female Disadvantage)</w:t>
            </w:r>
          </w:p>
        </w:tc>
        <w:tc>
          <w:tcPr>
            <w:tcW w:w="2984"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4AFE3F89" w14:textId="77777777" w:rsidR="006C7F62" w:rsidRPr="0071582C" w:rsidRDefault="00C061C9" w:rsidP="00C144A4">
            <w:r w:rsidRPr="0071582C">
              <w:rPr>
                <w:sz w:val="22"/>
                <w:szCs w:val="22"/>
              </w:rPr>
              <w:t>HCP National Labour Survey</w:t>
            </w:r>
          </w:p>
        </w:tc>
      </w:tr>
      <w:tr w:rsidR="006C7F62" w:rsidRPr="0071582C" w14:paraId="54A65D9D" w14:textId="77777777" w:rsidTr="00C144A4">
        <w:tc>
          <w:tcPr>
            <w:tcW w:w="2400"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044829C4" w14:textId="77777777" w:rsidR="006C7F62" w:rsidRPr="0071582C" w:rsidRDefault="00C061C9" w:rsidP="00C144A4">
            <w:r w:rsidRPr="0071582C">
              <w:rPr>
                <w:sz w:val="22"/>
                <w:szCs w:val="22"/>
              </w:rPr>
              <w:t>Share of Managerial Positions</w:t>
            </w:r>
          </w:p>
        </w:tc>
        <w:tc>
          <w:tcPr>
            <w:tcW w:w="999"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5F770131" w14:textId="77777777" w:rsidR="006C7F62" w:rsidRPr="0071582C" w:rsidRDefault="00C061C9" w:rsidP="00C144A4">
            <w:r w:rsidRPr="0071582C">
              <w:rPr>
                <w:sz w:val="22"/>
                <w:szCs w:val="22"/>
              </w:rPr>
              <w:t>12.8%</w:t>
            </w:r>
          </w:p>
        </w:tc>
        <w:tc>
          <w:tcPr>
            <w:tcW w:w="993"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7375AF75" w14:textId="77777777" w:rsidR="006C7F62" w:rsidRPr="0071582C" w:rsidRDefault="00C061C9" w:rsidP="00C144A4">
            <w:r w:rsidRPr="0071582C">
              <w:rPr>
                <w:sz w:val="22"/>
                <w:szCs w:val="22"/>
              </w:rPr>
              <w:t>87.2%</w:t>
            </w:r>
          </w:p>
        </w:tc>
        <w:tc>
          <w:tcPr>
            <w:tcW w:w="1984"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04D9029C" w14:textId="77777777" w:rsidR="006C7F62" w:rsidRPr="0071582C" w:rsidRDefault="00C061C9" w:rsidP="00C144A4">
            <w:r w:rsidRPr="0071582C">
              <w:rPr>
                <w:sz w:val="22"/>
                <w:szCs w:val="22"/>
              </w:rPr>
              <w:t>Approximately 1:7 Ratio</w:t>
            </w:r>
          </w:p>
        </w:tc>
        <w:tc>
          <w:tcPr>
            <w:tcW w:w="2984"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100" w:type="dxa"/>
            </w:tcMar>
          </w:tcPr>
          <w:p w14:paraId="1445CBC1" w14:textId="77777777" w:rsidR="006C7F62" w:rsidRPr="0071582C" w:rsidRDefault="00C061C9" w:rsidP="00C144A4">
            <w:r w:rsidRPr="0071582C">
              <w:rPr>
                <w:sz w:val="22"/>
                <w:szCs w:val="22"/>
              </w:rPr>
              <w:t>World Bank / HCP Gender Indicators</w:t>
            </w:r>
          </w:p>
        </w:tc>
      </w:tr>
    </w:tbl>
    <w:p w14:paraId="0D623A36" w14:textId="77777777" w:rsidR="006C7F62" w:rsidRPr="0071582C" w:rsidRDefault="00C061C9" w:rsidP="00CA20CC">
      <w:pPr>
        <w:spacing w:after="160" w:line="276" w:lineRule="auto"/>
        <w:jc w:val="both"/>
      </w:pPr>
      <w:r w:rsidRPr="0071582C">
        <w:t>Although female students outperform males by nearly ten percentage points in the Baccalaureate, women’s labour-force participation remains less than one-third that of men, and the paradox becomes still more pronounced among the highly educated: contrary to expectations that attainment improves employment prospects, female graduates experience considerably higher unemployment than their male counterparts, suggesting that educational qualifications alone do not guarantee equal access to opportunity. A similar pattern is visible in positions of authority, where women remain significantly underrepresented in managerial and leadership roles despite their educational gains—indicating that barriers persist not only at labour-market entry but throughout professional advancement. The challenge, then, is not to explain female academic success itself, but to understand why this success fails to generate equivalent outcomes beyond the educational sphere.</w:t>
      </w:r>
    </w:p>
    <w:p w14:paraId="0C5FEBDB" w14:textId="77777777" w:rsidR="006C7F62" w:rsidRPr="0071582C" w:rsidRDefault="00C061C9" w:rsidP="00CA20CC">
      <w:pPr>
        <w:pStyle w:val="Heading2"/>
        <w:jc w:val="both"/>
        <w:rPr>
          <w:lang w:val="en-GB"/>
        </w:rPr>
      </w:pPr>
      <w:r w:rsidRPr="0071582C">
        <w:rPr>
          <w:lang w:val="en-GB"/>
        </w:rPr>
        <w:lastRenderedPageBreak/>
        <w:t>6.2 Education and the Limits of Meritocracy</w:t>
      </w:r>
    </w:p>
    <w:p w14:paraId="56E7F9EA" w14:textId="77777777" w:rsidR="006C7F62" w:rsidRPr="0071582C" w:rsidRDefault="00C061C9" w:rsidP="00CA20CC">
      <w:pPr>
        <w:spacing w:after="160" w:line="276" w:lineRule="auto"/>
        <w:jc w:val="both"/>
      </w:pPr>
      <w:r w:rsidRPr="0071582C">
        <w:t>Modern educational systems rest on an assumption of meritocracy, whereby academic achievement is expected to translate into employment, mobility, and recognition. The Moroccan case complicates this assumption: female students consistently outperform their male counterparts academically, yet these advantages do not produce equivalent outcomes in employment, income, or advancement. Bourdieu’s (1986) theory of capital is instructive here: educational qualifications represent institutionalized cultural capital that can, in principle, be converted into economic, social, and symbolic capital, but this conversion is neither neutral nor guaranteed, depending instead on the broader social structures within which credentials operate.</w:t>
      </w:r>
    </w:p>
    <w:p w14:paraId="1C6B592E" w14:textId="77777777" w:rsidR="006C7F62" w:rsidRPr="0071582C" w:rsidRDefault="00C061C9" w:rsidP="00CA20CC">
      <w:pPr>
        <w:spacing w:after="160" w:line="276" w:lineRule="auto"/>
        <w:jc w:val="both"/>
      </w:pPr>
      <w:r w:rsidRPr="0071582C">
        <w:t>Viewed through this lens, the Moroccan paradox reflects a disruption in the conversion of cultural into economic capital—educational institutions reward female excellence, but labour-market structures do not always reward that excellence to the same extent. This does not diminish the significance of girls’ educational progress; rather, it demonstrates that academic success creates opportunity whose realization remains conditioned by factors operating beyond the school system, inviting a more critical understanding of meritocracy than schooling alone can support.</w:t>
      </w:r>
    </w:p>
    <w:p w14:paraId="5D490503" w14:textId="77777777" w:rsidR="006C7F62" w:rsidRPr="0071582C" w:rsidRDefault="00C061C9" w:rsidP="00CA20CC">
      <w:pPr>
        <w:pStyle w:val="Heading2"/>
        <w:jc w:val="both"/>
        <w:rPr>
          <w:lang w:val="en-GB"/>
        </w:rPr>
      </w:pPr>
      <w:r w:rsidRPr="0071582C">
        <w:rPr>
          <w:lang w:val="en-GB"/>
        </w:rPr>
        <w:t>6.3 Gender Norms Beyond School</w:t>
      </w:r>
    </w:p>
    <w:p w14:paraId="555232FC" w14:textId="77777777" w:rsidR="006C7F62" w:rsidRPr="0071582C" w:rsidRDefault="00C061C9" w:rsidP="00CA20CC">
      <w:pPr>
        <w:spacing w:after="160" w:line="276" w:lineRule="auto"/>
        <w:jc w:val="both"/>
      </w:pPr>
      <w:r w:rsidRPr="0071582C">
        <w:t>Schools do not operate in isolation but are embedded within broader cultural, economic, and institutional environments. While girls may excel academically, they often continue to encounter expectations associated with caregiving and domestic responsibility that constrain labour-market participation and career progression after graduation. Connell’s (2005) concept of hegemonic masculinity is again relevant: employment structures, leadership expectations, and professional networks frequently reflect historically masculine norms that advantage men regardless of educational qualification, while occupational segregation continues to concentrate women in sectors with lower wages and fewer opportunities for advancement.</w:t>
      </w:r>
    </w:p>
    <w:p w14:paraId="4D7AC0CB" w14:textId="77777777" w:rsidR="006C7F62" w:rsidRPr="0071582C" w:rsidRDefault="00C061C9" w:rsidP="00CA20CC">
      <w:pPr>
        <w:spacing w:after="160" w:line="276" w:lineRule="auto"/>
        <w:jc w:val="both"/>
      </w:pPr>
      <w:r w:rsidRPr="0071582C">
        <w:t xml:space="preserve">These dynamics indicate that gender inequality is reproduced across multiple institutions simultaneously, such that educational reform alone—absent parallel change in labour markets, workplace cultures, and family structures—risks leaving educational success disconnected from broader patterns of social mobility and empowerment. Gender equality, in short, cannot be assessed through educational indicators alone. Taken together, these patterns reveal an important limitation of linear models of social progress, which assume that educational advancement inevitably produces broader social equality. The Moroccan case suggests a more complex reality: educational institutions have modernized rapidly and become increasingly effective in supporting female achievement, while labour markets, organizational structures, and social norms have changed at a markedly slower pace, leaving educational and social equality only partially aligned. This is not evidence that educational progress is unimportant—Moroccan girls’ achievements remain a major accomplishment—but rather evidence of the incomplete nature of broader social transformation. Understanding contemporary gender dynamics in Morocco therefore requires </w:t>
      </w:r>
      <w:r w:rsidRPr="0071582C">
        <w:lastRenderedPageBreak/>
        <w:t>moving beyond narratives of either female empowerment or male decline, toward an account of how educational achievement and social opportunity interact, and too often diverge.</w:t>
      </w:r>
    </w:p>
    <w:p w14:paraId="7942FE04" w14:textId="77777777" w:rsidR="006C7F62" w:rsidRPr="0071582C" w:rsidRDefault="00C061C9" w:rsidP="00CA20CC">
      <w:pPr>
        <w:pStyle w:val="Heading1"/>
        <w:jc w:val="both"/>
        <w:rPr>
          <w:lang w:val="en-GB"/>
        </w:rPr>
      </w:pPr>
      <w:r w:rsidRPr="0071582C">
        <w:rPr>
          <w:lang w:val="en-GB"/>
        </w:rPr>
        <w:t>7. Implications for Educational Policy and Practice</w:t>
      </w:r>
    </w:p>
    <w:p w14:paraId="1A17CA3B" w14:textId="77777777" w:rsidR="006C7F62" w:rsidRPr="0071582C" w:rsidRDefault="00C061C9" w:rsidP="00CA20CC">
      <w:pPr>
        <w:spacing w:after="160" w:line="276" w:lineRule="auto"/>
        <w:jc w:val="both"/>
      </w:pPr>
      <w:r w:rsidRPr="0071582C">
        <w:t xml:space="preserve">These findings carry several implications for educational policy and practice in Morocco. Policymakers must move beyond the traditional focus on access and enrolment to address patterns of achievement, engagement, and post-school outcomes—recognizing that the central challenge is no longer simply ensuring that girls attend </w:t>
      </w:r>
      <w:proofErr w:type="gramStart"/>
      <w:r w:rsidRPr="0071582C">
        <w:t>school, but</w:t>
      </w:r>
      <w:proofErr w:type="gramEnd"/>
      <w:r w:rsidRPr="0071582C">
        <w:t xml:space="preserve"> understanding why educational success does not always translate into equivalent opportunity. Crucially, these implications should not be approached through a zero-sum framework in which supporting one group implies the neglect of another; rather, they call for coordinated action among schools, families, policymakers, and employers, addressing the interconnected educational, social, and economic processes examined throughout this article.</w:t>
      </w:r>
    </w:p>
    <w:p w14:paraId="1DB5E6C5" w14:textId="77777777" w:rsidR="006C7F62" w:rsidRPr="0071582C" w:rsidRDefault="00C061C9" w:rsidP="00CA20CC">
      <w:pPr>
        <w:pStyle w:val="Heading2"/>
        <w:jc w:val="both"/>
        <w:rPr>
          <w:lang w:val="en-GB"/>
        </w:rPr>
      </w:pPr>
      <w:r w:rsidRPr="0071582C">
        <w:rPr>
          <w:lang w:val="en-GB"/>
        </w:rPr>
        <w:t>7.1 Supporting Boys’ Educational Engagement</w:t>
      </w:r>
    </w:p>
    <w:p w14:paraId="6662C2EB" w14:textId="77777777" w:rsidR="006C7F62" w:rsidRPr="0071582C" w:rsidRDefault="00C061C9" w:rsidP="00CA20CC">
      <w:pPr>
        <w:spacing w:after="160" w:line="276" w:lineRule="auto"/>
        <w:jc w:val="both"/>
      </w:pPr>
      <w:r w:rsidRPr="0071582C">
        <w:t>Strengthening boys’ engagement with education requires moving beyond narrowly remedial approaches to address the socialization processes, peer dynamics, and constructions of masculinity that shape some boys’ relationship with schooling. Because constructions of masculinity privileging risk-taking, independence, and resistance to authority can discourage sustained academic investment, educational policy should promote more inclusive models of masculinity in which academic success and intellectual curiosity are viewed as compatible with, rather than threatening to, masculine identity. Schools can contribute through pedagogical practices that foster motivation and belonging, and through early identification of students at risk of disengagement before absenteeism or withdrawal become entrenched.</w:t>
      </w:r>
    </w:p>
    <w:p w14:paraId="75DCA9C7" w14:textId="77777777" w:rsidR="006C7F62" w:rsidRPr="0071582C" w:rsidRDefault="00C061C9" w:rsidP="00CA20CC">
      <w:pPr>
        <w:spacing w:after="160" w:line="276" w:lineRule="auto"/>
        <w:jc w:val="both"/>
      </w:pPr>
      <w:r w:rsidRPr="0071582C">
        <w:t xml:space="preserve">Mentoring and career-guidance initiatives that expose students to diverse pathways may also strengthen the perceived relevance of schooling, particularly where informal employment appears as a more immediate alternative. Rather than treating digital technologies solely as distraction, schools might also seek to harness students’ digital interests in ways that support learning and counter online environments that </w:t>
      </w:r>
      <w:proofErr w:type="spellStart"/>
      <w:r w:rsidRPr="0071582C">
        <w:t>valorize</w:t>
      </w:r>
      <w:proofErr w:type="spellEnd"/>
      <w:r w:rsidRPr="0071582C">
        <w:t xml:space="preserve"> anti-school attitudes. Such efforts should not be framed as a response to girls’ success, nor imply that female gains have come at boys’ expense; the objective is to ensure that all students have access to the support necessary to realize their educational potential.</w:t>
      </w:r>
    </w:p>
    <w:p w14:paraId="2D6A3387" w14:textId="77777777" w:rsidR="006C7F62" w:rsidRPr="0071582C" w:rsidRDefault="00C061C9" w:rsidP="00CA20CC">
      <w:pPr>
        <w:pStyle w:val="Heading2"/>
        <w:jc w:val="both"/>
        <w:rPr>
          <w:lang w:val="en-GB"/>
        </w:rPr>
      </w:pPr>
      <w:r w:rsidRPr="0071582C">
        <w:rPr>
          <w:lang w:val="en-GB"/>
        </w:rPr>
        <w:t>7.2 Sustaining and Consolidating Girls’ Educational Success</w:t>
      </w:r>
    </w:p>
    <w:p w14:paraId="5E477BD0" w14:textId="77777777" w:rsidR="006C7F62" w:rsidRPr="0071582C" w:rsidRDefault="00C061C9" w:rsidP="00CA20CC">
      <w:pPr>
        <w:spacing w:after="160" w:line="276" w:lineRule="auto"/>
        <w:jc w:val="both"/>
      </w:pPr>
      <w:r w:rsidRPr="0071582C">
        <w:t xml:space="preserve">Girls’ educational progress should not be assumed to have fully resolved gender inequality in education, since opportunity remains unevenly distributed across region and socioeconomic group. </w:t>
      </w:r>
      <w:proofErr w:type="gramStart"/>
      <w:r w:rsidRPr="0071582C">
        <w:t>Particular attention</w:t>
      </w:r>
      <w:proofErr w:type="gramEnd"/>
      <w:r w:rsidRPr="0071582C">
        <w:t xml:space="preserve"> should be devoted to rural and geographically marginalized students, for whom transportation, infrastructure, and economic hardship continue to constrain progression to upper-</w:t>
      </w:r>
      <w:r w:rsidRPr="0071582C">
        <w:lastRenderedPageBreak/>
        <w:t>secondary education, and to disadvantaged households more broadly, where limited access to tutoring and digital resources can still shape achievement.</w:t>
      </w:r>
    </w:p>
    <w:p w14:paraId="7765B61F" w14:textId="77777777" w:rsidR="006C7F62" w:rsidRPr="0071582C" w:rsidRDefault="00C061C9" w:rsidP="00CA20CC">
      <w:pPr>
        <w:spacing w:after="160" w:line="276" w:lineRule="auto"/>
        <w:jc w:val="both"/>
      </w:pPr>
      <w:r w:rsidRPr="0071582C">
        <w:t>Beyond access and retention, policy should also expand future opportunity for female graduates, who remain underrepresented in fields such as science, technology, engineering, and senior leadership despite strong academic performance; schools and universities can encourage girls toward more diverse academic and professional pathways accordingly. Because the Moroccan educational paradox shows that academic excellence is not, by itself, sufficient, policy should also strengthen career guidance, mentoring, and links between educational institutions and employers, so that girls’ educational achievement is more reliably translated into meaningful social and economic outcomes.</w:t>
      </w:r>
    </w:p>
    <w:p w14:paraId="1408C21E" w14:textId="77777777" w:rsidR="006C7F62" w:rsidRPr="0071582C" w:rsidRDefault="00C061C9" w:rsidP="00CA20CC">
      <w:pPr>
        <w:pStyle w:val="Heading2"/>
        <w:jc w:val="both"/>
        <w:rPr>
          <w:lang w:val="en-GB"/>
        </w:rPr>
      </w:pPr>
      <w:r w:rsidRPr="0071582C">
        <w:rPr>
          <w:lang w:val="en-GB"/>
        </w:rPr>
        <w:t>7.3 Challenging Gender Stereotypes and Strengthening School–Family Partnerships</w:t>
      </w:r>
    </w:p>
    <w:p w14:paraId="2F0BC04E" w14:textId="77777777" w:rsidR="006C7F62" w:rsidRPr="0071582C" w:rsidRDefault="00C061C9" w:rsidP="00CA20CC">
      <w:pPr>
        <w:spacing w:after="160" w:line="276" w:lineRule="auto"/>
        <w:jc w:val="both"/>
      </w:pPr>
      <w:r w:rsidRPr="0071582C">
        <w:t>Because educational achievement is a socially embedded process shaped by interactions among schools, families, and peer groups, improving outcomes for both girls and boys requires attention extending beyond the classroom. Strong school–family partnerships—built through regular communication, parental support programs, and engagement initiatives accessible across linguistic and socioeconomic backgrounds—can reinforce positive learning behaviours and create continuity between home and school.</w:t>
      </w:r>
    </w:p>
    <w:p w14:paraId="70DD4E25" w14:textId="77777777" w:rsidR="006C7F62" w:rsidRPr="0071582C" w:rsidRDefault="00C061C9" w:rsidP="00CA20CC">
      <w:pPr>
        <w:spacing w:after="160" w:line="276" w:lineRule="auto"/>
        <w:jc w:val="both"/>
      </w:pPr>
      <w:r w:rsidRPr="0071582C">
        <w:t>Schools must also continue to challenge the gender stereotypes that students internalize regarding appropriate behaviour, subject choice, and career aspiration; teacher training that addresses implicit bias, alongside curricula presenting diverse representations of achievement, can help students envision futures unconstrained by traditional expectations. The aim is twofold: encouraging girls toward fields where women remain underrepresented, while supporting boys in developing academic identities compatible with healthy, constructive forms of masculinity, such that academic commitment is no longer perceived by either group as a challenge to social identity.</w:t>
      </w:r>
    </w:p>
    <w:p w14:paraId="750BCB2A" w14:textId="77777777" w:rsidR="006C7F62" w:rsidRPr="0071582C" w:rsidRDefault="00C061C9" w:rsidP="00CA20CC">
      <w:pPr>
        <w:pStyle w:val="Heading2"/>
        <w:jc w:val="both"/>
        <w:rPr>
          <w:lang w:val="en-GB"/>
        </w:rPr>
      </w:pPr>
      <w:r w:rsidRPr="0071582C">
        <w:rPr>
          <w:lang w:val="en-GB"/>
        </w:rPr>
        <w:t>7.4 Bridging Educational Achievement and Social Opportunity</w:t>
      </w:r>
    </w:p>
    <w:p w14:paraId="607DEF7C" w14:textId="77777777" w:rsidR="006C7F62" w:rsidRPr="0071582C" w:rsidRDefault="00C061C9" w:rsidP="00CA20CC">
      <w:pPr>
        <w:spacing w:after="160" w:line="276" w:lineRule="auto"/>
        <w:jc w:val="both"/>
      </w:pPr>
      <w:r w:rsidRPr="0071582C">
        <w:t>Perhaps the most significant policy implication of the Moroccan educational paradox concerns the relationship between educational achievement and broader life opportunity. Because many women continue to encounter difficulty transitioning from education to employment despite strong qualifications, the priority is not simply to expand attainment further but to strengthen the mechanisms through which credentials are converted into professional and economic outcomes—through career-guidance services, internship programs, and closer partnership between educational institutions, employers, and public agencies.</w:t>
      </w:r>
    </w:p>
    <w:p w14:paraId="5A59512C" w14:textId="77777777" w:rsidR="006C7F62" w:rsidRPr="0071582C" w:rsidRDefault="00C061C9" w:rsidP="00CA20CC">
      <w:pPr>
        <w:spacing w:after="160" w:line="276" w:lineRule="auto"/>
        <w:jc w:val="both"/>
      </w:pPr>
      <w:r w:rsidRPr="0071582C">
        <w:t xml:space="preserve">Persistent gaps in female labour-force participation and graduate employment indicate that factors extending well beyond educational attainment—workplace culture, family responsibility, institutional practice—continue to constrain women’s economic participation, such that policies aimed at improving female employment must complement, rather than substitute for, educational reform. Expanding women’s representation in leadership and decision-making positions remains </w:t>
      </w:r>
      <w:r w:rsidRPr="0071582C">
        <w:lastRenderedPageBreak/>
        <w:t>equally important, requiring coordinated action across ministries of education, labour, and economic development alongside employers and civil-society actors. Educational achievement and social opportunity must ultimately be treated as interconnected objectives of a single development strategy, rather than as sequential stages assumed to follow automatically from one another.</w:t>
      </w:r>
    </w:p>
    <w:p w14:paraId="2F8BD8C1" w14:textId="77777777" w:rsidR="006C7F62" w:rsidRPr="0071582C" w:rsidRDefault="00C061C9" w:rsidP="00CA20CC">
      <w:pPr>
        <w:pStyle w:val="Heading1"/>
        <w:jc w:val="both"/>
        <w:rPr>
          <w:lang w:val="en-GB"/>
        </w:rPr>
      </w:pPr>
      <w:r w:rsidRPr="0071582C">
        <w:rPr>
          <w:lang w:val="en-GB"/>
        </w:rPr>
        <w:t>8. Conclusion</w:t>
      </w:r>
    </w:p>
    <w:p w14:paraId="230740CD" w14:textId="77777777" w:rsidR="006C7F62" w:rsidRPr="0071582C" w:rsidRDefault="00C061C9" w:rsidP="00CA20CC">
      <w:pPr>
        <w:spacing w:after="160" w:line="276" w:lineRule="auto"/>
        <w:jc w:val="both"/>
      </w:pPr>
      <w:r w:rsidRPr="0071582C">
        <w:t>The growing academic advantage of girls represents one of the most significant developments in contemporary Moroccan education. Once concerned primarily with expanding girls’ access to schooling, educational debate now confronts a markedly different reality, in which female students increasingly outperform their male counterparts across indicators of retention, examination success, distinction, and participation in higher education. The Moroccan Baccalaureate, as the country’s most consequential secondary-school examination, offers particularly compelling evidence of this transformation.</w:t>
      </w:r>
    </w:p>
    <w:p w14:paraId="684DC665" w14:textId="77777777" w:rsidR="006C7F62" w:rsidRPr="0071582C" w:rsidRDefault="00C061C9" w:rsidP="00CA20CC">
      <w:pPr>
        <w:spacing w:after="160" w:line="276" w:lineRule="auto"/>
        <w:jc w:val="both"/>
      </w:pPr>
      <w:r w:rsidRPr="0071582C">
        <w:t xml:space="preserve">This article has argued that these developments cannot be adequately understood through biological explanation or simplistic narratives of female superiority and male failure. Drawing on Bourdieu, Gilligan, Connell, Kimmel, and </w:t>
      </w:r>
      <w:proofErr w:type="spellStart"/>
      <w:r w:rsidRPr="0071582C">
        <w:t>Youdell</w:t>
      </w:r>
      <w:proofErr w:type="spellEnd"/>
      <w:r w:rsidRPr="0071582C">
        <w:t>, the analysis has shown that educational achievement is shaped by the interaction of socialization, cultural expectation, institutional practice, gender identity, and broader social structure: girls’ success is closely linked to forms of behaviour and engagement that contemporary schools increasingly reward, while some boys’ relative underachievement reflects tension between educational expectation and dominant constructions of masculinity, reinforced by peer culture and changing social environments. At the same time, gendered outcomes cannot be understood in isolation from socioeconomic background and geography, since not all girls benefit equally from educational expansion, nor do all boys experience disengagement in the same way—an intersectional caveat that should temper any reading of these findings as uniform.</w:t>
      </w:r>
    </w:p>
    <w:p w14:paraId="0AC10D4D" w14:textId="77777777" w:rsidR="006C7F62" w:rsidRPr="0071582C" w:rsidRDefault="00C061C9" w:rsidP="00CA20CC">
      <w:pPr>
        <w:spacing w:after="160" w:line="276" w:lineRule="auto"/>
        <w:jc w:val="both"/>
      </w:pPr>
      <w:r w:rsidRPr="0071582C">
        <w:t>The article’s central contribution is the concept of the Moroccan Educational Paradox: while girls increasingly dominate academic achievement, women continue to face substantial barriers in translating that success into equivalent social and economic outcomes, revealing a persistent disconnect between educational attainment and broader patterns of inclusion. This paradox challenges conventional assumptions about meritocracy, demonstrating that educational achievement, however valuable, cannot by itself eliminate structural inequality or guarantee equal access to opportunity—its value remains mediated by the institutional contexts within which it is deployed and recognized.</w:t>
      </w:r>
    </w:p>
    <w:p w14:paraId="2B27F913" w14:textId="77777777" w:rsidR="006C7F62" w:rsidRPr="0071582C" w:rsidRDefault="00C061C9" w:rsidP="00CA20CC">
      <w:pPr>
        <w:spacing w:after="160" w:line="276" w:lineRule="auto"/>
        <w:jc w:val="both"/>
      </w:pPr>
      <w:r w:rsidRPr="0071582C">
        <w:t xml:space="preserve">The future of educational equity in Morocco will depend not only on sustaining girls’ academic achievement and strengthening boys’ engagement with schooling, but on ensuring that educational success can be transformed into genuine opportunities for participation, leadership, and social inclusion. In this sense, the Moroccan educational paradox stands as a reminder that education </w:t>
      </w:r>
      <w:r w:rsidRPr="0071582C">
        <w:lastRenderedPageBreak/>
        <w:t>remains both a driver of social change and a reflection of the inequalities that continue to shape contemporary society.</w:t>
      </w:r>
    </w:p>
    <w:p w14:paraId="58BB14C5" w14:textId="2137D63D" w:rsidR="00213136" w:rsidRDefault="00213136" w:rsidP="00CA20CC">
      <w:pPr>
        <w:pStyle w:val="Heading1"/>
        <w:jc w:val="both"/>
        <w:rPr>
          <w:lang w:val="en-GB"/>
        </w:rPr>
      </w:pPr>
      <w:r w:rsidRPr="0071582C">
        <w:rPr>
          <w:lang w:val="en-GB"/>
        </w:rPr>
        <w:t>References</w:t>
      </w:r>
    </w:p>
    <w:p w14:paraId="066C3FAA" w14:textId="77777777" w:rsidR="005D0FBF" w:rsidRDefault="005D0FBF" w:rsidP="00EB27A9">
      <w:pPr>
        <w:pStyle w:val="NormalWeb"/>
        <w:spacing w:before="0" w:beforeAutospacing="0" w:after="0" w:afterAutospacing="0"/>
        <w:ind w:left="426" w:hanging="426"/>
        <w:jc w:val="both"/>
      </w:pPr>
      <w:r>
        <w:t xml:space="preserve">Bourdieu, P. (1977). </w:t>
      </w:r>
      <w:r>
        <w:rPr>
          <w:rStyle w:val="Emphasis"/>
        </w:rPr>
        <w:t>Outline of a theory of practice</w:t>
      </w:r>
      <w:r>
        <w:t xml:space="preserve"> (R. Nice, Trans.). Cambridge University Press.</w:t>
      </w:r>
    </w:p>
    <w:p w14:paraId="01D303CD" w14:textId="77777777" w:rsidR="005D0FBF" w:rsidRDefault="005D0FBF" w:rsidP="00EB27A9">
      <w:pPr>
        <w:pStyle w:val="NormalWeb"/>
        <w:spacing w:before="0" w:beforeAutospacing="0" w:after="0" w:afterAutospacing="0"/>
        <w:ind w:left="426" w:hanging="426"/>
        <w:jc w:val="both"/>
      </w:pPr>
      <w:r>
        <w:t xml:space="preserve">Bourdieu, P. (1986). The forms of capital. In J. G. Richardson (Ed.), </w:t>
      </w:r>
      <w:r>
        <w:rPr>
          <w:rStyle w:val="Emphasis"/>
        </w:rPr>
        <w:t>Handbook of theory and research for the sociology of education</w:t>
      </w:r>
      <w:r>
        <w:t xml:space="preserve"> (pp. 241–258). Greenwood Press. </w:t>
      </w:r>
      <w:hyperlink r:id="rId5" w:history="1">
        <w:r w:rsidRPr="00CC3291">
          <w:rPr>
            <w:rStyle w:val="Hyperlink"/>
          </w:rPr>
          <w:t>https://www.marxists.org/reference/subject/philosophy/works/fr/bourdieu-forms-capital.htm</w:t>
        </w:r>
      </w:hyperlink>
    </w:p>
    <w:p w14:paraId="174574F1" w14:textId="77777777" w:rsidR="005D0FBF" w:rsidRDefault="005D0FBF" w:rsidP="00EB27A9">
      <w:pPr>
        <w:pStyle w:val="NormalWeb"/>
        <w:spacing w:before="0" w:beforeAutospacing="0" w:after="0" w:afterAutospacing="0"/>
        <w:ind w:left="426" w:hanging="426"/>
        <w:jc w:val="both"/>
      </w:pPr>
      <w:r w:rsidRPr="005D0FBF">
        <w:rPr>
          <w:lang w:val="fr-FR"/>
        </w:rPr>
        <w:t xml:space="preserve">Connell, R. W. (2005). </w:t>
      </w:r>
      <w:proofErr w:type="spellStart"/>
      <w:r w:rsidRPr="005D0FBF">
        <w:rPr>
          <w:rStyle w:val="Emphasis"/>
          <w:lang w:val="fr-FR"/>
        </w:rPr>
        <w:t>Masculinities</w:t>
      </w:r>
      <w:proofErr w:type="spellEnd"/>
      <w:r w:rsidRPr="005D0FBF">
        <w:rPr>
          <w:lang w:val="fr-FR"/>
        </w:rPr>
        <w:t xml:space="preserve"> (2nd </w:t>
      </w:r>
      <w:proofErr w:type="spellStart"/>
      <w:r w:rsidRPr="005D0FBF">
        <w:rPr>
          <w:lang w:val="fr-FR"/>
        </w:rPr>
        <w:t>ed</w:t>
      </w:r>
      <w:proofErr w:type="spellEnd"/>
      <w:r w:rsidRPr="005D0FBF">
        <w:rPr>
          <w:lang w:val="fr-FR"/>
        </w:rPr>
        <w:t xml:space="preserve">.). </w:t>
      </w:r>
      <w:r>
        <w:t>University of California Press.</w:t>
      </w:r>
    </w:p>
    <w:p w14:paraId="5EA3EE22" w14:textId="77777777" w:rsidR="005D0FBF" w:rsidRPr="002451BB" w:rsidRDefault="005D0FBF" w:rsidP="00EB27A9">
      <w:pPr>
        <w:pStyle w:val="NormalWeb"/>
        <w:spacing w:before="0" w:beforeAutospacing="0" w:after="0" w:afterAutospacing="0"/>
        <w:ind w:left="426" w:hanging="426"/>
        <w:jc w:val="both"/>
        <w:rPr>
          <w:lang w:val="fr-FR"/>
        </w:rPr>
      </w:pPr>
      <w:r>
        <w:t xml:space="preserve">Gilligan, C. (1982). </w:t>
      </w:r>
      <w:r>
        <w:rPr>
          <w:rStyle w:val="Emphasis"/>
        </w:rPr>
        <w:t>In a different voice: Psychological theory and women's development</w:t>
      </w:r>
      <w:r>
        <w:t xml:space="preserve">. </w:t>
      </w:r>
      <w:r w:rsidRPr="002451BB">
        <w:rPr>
          <w:lang w:val="fr-FR"/>
        </w:rPr>
        <w:t>Harvard University Press.</w:t>
      </w:r>
    </w:p>
    <w:p w14:paraId="51F3821D" w14:textId="77777777" w:rsidR="005D0FBF" w:rsidRPr="002451BB" w:rsidRDefault="005D0FBF" w:rsidP="00EB27A9">
      <w:pPr>
        <w:pStyle w:val="NormalWeb"/>
        <w:spacing w:before="0" w:beforeAutospacing="0" w:after="0" w:afterAutospacing="0"/>
        <w:ind w:left="426" w:hanging="426"/>
        <w:jc w:val="both"/>
        <w:rPr>
          <w:lang w:val="fr-FR"/>
        </w:rPr>
      </w:pPr>
      <w:r w:rsidRPr="002451BB">
        <w:rPr>
          <w:lang w:val="fr-FR"/>
        </w:rPr>
        <w:t xml:space="preserve">Haut-Commissariat au Plan. (2025). </w:t>
      </w:r>
      <w:r w:rsidRPr="002451BB">
        <w:rPr>
          <w:rStyle w:val="Emphasis"/>
          <w:lang w:val="fr-FR"/>
        </w:rPr>
        <w:t>Activité, emploi et chômage: Résultats annuels</w:t>
      </w:r>
      <w:r w:rsidRPr="002451BB">
        <w:rPr>
          <w:lang w:val="fr-FR"/>
        </w:rPr>
        <w:t xml:space="preserve"> [</w:t>
      </w:r>
      <w:proofErr w:type="spellStart"/>
      <w:r w:rsidRPr="002451BB">
        <w:rPr>
          <w:lang w:val="fr-FR"/>
        </w:rPr>
        <w:t>Annual</w:t>
      </w:r>
      <w:proofErr w:type="spellEnd"/>
      <w:r w:rsidRPr="002451BB">
        <w:rPr>
          <w:lang w:val="fr-FR"/>
        </w:rPr>
        <w:t xml:space="preserve"> labour force </w:t>
      </w:r>
      <w:proofErr w:type="spellStart"/>
      <w:r w:rsidRPr="002451BB">
        <w:rPr>
          <w:lang w:val="fr-FR"/>
        </w:rPr>
        <w:t>survey</w:t>
      </w:r>
      <w:proofErr w:type="spellEnd"/>
      <w:r w:rsidRPr="002451BB">
        <w:rPr>
          <w:lang w:val="fr-FR"/>
        </w:rPr>
        <w:t>]. Kingdom of Morocco.</w:t>
      </w:r>
    </w:p>
    <w:p w14:paraId="05D384BB" w14:textId="77777777" w:rsidR="005D0FBF" w:rsidRDefault="005D0FBF" w:rsidP="00EB27A9">
      <w:pPr>
        <w:pStyle w:val="NormalWeb"/>
        <w:spacing w:before="0" w:beforeAutospacing="0" w:after="0" w:afterAutospacing="0"/>
        <w:ind w:left="426" w:hanging="426"/>
        <w:jc w:val="both"/>
      </w:pPr>
      <w:r w:rsidRPr="002451BB">
        <w:rPr>
          <w:lang w:val="fr-FR"/>
        </w:rPr>
        <w:t xml:space="preserve">Haut-Commissariat au Plan. (2026). </w:t>
      </w:r>
      <w:r w:rsidRPr="002451BB">
        <w:rPr>
          <w:rStyle w:val="Emphasis"/>
          <w:lang w:val="fr-FR"/>
        </w:rPr>
        <w:t>La femme marocaine en chiffres</w:t>
      </w:r>
      <w:r w:rsidRPr="002451BB">
        <w:rPr>
          <w:lang w:val="fr-FR"/>
        </w:rPr>
        <w:t xml:space="preserve"> [Gender </w:t>
      </w:r>
      <w:proofErr w:type="spellStart"/>
      <w:r w:rsidRPr="002451BB">
        <w:rPr>
          <w:lang w:val="fr-FR"/>
        </w:rPr>
        <w:t>indicators</w:t>
      </w:r>
      <w:proofErr w:type="spellEnd"/>
      <w:r w:rsidRPr="002451BB">
        <w:rPr>
          <w:lang w:val="fr-FR"/>
        </w:rPr>
        <w:t xml:space="preserve"> report]. </w:t>
      </w:r>
      <w:r>
        <w:t>Kingdom of Morocco.</w:t>
      </w:r>
    </w:p>
    <w:p w14:paraId="1E97A685" w14:textId="77777777" w:rsidR="005D0FBF" w:rsidRDefault="005D0FBF" w:rsidP="00EB27A9">
      <w:pPr>
        <w:pStyle w:val="NormalWeb"/>
        <w:spacing w:before="0" w:beforeAutospacing="0" w:after="0" w:afterAutospacing="0"/>
        <w:ind w:left="426" w:hanging="426"/>
        <w:jc w:val="both"/>
      </w:pPr>
      <w:r>
        <w:t xml:space="preserve">Higher Council for Education, Training and Scientific Research </w:t>
      </w:r>
      <w:r w:rsidRPr="0071582C">
        <w:rPr>
          <w:rStyle w:val="ng-star-inserted1"/>
          <w:rFonts w:asciiTheme="majorBidi" w:hAnsiTheme="majorBidi" w:cstheme="majorBidi"/>
          <w:color w:val="2B2D31"/>
        </w:rPr>
        <w:t>[CSEFRS]</w:t>
      </w:r>
      <w:r>
        <w:t xml:space="preserve">. (2015). </w:t>
      </w:r>
      <w:r>
        <w:rPr>
          <w:rStyle w:val="Emphasis"/>
        </w:rPr>
        <w:t>Strategic vision of reform 2015–2030: For a school of equity, quality and promotion</w:t>
      </w:r>
      <w:r>
        <w:t>. Kingdom of Morocco.</w:t>
      </w:r>
    </w:p>
    <w:p w14:paraId="3ADBF2B7" w14:textId="77777777" w:rsidR="005D0FBF" w:rsidRDefault="005D0FBF" w:rsidP="00EB27A9">
      <w:pPr>
        <w:pStyle w:val="NormalWeb"/>
        <w:spacing w:before="0" w:beforeAutospacing="0" w:after="0" w:afterAutospacing="0"/>
        <w:ind w:left="426" w:hanging="426"/>
        <w:jc w:val="both"/>
      </w:pPr>
      <w:r>
        <w:t xml:space="preserve">Kimmel, M. S. (2008). </w:t>
      </w:r>
      <w:proofErr w:type="spellStart"/>
      <w:r>
        <w:rPr>
          <w:rStyle w:val="Emphasis"/>
        </w:rPr>
        <w:t>Guyland</w:t>
      </w:r>
      <w:proofErr w:type="spellEnd"/>
      <w:r>
        <w:rPr>
          <w:rStyle w:val="Emphasis"/>
        </w:rPr>
        <w:t>: The perilous world where boys become men</w:t>
      </w:r>
      <w:r>
        <w:t>. HarperCollins.</w:t>
      </w:r>
    </w:p>
    <w:p w14:paraId="22FB2B60" w14:textId="77777777" w:rsidR="005D0FBF" w:rsidRDefault="005D0FBF" w:rsidP="00EB27A9">
      <w:pPr>
        <w:pStyle w:val="NormalWeb"/>
        <w:spacing w:before="0" w:beforeAutospacing="0" w:after="0" w:afterAutospacing="0"/>
        <w:ind w:left="426" w:hanging="426"/>
        <w:jc w:val="both"/>
      </w:pPr>
      <w:r>
        <w:t xml:space="preserve">Ministry of National Education. (1999). </w:t>
      </w:r>
      <w:r>
        <w:rPr>
          <w:rStyle w:val="Emphasis"/>
        </w:rPr>
        <w:t>National charter for education and training 1999–2009</w:t>
      </w:r>
      <w:r>
        <w:t>. Kingdom of Morocco.</w:t>
      </w:r>
    </w:p>
    <w:p w14:paraId="18BBD400" w14:textId="77777777" w:rsidR="005D0FBF" w:rsidRDefault="005D0FBF" w:rsidP="00EB27A9">
      <w:pPr>
        <w:pStyle w:val="NormalWeb"/>
        <w:spacing w:before="0" w:beforeAutospacing="0" w:after="0" w:afterAutospacing="0"/>
        <w:ind w:left="426" w:hanging="426"/>
        <w:jc w:val="both"/>
      </w:pPr>
      <w:r>
        <w:t xml:space="preserve">Ministry of National Education. (2009). </w:t>
      </w:r>
      <w:r>
        <w:rPr>
          <w:rStyle w:val="Emphasis"/>
        </w:rPr>
        <w:t>Emergency plan 2009–2012</w:t>
      </w:r>
      <w:r>
        <w:t>. Kingdom of Morocco.</w:t>
      </w:r>
    </w:p>
    <w:p w14:paraId="78C0BA78" w14:textId="77777777" w:rsidR="005D0FBF" w:rsidRDefault="005D0FBF" w:rsidP="00EB27A9">
      <w:pPr>
        <w:pStyle w:val="NormalWeb"/>
        <w:spacing w:before="0" w:beforeAutospacing="0" w:after="0" w:afterAutospacing="0"/>
        <w:ind w:left="426" w:hanging="426"/>
        <w:jc w:val="both"/>
      </w:pPr>
      <w:r>
        <w:t xml:space="preserve">Ministry of National Education, Preschool and Sports. </w:t>
      </w:r>
      <w:r w:rsidRPr="002451BB">
        <w:rPr>
          <w:lang w:val="fr-FR"/>
        </w:rPr>
        <w:t xml:space="preserve">(2025). </w:t>
      </w:r>
      <w:r w:rsidRPr="002451BB">
        <w:rPr>
          <w:rStyle w:val="Emphasis"/>
          <w:lang w:val="fr-FR"/>
        </w:rPr>
        <w:t>Résultats de la session ordinaire du baccalauréat 2025</w:t>
      </w:r>
      <w:r w:rsidRPr="002451BB">
        <w:rPr>
          <w:lang w:val="fr-FR"/>
        </w:rPr>
        <w:t xml:space="preserve"> [Press release]. </w:t>
      </w:r>
      <w:r>
        <w:t>Kingdom of Morocco.</w:t>
      </w:r>
    </w:p>
    <w:p w14:paraId="14BE8FD2" w14:textId="77777777" w:rsidR="005D0FBF" w:rsidRDefault="005D0FBF" w:rsidP="00EB27A9">
      <w:pPr>
        <w:pStyle w:val="NormalWeb"/>
        <w:spacing w:before="0" w:beforeAutospacing="0" w:after="0" w:afterAutospacing="0"/>
        <w:ind w:left="426" w:hanging="426"/>
        <w:jc w:val="both"/>
      </w:pPr>
      <w:r>
        <w:t xml:space="preserve">Ministry of National Education, Preschool and Sports. </w:t>
      </w:r>
      <w:r w:rsidRPr="002451BB">
        <w:rPr>
          <w:lang w:val="fr-FR"/>
        </w:rPr>
        <w:t xml:space="preserve">(2026). </w:t>
      </w:r>
      <w:r w:rsidRPr="002451BB">
        <w:rPr>
          <w:rStyle w:val="Emphasis"/>
          <w:lang w:val="fr-FR"/>
        </w:rPr>
        <w:t>Résultats de la session ordinaire du baccalauréat 2026</w:t>
      </w:r>
      <w:r w:rsidRPr="002451BB">
        <w:rPr>
          <w:lang w:val="fr-FR"/>
        </w:rPr>
        <w:t xml:space="preserve"> [Press release]. </w:t>
      </w:r>
      <w:r>
        <w:t>Kingdom of Morocco.</w:t>
      </w:r>
    </w:p>
    <w:p w14:paraId="6DA03970" w14:textId="77777777" w:rsidR="005D0FBF" w:rsidRDefault="005D0FBF" w:rsidP="00EB27A9">
      <w:pPr>
        <w:pStyle w:val="NormalWeb"/>
        <w:spacing w:before="0" w:beforeAutospacing="0" w:after="0" w:afterAutospacing="0"/>
        <w:ind w:left="426" w:hanging="426"/>
        <w:jc w:val="both"/>
      </w:pPr>
      <w:proofErr w:type="spellStart"/>
      <w:r>
        <w:t>Organisation</w:t>
      </w:r>
      <w:proofErr w:type="spellEnd"/>
      <w:r>
        <w:t xml:space="preserve"> for Economic Co-operation and Development</w:t>
      </w:r>
      <w:r w:rsidRPr="0071582C">
        <w:rPr>
          <w:rStyle w:val="ng-star-inserted1"/>
          <w:rFonts w:asciiTheme="majorBidi" w:hAnsiTheme="majorBidi" w:cstheme="majorBidi"/>
          <w:color w:val="2B2D31"/>
        </w:rPr>
        <w:t xml:space="preserve"> </w:t>
      </w:r>
      <w:r>
        <w:rPr>
          <w:rStyle w:val="ng-star-inserted1"/>
          <w:rFonts w:asciiTheme="majorBidi" w:hAnsiTheme="majorBidi" w:cstheme="majorBidi"/>
          <w:color w:val="2B2D31"/>
        </w:rPr>
        <w:t>(</w:t>
      </w:r>
      <w:r w:rsidRPr="0071582C">
        <w:rPr>
          <w:rStyle w:val="ng-star-inserted1"/>
          <w:rFonts w:asciiTheme="majorBidi" w:hAnsiTheme="majorBidi" w:cstheme="majorBidi"/>
          <w:color w:val="2B2D31"/>
        </w:rPr>
        <w:t>OECD</w:t>
      </w:r>
      <w:r>
        <w:rPr>
          <w:rStyle w:val="ng-star-inserted1"/>
          <w:rFonts w:asciiTheme="majorBidi" w:hAnsiTheme="majorBidi" w:cstheme="majorBidi"/>
          <w:color w:val="2B2D31"/>
        </w:rPr>
        <w:t>)</w:t>
      </w:r>
      <w:r w:rsidRPr="0071582C">
        <w:rPr>
          <w:rStyle w:val="ng-star-inserted1"/>
          <w:rFonts w:asciiTheme="majorBidi" w:hAnsiTheme="majorBidi" w:cstheme="majorBidi"/>
          <w:color w:val="2B2D31"/>
        </w:rPr>
        <w:t>.</w:t>
      </w:r>
      <w:r>
        <w:t xml:space="preserve"> (2016). </w:t>
      </w:r>
      <w:r>
        <w:rPr>
          <w:rStyle w:val="Emphasis"/>
        </w:rPr>
        <w:t>PISA 2015 results (Volume I): Excellence and equity in education</w:t>
      </w:r>
      <w:r>
        <w:t xml:space="preserve">. OECD Publishing. </w:t>
      </w:r>
      <w:hyperlink r:id="rId6" w:tgtFrame="_new" w:history="1">
        <w:r>
          <w:rPr>
            <w:rStyle w:val="Hyperlink"/>
          </w:rPr>
          <w:t>https://doi.org/10.1787/9789264266490-en</w:t>
        </w:r>
      </w:hyperlink>
    </w:p>
    <w:p w14:paraId="36C868D6" w14:textId="77777777" w:rsidR="005D0FBF" w:rsidRDefault="005D0FBF" w:rsidP="00EB27A9">
      <w:pPr>
        <w:pStyle w:val="NormalWeb"/>
        <w:spacing w:before="0" w:beforeAutospacing="0" w:after="0" w:afterAutospacing="0"/>
        <w:ind w:left="426" w:hanging="426"/>
        <w:jc w:val="both"/>
      </w:pPr>
      <w:proofErr w:type="spellStart"/>
      <w:r>
        <w:t>Organisation</w:t>
      </w:r>
      <w:proofErr w:type="spellEnd"/>
      <w:r>
        <w:t xml:space="preserve"> for Economic Co-operation and Development </w:t>
      </w:r>
      <w:r>
        <w:rPr>
          <w:rStyle w:val="ng-star-inserted1"/>
          <w:rFonts w:asciiTheme="majorBidi" w:hAnsiTheme="majorBidi" w:cstheme="majorBidi"/>
          <w:color w:val="2B2D31"/>
        </w:rPr>
        <w:t>(</w:t>
      </w:r>
      <w:r w:rsidRPr="0071582C">
        <w:rPr>
          <w:rStyle w:val="ng-star-inserted1"/>
          <w:rFonts w:asciiTheme="majorBidi" w:hAnsiTheme="majorBidi" w:cstheme="majorBidi"/>
          <w:color w:val="2B2D31"/>
        </w:rPr>
        <w:t>OECD</w:t>
      </w:r>
      <w:r>
        <w:rPr>
          <w:rStyle w:val="ng-star-inserted1"/>
          <w:rFonts w:asciiTheme="majorBidi" w:hAnsiTheme="majorBidi" w:cstheme="majorBidi"/>
          <w:color w:val="2B2D31"/>
        </w:rPr>
        <w:t>)</w:t>
      </w:r>
      <w:r w:rsidRPr="0071582C">
        <w:rPr>
          <w:rStyle w:val="ng-star-inserted1"/>
          <w:rFonts w:asciiTheme="majorBidi" w:hAnsiTheme="majorBidi" w:cstheme="majorBidi"/>
          <w:color w:val="2B2D31"/>
        </w:rPr>
        <w:t>.</w:t>
      </w:r>
      <w:r>
        <w:t xml:space="preserve"> (2019). </w:t>
      </w:r>
      <w:r>
        <w:rPr>
          <w:rStyle w:val="Emphasis"/>
        </w:rPr>
        <w:t>PISA 2018 results (Volume II): Where all students can succeed</w:t>
      </w:r>
      <w:r>
        <w:t xml:space="preserve">. OECD Publishing. </w:t>
      </w:r>
      <w:hyperlink r:id="rId7" w:tgtFrame="_new" w:history="1">
        <w:r>
          <w:rPr>
            <w:rStyle w:val="Hyperlink"/>
          </w:rPr>
          <w:t>https://doi.org/10.1787/b5fd1b8f-en</w:t>
        </w:r>
      </w:hyperlink>
    </w:p>
    <w:p w14:paraId="416AA9FE" w14:textId="77777777" w:rsidR="005D0FBF" w:rsidRDefault="005D0FBF" w:rsidP="00EB27A9">
      <w:pPr>
        <w:pStyle w:val="NormalWeb"/>
        <w:spacing w:before="0" w:beforeAutospacing="0" w:after="0" w:afterAutospacing="0"/>
        <w:ind w:left="426" w:hanging="426"/>
        <w:jc w:val="both"/>
      </w:pPr>
      <w:proofErr w:type="spellStart"/>
      <w:r>
        <w:t>Organisation</w:t>
      </w:r>
      <w:proofErr w:type="spellEnd"/>
      <w:r>
        <w:t xml:space="preserve"> for Economic Co-operation and Development </w:t>
      </w:r>
      <w:r>
        <w:rPr>
          <w:rStyle w:val="ng-star-inserted1"/>
          <w:rFonts w:asciiTheme="majorBidi" w:hAnsiTheme="majorBidi" w:cstheme="majorBidi"/>
          <w:color w:val="2B2D31"/>
        </w:rPr>
        <w:t>(</w:t>
      </w:r>
      <w:r w:rsidRPr="0071582C">
        <w:rPr>
          <w:rStyle w:val="ng-star-inserted1"/>
          <w:rFonts w:asciiTheme="majorBidi" w:hAnsiTheme="majorBidi" w:cstheme="majorBidi"/>
          <w:color w:val="2B2D31"/>
        </w:rPr>
        <w:t>OECD</w:t>
      </w:r>
      <w:r>
        <w:rPr>
          <w:rStyle w:val="ng-star-inserted1"/>
          <w:rFonts w:asciiTheme="majorBidi" w:hAnsiTheme="majorBidi" w:cstheme="majorBidi"/>
          <w:color w:val="2B2D31"/>
        </w:rPr>
        <w:t>)</w:t>
      </w:r>
      <w:r w:rsidRPr="0071582C">
        <w:rPr>
          <w:rStyle w:val="ng-star-inserted1"/>
          <w:rFonts w:asciiTheme="majorBidi" w:hAnsiTheme="majorBidi" w:cstheme="majorBidi"/>
          <w:color w:val="2B2D31"/>
        </w:rPr>
        <w:t>.</w:t>
      </w:r>
      <w:r>
        <w:t xml:space="preserve"> (2023). </w:t>
      </w:r>
      <w:r>
        <w:rPr>
          <w:rStyle w:val="Emphasis"/>
        </w:rPr>
        <w:t>PISA 2022 results (Volume I): The state of learning and equity in education</w:t>
      </w:r>
      <w:r>
        <w:t xml:space="preserve">. OECD Publishing. </w:t>
      </w:r>
      <w:hyperlink r:id="rId8" w:tgtFrame="_new" w:history="1">
        <w:r>
          <w:rPr>
            <w:rStyle w:val="Hyperlink"/>
          </w:rPr>
          <w:t>https://doi.org/10.1787/53f23881-en</w:t>
        </w:r>
      </w:hyperlink>
    </w:p>
    <w:p w14:paraId="34083D5B" w14:textId="77777777" w:rsidR="005D0FBF" w:rsidRDefault="005D0FBF" w:rsidP="00EB27A9">
      <w:pPr>
        <w:pStyle w:val="NormalWeb"/>
        <w:spacing w:before="0" w:beforeAutospacing="0" w:after="0" w:afterAutospacing="0"/>
        <w:ind w:left="426" w:hanging="426"/>
        <w:jc w:val="both"/>
      </w:pPr>
      <w:r>
        <w:t xml:space="preserve">UNESCO. (2023). </w:t>
      </w:r>
      <w:r>
        <w:rPr>
          <w:rStyle w:val="Emphasis"/>
        </w:rPr>
        <w:t>Global education monitoring report 2023: Technology in education—A tool on whose terms?</w:t>
      </w:r>
      <w:r>
        <w:t xml:space="preserve"> UNESCO. </w:t>
      </w:r>
      <w:hyperlink r:id="rId9" w:history="1">
        <w:r w:rsidRPr="00CC3291">
          <w:rPr>
            <w:rStyle w:val="Hyperlink"/>
          </w:rPr>
          <w:t>https://doi.org/10.54676/UZQV8501</w:t>
        </w:r>
      </w:hyperlink>
    </w:p>
    <w:p w14:paraId="3B269BDC" w14:textId="77777777" w:rsidR="005D0FBF" w:rsidRDefault="005D0FBF" w:rsidP="00EB27A9">
      <w:pPr>
        <w:pStyle w:val="NormalWeb"/>
        <w:spacing w:before="0" w:beforeAutospacing="0" w:after="0" w:afterAutospacing="0"/>
        <w:ind w:left="426" w:hanging="426"/>
        <w:jc w:val="both"/>
      </w:pPr>
      <w:r>
        <w:t xml:space="preserve">World Bank. (2024). </w:t>
      </w:r>
      <w:r>
        <w:rPr>
          <w:rStyle w:val="Emphasis"/>
        </w:rPr>
        <w:t>Labor force participation rate, female (% of female population ages 15+) (modeled ILO estimate)—Morocco</w:t>
      </w:r>
      <w:r>
        <w:t xml:space="preserve">. World Bank Open Data. </w:t>
      </w:r>
      <w:hyperlink r:id="rId10" w:history="1">
        <w:r w:rsidRPr="00CC3291">
          <w:rPr>
            <w:rStyle w:val="Hyperlink"/>
          </w:rPr>
          <w:t>https://data.worldbank.org/indicator/SL.TLF.CACT.FE.ZS</w:t>
        </w:r>
      </w:hyperlink>
    </w:p>
    <w:p w14:paraId="1B32A9A1" w14:textId="2AC28207" w:rsidR="002451BB" w:rsidRPr="005D0FBF" w:rsidRDefault="005D0FBF" w:rsidP="00EB27A9">
      <w:pPr>
        <w:pStyle w:val="NormalWeb"/>
        <w:spacing w:before="0" w:beforeAutospacing="0" w:after="0" w:afterAutospacing="0"/>
        <w:ind w:left="426" w:hanging="426"/>
        <w:jc w:val="both"/>
      </w:pPr>
      <w:proofErr w:type="spellStart"/>
      <w:r>
        <w:t>Youdell</w:t>
      </w:r>
      <w:proofErr w:type="spellEnd"/>
      <w:r>
        <w:t xml:space="preserve">, D. (2006). </w:t>
      </w:r>
      <w:r>
        <w:rPr>
          <w:rStyle w:val="Emphasis"/>
        </w:rPr>
        <w:t>Impossible bodies, impossible selves: Exclusions and student subjectivities</w:t>
      </w:r>
      <w:r>
        <w:t xml:space="preserve">. Springer. </w:t>
      </w:r>
      <w:hyperlink r:id="rId11" w:history="1">
        <w:r w:rsidRPr="00CC3291">
          <w:rPr>
            <w:rStyle w:val="Hyperlink"/>
          </w:rPr>
          <w:t>https://doi.org/10.1007/1-4020-4549-2</w:t>
        </w:r>
      </w:hyperlink>
    </w:p>
    <w:sectPr w:rsidR="002451BB" w:rsidRPr="005D0FBF" w:rsidSect="00EB27A9">
      <w:pgSz w:w="12240" w:h="15840"/>
      <w:pgMar w:top="1440" w:right="1440" w:bottom="1276"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E4B58"/>
    <w:multiLevelType w:val="hybridMultilevel"/>
    <w:tmpl w:val="6B18109A"/>
    <w:lvl w:ilvl="0" w:tplc="5D2A7032">
      <w:start w:val="1"/>
      <w:numFmt w:val="bullet"/>
      <w:lvlText w:val="●"/>
      <w:lvlJc w:val="left"/>
      <w:pPr>
        <w:ind w:left="720" w:hanging="360"/>
      </w:pPr>
    </w:lvl>
    <w:lvl w:ilvl="1" w:tplc="9CB8BF8C">
      <w:start w:val="1"/>
      <w:numFmt w:val="bullet"/>
      <w:lvlText w:val="○"/>
      <w:lvlJc w:val="left"/>
      <w:pPr>
        <w:ind w:left="1440" w:hanging="360"/>
      </w:pPr>
    </w:lvl>
    <w:lvl w:ilvl="2" w:tplc="11F67058">
      <w:start w:val="1"/>
      <w:numFmt w:val="bullet"/>
      <w:lvlText w:val="■"/>
      <w:lvlJc w:val="left"/>
      <w:pPr>
        <w:ind w:left="2160" w:hanging="360"/>
      </w:pPr>
    </w:lvl>
    <w:lvl w:ilvl="3" w:tplc="70DACE62">
      <w:start w:val="1"/>
      <w:numFmt w:val="bullet"/>
      <w:lvlText w:val="●"/>
      <w:lvlJc w:val="left"/>
      <w:pPr>
        <w:ind w:left="2880" w:hanging="360"/>
      </w:pPr>
    </w:lvl>
    <w:lvl w:ilvl="4" w:tplc="28E073E2">
      <w:start w:val="1"/>
      <w:numFmt w:val="bullet"/>
      <w:lvlText w:val="○"/>
      <w:lvlJc w:val="left"/>
      <w:pPr>
        <w:ind w:left="3600" w:hanging="360"/>
      </w:pPr>
    </w:lvl>
    <w:lvl w:ilvl="5" w:tplc="139CBD80">
      <w:start w:val="1"/>
      <w:numFmt w:val="bullet"/>
      <w:lvlText w:val="■"/>
      <w:lvlJc w:val="left"/>
      <w:pPr>
        <w:ind w:left="4320" w:hanging="360"/>
      </w:pPr>
    </w:lvl>
    <w:lvl w:ilvl="6" w:tplc="6CF6946C">
      <w:start w:val="1"/>
      <w:numFmt w:val="bullet"/>
      <w:lvlText w:val="●"/>
      <w:lvlJc w:val="left"/>
      <w:pPr>
        <w:ind w:left="5040" w:hanging="360"/>
      </w:pPr>
    </w:lvl>
    <w:lvl w:ilvl="7" w:tplc="7ADE2E1C">
      <w:start w:val="1"/>
      <w:numFmt w:val="bullet"/>
      <w:lvlText w:val="●"/>
      <w:lvlJc w:val="left"/>
      <w:pPr>
        <w:ind w:left="5760" w:hanging="360"/>
      </w:pPr>
    </w:lvl>
    <w:lvl w:ilvl="8" w:tplc="2C82EBC4">
      <w:start w:val="1"/>
      <w:numFmt w:val="bullet"/>
      <w:lvlText w:val="●"/>
      <w:lvlJc w:val="left"/>
      <w:pPr>
        <w:ind w:left="6480" w:hanging="360"/>
      </w:pPr>
    </w:lvl>
  </w:abstractNum>
  <w:num w:numId="1" w16cid:durableId="1238247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F62"/>
    <w:rsid w:val="00083B4A"/>
    <w:rsid w:val="001159B2"/>
    <w:rsid w:val="00213136"/>
    <w:rsid w:val="002451BB"/>
    <w:rsid w:val="005D0FBF"/>
    <w:rsid w:val="00696C01"/>
    <w:rsid w:val="006C7F62"/>
    <w:rsid w:val="0071582C"/>
    <w:rsid w:val="008D3A07"/>
    <w:rsid w:val="00922EA4"/>
    <w:rsid w:val="00B44F79"/>
    <w:rsid w:val="00C061C9"/>
    <w:rsid w:val="00C144A4"/>
    <w:rsid w:val="00CA20CC"/>
    <w:rsid w:val="00CB7AC8"/>
    <w:rsid w:val="00E22616"/>
    <w:rsid w:val="00EB27A9"/>
    <w:rsid w:val="00F51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3993"/>
  <w15:docId w15:val="{B214F91B-C865-49D2-A547-D80A3BE8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uiPriority w:val="9"/>
    <w:qFormat/>
    <w:pPr>
      <w:spacing w:before="360" w:after="200"/>
      <w:outlineLvl w:val="0"/>
    </w:pPr>
    <w:rPr>
      <w:b/>
      <w:bCs/>
      <w:sz w:val="28"/>
      <w:szCs w:val="28"/>
    </w:rPr>
  </w:style>
  <w:style w:type="paragraph" w:styleId="Heading2">
    <w:name w:val="heading 2"/>
    <w:uiPriority w:val="9"/>
    <w:unhideWhenUsed/>
    <w:qFormat/>
    <w:pPr>
      <w:spacing w:before="280" w:after="16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ng-star-inserted">
    <w:name w:val="ng-star-inserted"/>
    <w:basedOn w:val="Normal"/>
    <w:rsid w:val="00213136"/>
    <w:pPr>
      <w:spacing w:before="100" w:beforeAutospacing="1" w:after="100" w:afterAutospacing="1"/>
    </w:pPr>
  </w:style>
  <w:style w:type="character" w:customStyle="1" w:styleId="ng-star-inserted1">
    <w:name w:val="ng-star-inserted1"/>
    <w:basedOn w:val="DefaultParagraphFont"/>
    <w:rsid w:val="00213136"/>
  </w:style>
  <w:style w:type="character" w:customStyle="1" w:styleId="inline-code">
    <w:name w:val="inline-code"/>
    <w:basedOn w:val="DefaultParagraphFont"/>
    <w:rsid w:val="00213136"/>
  </w:style>
  <w:style w:type="table" w:styleId="TableGrid">
    <w:name w:val="Table Grid"/>
    <w:basedOn w:val="TableNormal"/>
    <w:uiPriority w:val="39"/>
    <w:rsid w:val="00245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51BB"/>
    <w:pPr>
      <w:spacing w:before="100" w:beforeAutospacing="1" w:after="100" w:afterAutospacing="1"/>
    </w:pPr>
    <w:rPr>
      <w:lang w:val="en-US"/>
    </w:rPr>
  </w:style>
  <w:style w:type="character" w:styleId="Emphasis">
    <w:name w:val="Emphasis"/>
    <w:basedOn w:val="DefaultParagraphFont"/>
    <w:uiPriority w:val="20"/>
    <w:qFormat/>
    <w:rsid w:val="002451BB"/>
    <w:rPr>
      <w:i/>
      <w:iCs/>
    </w:rPr>
  </w:style>
  <w:style w:type="character" w:styleId="UnresolvedMention">
    <w:name w:val="Unresolved Mention"/>
    <w:basedOn w:val="DefaultParagraphFont"/>
    <w:uiPriority w:val="99"/>
    <w:semiHidden/>
    <w:unhideWhenUsed/>
    <w:rsid w:val="008D3A07"/>
    <w:rPr>
      <w:color w:val="605E5C"/>
      <w:shd w:val="clear" w:color="auto" w:fill="E1DFDD"/>
    </w:rPr>
  </w:style>
  <w:style w:type="character" w:styleId="Strong">
    <w:name w:val="Strong"/>
    <w:basedOn w:val="DefaultParagraphFont"/>
    <w:uiPriority w:val="22"/>
    <w:qFormat/>
    <w:rsid w:val="00CA2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787/53f23881-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787/b5fd1b8f-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87/9789264266490-en" TargetMode="External"/><Relationship Id="rId11" Type="http://schemas.openxmlformats.org/officeDocument/2006/relationships/hyperlink" Target="https://doi.org/10.1007/1-4020-4549-2" TargetMode="External"/><Relationship Id="rId5" Type="http://schemas.openxmlformats.org/officeDocument/2006/relationships/hyperlink" Target="https://www.marxists.org/reference/subject/philosophy/works/fr/bourdieu-forms-capital.htm" TargetMode="External"/><Relationship Id="rId10" Type="http://schemas.openxmlformats.org/officeDocument/2006/relationships/hyperlink" Target="https://data.worldbank.org/indicator/SL.TLF.CACT.FE.ZS" TargetMode="External"/><Relationship Id="rId4" Type="http://schemas.openxmlformats.org/officeDocument/2006/relationships/webSettings" Target="webSettings.xml"/><Relationship Id="rId9" Type="http://schemas.openxmlformats.org/officeDocument/2006/relationships/hyperlink" Target="https://doi.org/10.54676/UZQV8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17</Pages>
  <Words>7775</Words>
  <Characters>44319</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MOHAMED.OUHEJJOU</cp:lastModifiedBy>
  <cp:revision>13</cp:revision>
  <dcterms:created xsi:type="dcterms:W3CDTF">2026-06-22T18:24:00Z</dcterms:created>
  <dcterms:modified xsi:type="dcterms:W3CDTF">2026-06-26T17:11:00Z</dcterms:modified>
</cp:coreProperties>
</file>