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8109" w14:textId="17B73278" w:rsidR="00060DAD" w:rsidRPr="006F57C3" w:rsidRDefault="00390B21" w:rsidP="004D0422">
      <w:pPr>
        <w:spacing w:before="240" w:after="240" w:line="240" w:lineRule="auto"/>
        <w:jc w:val="center"/>
        <w:rPr>
          <w:rFonts w:ascii="Times New Roman" w:hAnsi="Times New Roman" w:cs="Times New Roman"/>
          <w:b/>
          <w:sz w:val="36"/>
          <w:szCs w:val="36"/>
        </w:rPr>
      </w:pPr>
      <w:r w:rsidRPr="2D93E384">
        <w:rPr>
          <w:rFonts w:ascii="Times New Roman" w:hAnsi="Times New Roman" w:cs="Times New Roman"/>
          <w:b/>
          <w:sz w:val="36"/>
          <w:szCs w:val="36"/>
        </w:rPr>
        <w:t>T</w:t>
      </w:r>
      <w:r w:rsidR="000941F6" w:rsidRPr="2D93E384">
        <w:rPr>
          <w:rFonts w:ascii="Times New Roman" w:hAnsi="Times New Roman" w:cs="Times New Roman"/>
          <w:b/>
          <w:sz w:val="36"/>
          <w:szCs w:val="36"/>
        </w:rPr>
        <w:t>he Engagement-Scaffolding Nexus: A Systematic Review of how Student Engagement and Teacher Scaffolding Mediate AI’s Impact on Academic Achievement</w:t>
      </w:r>
    </w:p>
    <w:p w14:paraId="510464B8" w14:textId="26779B52" w:rsidR="000F655C" w:rsidRPr="006F57C3" w:rsidRDefault="00C138B5" w:rsidP="004D0422">
      <w:pPr>
        <w:spacing w:before="240" w:after="240" w:line="240" w:lineRule="auto"/>
        <w:jc w:val="center"/>
        <w:rPr>
          <w:rFonts w:ascii="Times New Roman" w:hAnsi="Times New Roman" w:cs="Times New Roman"/>
          <w:sz w:val="24"/>
          <w:szCs w:val="24"/>
        </w:rPr>
      </w:pPr>
      <w:r w:rsidRPr="53967302">
        <w:rPr>
          <w:rFonts w:ascii="Times New Roman" w:hAnsi="Times New Roman" w:cs="Times New Roman"/>
          <w:b/>
          <w:sz w:val="24"/>
          <w:szCs w:val="24"/>
        </w:rPr>
        <w:t xml:space="preserve"/>
      </w:r>
      <w:r w:rsidR="72141FD4" w:rsidRPr="53967302">
        <w:rPr>
          <w:rFonts w:ascii="Times New Roman" w:hAnsi="Times New Roman" w:cs="Times New Roman"/>
          <w:b/>
          <w:sz w:val="24"/>
          <w:szCs w:val="24"/>
        </w:rPr>
        <w:t xml:space="preserve"/>
      </w:r>
      <w:proofErr w:type="spellStart"/>
      <w:r w:rsidR="72141FD4" w:rsidRPr="53967302">
        <w:rPr>
          <w:rFonts w:ascii="Times New Roman" w:hAnsi="Times New Roman" w:cs="Times New Roman"/>
          <w:b/>
          <w:sz w:val="24"/>
          <w:szCs w:val="24"/>
        </w:rPr>
        <w:t/>
      </w:r>
      <w:proofErr w:type="spellEnd"/>
      <w:r w:rsidR="72141FD4" w:rsidRPr="53967302">
        <w:rPr>
          <w:rFonts w:ascii="Times New Roman" w:hAnsi="Times New Roman" w:cs="Times New Roman"/>
          <w:b/>
          <w:sz w:val="24"/>
          <w:szCs w:val="24"/>
        </w:rPr>
        <w:t xml:space="preserve"/>
      </w:r>
      <w:r w:rsidR="00184A21" w:rsidRPr="53967302">
        <w:rPr>
          <w:rFonts w:ascii="Times New Roman" w:hAnsi="Times New Roman" w:cs="Times New Roman"/>
          <w:b/>
          <w:sz w:val="24"/>
          <w:szCs w:val="24"/>
        </w:rPr>
        <w:t/>
      </w:r>
      <w:r w:rsidR="5A9CF1F4" w:rsidRPr="53967302">
        <w:rPr>
          <w:rFonts w:ascii="Times New Roman" w:hAnsi="Times New Roman" w:cs="Times New Roman"/>
          <w:b/>
          <w:sz w:val="24"/>
          <w:szCs w:val="24"/>
        </w:rPr>
        <w:t xml:space="preserve"/>
      </w:r>
      <w:proofErr w:type="spellStart"/>
      <w:r w:rsidR="5A9CF1F4" w:rsidRPr="53967302">
        <w:rPr>
          <w:rFonts w:ascii="Times New Roman" w:hAnsi="Times New Roman" w:cs="Times New Roman"/>
          <w:b/>
          <w:sz w:val="24"/>
          <w:szCs w:val="24"/>
        </w:rPr>
        <w:t/>
      </w:r>
      <w:proofErr w:type="spellEnd"/>
      <w:r w:rsidR="5A9CF1F4" w:rsidRPr="53967302">
        <w:rPr>
          <w:rFonts w:ascii="Times New Roman" w:hAnsi="Times New Roman" w:cs="Times New Roman"/>
          <w:b/>
          <w:sz w:val="24"/>
          <w:szCs w:val="24"/>
        </w:rPr>
        <w:t xml:space="preserve"/>
      </w:r>
      <w:r w:rsidR="00770887" w:rsidRPr="000F655C">
        <w:rPr>
          <w:rFonts w:ascii="Times New Roman" w:hAnsi="Times New Roman" w:cs="Times New Roman"/>
          <w:i/>
          <w:iCs/>
          <w:sz w:val="24"/>
          <w:szCs w:val="24"/>
        </w:rPr>
        <w:t xml:space="preserve"/>
      </w:r>
    </w:p>
    <w:p w14:paraId="048D0B40" w14:textId="1DB9A1E8" w:rsidR="000257DF" w:rsidRPr="006F57C3" w:rsidRDefault="000F655C" w:rsidP="004D0422">
      <w:pPr>
        <w:spacing w:before="240" w:after="240" w:line="240" w:lineRule="auto"/>
        <w:jc w:val="center"/>
        <w:rPr>
          <w:rFonts w:ascii="Times New Roman" w:eastAsia="Times New Roman" w:hAnsi="Times New Roman" w:cs="Times New Roman"/>
          <w:i/>
          <w:iCs/>
          <w:color w:val="000000"/>
          <w:kern w:val="0"/>
          <w:sz w:val="24"/>
          <w:szCs w:val="24"/>
          <w:shd w:val="clear" w:color="auto" w:fill="FFFFFF"/>
          <w:lang w:eastAsia="en-MY"/>
          <w14:ligatures w14:val="none"/>
        </w:rPr>
      </w:pPr>
      <w:r w:rsidRPr="00527A04">
        <w:rPr>
          <w:rFonts w:ascii="Times New Roman" w:eastAsia="Times New Roman" w:hAnsi="Times New Roman" w:cs="Times New Roman"/>
          <w:i/>
          <w:iCs/>
          <w:color w:val="000000"/>
          <w:kern w:val="0"/>
          <w:sz w:val="24"/>
          <w:szCs w:val="24"/>
          <w:shd w:val="clear" w:color="auto" w:fill="FFFFFF"/>
          <w:lang w:eastAsia="en-MY"/>
          <w14:ligatures w14:val="none"/>
        </w:rPr>
        <w:t xml:space="preserve"/>
      </w:r>
      <w:proofErr w:type="spellStart"/>
      <w:r w:rsidRPr="00527A04">
        <w:rPr>
          <w:rFonts w:ascii="Times New Roman" w:eastAsia="Times New Roman" w:hAnsi="Times New Roman" w:cs="Times New Roman"/>
          <w:i/>
          <w:iCs/>
          <w:color w:val="000000"/>
          <w:kern w:val="0"/>
          <w:sz w:val="24"/>
          <w:szCs w:val="24"/>
          <w:shd w:val="clear" w:color="auto" w:fill="FFFFFF"/>
          <w:lang w:eastAsia="en-MY"/>
          <w14:ligatures w14:val="none"/>
        </w:rPr>
        <w:t/>
      </w:r>
      <w:proofErr w:type="spellEnd"/>
      <w:r w:rsidRPr="00527A04">
        <w:rPr>
          <w:rFonts w:ascii="Times New Roman" w:eastAsia="Times New Roman" w:hAnsi="Times New Roman" w:cs="Times New Roman"/>
          <w:i/>
          <w:iCs/>
          <w:color w:val="000000"/>
          <w:kern w:val="0"/>
          <w:sz w:val="24"/>
          <w:szCs w:val="24"/>
          <w:shd w:val="clear" w:color="auto" w:fill="FFFFFF"/>
          <w:lang w:eastAsia="en-MY"/>
          <w14:ligatures w14:val="none"/>
        </w:rPr>
        <w:t xml:space="preserve"/>
      </w:r>
      <w:proofErr w:type="spellStart"/>
      <w:r w:rsidRPr="00527A04">
        <w:rPr>
          <w:rFonts w:ascii="Times New Roman" w:eastAsia="Times New Roman" w:hAnsi="Times New Roman" w:cs="Times New Roman"/>
          <w:i/>
          <w:iCs/>
          <w:color w:val="000000"/>
          <w:kern w:val="0"/>
          <w:sz w:val="24"/>
          <w:szCs w:val="24"/>
          <w:shd w:val="clear" w:color="auto" w:fill="FFFFFF"/>
          <w:lang w:eastAsia="en-MY"/>
          <w14:ligatures w14:val="none"/>
        </w:rPr>
        <w:t/>
      </w:r>
      <w:proofErr w:type="spellEnd"/>
      <w:r w:rsidRPr="00527A04">
        <w:rPr>
          <w:rFonts w:ascii="Times New Roman" w:eastAsia="Times New Roman" w:hAnsi="Times New Roman" w:cs="Times New Roman"/>
          <w:i/>
          <w:iCs/>
          <w:color w:val="000000"/>
          <w:kern w:val="0"/>
          <w:sz w:val="24"/>
          <w:szCs w:val="24"/>
          <w:shd w:val="clear" w:color="auto" w:fill="FFFFFF"/>
          <w:lang w:eastAsia="en-MY"/>
          <w14:ligatures w14:val="none"/>
        </w:rPr>
        <w:t xml:space="preserve"/>
      </w:r>
    </w:p>
    <w:p w14:paraId="6FDCCD2E" w14:textId="278DC360" w:rsidR="4C86A5B0" w:rsidRDefault="4C86A5B0" w:rsidP="004D0422">
      <w:pPr>
        <w:spacing w:before="240" w:after="240" w:line="240" w:lineRule="auto"/>
        <w:jc w:val="both"/>
      </w:pPr>
      <w:r w:rsidRPr="45F06A60">
        <w:rPr>
          <w:rFonts w:ascii="Times New Roman" w:eastAsia="Times New Roman" w:hAnsi="Times New Roman" w:cs="Times New Roman"/>
          <w:b/>
          <w:bCs/>
          <w:sz w:val="24"/>
          <w:szCs w:val="24"/>
        </w:rPr>
        <w:t>Abstract</w:t>
      </w:r>
    </w:p>
    <w:p w14:paraId="0643790A" w14:textId="07E91811" w:rsidR="003D2004" w:rsidRDefault="003D2004" w:rsidP="004D0422">
      <w:pPr>
        <w:spacing w:before="240" w:after="240" w:line="240" w:lineRule="auto"/>
        <w:jc w:val="both"/>
        <w:rPr>
          <w:rFonts w:ascii="Times New Roman" w:eastAsia="Times New Roman" w:hAnsi="Times New Roman" w:cs="Times New Roman"/>
          <w:sz w:val="24"/>
          <w:szCs w:val="24"/>
        </w:rPr>
      </w:pPr>
      <w:r w:rsidRPr="003D2004">
        <w:rPr>
          <w:rFonts w:ascii="Times New Roman" w:eastAsia="Times New Roman" w:hAnsi="Times New Roman" w:cs="Times New Roman"/>
          <w:sz w:val="24"/>
          <w:szCs w:val="24"/>
        </w:rPr>
        <w:t xml:space="preserve">The impact of AI on teaching and learning approaches in higher education has been dramatic, but its effect on student academic success is a topic of debate. The present literature review provides an in-depth analysis of how student engagement and instructor scaffolding mediate and regulate the impact of AI use on academic success. Empirical studies on the impact of AI on academic performance published between 2019 and 2025 were found, screened, and summarized following the PRISMA 2020 guidelines. The results indicate that the use of AI enhances students’ academic performance through personalization, adaptive feedback, and increased efficiency. The positive effect of AI use on student achievement is mediated by students’ cognitive, </w:t>
      </w:r>
      <w:r w:rsidR="0A8A2E3F" w:rsidRPr="0A8A2E3F">
        <w:rPr>
          <w:rFonts w:ascii="Times New Roman" w:eastAsia="Times New Roman" w:hAnsi="Times New Roman" w:cs="Times New Roman"/>
          <w:sz w:val="24"/>
          <w:szCs w:val="24"/>
        </w:rPr>
        <w:t>behavioural</w:t>
      </w:r>
      <w:r w:rsidRPr="003D2004">
        <w:rPr>
          <w:rFonts w:ascii="Times New Roman" w:eastAsia="Times New Roman" w:hAnsi="Times New Roman" w:cs="Times New Roman"/>
          <w:sz w:val="24"/>
          <w:szCs w:val="24"/>
        </w:rPr>
        <w:t xml:space="preserve">, and motivational engagement, and instructor scaffolding. The findings reveal that student involvement mediates the relationship between AI utilization and academic performance and teacher scaffolding positively moderates the relationship. The present study, informed by these findings, proposes the Engagement-Scaffolding Nexus to specify how AI contributes to academic achievement. The findings imply that AI should assist students’ learning and cognition instead of totally substituting their own educational </w:t>
      </w:r>
      <w:r w:rsidR="0A8A2E3F" w:rsidRPr="0A8A2E3F">
        <w:rPr>
          <w:rFonts w:ascii="Times New Roman" w:eastAsia="Times New Roman" w:hAnsi="Times New Roman" w:cs="Times New Roman"/>
          <w:sz w:val="24"/>
          <w:szCs w:val="24"/>
        </w:rPr>
        <w:t>endeavours.</w:t>
      </w:r>
      <w:r w:rsidRPr="003D2004">
        <w:rPr>
          <w:rFonts w:ascii="Times New Roman" w:eastAsia="Times New Roman" w:hAnsi="Times New Roman" w:cs="Times New Roman"/>
          <w:sz w:val="24"/>
          <w:szCs w:val="24"/>
        </w:rPr>
        <w:t xml:space="preserve"> Therefore, the pivotal role of educators in an AI-augmented learning environment and the prudent incorporation of AI technology in higher education as an adjunct to pedagogical practices should be considered.</w:t>
      </w:r>
    </w:p>
    <w:p w14:paraId="19905643" w14:textId="0A49D9C3" w:rsidR="003D4B47" w:rsidRPr="004C217B" w:rsidRDefault="4C86A5B0" w:rsidP="004D0422">
      <w:pPr>
        <w:spacing w:before="240" w:after="240" w:line="240" w:lineRule="auto"/>
        <w:jc w:val="both"/>
        <w:rPr>
          <w:rFonts w:ascii="Times New Roman" w:eastAsia="Times New Roman" w:hAnsi="Times New Roman" w:cs="Times New Roman"/>
          <w:sz w:val="24"/>
          <w:szCs w:val="24"/>
        </w:rPr>
      </w:pPr>
      <w:r w:rsidRPr="00950798">
        <w:rPr>
          <w:rFonts w:ascii="Times New Roman" w:eastAsia="Times New Roman" w:hAnsi="Times New Roman" w:cs="Times New Roman"/>
          <w:b/>
          <w:bCs/>
          <w:i/>
          <w:iCs/>
          <w:sz w:val="24"/>
          <w:szCs w:val="24"/>
        </w:rPr>
        <w:t>Keywords:</w:t>
      </w:r>
      <w:r w:rsidRPr="00950798">
        <w:rPr>
          <w:rFonts w:ascii="Times New Roman" w:eastAsia="Times New Roman" w:hAnsi="Times New Roman" w:cs="Times New Roman"/>
          <w:i/>
          <w:iCs/>
          <w:sz w:val="24"/>
          <w:szCs w:val="24"/>
        </w:rPr>
        <w:t xml:space="preserve"> Artificial Intelligence, Generative AI, Student Engagement, Teacher Scaffolding, Academic Performance, Higher Education, Learning Outcomes, Educational Technology, AI Integration, Systematic Literature Review.</w:t>
      </w:r>
    </w:p>
    <w:p w14:paraId="4A5EF786" w14:textId="079C7DBC" w:rsidR="00414C52" w:rsidRDefault="00625740" w:rsidP="004D0422">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414C52" w:rsidRPr="00357429">
        <w:rPr>
          <w:rFonts w:ascii="Times New Roman" w:hAnsi="Times New Roman" w:cs="Times New Roman"/>
          <w:b/>
          <w:bCs/>
          <w:sz w:val="28"/>
          <w:szCs w:val="28"/>
        </w:rPr>
        <w:t xml:space="preserve"> Introduction</w:t>
      </w:r>
    </w:p>
    <w:p w14:paraId="55EDCB33" w14:textId="0BBC86DF" w:rsidR="003D2004" w:rsidRDefault="003D2004" w:rsidP="004D0422">
      <w:pPr>
        <w:spacing w:before="240" w:after="240" w:line="240" w:lineRule="auto"/>
        <w:jc w:val="both"/>
        <w:rPr>
          <w:rFonts w:ascii="Times New Roman" w:hAnsi="Times New Roman" w:cs="Times New Roman"/>
          <w:sz w:val="24"/>
          <w:szCs w:val="24"/>
        </w:rPr>
      </w:pPr>
      <w:r w:rsidRPr="003D2004">
        <w:rPr>
          <w:rFonts w:ascii="Times New Roman" w:hAnsi="Times New Roman" w:cs="Times New Roman"/>
          <w:sz w:val="24"/>
          <w:szCs w:val="24"/>
        </w:rPr>
        <w:t xml:space="preserve">The swift development of artificial intelligence (AI), particularly generative AI tools such as ChatGPT, has transformed the way teaching is conducted in universities worldwide. Educational institutions are increasingly adopting AI-powered tools to support students with personalized learning, writing, knowledge, and engagement (Ben Otman et al., 2024; Al-Mamary &amp; Alfalah, 2024). While much research shows AI can have a positive impact on academic performance and learning outcomes, new evidence also highlights concerns around over-reliance on AI, reduced critical thinking skills and issues around academic integrity. Mixed findings indicate that the effect of AI on academic success is contingent on a variety of pedagogical and </w:t>
      </w:r>
      <w:proofErr w:type="spellStart"/>
      <w:r w:rsidRPr="003D2004">
        <w:rPr>
          <w:rFonts w:ascii="Times New Roman" w:hAnsi="Times New Roman" w:cs="Times New Roman"/>
          <w:sz w:val="24"/>
          <w:szCs w:val="24"/>
        </w:rPr>
        <w:t>behavioral</w:t>
      </w:r>
      <w:proofErr w:type="spellEnd"/>
      <w:r w:rsidRPr="003D2004">
        <w:rPr>
          <w:rFonts w:ascii="Times New Roman" w:hAnsi="Times New Roman" w:cs="Times New Roman"/>
          <w:sz w:val="24"/>
          <w:szCs w:val="24"/>
        </w:rPr>
        <w:t xml:space="preserve"> factors, not just on AI use.</w:t>
      </w:r>
    </w:p>
    <w:p w14:paraId="034F308A" w14:textId="13F6ED2E" w:rsidR="006D1967" w:rsidRPr="004C217B" w:rsidRDefault="003D2004" w:rsidP="004D0422">
      <w:pPr>
        <w:spacing w:before="240" w:after="240" w:line="240" w:lineRule="auto"/>
        <w:jc w:val="both"/>
        <w:rPr>
          <w:rFonts w:ascii="Times New Roman" w:hAnsi="Times New Roman" w:cs="Times New Roman"/>
          <w:sz w:val="24"/>
          <w:szCs w:val="24"/>
        </w:rPr>
      </w:pPr>
      <w:r w:rsidRPr="003D2004">
        <w:rPr>
          <w:rFonts w:ascii="Times New Roman" w:hAnsi="Times New Roman" w:cs="Times New Roman"/>
          <w:sz w:val="24"/>
          <w:szCs w:val="24"/>
        </w:rPr>
        <w:t>Student engagement refers to how actively students are involved in AI-supported learning activities and benefit from them, and teacher scaffolding refers to the instructional support students require to use AI technologies effectively and responsibly. Therefore, it is necessary to understand the relationship between student engagement, instructor scaffolding, and AI use to explain the differences in academic achievement outcomes. This chapter lays out the background of the study, the research problems and challenges, and the research objectives and questions that guide this systematic literature review.</w:t>
      </w:r>
    </w:p>
    <w:p w14:paraId="75DDBDE6" w14:textId="2EB4DF4E" w:rsidR="006D1967" w:rsidRDefault="00AD4D15" w:rsidP="004D0422">
      <w:pPr>
        <w:spacing w:before="240" w:after="240" w:line="240" w:lineRule="auto"/>
        <w:jc w:val="both"/>
        <w:rPr>
          <w:rFonts w:ascii="Times New Roman" w:hAnsi="Times New Roman" w:cs="Times New Roman"/>
          <w:sz w:val="24"/>
          <w:szCs w:val="24"/>
        </w:rPr>
      </w:pPr>
      <w:r w:rsidRPr="00AD4D15">
        <w:rPr>
          <w:rFonts w:ascii="Times New Roman" w:hAnsi="Times New Roman" w:cs="Times New Roman"/>
          <w:b/>
          <w:bCs/>
          <w:sz w:val="24"/>
          <w:szCs w:val="24"/>
        </w:rPr>
        <w:t>1.</w:t>
      </w:r>
      <w:r w:rsidR="00332641">
        <w:rPr>
          <w:rFonts w:ascii="Times New Roman" w:hAnsi="Times New Roman" w:cs="Times New Roman"/>
          <w:b/>
          <w:bCs/>
          <w:sz w:val="24"/>
          <w:szCs w:val="24"/>
        </w:rPr>
        <w:t>2</w:t>
      </w:r>
      <w:r w:rsidRPr="00AD4D15">
        <w:rPr>
          <w:rFonts w:ascii="Times New Roman" w:hAnsi="Times New Roman" w:cs="Times New Roman"/>
          <w:b/>
          <w:bCs/>
          <w:sz w:val="24"/>
          <w:szCs w:val="24"/>
        </w:rPr>
        <w:t>. Background of the Study</w:t>
      </w:r>
    </w:p>
    <w:p w14:paraId="6FF37342" w14:textId="63EE4C5B" w:rsidR="003D2004" w:rsidRDefault="003D2004" w:rsidP="004D0422">
      <w:pPr>
        <w:spacing w:before="240" w:after="240" w:line="240" w:lineRule="auto"/>
        <w:jc w:val="both"/>
        <w:rPr>
          <w:rFonts w:ascii="Times New Roman" w:hAnsi="Times New Roman" w:cs="Times New Roman"/>
          <w:sz w:val="24"/>
          <w:szCs w:val="24"/>
        </w:rPr>
      </w:pPr>
      <w:r w:rsidRPr="003D2004">
        <w:rPr>
          <w:rFonts w:ascii="Times New Roman" w:hAnsi="Times New Roman" w:cs="Times New Roman"/>
          <w:sz w:val="24"/>
          <w:szCs w:val="24"/>
        </w:rPr>
        <w:t xml:space="preserve">Artificial intelligence has emerged as a transformative force altering higher education environments, a fundamental characteristic established in the research of Alam et al. (2026). </w:t>
      </w:r>
      <w:proofErr w:type="spellStart"/>
      <w:r w:rsidRPr="003D2004">
        <w:rPr>
          <w:rFonts w:ascii="Times New Roman" w:hAnsi="Times New Roman" w:cs="Times New Roman"/>
          <w:sz w:val="24"/>
          <w:szCs w:val="24"/>
        </w:rPr>
        <w:t>Tarhini</w:t>
      </w:r>
      <w:proofErr w:type="spellEnd"/>
      <w:r w:rsidRPr="003D2004">
        <w:rPr>
          <w:rFonts w:ascii="Times New Roman" w:hAnsi="Times New Roman" w:cs="Times New Roman"/>
          <w:sz w:val="24"/>
          <w:szCs w:val="24"/>
        </w:rPr>
        <w:t xml:space="preserve"> et al. (2026) assert that the </w:t>
      </w:r>
      <w:r w:rsidRPr="003D2004">
        <w:rPr>
          <w:rFonts w:ascii="Times New Roman" w:hAnsi="Times New Roman" w:cs="Times New Roman"/>
          <w:sz w:val="24"/>
          <w:szCs w:val="24"/>
        </w:rPr>
        <w:lastRenderedPageBreak/>
        <w:t xml:space="preserve">primary catalysts of the worldwide digital revolution in higher education are institutional imperatives and national priorities. Examples of these national agendas are Saudi Arabia’s Vision 2030 and Oman’s Vision 2040, both of which promote educational innovation via technological integration. Eltahir and Babiker (2024) classified three categories of well utilized AI tools: intelligent teaching platforms, adaptive learning systems, and generative AI exemplified by ChatGPT, </w:t>
      </w:r>
      <w:proofErr w:type="gramStart"/>
      <w:r w:rsidRPr="003D2004">
        <w:rPr>
          <w:rFonts w:ascii="Times New Roman" w:hAnsi="Times New Roman" w:cs="Times New Roman"/>
          <w:sz w:val="24"/>
          <w:szCs w:val="24"/>
        </w:rPr>
        <w:t>all of</w:t>
      </w:r>
      <w:proofErr w:type="gramEnd"/>
      <w:r w:rsidRPr="003D2004">
        <w:rPr>
          <w:rFonts w:ascii="Times New Roman" w:hAnsi="Times New Roman" w:cs="Times New Roman"/>
          <w:sz w:val="24"/>
          <w:szCs w:val="24"/>
        </w:rPr>
        <w:t xml:space="preserve"> which tailor to the learning speeds and requirements of individual students. These technologies </w:t>
      </w:r>
      <w:proofErr w:type="gramStart"/>
      <w:r w:rsidRPr="003D2004">
        <w:rPr>
          <w:rFonts w:ascii="Times New Roman" w:hAnsi="Times New Roman" w:cs="Times New Roman"/>
          <w:sz w:val="24"/>
          <w:szCs w:val="24"/>
        </w:rPr>
        <w:t>have the ability to</w:t>
      </w:r>
      <w:proofErr w:type="gramEnd"/>
      <w:r w:rsidRPr="003D2004">
        <w:rPr>
          <w:rFonts w:ascii="Times New Roman" w:hAnsi="Times New Roman" w:cs="Times New Roman"/>
          <w:sz w:val="24"/>
          <w:szCs w:val="24"/>
        </w:rPr>
        <w:t xml:space="preserve"> enhance efficiency and improve the overall quality of education by delivering quick, tailored feedback and automating routine tasks (Youssef et al., 2024).</w:t>
      </w:r>
    </w:p>
    <w:p w14:paraId="08C63A03" w14:textId="18D2F450" w:rsidR="001C1EB4" w:rsidRPr="001C1EB4" w:rsidRDefault="001C1EB4" w:rsidP="004D0422">
      <w:pPr>
        <w:spacing w:before="240" w:after="240" w:line="240" w:lineRule="auto"/>
        <w:jc w:val="both"/>
        <w:rPr>
          <w:rFonts w:ascii="Times New Roman" w:hAnsi="Times New Roman" w:cs="Times New Roman"/>
          <w:b/>
          <w:bCs/>
          <w:sz w:val="24"/>
          <w:szCs w:val="24"/>
        </w:rPr>
      </w:pPr>
      <w:r w:rsidRPr="001C1EB4">
        <w:rPr>
          <w:rFonts w:ascii="Times New Roman" w:hAnsi="Times New Roman" w:cs="Times New Roman"/>
          <w:b/>
          <w:bCs/>
          <w:sz w:val="24"/>
          <w:szCs w:val="24"/>
        </w:rPr>
        <w:t>1.</w:t>
      </w:r>
      <w:r w:rsidR="00332641">
        <w:rPr>
          <w:rFonts w:ascii="Times New Roman" w:hAnsi="Times New Roman" w:cs="Times New Roman"/>
          <w:b/>
          <w:bCs/>
          <w:sz w:val="24"/>
          <w:szCs w:val="24"/>
        </w:rPr>
        <w:t>3</w:t>
      </w:r>
      <w:r w:rsidRPr="001C1EB4">
        <w:rPr>
          <w:rFonts w:ascii="Times New Roman" w:hAnsi="Times New Roman" w:cs="Times New Roman"/>
          <w:b/>
          <w:bCs/>
          <w:sz w:val="24"/>
          <w:szCs w:val="24"/>
        </w:rPr>
        <w:t>. Research Issues and Problems</w:t>
      </w:r>
    </w:p>
    <w:p w14:paraId="67F2D358" w14:textId="77777777" w:rsidR="003D2004" w:rsidRPr="003D2004" w:rsidRDefault="003D2004" w:rsidP="004D0422">
      <w:pPr>
        <w:spacing w:before="240" w:after="240" w:line="240" w:lineRule="auto"/>
        <w:jc w:val="both"/>
        <w:rPr>
          <w:rFonts w:ascii="Times New Roman" w:hAnsi="Times New Roman" w:cs="Times New Roman"/>
          <w:sz w:val="24"/>
          <w:szCs w:val="24"/>
        </w:rPr>
      </w:pPr>
      <w:r w:rsidRPr="003D2004">
        <w:rPr>
          <w:rFonts w:ascii="Times New Roman" w:hAnsi="Times New Roman" w:cs="Times New Roman"/>
          <w:sz w:val="24"/>
          <w:szCs w:val="24"/>
        </w:rPr>
        <w:t xml:space="preserve">Although artificial intelligence (AI) possesses substantial developmental potential, notable academic disparities remain concerning its influence on pupils' academic achievement. In 2026, Castro-Lopez et al. characterized this phenomenon of contradictory empirical findings as the "performance paradox". A 2025 study by Phua et </w:t>
      </w:r>
      <w:proofErr w:type="spellStart"/>
      <w:proofErr w:type="gramStart"/>
      <w:r w:rsidRPr="003D2004">
        <w:rPr>
          <w:rFonts w:ascii="Times New Roman" w:hAnsi="Times New Roman" w:cs="Times New Roman"/>
          <w:sz w:val="24"/>
          <w:szCs w:val="24"/>
        </w:rPr>
        <w:t>al.endorses</w:t>
      </w:r>
      <w:proofErr w:type="spellEnd"/>
      <w:proofErr w:type="gramEnd"/>
      <w:r w:rsidRPr="003D2004">
        <w:rPr>
          <w:rFonts w:ascii="Times New Roman" w:hAnsi="Times New Roman" w:cs="Times New Roman"/>
          <w:sz w:val="24"/>
          <w:szCs w:val="24"/>
        </w:rPr>
        <w:t xml:space="preserve"> the beneficial aspects of AI, although other research has warned that it possesses dual risks. The adverse consequences of excessive dependence on AI technologies encompass academic procrastination, memory deterioration, and a reduction in critical thinking and independent reasoning abilities. </w:t>
      </w:r>
    </w:p>
    <w:p w14:paraId="134D83D1" w14:textId="711D7AAE" w:rsidR="003D2004" w:rsidRDefault="003D2004" w:rsidP="004D0422">
      <w:pPr>
        <w:spacing w:before="240" w:after="240" w:line="240" w:lineRule="auto"/>
        <w:ind w:firstLine="720"/>
        <w:jc w:val="both"/>
        <w:rPr>
          <w:rFonts w:ascii="Times New Roman" w:hAnsi="Times New Roman" w:cs="Times New Roman"/>
          <w:sz w:val="24"/>
          <w:szCs w:val="24"/>
        </w:rPr>
      </w:pPr>
      <w:r w:rsidRPr="003D2004">
        <w:rPr>
          <w:rFonts w:ascii="Times New Roman" w:hAnsi="Times New Roman" w:cs="Times New Roman"/>
          <w:sz w:val="24"/>
          <w:szCs w:val="24"/>
        </w:rPr>
        <w:t xml:space="preserve">Research on AI in education remains fragmented, with numerous research focusing on technology, pedagogy, and psychological learning processes in isolation (Alam et al., 2026). Furthermore, there is minimal integration between Cognitive Load Theory (CLT) and artificial intelligence applications, especially with assistance for students' working memory. </w:t>
      </w:r>
      <w:proofErr w:type="spellStart"/>
      <w:r w:rsidRPr="003D2004">
        <w:rPr>
          <w:rFonts w:ascii="Times New Roman" w:hAnsi="Times New Roman" w:cs="Times New Roman"/>
          <w:sz w:val="24"/>
          <w:szCs w:val="24"/>
        </w:rPr>
        <w:t>Festiyed</w:t>
      </w:r>
      <w:proofErr w:type="spellEnd"/>
      <w:r w:rsidRPr="003D2004">
        <w:rPr>
          <w:rFonts w:ascii="Times New Roman" w:hAnsi="Times New Roman" w:cs="Times New Roman"/>
          <w:sz w:val="24"/>
          <w:szCs w:val="24"/>
        </w:rPr>
        <w:t xml:space="preserve"> </w:t>
      </w:r>
      <w:r w:rsidR="00270023" w:rsidRPr="003D2004">
        <w:rPr>
          <w:rFonts w:ascii="Times New Roman" w:hAnsi="Times New Roman" w:cs="Times New Roman"/>
          <w:sz w:val="24"/>
          <w:szCs w:val="24"/>
        </w:rPr>
        <w:t>et al. (</w:t>
      </w:r>
      <w:r w:rsidRPr="003D2004">
        <w:rPr>
          <w:rFonts w:ascii="Times New Roman" w:hAnsi="Times New Roman" w:cs="Times New Roman"/>
          <w:sz w:val="24"/>
          <w:szCs w:val="24"/>
        </w:rPr>
        <w:t>2026) assert that numerous AI products are utilized beyond official educational settings, hence constraining their potential to cultivate higher-order thinking skills. The Engagement Scaffold Nexus, wherein active student participation and instructor guidance are crucial for enhancing the academic efficacy of AI, as underscored by recent research (Gu &amp; Yan, 2025).</w:t>
      </w:r>
    </w:p>
    <w:p w14:paraId="1CF77C3C" w14:textId="234E70E3" w:rsidR="004C4ECA" w:rsidRPr="004C4ECA" w:rsidRDefault="004C4ECA" w:rsidP="004D0422">
      <w:pPr>
        <w:spacing w:before="240" w:after="240" w:line="240" w:lineRule="auto"/>
        <w:jc w:val="both"/>
        <w:rPr>
          <w:rFonts w:ascii="Times New Roman" w:hAnsi="Times New Roman" w:cs="Times New Roman"/>
          <w:b/>
          <w:bCs/>
          <w:sz w:val="24"/>
          <w:szCs w:val="24"/>
        </w:rPr>
      </w:pPr>
      <w:r w:rsidRPr="004C4ECA">
        <w:rPr>
          <w:rFonts w:ascii="Times New Roman" w:hAnsi="Times New Roman" w:cs="Times New Roman"/>
          <w:b/>
          <w:bCs/>
          <w:sz w:val="24"/>
          <w:szCs w:val="24"/>
        </w:rPr>
        <w:t>1.</w:t>
      </w:r>
      <w:r w:rsidR="00D83DC3">
        <w:rPr>
          <w:rFonts w:ascii="Times New Roman" w:hAnsi="Times New Roman" w:cs="Times New Roman"/>
          <w:b/>
          <w:bCs/>
          <w:sz w:val="24"/>
          <w:szCs w:val="24"/>
        </w:rPr>
        <w:t>4</w:t>
      </w:r>
      <w:r w:rsidRPr="004C4ECA">
        <w:rPr>
          <w:rFonts w:ascii="Times New Roman" w:hAnsi="Times New Roman" w:cs="Times New Roman"/>
          <w:b/>
          <w:bCs/>
          <w:sz w:val="24"/>
          <w:szCs w:val="24"/>
        </w:rPr>
        <w:t>. Research Objectives and Questions</w:t>
      </w:r>
    </w:p>
    <w:p w14:paraId="6215314B" w14:textId="77777777" w:rsidR="003D2004" w:rsidRPr="003D2004" w:rsidRDefault="003D2004" w:rsidP="004D0422">
      <w:pPr>
        <w:spacing w:before="240" w:after="240" w:line="240" w:lineRule="auto"/>
        <w:jc w:val="both"/>
        <w:rPr>
          <w:rFonts w:ascii="Times New Roman" w:hAnsi="Times New Roman" w:cs="Times New Roman"/>
          <w:sz w:val="24"/>
          <w:szCs w:val="24"/>
        </w:rPr>
      </w:pPr>
      <w:r w:rsidRPr="003D2004">
        <w:rPr>
          <w:rFonts w:ascii="Times New Roman" w:hAnsi="Times New Roman" w:cs="Times New Roman"/>
          <w:sz w:val="24"/>
          <w:szCs w:val="24"/>
        </w:rPr>
        <w:t>This systematic literature review's main goal is to investigate how teacher scaffolding and student engagement work together to mitigate and limit the effects of AI technologies on academic achievement in higher education (Bai &amp; Wang, 2025</w:t>
      </w:r>
      <w:proofErr w:type="gramStart"/>
      <w:r w:rsidRPr="003D2004">
        <w:rPr>
          <w:rFonts w:ascii="Times New Roman" w:hAnsi="Times New Roman" w:cs="Times New Roman"/>
          <w:sz w:val="24"/>
          <w:szCs w:val="24"/>
        </w:rPr>
        <w:t>).This</w:t>
      </w:r>
      <w:proofErr w:type="gramEnd"/>
      <w:r w:rsidRPr="003D2004">
        <w:rPr>
          <w:rFonts w:ascii="Times New Roman" w:hAnsi="Times New Roman" w:cs="Times New Roman"/>
          <w:sz w:val="24"/>
          <w:szCs w:val="24"/>
        </w:rPr>
        <w:t xml:space="preserve"> study is guided by the following specific research questions:</w:t>
      </w:r>
    </w:p>
    <w:p w14:paraId="7A1158D7" w14:textId="77777777" w:rsidR="003D2004" w:rsidRPr="005F11D6" w:rsidRDefault="003D2004" w:rsidP="005F11D6">
      <w:pPr>
        <w:pStyle w:val="ListParagraph"/>
        <w:numPr>
          <w:ilvl w:val="0"/>
          <w:numId w:val="15"/>
        </w:numPr>
        <w:spacing w:before="240" w:after="240" w:line="240" w:lineRule="auto"/>
        <w:jc w:val="both"/>
        <w:rPr>
          <w:rFonts w:ascii="Times New Roman" w:hAnsi="Times New Roman" w:cs="Times New Roman"/>
          <w:sz w:val="24"/>
          <w:szCs w:val="24"/>
        </w:rPr>
      </w:pPr>
      <w:r w:rsidRPr="005F11D6">
        <w:rPr>
          <w:rFonts w:ascii="Times New Roman" w:hAnsi="Times New Roman" w:cs="Times New Roman"/>
          <w:b/>
          <w:bCs/>
          <w:sz w:val="24"/>
          <w:szCs w:val="24"/>
        </w:rPr>
        <w:t>RQ1:</w:t>
      </w:r>
      <w:r w:rsidRPr="005F11D6">
        <w:rPr>
          <w:rFonts w:ascii="Times New Roman" w:hAnsi="Times New Roman" w:cs="Times New Roman"/>
          <w:sz w:val="24"/>
          <w:szCs w:val="24"/>
        </w:rPr>
        <w:t xml:space="preserve"> How does multifaceted student engagement (behavioural, emotional, and cognitive) mediate the link between the use of AI and academic achievement?</w:t>
      </w:r>
    </w:p>
    <w:p w14:paraId="7C585071" w14:textId="3DFE2494" w:rsidR="003D2004" w:rsidRPr="005F11D6" w:rsidRDefault="003D2004" w:rsidP="005F11D6">
      <w:pPr>
        <w:pStyle w:val="ListParagraph"/>
        <w:numPr>
          <w:ilvl w:val="0"/>
          <w:numId w:val="15"/>
        </w:numPr>
        <w:spacing w:before="240" w:after="240" w:line="240" w:lineRule="auto"/>
        <w:jc w:val="both"/>
        <w:rPr>
          <w:rFonts w:ascii="Times New Roman" w:hAnsi="Times New Roman" w:cs="Times New Roman"/>
          <w:sz w:val="24"/>
          <w:szCs w:val="24"/>
        </w:rPr>
      </w:pPr>
      <w:r w:rsidRPr="005F11D6">
        <w:rPr>
          <w:rFonts w:ascii="Times New Roman" w:hAnsi="Times New Roman" w:cs="Times New Roman"/>
          <w:b/>
          <w:bCs/>
          <w:sz w:val="24"/>
          <w:szCs w:val="24"/>
        </w:rPr>
        <w:t>RQ2:</w:t>
      </w:r>
      <w:r w:rsidRPr="005F11D6">
        <w:rPr>
          <w:rFonts w:ascii="Times New Roman" w:hAnsi="Times New Roman" w:cs="Times New Roman"/>
          <w:sz w:val="24"/>
          <w:szCs w:val="24"/>
        </w:rPr>
        <w:t xml:space="preserve"> How do “AI + Teacher” models compare to autonomous usage, and how much does Teacher Scaffolding act as a critical boundary condition for AI efficacy?</w:t>
      </w:r>
    </w:p>
    <w:p w14:paraId="128F3D94" w14:textId="5846B3B5" w:rsidR="003D2004" w:rsidRPr="005F11D6" w:rsidRDefault="003D2004" w:rsidP="005F11D6">
      <w:pPr>
        <w:pStyle w:val="ListParagraph"/>
        <w:numPr>
          <w:ilvl w:val="0"/>
          <w:numId w:val="15"/>
        </w:numPr>
        <w:spacing w:before="240" w:after="240" w:line="240" w:lineRule="auto"/>
        <w:rPr>
          <w:rFonts w:ascii="Times New Roman" w:hAnsi="Times New Roman" w:cs="Times New Roman"/>
          <w:sz w:val="24"/>
          <w:szCs w:val="24"/>
        </w:rPr>
      </w:pPr>
      <w:r w:rsidRPr="005F11D6">
        <w:rPr>
          <w:rFonts w:ascii="Times New Roman" w:hAnsi="Times New Roman" w:cs="Times New Roman"/>
          <w:b/>
          <w:bCs/>
          <w:sz w:val="24"/>
          <w:szCs w:val="24"/>
        </w:rPr>
        <w:t>RQ3:</w:t>
      </w:r>
      <w:r w:rsidRPr="005F11D6">
        <w:rPr>
          <w:rFonts w:ascii="Times New Roman" w:hAnsi="Times New Roman" w:cs="Times New Roman"/>
          <w:sz w:val="24"/>
          <w:szCs w:val="24"/>
        </w:rPr>
        <w:t xml:space="preserve"> What is the moderating effect of learner-level factors (digital readiness and AI literacy) on the relationship between perceptions of AI and learning outcomes?</w:t>
      </w:r>
    </w:p>
    <w:p w14:paraId="70A51309" w14:textId="785290F0" w:rsidR="006D030E" w:rsidRDefault="004E2256" w:rsidP="004D0422">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 xml:space="preserve">2. </w:t>
      </w:r>
      <w:r w:rsidRPr="00357429">
        <w:rPr>
          <w:rFonts w:ascii="Times New Roman" w:hAnsi="Times New Roman" w:cs="Times New Roman"/>
          <w:b/>
          <w:bCs/>
          <w:sz w:val="28"/>
          <w:szCs w:val="28"/>
        </w:rPr>
        <w:t>Methodology</w:t>
      </w:r>
    </w:p>
    <w:p w14:paraId="771C25A7" w14:textId="77777777" w:rsidR="003D2004" w:rsidRDefault="003D2004" w:rsidP="004D0422">
      <w:pPr>
        <w:spacing w:before="240" w:after="240" w:line="240" w:lineRule="auto"/>
        <w:jc w:val="both"/>
        <w:rPr>
          <w:rFonts w:ascii="Times New Roman" w:hAnsi="Times New Roman" w:cs="Times New Roman"/>
          <w:sz w:val="24"/>
          <w:szCs w:val="24"/>
        </w:rPr>
      </w:pPr>
      <w:r w:rsidRPr="003D2004">
        <w:rPr>
          <w:rFonts w:ascii="Times New Roman" w:hAnsi="Times New Roman" w:cs="Times New Roman"/>
          <w:sz w:val="24"/>
          <w:szCs w:val="24"/>
        </w:rPr>
        <w:t xml:space="preserve">This chapter delineates the approach for a systematic literature review (SLR) concerning the relationship between student engagement and instructor scaffolding in AI-enhanced higher </w:t>
      </w:r>
      <w:proofErr w:type="spellStart"/>
      <w:r w:rsidRPr="003D2004">
        <w:rPr>
          <w:rFonts w:ascii="Times New Roman" w:hAnsi="Times New Roman" w:cs="Times New Roman"/>
          <w:sz w:val="24"/>
          <w:szCs w:val="24"/>
        </w:rPr>
        <w:t>education.The</w:t>
      </w:r>
      <w:proofErr w:type="spellEnd"/>
      <w:r w:rsidRPr="003D2004">
        <w:rPr>
          <w:rFonts w:ascii="Times New Roman" w:hAnsi="Times New Roman" w:cs="Times New Roman"/>
          <w:sz w:val="24"/>
          <w:szCs w:val="24"/>
        </w:rPr>
        <w:t xml:space="preserve"> review was guided by the PRISMA 2020 guidelines and the systematic literature review process proposed by Kitchenham and Charters (2007) to identify, evaluate, and synthesize empirical evidence on the impact of generative artificial intelligence (GenAI) on academic performance. Key steps included database selection, keyword searches, article screening, eligibility assessment, and data synthesis to ensure transparency and reliability. The chapter details the databases, search strategies, selection criteria, and data analysis techniques employed.</w:t>
      </w:r>
    </w:p>
    <w:p w14:paraId="0AB03BDA" w14:textId="052B2753" w:rsidR="006D030E" w:rsidRPr="00357429" w:rsidRDefault="006D030E" w:rsidP="004D0422">
      <w:pPr>
        <w:spacing w:before="240" w:after="240" w:line="240" w:lineRule="auto"/>
        <w:jc w:val="both"/>
        <w:rPr>
          <w:rFonts w:ascii="Times New Roman" w:hAnsi="Times New Roman" w:cs="Times New Roman"/>
          <w:b/>
          <w:bCs/>
          <w:sz w:val="24"/>
          <w:szCs w:val="24"/>
        </w:rPr>
      </w:pPr>
      <w:r w:rsidRPr="00357429">
        <w:rPr>
          <w:rFonts w:ascii="Times New Roman" w:hAnsi="Times New Roman" w:cs="Times New Roman"/>
          <w:b/>
          <w:bCs/>
          <w:sz w:val="24"/>
          <w:szCs w:val="24"/>
        </w:rPr>
        <w:t>2.</w:t>
      </w:r>
      <w:r w:rsidR="00520E4D">
        <w:rPr>
          <w:rFonts w:ascii="Times New Roman" w:hAnsi="Times New Roman" w:cs="Times New Roman"/>
          <w:b/>
          <w:bCs/>
          <w:sz w:val="24"/>
          <w:szCs w:val="24"/>
        </w:rPr>
        <w:t>1</w:t>
      </w:r>
      <w:r w:rsidRPr="00357429">
        <w:rPr>
          <w:rFonts w:ascii="Times New Roman" w:hAnsi="Times New Roman" w:cs="Times New Roman"/>
          <w:b/>
          <w:bCs/>
          <w:sz w:val="24"/>
          <w:szCs w:val="24"/>
        </w:rPr>
        <w:t xml:space="preserve"> </w:t>
      </w:r>
      <w:r w:rsidR="001B1C76">
        <w:rPr>
          <w:rFonts w:ascii="Times New Roman" w:hAnsi="Times New Roman" w:cs="Times New Roman"/>
          <w:b/>
          <w:bCs/>
          <w:sz w:val="24"/>
          <w:szCs w:val="24"/>
        </w:rPr>
        <w:t xml:space="preserve">Database Used </w:t>
      </w:r>
    </w:p>
    <w:p w14:paraId="769075A8" w14:textId="06248764" w:rsidR="004C217B" w:rsidRPr="00EB1B94" w:rsidRDefault="003D2004" w:rsidP="004D0422">
      <w:pPr>
        <w:spacing w:before="240" w:after="240" w:line="240" w:lineRule="auto"/>
        <w:rPr>
          <w:rFonts w:ascii="Times New Roman" w:hAnsi="Times New Roman" w:cs="Times New Roman"/>
          <w:sz w:val="24"/>
          <w:szCs w:val="24"/>
        </w:rPr>
      </w:pPr>
      <w:r w:rsidRPr="003D2004">
        <w:rPr>
          <w:rFonts w:ascii="Times New Roman" w:hAnsi="Times New Roman" w:cs="Times New Roman"/>
          <w:sz w:val="24"/>
          <w:szCs w:val="24"/>
        </w:rPr>
        <w:t xml:space="preserve">To ensure comprehensive literature coverage, it is essential to utilize many high-quality, peer-reviewed databases. According to Yu et al. (2025), databases such as Web of Science (WOS), Scopus, ERIC, and PsycINFO are commonly utilized in AI and education research due to their global recognition and academic </w:t>
      </w:r>
      <w:r w:rsidRPr="003D2004">
        <w:rPr>
          <w:rFonts w:ascii="Times New Roman" w:hAnsi="Times New Roman" w:cs="Times New Roman"/>
          <w:sz w:val="24"/>
          <w:szCs w:val="24"/>
        </w:rPr>
        <w:lastRenderedPageBreak/>
        <w:t>credibility. Moreover, Google Scholar is sometimes employed to locate relevant research and grey literature from reference lists, hence expanding the scope of the review (</w:t>
      </w:r>
      <w:proofErr w:type="spellStart"/>
      <w:r w:rsidRPr="003D2004">
        <w:rPr>
          <w:rFonts w:ascii="Times New Roman" w:hAnsi="Times New Roman" w:cs="Times New Roman"/>
          <w:sz w:val="24"/>
          <w:szCs w:val="24"/>
        </w:rPr>
        <w:t>Aljuaid</w:t>
      </w:r>
      <w:proofErr w:type="spellEnd"/>
      <w:r w:rsidRPr="003D2004">
        <w:rPr>
          <w:rFonts w:ascii="Times New Roman" w:hAnsi="Times New Roman" w:cs="Times New Roman"/>
          <w:sz w:val="24"/>
          <w:szCs w:val="24"/>
        </w:rPr>
        <w:t>, 2024)</w:t>
      </w:r>
      <w:r w:rsidR="00EB1B94">
        <w:rPr>
          <w:rFonts w:ascii="Times New Roman" w:hAnsi="Times New Roman" w:cs="Times New Roman"/>
          <w:sz w:val="24"/>
          <w:szCs w:val="24"/>
        </w:rPr>
        <w:t>.</w:t>
      </w:r>
    </w:p>
    <w:p w14:paraId="2807BB40" w14:textId="4EC5DEDF" w:rsidR="006D030E" w:rsidRPr="00357429" w:rsidRDefault="006D030E" w:rsidP="004D0422">
      <w:pPr>
        <w:spacing w:before="240" w:after="240" w:line="240" w:lineRule="auto"/>
        <w:rPr>
          <w:rFonts w:ascii="Times New Roman" w:hAnsi="Times New Roman" w:cs="Times New Roman"/>
          <w:b/>
          <w:bCs/>
          <w:sz w:val="24"/>
          <w:szCs w:val="24"/>
        </w:rPr>
      </w:pPr>
      <w:r w:rsidRPr="00357429">
        <w:rPr>
          <w:rFonts w:ascii="Times New Roman" w:hAnsi="Times New Roman" w:cs="Times New Roman"/>
          <w:b/>
          <w:bCs/>
          <w:sz w:val="24"/>
          <w:szCs w:val="24"/>
        </w:rPr>
        <w:t>2.</w:t>
      </w:r>
      <w:r w:rsidR="00520E4D">
        <w:rPr>
          <w:rFonts w:ascii="Times New Roman" w:hAnsi="Times New Roman" w:cs="Times New Roman"/>
          <w:b/>
          <w:bCs/>
          <w:sz w:val="24"/>
          <w:szCs w:val="24"/>
        </w:rPr>
        <w:t>2</w:t>
      </w:r>
      <w:r w:rsidRPr="00357429">
        <w:rPr>
          <w:rFonts w:ascii="Times New Roman" w:hAnsi="Times New Roman" w:cs="Times New Roman"/>
          <w:b/>
          <w:bCs/>
          <w:sz w:val="24"/>
          <w:szCs w:val="24"/>
        </w:rPr>
        <w:t xml:space="preserve"> </w:t>
      </w:r>
      <w:r w:rsidR="00BA4CE2">
        <w:rPr>
          <w:rFonts w:ascii="Times New Roman" w:hAnsi="Times New Roman" w:cs="Times New Roman"/>
          <w:b/>
          <w:bCs/>
          <w:sz w:val="24"/>
          <w:szCs w:val="24"/>
        </w:rPr>
        <w:t>Search String</w:t>
      </w:r>
    </w:p>
    <w:p w14:paraId="5ABA6918" w14:textId="56424FE8" w:rsidR="003B783A" w:rsidRPr="004D0422" w:rsidRDefault="003D2004" w:rsidP="004D0422">
      <w:pPr>
        <w:spacing w:before="240" w:after="240" w:line="240" w:lineRule="auto"/>
        <w:jc w:val="both"/>
        <w:rPr>
          <w:rFonts w:ascii="Times New Roman" w:hAnsi="Times New Roman" w:cs="Times New Roman"/>
          <w:sz w:val="24"/>
          <w:szCs w:val="24"/>
        </w:rPr>
      </w:pPr>
      <w:r w:rsidRPr="003D2004">
        <w:rPr>
          <w:rFonts w:ascii="Times New Roman" w:hAnsi="Times New Roman" w:cs="Times New Roman"/>
          <w:sz w:val="24"/>
          <w:szCs w:val="24"/>
        </w:rPr>
        <w:t xml:space="preserve">Boolean operators and wildcards are essential to capturing many iterations of important topics of study. The search strings should be grouped by themes </w:t>
      </w:r>
      <w:proofErr w:type="gramStart"/>
      <w:r w:rsidRPr="003D2004">
        <w:rPr>
          <w:rFonts w:ascii="Times New Roman" w:hAnsi="Times New Roman" w:cs="Times New Roman"/>
          <w:sz w:val="24"/>
          <w:szCs w:val="24"/>
        </w:rPr>
        <w:t>in order to</w:t>
      </w:r>
      <w:proofErr w:type="gramEnd"/>
      <w:r w:rsidRPr="003D2004">
        <w:rPr>
          <w:rFonts w:ascii="Times New Roman" w:hAnsi="Times New Roman" w:cs="Times New Roman"/>
          <w:sz w:val="24"/>
          <w:szCs w:val="24"/>
        </w:rPr>
        <w:t xml:space="preserve"> increase the accuracy of the literature search and its relevance. Technology-related terminologies include “Artificial Intelligence”, “Generative AI”, “ChatGPT” and “Adaptive Learning”, while the themes of engagement and scaffolding are “Student Engagement”, “Teacher Scaffolding”, “Cognitive Load” and “Motivation”. Examples of outcome language include the words “Academic Performance,” “Learning Outcomes,” and “Achievement.” Therefore, combining these phrases with Boolean operators like AND </w:t>
      </w:r>
      <w:proofErr w:type="spellStart"/>
      <w:r w:rsidRPr="003D2004">
        <w:rPr>
          <w:rFonts w:ascii="Times New Roman" w:hAnsi="Times New Roman" w:cs="Times New Roman"/>
          <w:sz w:val="24"/>
          <w:szCs w:val="24"/>
        </w:rPr>
        <w:t>and</w:t>
      </w:r>
      <w:proofErr w:type="spellEnd"/>
      <w:r w:rsidRPr="003D2004">
        <w:rPr>
          <w:rFonts w:ascii="Times New Roman" w:hAnsi="Times New Roman" w:cs="Times New Roman"/>
          <w:sz w:val="24"/>
          <w:szCs w:val="24"/>
        </w:rPr>
        <w:t xml:space="preserve"> OR will yield more complete search results</w:t>
      </w:r>
      <w:r>
        <w:rPr>
          <w:rFonts w:ascii="Times New Roman" w:hAnsi="Times New Roman" w:cs="Times New Roman"/>
          <w:sz w:val="24"/>
          <w:szCs w:val="24"/>
        </w:rPr>
        <w:t>.</w:t>
      </w:r>
    </w:p>
    <w:p w14:paraId="5D8EDFD8" w14:textId="67CAF696" w:rsidR="00D83DC3" w:rsidRPr="00D83DC3" w:rsidRDefault="00D83DC3" w:rsidP="004D0422">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1: Search String </w:t>
      </w:r>
    </w:p>
    <w:tbl>
      <w:tblPr>
        <w:tblStyle w:val="TableGrid"/>
        <w:tblW w:w="9130" w:type="dxa"/>
        <w:tblLook w:val="04A0" w:firstRow="1" w:lastRow="0" w:firstColumn="1" w:lastColumn="0" w:noHBand="0" w:noVBand="1"/>
      </w:tblPr>
      <w:tblGrid>
        <w:gridCol w:w="2689"/>
        <w:gridCol w:w="6441"/>
      </w:tblGrid>
      <w:tr w:rsidR="005D4F34" w14:paraId="2455E8A4" w14:textId="77777777" w:rsidTr="002F60A0">
        <w:trPr>
          <w:trHeight w:val="732"/>
        </w:trPr>
        <w:tc>
          <w:tcPr>
            <w:tcW w:w="2689" w:type="dxa"/>
            <w:vAlign w:val="center"/>
          </w:tcPr>
          <w:p w14:paraId="76A55412" w14:textId="12D9EDD6" w:rsidR="005D4F34" w:rsidRPr="005B518B" w:rsidRDefault="005B518B" w:rsidP="004D0422">
            <w:pPr>
              <w:spacing w:before="240" w:after="240"/>
              <w:jc w:val="center"/>
              <w:rPr>
                <w:rFonts w:ascii="Times New Roman" w:hAnsi="Times New Roman" w:cs="Times New Roman"/>
                <w:b/>
                <w:bCs/>
                <w:sz w:val="28"/>
                <w:szCs w:val="28"/>
              </w:rPr>
            </w:pPr>
            <w:r w:rsidRPr="005B518B">
              <w:rPr>
                <w:rFonts w:ascii="Times New Roman" w:hAnsi="Times New Roman" w:cs="Times New Roman"/>
                <w:b/>
                <w:bCs/>
                <w:sz w:val="28"/>
                <w:szCs w:val="28"/>
              </w:rPr>
              <w:t>Item</w:t>
            </w:r>
          </w:p>
        </w:tc>
        <w:tc>
          <w:tcPr>
            <w:tcW w:w="6441" w:type="dxa"/>
            <w:vAlign w:val="center"/>
          </w:tcPr>
          <w:p w14:paraId="3F97243C" w14:textId="4D85E290" w:rsidR="005D4F34" w:rsidRPr="005B518B" w:rsidRDefault="0029539A" w:rsidP="004D0422">
            <w:pPr>
              <w:spacing w:before="240" w:after="240"/>
              <w:jc w:val="center"/>
              <w:rPr>
                <w:rFonts w:ascii="Times New Roman" w:hAnsi="Times New Roman" w:cs="Times New Roman"/>
                <w:b/>
                <w:bCs/>
                <w:sz w:val="28"/>
                <w:szCs w:val="28"/>
              </w:rPr>
            </w:pPr>
            <w:r w:rsidRPr="005B518B">
              <w:rPr>
                <w:rFonts w:ascii="Times New Roman" w:hAnsi="Times New Roman" w:cs="Times New Roman"/>
                <w:b/>
                <w:bCs/>
                <w:sz w:val="28"/>
                <w:szCs w:val="28"/>
              </w:rPr>
              <w:t>Search string</w:t>
            </w:r>
          </w:p>
        </w:tc>
      </w:tr>
      <w:tr w:rsidR="005D4F34" w14:paraId="035EA5AD" w14:textId="77777777" w:rsidTr="002F60A0">
        <w:trPr>
          <w:trHeight w:val="1216"/>
        </w:trPr>
        <w:tc>
          <w:tcPr>
            <w:tcW w:w="2689" w:type="dxa"/>
            <w:vAlign w:val="center"/>
          </w:tcPr>
          <w:p w14:paraId="0ECAA310" w14:textId="7BC993B5" w:rsidR="005D4F34" w:rsidRPr="00B66906" w:rsidRDefault="00B66906" w:rsidP="004D0422">
            <w:pPr>
              <w:spacing w:before="240" w:after="240"/>
              <w:rPr>
                <w:rFonts w:ascii="Times New Roman" w:hAnsi="Times New Roman" w:cs="Times New Roman"/>
                <w:b/>
                <w:bCs/>
                <w:sz w:val="24"/>
                <w:szCs w:val="24"/>
              </w:rPr>
            </w:pPr>
            <w:r w:rsidRPr="00B66906">
              <w:rPr>
                <w:rFonts w:ascii="Times New Roman" w:hAnsi="Times New Roman" w:cs="Times New Roman"/>
                <w:b/>
                <w:bCs/>
                <w:sz w:val="24"/>
                <w:szCs w:val="24"/>
              </w:rPr>
              <w:t xml:space="preserve">AI Technology </w:t>
            </w:r>
          </w:p>
        </w:tc>
        <w:tc>
          <w:tcPr>
            <w:tcW w:w="6441" w:type="dxa"/>
            <w:vAlign w:val="center"/>
          </w:tcPr>
          <w:p w14:paraId="0EDE5B3B" w14:textId="68BB5C80" w:rsidR="005D4F34" w:rsidRDefault="005B518B" w:rsidP="004D0422">
            <w:pPr>
              <w:spacing w:before="240" w:after="240"/>
              <w:rPr>
                <w:rFonts w:ascii="Times New Roman" w:hAnsi="Times New Roman" w:cs="Times New Roman"/>
                <w:sz w:val="24"/>
                <w:szCs w:val="24"/>
              </w:rPr>
            </w:pPr>
            <w:r w:rsidRPr="007338C7">
              <w:rPr>
                <w:rFonts w:ascii="Times New Roman" w:hAnsi="Times New Roman" w:cs="Times New Roman"/>
                <w:sz w:val="24"/>
                <w:szCs w:val="24"/>
              </w:rPr>
              <w:t>"Artificial Intelligence", "Generative AI", "ChatGPT", "Adaptive Learning Systems", "Intelligent Tutoring".</w:t>
            </w:r>
          </w:p>
        </w:tc>
      </w:tr>
      <w:tr w:rsidR="005D4F34" w14:paraId="1C1C74FD" w14:textId="77777777" w:rsidTr="002F60A0">
        <w:trPr>
          <w:trHeight w:val="1259"/>
        </w:trPr>
        <w:tc>
          <w:tcPr>
            <w:tcW w:w="2689" w:type="dxa"/>
            <w:vAlign w:val="center"/>
          </w:tcPr>
          <w:p w14:paraId="61069D03" w14:textId="06683248" w:rsidR="005D4F34" w:rsidRPr="00B66906" w:rsidRDefault="00B66906" w:rsidP="004D0422">
            <w:pPr>
              <w:spacing w:before="240" w:after="240"/>
              <w:rPr>
                <w:rFonts w:ascii="Times New Roman" w:hAnsi="Times New Roman" w:cs="Times New Roman"/>
                <w:b/>
                <w:bCs/>
                <w:sz w:val="24"/>
                <w:szCs w:val="24"/>
              </w:rPr>
            </w:pPr>
            <w:r w:rsidRPr="00B66906">
              <w:rPr>
                <w:rFonts w:ascii="Times New Roman" w:hAnsi="Times New Roman" w:cs="Times New Roman"/>
                <w:b/>
                <w:bCs/>
                <w:sz w:val="24"/>
                <w:szCs w:val="24"/>
              </w:rPr>
              <w:t xml:space="preserve">Mediating Process </w:t>
            </w:r>
          </w:p>
        </w:tc>
        <w:tc>
          <w:tcPr>
            <w:tcW w:w="6441" w:type="dxa"/>
            <w:vAlign w:val="center"/>
          </w:tcPr>
          <w:p w14:paraId="55C25AA6" w14:textId="76A5488C" w:rsidR="005D4F34" w:rsidRDefault="00B66906" w:rsidP="004D0422">
            <w:pPr>
              <w:spacing w:before="240" w:after="240"/>
              <w:rPr>
                <w:rFonts w:ascii="Times New Roman" w:hAnsi="Times New Roman" w:cs="Times New Roman"/>
                <w:sz w:val="24"/>
                <w:szCs w:val="24"/>
              </w:rPr>
            </w:pPr>
            <w:r w:rsidRPr="007338C7">
              <w:rPr>
                <w:rFonts w:ascii="Times New Roman" w:hAnsi="Times New Roman" w:cs="Times New Roman"/>
                <w:sz w:val="24"/>
                <w:szCs w:val="24"/>
              </w:rPr>
              <w:t>"Student Engagement", "Teacher Scaffolding", "Scaffolding", "Motivation", "Cognitive Load".</w:t>
            </w:r>
          </w:p>
        </w:tc>
      </w:tr>
      <w:tr w:rsidR="005D4F34" w14:paraId="18F30F64" w14:textId="77777777" w:rsidTr="002F60A0">
        <w:trPr>
          <w:trHeight w:val="1259"/>
        </w:trPr>
        <w:tc>
          <w:tcPr>
            <w:tcW w:w="2689" w:type="dxa"/>
            <w:vAlign w:val="center"/>
          </w:tcPr>
          <w:p w14:paraId="40C2C949" w14:textId="4C8D2E96" w:rsidR="005D4F34" w:rsidRPr="00B66906" w:rsidRDefault="00B66906" w:rsidP="004D0422">
            <w:pPr>
              <w:spacing w:before="240" w:after="240"/>
              <w:rPr>
                <w:rFonts w:ascii="Times New Roman" w:hAnsi="Times New Roman" w:cs="Times New Roman"/>
                <w:b/>
                <w:bCs/>
                <w:sz w:val="24"/>
                <w:szCs w:val="24"/>
              </w:rPr>
            </w:pPr>
            <w:r w:rsidRPr="00B66906">
              <w:rPr>
                <w:rFonts w:ascii="Times New Roman" w:hAnsi="Times New Roman" w:cs="Times New Roman"/>
                <w:b/>
                <w:bCs/>
                <w:sz w:val="24"/>
                <w:szCs w:val="24"/>
              </w:rPr>
              <w:t xml:space="preserve">Outcomes </w:t>
            </w:r>
          </w:p>
        </w:tc>
        <w:tc>
          <w:tcPr>
            <w:tcW w:w="6441" w:type="dxa"/>
            <w:vAlign w:val="center"/>
          </w:tcPr>
          <w:p w14:paraId="0BB0CE9D" w14:textId="5CDD148F" w:rsidR="005D4F34" w:rsidRDefault="00B66906" w:rsidP="004D0422">
            <w:pPr>
              <w:spacing w:before="240" w:after="240"/>
              <w:rPr>
                <w:rFonts w:ascii="Times New Roman" w:hAnsi="Times New Roman" w:cs="Times New Roman"/>
                <w:sz w:val="24"/>
                <w:szCs w:val="24"/>
              </w:rPr>
            </w:pPr>
            <w:r w:rsidRPr="007338C7">
              <w:rPr>
                <w:rFonts w:ascii="Times New Roman" w:hAnsi="Times New Roman" w:cs="Times New Roman"/>
                <w:sz w:val="24"/>
                <w:szCs w:val="24"/>
              </w:rPr>
              <w:t>"Academic Achievement", "Learning Outcomes", "Performance", "Knowledge Acquisition".</w:t>
            </w:r>
          </w:p>
        </w:tc>
      </w:tr>
    </w:tbl>
    <w:p w14:paraId="02A39AB1" w14:textId="3648DDF2" w:rsidR="00352C09" w:rsidRDefault="00352C09" w:rsidP="004D0422">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20E4D">
        <w:rPr>
          <w:rFonts w:ascii="Times New Roman" w:hAnsi="Times New Roman" w:cs="Times New Roman"/>
          <w:b/>
          <w:bCs/>
          <w:sz w:val="24"/>
          <w:szCs w:val="24"/>
        </w:rPr>
        <w:t>3</w:t>
      </w:r>
      <w:r>
        <w:rPr>
          <w:rFonts w:ascii="Times New Roman" w:hAnsi="Times New Roman" w:cs="Times New Roman"/>
          <w:b/>
          <w:bCs/>
          <w:sz w:val="24"/>
          <w:szCs w:val="24"/>
        </w:rPr>
        <w:t xml:space="preserve"> Article Selection Process</w:t>
      </w:r>
    </w:p>
    <w:p w14:paraId="78A21FB6" w14:textId="44D7440D" w:rsidR="003B783A" w:rsidRDefault="003D2004" w:rsidP="004D0422">
      <w:pPr>
        <w:spacing w:before="240" w:after="240" w:line="240" w:lineRule="auto"/>
        <w:jc w:val="both"/>
        <w:rPr>
          <w:rFonts w:ascii="Times New Roman" w:hAnsi="Times New Roman" w:cs="Times New Roman"/>
          <w:sz w:val="24"/>
          <w:szCs w:val="24"/>
        </w:rPr>
      </w:pPr>
      <w:r w:rsidRPr="003D2004">
        <w:rPr>
          <w:rFonts w:ascii="Times New Roman" w:hAnsi="Times New Roman" w:cs="Times New Roman"/>
          <w:sz w:val="24"/>
          <w:szCs w:val="24"/>
        </w:rPr>
        <w:t xml:space="preserve">The article selection procedure consisted of four stages according to the PRISMA framework: identification, screening, eligibility evaluation, and </w:t>
      </w:r>
      <w:proofErr w:type="spellStart"/>
      <w:proofErr w:type="gramStart"/>
      <w:r w:rsidRPr="003D2004">
        <w:rPr>
          <w:rFonts w:ascii="Times New Roman" w:hAnsi="Times New Roman" w:cs="Times New Roman"/>
          <w:sz w:val="24"/>
          <w:szCs w:val="24"/>
        </w:rPr>
        <w:t>inclusion.Initially</w:t>
      </w:r>
      <w:proofErr w:type="spellEnd"/>
      <w:proofErr w:type="gramEnd"/>
      <w:r w:rsidRPr="003D2004">
        <w:rPr>
          <w:rFonts w:ascii="Times New Roman" w:hAnsi="Times New Roman" w:cs="Times New Roman"/>
          <w:sz w:val="24"/>
          <w:szCs w:val="24"/>
        </w:rPr>
        <w:t>, papers were obtained from Scopus, Web of Science, and Google Scholar, with duplicates eliminated. During the screening phase, titles and abstracts were evaluated for their pertinence to higher education, generative AI, student engagement, teacher scaffolding, or academic accomplishment, resulting in the deletion of irrelevant studies. The remaining papers were subjected to a comprehensive evaluation to verify compliance with the inclusion criteria. In total, 37 articles were chosen for study, offering insights into the correlation among engagement, scaffolding,</w:t>
      </w:r>
      <w:r>
        <w:rPr>
          <w:rFonts w:ascii="Times New Roman" w:hAnsi="Times New Roman" w:cs="Times New Roman"/>
          <w:sz w:val="24"/>
          <w:szCs w:val="24"/>
        </w:rPr>
        <w:t xml:space="preserve"> </w:t>
      </w:r>
      <w:r w:rsidRPr="003D2004">
        <w:rPr>
          <w:rFonts w:ascii="Times New Roman" w:hAnsi="Times New Roman" w:cs="Times New Roman"/>
          <w:sz w:val="24"/>
          <w:szCs w:val="24"/>
        </w:rPr>
        <w:t>and AI-assisted academic success in higher education</w:t>
      </w:r>
      <w:r w:rsidR="004D0422">
        <w:rPr>
          <w:rFonts w:ascii="Times New Roman" w:hAnsi="Times New Roman" w:cs="Times New Roman"/>
          <w:sz w:val="24"/>
          <w:szCs w:val="24"/>
        </w:rPr>
        <w:t>.</w:t>
      </w:r>
    </w:p>
    <w:p w14:paraId="4AFB8573" w14:textId="5B509EA8" w:rsidR="00352C09" w:rsidRDefault="00ED6F5C" w:rsidP="004D0422">
      <w:pPr>
        <w:spacing w:before="240" w:after="24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CDFD09C" wp14:editId="4071A429">
            <wp:extent cx="6445885" cy="1376127"/>
            <wp:effectExtent l="57150" t="0" r="50165" b="0"/>
            <wp:docPr id="1014404549" name="Diagram 3">
              <a:extLst xmlns:a="http://schemas.openxmlformats.org/drawingml/2006/main">
                <a:ext uri="{FF2B5EF4-FFF2-40B4-BE49-F238E27FC236}">
                  <a16:creationId xmlns:a16="http://schemas.microsoft.com/office/drawing/2014/main" id="{2F393EA5-0D4E-4833-A6E3-E9752ADAB51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83A6713" w14:textId="21FEAEFC" w:rsidR="00D60AC1" w:rsidRDefault="000A0021" w:rsidP="004D0422">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Figure 1: PRISMA Framework Flo</w:t>
      </w:r>
      <w:r w:rsidR="003B783A">
        <w:rPr>
          <w:rFonts w:ascii="Times New Roman" w:hAnsi="Times New Roman" w:cs="Times New Roman"/>
          <w:b/>
          <w:bCs/>
          <w:sz w:val="24"/>
          <w:szCs w:val="24"/>
        </w:rPr>
        <w:t>w</w:t>
      </w:r>
    </w:p>
    <w:p w14:paraId="00FF768F" w14:textId="0FD997E3" w:rsidR="006D030E" w:rsidRPr="00357429" w:rsidRDefault="006D030E" w:rsidP="004D0422">
      <w:pPr>
        <w:spacing w:before="240" w:after="240" w:line="240" w:lineRule="auto"/>
        <w:jc w:val="both"/>
        <w:rPr>
          <w:rFonts w:ascii="Times New Roman" w:hAnsi="Times New Roman" w:cs="Times New Roman"/>
          <w:b/>
          <w:bCs/>
          <w:sz w:val="24"/>
          <w:szCs w:val="24"/>
        </w:rPr>
      </w:pPr>
      <w:r w:rsidRPr="00357429">
        <w:rPr>
          <w:rFonts w:ascii="Times New Roman" w:hAnsi="Times New Roman" w:cs="Times New Roman"/>
          <w:b/>
          <w:bCs/>
          <w:sz w:val="24"/>
          <w:szCs w:val="24"/>
        </w:rPr>
        <w:lastRenderedPageBreak/>
        <w:t>2.</w:t>
      </w:r>
      <w:r w:rsidR="00520E4D">
        <w:rPr>
          <w:rFonts w:ascii="Times New Roman" w:hAnsi="Times New Roman" w:cs="Times New Roman"/>
          <w:b/>
          <w:bCs/>
          <w:sz w:val="24"/>
          <w:szCs w:val="24"/>
        </w:rPr>
        <w:t>4</w:t>
      </w:r>
      <w:r w:rsidRPr="00357429">
        <w:rPr>
          <w:rFonts w:ascii="Times New Roman" w:hAnsi="Times New Roman" w:cs="Times New Roman"/>
          <w:b/>
          <w:bCs/>
          <w:sz w:val="24"/>
          <w:szCs w:val="24"/>
        </w:rPr>
        <w:t xml:space="preserve"> </w:t>
      </w:r>
      <w:r w:rsidR="006B7259">
        <w:rPr>
          <w:rFonts w:ascii="Times New Roman" w:hAnsi="Times New Roman" w:cs="Times New Roman"/>
          <w:b/>
          <w:bCs/>
          <w:sz w:val="24"/>
          <w:szCs w:val="24"/>
        </w:rPr>
        <w:t>Inclusion and Exclusion Criteria</w:t>
      </w:r>
    </w:p>
    <w:p w14:paraId="71044FDE" w14:textId="77777777" w:rsidR="003D2004" w:rsidRPr="003D2004" w:rsidRDefault="003D2004" w:rsidP="004D0422">
      <w:pPr>
        <w:spacing w:before="240" w:after="240" w:line="240" w:lineRule="auto"/>
        <w:jc w:val="both"/>
        <w:rPr>
          <w:rFonts w:ascii="Times New Roman" w:hAnsi="Times New Roman" w:cs="Times New Roman"/>
          <w:sz w:val="24"/>
          <w:szCs w:val="24"/>
        </w:rPr>
      </w:pPr>
      <w:r w:rsidRPr="003D2004">
        <w:rPr>
          <w:rFonts w:ascii="Times New Roman" w:hAnsi="Times New Roman" w:cs="Times New Roman"/>
          <w:sz w:val="24"/>
          <w:szCs w:val="24"/>
        </w:rPr>
        <w:t xml:space="preserve">This study employed the PICOS framework—Participants, Interventions, Comparisons, Outcomes, and Study Design—to ensure the accuracy and reliability of the findings. The selected studies focused on university students in higher education environments to </w:t>
      </w:r>
      <w:proofErr w:type="spellStart"/>
      <w:r w:rsidRPr="003D2004">
        <w:rPr>
          <w:rFonts w:ascii="Times New Roman" w:hAnsi="Times New Roman" w:cs="Times New Roman"/>
          <w:sz w:val="24"/>
          <w:szCs w:val="24"/>
        </w:rPr>
        <w:t>fulfill</w:t>
      </w:r>
      <w:proofErr w:type="spellEnd"/>
      <w:r w:rsidRPr="003D2004">
        <w:rPr>
          <w:rFonts w:ascii="Times New Roman" w:hAnsi="Times New Roman" w:cs="Times New Roman"/>
          <w:sz w:val="24"/>
          <w:szCs w:val="24"/>
        </w:rPr>
        <w:t xml:space="preserve"> participant criteria (Gu &amp; Yan, 2025). The studies were required to utilize AI-powered tools for assignments or academic purposes (Yu et al., 2025). The comparison criteria emphasized studies that contrasted AI-based learning tactics with traditional teaching methods or non-AI learning environments (Dong et al., 2025). Only studies that provided measurable academic success indicators—such as GPA, test scores, or measures of student engagement—were included for outcomes (Dong et al., 2025). The review focused on empirical research methodologies, including quasi-experimental designs, experimental studies, and Partial Least Squares Structural Equation </w:t>
      </w:r>
      <w:proofErr w:type="spellStart"/>
      <w:r w:rsidRPr="003D2004">
        <w:rPr>
          <w:rFonts w:ascii="Times New Roman" w:hAnsi="Times New Roman" w:cs="Times New Roman"/>
          <w:sz w:val="24"/>
          <w:szCs w:val="24"/>
        </w:rPr>
        <w:t>Modeling</w:t>
      </w:r>
      <w:proofErr w:type="spellEnd"/>
      <w:r w:rsidRPr="003D2004">
        <w:rPr>
          <w:rFonts w:ascii="Times New Roman" w:hAnsi="Times New Roman" w:cs="Times New Roman"/>
          <w:sz w:val="24"/>
          <w:szCs w:val="24"/>
        </w:rPr>
        <w:t xml:space="preserve"> (PLS-SEM) techniques (</w:t>
      </w:r>
      <w:proofErr w:type="spellStart"/>
      <w:r w:rsidRPr="003D2004">
        <w:rPr>
          <w:rFonts w:ascii="Times New Roman" w:hAnsi="Times New Roman" w:cs="Times New Roman"/>
          <w:sz w:val="24"/>
          <w:szCs w:val="24"/>
        </w:rPr>
        <w:t>Aljuaid</w:t>
      </w:r>
      <w:proofErr w:type="spellEnd"/>
      <w:r w:rsidRPr="003D2004">
        <w:rPr>
          <w:rFonts w:ascii="Times New Roman" w:hAnsi="Times New Roman" w:cs="Times New Roman"/>
          <w:sz w:val="24"/>
          <w:szCs w:val="24"/>
        </w:rPr>
        <w:t xml:space="preserve">, 2024). </w:t>
      </w:r>
    </w:p>
    <w:p w14:paraId="2E318625" w14:textId="455AA700" w:rsidR="003D2004" w:rsidRDefault="003D2004" w:rsidP="004D0422">
      <w:pPr>
        <w:spacing w:before="240" w:after="240" w:line="240" w:lineRule="auto"/>
        <w:ind w:firstLine="720"/>
        <w:jc w:val="both"/>
        <w:rPr>
          <w:rFonts w:ascii="Times New Roman" w:hAnsi="Times New Roman" w:cs="Times New Roman"/>
          <w:b/>
          <w:bCs/>
          <w:sz w:val="24"/>
          <w:szCs w:val="24"/>
        </w:rPr>
      </w:pPr>
      <w:r w:rsidRPr="003D2004">
        <w:rPr>
          <w:rFonts w:ascii="Times New Roman" w:hAnsi="Times New Roman" w:cs="Times New Roman"/>
          <w:sz w:val="24"/>
          <w:szCs w:val="24"/>
        </w:rPr>
        <w:t xml:space="preserve">To maintain the review's relevance, certain exclusion criteria were employed. This review is confined to the higher education sector, excluding non-English publications, conceptual papers, and studies related to K–12 education (Dong et al., 2025; </w:t>
      </w:r>
      <w:proofErr w:type="spellStart"/>
      <w:r w:rsidRPr="003D2004">
        <w:rPr>
          <w:rFonts w:ascii="Times New Roman" w:hAnsi="Times New Roman" w:cs="Times New Roman"/>
          <w:sz w:val="24"/>
          <w:szCs w:val="24"/>
        </w:rPr>
        <w:t>Aljuaid</w:t>
      </w:r>
      <w:proofErr w:type="spellEnd"/>
      <w:r w:rsidRPr="003D2004">
        <w:rPr>
          <w:rFonts w:ascii="Times New Roman" w:hAnsi="Times New Roman" w:cs="Times New Roman"/>
          <w:sz w:val="24"/>
          <w:szCs w:val="24"/>
        </w:rPr>
        <w:t>, 2024).</w:t>
      </w:r>
    </w:p>
    <w:p w14:paraId="7DC5F2F1" w14:textId="35AC4DCD" w:rsidR="00284D24" w:rsidRPr="00D83DC3" w:rsidRDefault="00D83DC3" w:rsidP="004D0422">
      <w:pPr>
        <w:spacing w:before="240" w:after="240" w:line="240" w:lineRule="auto"/>
        <w:jc w:val="center"/>
        <w:rPr>
          <w:rFonts w:ascii="Times New Roman" w:hAnsi="Times New Roman" w:cs="Times New Roman"/>
          <w:b/>
          <w:bCs/>
          <w:sz w:val="24"/>
          <w:szCs w:val="24"/>
        </w:rPr>
      </w:pPr>
      <w:r w:rsidRPr="00BD5019">
        <w:rPr>
          <w:rFonts w:ascii="Times New Roman" w:hAnsi="Times New Roman" w:cs="Times New Roman"/>
          <w:b/>
          <w:bCs/>
          <w:sz w:val="24"/>
          <w:szCs w:val="24"/>
        </w:rPr>
        <w:t>Table 2: Inclusion and exclusion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0"/>
        <w:gridCol w:w="4837"/>
        <w:gridCol w:w="4445"/>
      </w:tblGrid>
      <w:tr w:rsidR="00284D24" w:rsidRPr="00284D24" w14:paraId="1DE975D8" w14:textId="77777777" w:rsidTr="00284D24">
        <w:tc>
          <w:tcPr>
            <w:tcW w:w="0" w:type="auto"/>
            <w:vAlign w:val="center"/>
            <w:hideMark/>
          </w:tcPr>
          <w:p w14:paraId="6E87EFA9" w14:textId="77777777" w:rsidR="00284D24" w:rsidRPr="00284D24" w:rsidRDefault="00284D24" w:rsidP="004D0422">
            <w:pPr>
              <w:spacing w:before="240" w:after="240" w:line="240" w:lineRule="auto"/>
              <w:jc w:val="center"/>
              <w:rPr>
                <w:rFonts w:ascii="Times New Roman" w:hAnsi="Times New Roman" w:cs="Times New Roman"/>
                <w:b/>
                <w:bCs/>
                <w:sz w:val="24"/>
                <w:szCs w:val="24"/>
              </w:rPr>
            </w:pPr>
            <w:r w:rsidRPr="00284D24">
              <w:rPr>
                <w:rFonts w:ascii="Times New Roman" w:hAnsi="Times New Roman" w:cs="Times New Roman"/>
                <w:b/>
                <w:bCs/>
                <w:sz w:val="24"/>
                <w:szCs w:val="24"/>
              </w:rPr>
              <w:t>Criterion</w:t>
            </w:r>
          </w:p>
        </w:tc>
        <w:tc>
          <w:tcPr>
            <w:tcW w:w="0" w:type="auto"/>
            <w:vAlign w:val="center"/>
            <w:hideMark/>
          </w:tcPr>
          <w:p w14:paraId="70020F5E" w14:textId="77777777" w:rsidR="00284D24" w:rsidRPr="00284D24" w:rsidRDefault="00284D24" w:rsidP="004D0422">
            <w:pPr>
              <w:spacing w:before="240" w:after="240" w:line="240" w:lineRule="auto"/>
              <w:jc w:val="center"/>
              <w:rPr>
                <w:rFonts w:ascii="Times New Roman" w:hAnsi="Times New Roman" w:cs="Times New Roman"/>
                <w:b/>
                <w:bCs/>
                <w:sz w:val="24"/>
                <w:szCs w:val="24"/>
              </w:rPr>
            </w:pPr>
            <w:r w:rsidRPr="00284D24">
              <w:rPr>
                <w:rFonts w:ascii="Times New Roman" w:hAnsi="Times New Roman" w:cs="Times New Roman"/>
                <w:b/>
                <w:bCs/>
                <w:sz w:val="24"/>
                <w:szCs w:val="24"/>
              </w:rPr>
              <w:t>Inclusion Criteria</w:t>
            </w:r>
          </w:p>
        </w:tc>
        <w:tc>
          <w:tcPr>
            <w:tcW w:w="0" w:type="auto"/>
            <w:vAlign w:val="center"/>
            <w:hideMark/>
          </w:tcPr>
          <w:p w14:paraId="1A14756C" w14:textId="77777777" w:rsidR="00284D24" w:rsidRPr="00284D24" w:rsidRDefault="00284D24" w:rsidP="004D0422">
            <w:pPr>
              <w:spacing w:before="240" w:after="240" w:line="240" w:lineRule="auto"/>
              <w:jc w:val="center"/>
              <w:rPr>
                <w:rFonts w:ascii="Times New Roman" w:hAnsi="Times New Roman" w:cs="Times New Roman"/>
                <w:b/>
                <w:bCs/>
                <w:sz w:val="24"/>
                <w:szCs w:val="24"/>
              </w:rPr>
            </w:pPr>
            <w:r w:rsidRPr="00284D24">
              <w:rPr>
                <w:rFonts w:ascii="Times New Roman" w:hAnsi="Times New Roman" w:cs="Times New Roman"/>
                <w:b/>
                <w:bCs/>
                <w:sz w:val="24"/>
                <w:szCs w:val="24"/>
              </w:rPr>
              <w:t>Exclusion Criteria</w:t>
            </w:r>
          </w:p>
        </w:tc>
      </w:tr>
      <w:tr w:rsidR="00284D24" w:rsidRPr="00284D24" w14:paraId="18C88795" w14:textId="77777777" w:rsidTr="00284D24">
        <w:tc>
          <w:tcPr>
            <w:tcW w:w="0" w:type="auto"/>
            <w:vAlign w:val="center"/>
            <w:hideMark/>
          </w:tcPr>
          <w:p w14:paraId="205AAF7F"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Participants (P)</w:t>
            </w:r>
          </w:p>
        </w:tc>
        <w:tc>
          <w:tcPr>
            <w:tcW w:w="0" w:type="auto"/>
            <w:vAlign w:val="center"/>
            <w:hideMark/>
          </w:tcPr>
          <w:p w14:paraId="520B4E50"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Students currently enrolled in higher education institutions (undergraduate or postgraduate).</w:t>
            </w:r>
          </w:p>
        </w:tc>
        <w:tc>
          <w:tcPr>
            <w:tcW w:w="0" w:type="auto"/>
            <w:vAlign w:val="center"/>
            <w:hideMark/>
          </w:tcPr>
          <w:p w14:paraId="16C82F3A"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K-12 students, primary school learners, or professionals in non-academic settings.</w:t>
            </w:r>
          </w:p>
        </w:tc>
      </w:tr>
      <w:tr w:rsidR="00284D24" w:rsidRPr="00284D24" w14:paraId="660B44F5" w14:textId="77777777" w:rsidTr="00284D24">
        <w:tc>
          <w:tcPr>
            <w:tcW w:w="0" w:type="auto"/>
            <w:vAlign w:val="center"/>
            <w:hideMark/>
          </w:tcPr>
          <w:p w14:paraId="60062BDB"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Intervention (I)</w:t>
            </w:r>
          </w:p>
        </w:tc>
        <w:tc>
          <w:tcPr>
            <w:tcW w:w="0" w:type="auto"/>
            <w:vAlign w:val="center"/>
            <w:hideMark/>
          </w:tcPr>
          <w:p w14:paraId="67CD4A65"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Use of AI-powered tools (GenAI, Adaptive Learning, Intelligent Tutoring) for academic tasks.</w:t>
            </w:r>
          </w:p>
        </w:tc>
        <w:tc>
          <w:tcPr>
            <w:tcW w:w="0" w:type="auto"/>
            <w:vAlign w:val="center"/>
            <w:hideMark/>
          </w:tcPr>
          <w:p w14:paraId="49ABFCBA"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General ICT tools (e.g., basic search engines) or AI used solely for administrative purposes.</w:t>
            </w:r>
          </w:p>
        </w:tc>
      </w:tr>
      <w:tr w:rsidR="00284D24" w:rsidRPr="00284D24" w14:paraId="0A502C36" w14:textId="77777777" w:rsidTr="00284D24">
        <w:tc>
          <w:tcPr>
            <w:tcW w:w="0" w:type="auto"/>
            <w:vAlign w:val="center"/>
            <w:hideMark/>
          </w:tcPr>
          <w:p w14:paraId="59615F97"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Comparison (C)</w:t>
            </w:r>
          </w:p>
        </w:tc>
        <w:tc>
          <w:tcPr>
            <w:tcW w:w="0" w:type="auto"/>
            <w:vAlign w:val="center"/>
            <w:hideMark/>
          </w:tcPr>
          <w:p w14:paraId="079D15FA"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Traditional instruction, unguided AI usage, or non-AI scaffolded environments.</w:t>
            </w:r>
          </w:p>
        </w:tc>
        <w:tc>
          <w:tcPr>
            <w:tcW w:w="0" w:type="auto"/>
            <w:vAlign w:val="center"/>
            <w:hideMark/>
          </w:tcPr>
          <w:p w14:paraId="3060BD70"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Studies lacking a control group or baseline for comparison.</w:t>
            </w:r>
          </w:p>
        </w:tc>
      </w:tr>
      <w:tr w:rsidR="00284D24" w:rsidRPr="00284D24" w14:paraId="6405A0AC" w14:textId="77777777" w:rsidTr="00284D24">
        <w:tc>
          <w:tcPr>
            <w:tcW w:w="0" w:type="auto"/>
            <w:vAlign w:val="center"/>
            <w:hideMark/>
          </w:tcPr>
          <w:p w14:paraId="40BCC1C6"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Outcomes (O)</w:t>
            </w:r>
          </w:p>
        </w:tc>
        <w:tc>
          <w:tcPr>
            <w:tcW w:w="0" w:type="auto"/>
            <w:vAlign w:val="center"/>
            <w:hideMark/>
          </w:tcPr>
          <w:p w14:paraId="24629E93"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Quantitative measures of academic achievement (GPA, test scores) and/or student engagement.</w:t>
            </w:r>
          </w:p>
        </w:tc>
        <w:tc>
          <w:tcPr>
            <w:tcW w:w="0" w:type="auto"/>
            <w:vAlign w:val="center"/>
            <w:hideMark/>
          </w:tcPr>
          <w:p w14:paraId="766A387A"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Qualitative-only perceptions or non-academic outcomes (e.g., social media satisfaction).</w:t>
            </w:r>
          </w:p>
        </w:tc>
      </w:tr>
      <w:tr w:rsidR="00284D24" w:rsidRPr="00284D24" w14:paraId="00D0450B" w14:textId="77777777" w:rsidTr="00284D24">
        <w:tc>
          <w:tcPr>
            <w:tcW w:w="0" w:type="auto"/>
            <w:vAlign w:val="center"/>
            <w:hideMark/>
          </w:tcPr>
          <w:p w14:paraId="46F1C62B" w14:textId="77777777" w:rsidR="00284D24" w:rsidRPr="00284D24" w:rsidRDefault="00284D24" w:rsidP="004D0422">
            <w:pPr>
              <w:spacing w:before="240" w:after="240" w:line="240" w:lineRule="auto"/>
              <w:rPr>
                <w:rFonts w:ascii="Times New Roman" w:hAnsi="Times New Roman" w:cs="Times New Roman"/>
                <w:sz w:val="24"/>
                <w:szCs w:val="24"/>
              </w:rPr>
            </w:pPr>
            <w:r w:rsidRPr="00284D24">
              <w:rPr>
                <w:rFonts w:ascii="Times New Roman" w:hAnsi="Times New Roman" w:cs="Times New Roman"/>
                <w:sz w:val="24"/>
                <w:szCs w:val="24"/>
              </w:rPr>
              <w:t>Study Design (S)</w:t>
            </w:r>
          </w:p>
        </w:tc>
        <w:tc>
          <w:tcPr>
            <w:tcW w:w="0" w:type="auto"/>
            <w:vAlign w:val="center"/>
            <w:hideMark/>
          </w:tcPr>
          <w:p w14:paraId="444C37BD"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Quantitative empirical research, including experimental, quasi-experimental, and PLS-SEM designs.</w:t>
            </w:r>
          </w:p>
        </w:tc>
        <w:tc>
          <w:tcPr>
            <w:tcW w:w="0" w:type="auto"/>
            <w:vAlign w:val="center"/>
            <w:hideMark/>
          </w:tcPr>
          <w:p w14:paraId="3B031884" w14:textId="77777777" w:rsidR="00284D24" w:rsidRPr="00284D24" w:rsidRDefault="00284D24" w:rsidP="004D0422">
            <w:pPr>
              <w:spacing w:before="240" w:after="240" w:line="240" w:lineRule="auto"/>
              <w:jc w:val="center"/>
              <w:rPr>
                <w:rFonts w:ascii="Times New Roman" w:hAnsi="Times New Roman" w:cs="Times New Roman"/>
                <w:sz w:val="24"/>
                <w:szCs w:val="24"/>
              </w:rPr>
            </w:pPr>
            <w:r w:rsidRPr="00284D24">
              <w:rPr>
                <w:rFonts w:ascii="Times New Roman" w:hAnsi="Times New Roman" w:cs="Times New Roman"/>
                <w:sz w:val="24"/>
                <w:szCs w:val="24"/>
              </w:rPr>
              <w:t>Non-empirical papers, editorials, dissertations, or purely theoretical reflections.</w:t>
            </w:r>
          </w:p>
        </w:tc>
      </w:tr>
    </w:tbl>
    <w:p w14:paraId="54F8ED84" w14:textId="6C87F86F" w:rsidR="006D030E" w:rsidRPr="00357429" w:rsidRDefault="007338C7" w:rsidP="004D0422">
      <w:pPr>
        <w:spacing w:before="240" w:after="240" w:line="240" w:lineRule="auto"/>
        <w:rPr>
          <w:rFonts w:ascii="Times New Roman" w:hAnsi="Times New Roman" w:cs="Times New Roman"/>
          <w:b/>
          <w:bCs/>
          <w:sz w:val="24"/>
          <w:szCs w:val="24"/>
        </w:rPr>
      </w:pPr>
      <w:r w:rsidRPr="00357429">
        <w:rPr>
          <w:rFonts w:ascii="Times New Roman" w:hAnsi="Times New Roman" w:cs="Times New Roman"/>
          <w:b/>
          <w:bCs/>
          <w:sz w:val="24"/>
          <w:szCs w:val="24"/>
        </w:rPr>
        <w:t>2</w:t>
      </w:r>
      <w:r w:rsidR="006D030E" w:rsidRPr="00357429">
        <w:rPr>
          <w:rFonts w:ascii="Times New Roman" w:hAnsi="Times New Roman" w:cs="Times New Roman"/>
          <w:b/>
          <w:bCs/>
          <w:sz w:val="24"/>
          <w:szCs w:val="24"/>
        </w:rPr>
        <w:t>.</w:t>
      </w:r>
      <w:r w:rsidR="00520E4D">
        <w:rPr>
          <w:rFonts w:ascii="Times New Roman" w:hAnsi="Times New Roman" w:cs="Times New Roman"/>
          <w:b/>
          <w:bCs/>
          <w:sz w:val="24"/>
          <w:szCs w:val="24"/>
        </w:rPr>
        <w:t>5</w:t>
      </w:r>
      <w:r w:rsidR="006D030E" w:rsidRPr="00357429">
        <w:rPr>
          <w:rFonts w:ascii="Times New Roman" w:hAnsi="Times New Roman" w:cs="Times New Roman"/>
          <w:b/>
          <w:bCs/>
          <w:sz w:val="24"/>
          <w:szCs w:val="24"/>
        </w:rPr>
        <w:t xml:space="preserve"> Social Cognitive Theory (SCT): The Role of Self-Efficacy</w:t>
      </w:r>
    </w:p>
    <w:p w14:paraId="416B0A35" w14:textId="77777777" w:rsidR="003D2004" w:rsidRPr="003D2004" w:rsidRDefault="003D2004" w:rsidP="004D0422">
      <w:pPr>
        <w:spacing w:before="240" w:after="240" w:line="240" w:lineRule="auto"/>
        <w:jc w:val="both"/>
        <w:rPr>
          <w:rFonts w:ascii="Times New Roman" w:eastAsia="Times New Roman" w:hAnsi="Times New Roman" w:cs="Times New Roman"/>
          <w:kern w:val="0"/>
          <w:sz w:val="24"/>
          <w:szCs w:val="24"/>
          <w:lang w:eastAsia="en-MY"/>
          <w14:ligatures w14:val="none"/>
        </w:rPr>
      </w:pPr>
      <w:r w:rsidRPr="003D2004">
        <w:rPr>
          <w:rFonts w:ascii="Times New Roman" w:eastAsia="Times New Roman" w:hAnsi="Times New Roman" w:cs="Times New Roman"/>
          <w:kern w:val="0"/>
          <w:sz w:val="24"/>
          <w:szCs w:val="24"/>
          <w:lang w:eastAsia="en-MY"/>
          <w14:ligatures w14:val="none"/>
        </w:rPr>
        <w:t xml:space="preserve">Social Cognitive Theory (SCT) elucidates learning as a dynamic interplay among personal characteristics, environmental influences, and actions, a concept referred to as triadic reciprocal determinism (Shahzad et al., 2024). A fundamental element of SCT is Self-Efficacy, which is defined as a student's conviction in their ability to successfully perform tasks (Bećirović et al., 2025). </w:t>
      </w:r>
    </w:p>
    <w:p w14:paraId="75AF22B1" w14:textId="3EBC7F04" w:rsidR="00EB1B94" w:rsidRDefault="003D2004" w:rsidP="004D0422">
      <w:pPr>
        <w:spacing w:before="240" w:after="240" w:line="240" w:lineRule="auto"/>
        <w:ind w:firstLine="720"/>
        <w:jc w:val="both"/>
        <w:rPr>
          <w:rFonts w:ascii="Times New Roman" w:eastAsia="Times New Roman" w:hAnsi="Times New Roman" w:cs="Times New Roman"/>
          <w:kern w:val="0"/>
          <w:sz w:val="24"/>
          <w:szCs w:val="24"/>
          <w:lang w:eastAsia="en-MY"/>
          <w14:ligatures w14:val="none"/>
        </w:rPr>
      </w:pPr>
      <w:r w:rsidRPr="003D2004">
        <w:rPr>
          <w:rFonts w:ascii="Times New Roman" w:eastAsia="Times New Roman" w:hAnsi="Times New Roman" w:cs="Times New Roman"/>
          <w:kern w:val="0"/>
          <w:sz w:val="24"/>
          <w:szCs w:val="24"/>
          <w:lang w:eastAsia="en-MY"/>
          <w14:ligatures w14:val="none"/>
        </w:rPr>
        <w:t>AI tools affect self-efficacy by delivering real-time insights and "success experiences" via adaptive feedback loops (Shahzad et al., 2024b). Elevated AI self-efficacy correlates with enhanced effort, persistence, and profound cognitive involvement (</w:t>
      </w:r>
      <w:proofErr w:type="spellStart"/>
      <w:r w:rsidRPr="003D2004">
        <w:rPr>
          <w:rFonts w:ascii="Times New Roman" w:eastAsia="Times New Roman" w:hAnsi="Times New Roman" w:cs="Times New Roman"/>
          <w:kern w:val="0"/>
          <w:sz w:val="24"/>
          <w:szCs w:val="24"/>
          <w:lang w:eastAsia="en-MY"/>
          <w14:ligatures w14:val="none"/>
        </w:rPr>
        <w:t>Tarhini</w:t>
      </w:r>
      <w:proofErr w:type="spellEnd"/>
      <w:r w:rsidRPr="003D2004">
        <w:rPr>
          <w:rFonts w:ascii="Times New Roman" w:eastAsia="Times New Roman" w:hAnsi="Times New Roman" w:cs="Times New Roman"/>
          <w:kern w:val="0"/>
          <w:sz w:val="24"/>
          <w:szCs w:val="24"/>
          <w:lang w:eastAsia="en-MY"/>
          <w14:ligatures w14:val="none"/>
        </w:rPr>
        <w:t xml:space="preserve"> et al., 2026). This article examines the "self-efficacy paradox," </w:t>
      </w:r>
      <w:r w:rsidRPr="003D2004">
        <w:rPr>
          <w:rFonts w:ascii="Times New Roman" w:eastAsia="Times New Roman" w:hAnsi="Times New Roman" w:cs="Times New Roman"/>
          <w:kern w:val="0"/>
          <w:sz w:val="24"/>
          <w:szCs w:val="24"/>
          <w:lang w:eastAsia="en-MY"/>
          <w14:ligatures w14:val="none"/>
        </w:rPr>
        <w:lastRenderedPageBreak/>
        <w:t>wherein excessive confidence in AI may result in over-reliance, thereby undermining a student's critical thinking abilities.</w:t>
      </w:r>
    </w:p>
    <w:p w14:paraId="6F4DFD96" w14:textId="550482D1" w:rsidR="00D83DC3" w:rsidRPr="00D83DC3" w:rsidRDefault="00D83DC3" w:rsidP="004D0422">
      <w:pPr>
        <w:spacing w:before="240" w:after="240" w:line="240" w:lineRule="auto"/>
        <w:jc w:val="center"/>
        <w:rPr>
          <w:rFonts w:ascii="Times New Roman" w:hAnsi="Times New Roman" w:cs="Times New Roman"/>
          <w:b/>
          <w:bCs/>
          <w:sz w:val="24"/>
          <w:szCs w:val="24"/>
        </w:rPr>
      </w:pPr>
      <w:r w:rsidRPr="00A24859">
        <w:rPr>
          <w:rFonts w:ascii="Times New Roman" w:hAnsi="Times New Roman" w:cs="Times New Roman"/>
          <w:b/>
          <w:bCs/>
          <w:sz w:val="24"/>
          <w:szCs w:val="24"/>
        </w:rPr>
        <w:t>Table 3: Theoretical Mapping of the Engagement-Scaffolding Nexus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8"/>
        <w:gridCol w:w="2246"/>
        <w:gridCol w:w="1561"/>
        <w:gridCol w:w="4837"/>
      </w:tblGrid>
      <w:tr w:rsidR="00A05E7A" w:rsidRPr="007338C7" w14:paraId="66524F3A" w14:textId="77777777" w:rsidTr="00551A57">
        <w:tc>
          <w:tcPr>
            <w:tcW w:w="0" w:type="auto"/>
            <w:vAlign w:val="center"/>
            <w:hideMark/>
          </w:tcPr>
          <w:p w14:paraId="1349B21E" w14:textId="77777777" w:rsidR="00A05E7A" w:rsidRPr="001E515C" w:rsidRDefault="00A05E7A" w:rsidP="00210722">
            <w:pPr>
              <w:spacing w:before="240" w:after="240" w:line="240" w:lineRule="auto"/>
              <w:jc w:val="center"/>
              <w:rPr>
                <w:rFonts w:ascii="Times New Roman" w:hAnsi="Times New Roman" w:cs="Times New Roman"/>
                <w:b/>
                <w:bCs/>
                <w:sz w:val="28"/>
                <w:szCs w:val="28"/>
              </w:rPr>
            </w:pPr>
            <w:r w:rsidRPr="001E515C">
              <w:rPr>
                <w:rFonts w:ascii="Times New Roman" w:hAnsi="Times New Roman" w:cs="Times New Roman"/>
                <w:b/>
                <w:bCs/>
                <w:sz w:val="28"/>
                <w:szCs w:val="28"/>
              </w:rPr>
              <w:t>Theoretical Framework</w:t>
            </w:r>
          </w:p>
        </w:tc>
        <w:tc>
          <w:tcPr>
            <w:tcW w:w="0" w:type="auto"/>
            <w:vAlign w:val="center"/>
            <w:hideMark/>
          </w:tcPr>
          <w:p w14:paraId="0D42F627" w14:textId="77777777" w:rsidR="00A05E7A" w:rsidRPr="001E515C" w:rsidRDefault="00A05E7A" w:rsidP="00210722">
            <w:pPr>
              <w:spacing w:before="240" w:after="240" w:line="240" w:lineRule="auto"/>
              <w:jc w:val="center"/>
              <w:rPr>
                <w:rFonts w:ascii="Times New Roman" w:hAnsi="Times New Roman" w:cs="Times New Roman"/>
                <w:b/>
                <w:bCs/>
                <w:sz w:val="28"/>
                <w:szCs w:val="28"/>
              </w:rPr>
            </w:pPr>
            <w:r w:rsidRPr="001E515C">
              <w:rPr>
                <w:rFonts w:ascii="Times New Roman" w:hAnsi="Times New Roman" w:cs="Times New Roman"/>
                <w:b/>
                <w:bCs/>
                <w:sz w:val="28"/>
                <w:szCs w:val="28"/>
              </w:rPr>
              <w:t>Core Concept Applied</w:t>
            </w:r>
          </w:p>
        </w:tc>
        <w:tc>
          <w:tcPr>
            <w:tcW w:w="0" w:type="auto"/>
            <w:vAlign w:val="center"/>
            <w:hideMark/>
          </w:tcPr>
          <w:p w14:paraId="5CE9F40F" w14:textId="77777777" w:rsidR="00A05E7A" w:rsidRPr="001E515C" w:rsidRDefault="00A05E7A" w:rsidP="00210722">
            <w:pPr>
              <w:spacing w:before="240" w:after="240" w:line="240" w:lineRule="auto"/>
              <w:jc w:val="center"/>
              <w:rPr>
                <w:rFonts w:ascii="Times New Roman" w:hAnsi="Times New Roman" w:cs="Times New Roman"/>
                <w:b/>
                <w:bCs/>
                <w:sz w:val="28"/>
                <w:szCs w:val="28"/>
              </w:rPr>
            </w:pPr>
            <w:r w:rsidRPr="001E515C">
              <w:rPr>
                <w:rFonts w:ascii="Times New Roman" w:hAnsi="Times New Roman" w:cs="Times New Roman"/>
                <w:b/>
                <w:bCs/>
                <w:sz w:val="28"/>
                <w:szCs w:val="28"/>
              </w:rPr>
              <w:t>Role in the Nexus</w:t>
            </w:r>
          </w:p>
        </w:tc>
        <w:tc>
          <w:tcPr>
            <w:tcW w:w="0" w:type="auto"/>
            <w:vAlign w:val="center"/>
            <w:hideMark/>
          </w:tcPr>
          <w:p w14:paraId="1644BEA4" w14:textId="77777777" w:rsidR="00A05E7A" w:rsidRPr="001E515C" w:rsidRDefault="00A05E7A" w:rsidP="00210722">
            <w:pPr>
              <w:spacing w:before="240" w:after="240" w:line="240" w:lineRule="auto"/>
              <w:jc w:val="center"/>
              <w:rPr>
                <w:rFonts w:ascii="Times New Roman" w:hAnsi="Times New Roman" w:cs="Times New Roman"/>
                <w:b/>
                <w:bCs/>
                <w:sz w:val="28"/>
                <w:szCs w:val="28"/>
              </w:rPr>
            </w:pPr>
            <w:r w:rsidRPr="001E515C">
              <w:rPr>
                <w:rFonts w:ascii="Times New Roman" w:hAnsi="Times New Roman" w:cs="Times New Roman"/>
                <w:b/>
                <w:bCs/>
                <w:sz w:val="28"/>
                <w:szCs w:val="28"/>
              </w:rPr>
              <w:t>Contribution to the SLR</w:t>
            </w:r>
          </w:p>
        </w:tc>
      </w:tr>
      <w:tr w:rsidR="00A05E7A" w:rsidRPr="007338C7" w14:paraId="05C9FB0A" w14:textId="77777777" w:rsidTr="00551A57">
        <w:tc>
          <w:tcPr>
            <w:tcW w:w="0" w:type="auto"/>
            <w:vAlign w:val="center"/>
            <w:hideMark/>
          </w:tcPr>
          <w:p w14:paraId="7EB64001"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Cognitive Load Theory (CLT)</w:t>
            </w:r>
          </w:p>
        </w:tc>
        <w:tc>
          <w:tcPr>
            <w:tcW w:w="0" w:type="auto"/>
            <w:vAlign w:val="center"/>
            <w:hideMark/>
          </w:tcPr>
          <w:p w14:paraId="30C261B2"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Extraneous vs. Germane Load</w:t>
            </w:r>
          </w:p>
        </w:tc>
        <w:tc>
          <w:tcPr>
            <w:tcW w:w="0" w:type="auto"/>
            <w:vAlign w:val="center"/>
            <w:hideMark/>
          </w:tcPr>
          <w:p w14:paraId="2C2AC2E8"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Efficiency Mechanism</w:t>
            </w:r>
          </w:p>
        </w:tc>
        <w:tc>
          <w:tcPr>
            <w:tcW w:w="0" w:type="auto"/>
            <w:vAlign w:val="center"/>
            <w:hideMark/>
          </w:tcPr>
          <w:p w14:paraId="7F83FE91"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Explains how AI reduces "noise" (extraneous load) so students can focus on engagement (germane load).</w:t>
            </w:r>
          </w:p>
        </w:tc>
      </w:tr>
      <w:tr w:rsidR="00A05E7A" w:rsidRPr="007338C7" w14:paraId="436D55EB" w14:textId="77777777" w:rsidTr="00551A57">
        <w:tc>
          <w:tcPr>
            <w:tcW w:w="0" w:type="auto"/>
            <w:vAlign w:val="center"/>
            <w:hideMark/>
          </w:tcPr>
          <w:p w14:paraId="30B05393"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Constructivism &amp; ZPD</w:t>
            </w:r>
          </w:p>
        </w:tc>
        <w:tc>
          <w:tcPr>
            <w:tcW w:w="0" w:type="auto"/>
            <w:vAlign w:val="center"/>
            <w:hideMark/>
          </w:tcPr>
          <w:p w14:paraId="7782F6EE"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Zone of Proximal Development</w:t>
            </w:r>
          </w:p>
        </w:tc>
        <w:tc>
          <w:tcPr>
            <w:tcW w:w="0" w:type="auto"/>
            <w:vAlign w:val="center"/>
            <w:hideMark/>
          </w:tcPr>
          <w:p w14:paraId="76480211"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Scaffolding Mechanism</w:t>
            </w:r>
          </w:p>
        </w:tc>
        <w:tc>
          <w:tcPr>
            <w:tcW w:w="0" w:type="auto"/>
            <w:vAlign w:val="center"/>
            <w:hideMark/>
          </w:tcPr>
          <w:p w14:paraId="43843EE3"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Defines AI as a "conditional scaffold" that must be guided by a teacher to stay within the student's learning zone.</w:t>
            </w:r>
          </w:p>
        </w:tc>
      </w:tr>
      <w:tr w:rsidR="00A05E7A" w:rsidRPr="007338C7" w14:paraId="4D9CEB41" w14:textId="77777777" w:rsidTr="00551A57">
        <w:tc>
          <w:tcPr>
            <w:tcW w:w="0" w:type="auto"/>
            <w:vAlign w:val="center"/>
            <w:hideMark/>
          </w:tcPr>
          <w:p w14:paraId="5485EED6"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TAM / UTAUT / TPB</w:t>
            </w:r>
          </w:p>
        </w:tc>
        <w:tc>
          <w:tcPr>
            <w:tcW w:w="0" w:type="auto"/>
            <w:vAlign w:val="center"/>
            <w:hideMark/>
          </w:tcPr>
          <w:p w14:paraId="3128791C"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Perceived Usefulness &amp; Attitude</w:t>
            </w:r>
          </w:p>
        </w:tc>
        <w:tc>
          <w:tcPr>
            <w:tcW w:w="0" w:type="auto"/>
            <w:vAlign w:val="center"/>
            <w:hideMark/>
          </w:tcPr>
          <w:p w14:paraId="78BAFA30"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Usage Initiation</w:t>
            </w:r>
          </w:p>
        </w:tc>
        <w:tc>
          <w:tcPr>
            <w:tcW w:w="0" w:type="auto"/>
            <w:vAlign w:val="center"/>
            <w:hideMark/>
          </w:tcPr>
          <w:p w14:paraId="381D0D88"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Explains the psychological drivers (PU, PEOU) that lead a student to adopt AI in the first place.</w:t>
            </w:r>
          </w:p>
        </w:tc>
      </w:tr>
      <w:tr w:rsidR="00A05E7A" w:rsidRPr="007338C7" w14:paraId="0CEAFA8F" w14:textId="77777777" w:rsidTr="00551A57">
        <w:tc>
          <w:tcPr>
            <w:tcW w:w="0" w:type="auto"/>
            <w:vAlign w:val="center"/>
            <w:hideMark/>
          </w:tcPr>
          <w:p w14:paraId="17F9F615"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Social Cognitive Theory (SCT)</w:t>
            </w:r>
          </w:p>
        </w:tc>
        <w:tc>
          <w:tcPr>
            <w:tcW w:w="0" w:type="auto"/>
            <w:vAlign w:val="center"/>
            <w:hideMark/>
          </w:tcPr>
          <w:p w14:paraId="6B623275"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Self-Efficacy &amp; Reciprocal Determinism</w:t>
            </w:r>
          </w:p>
        </w:tc>
        <w:tc>
          <w:tcPr>
            <w:tcW w:w="0" w:type="auto"/>
            <w:vAlign w:val="center"/>
            <w:hideMark/>
          </w:tcPr>
          <w:p w14:paraId="3136A080"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Persistence Mechanism</w:t>
            </w:r>
          </w:p>
        </w:tc>
        <w:tc>
          <w:tcPr>
            <w:tcW w:w="0" w:type="auto"/>
            <w:vAlign w:val="center"/>
            <w:hideMark/>
          </w:tcPr>
          <w:p w14:paraId="17B81ADB" w14:textId="77777777" w:rsidR="00A05E7A" w:rsidRPr="007338C7" w:rsidRDefault="00A05E7A" w:rsidP="004D0422">
            <w:pPr>
              <w:spacing w:before="240" w:after="240" w:line="240" w:lineRule="auto"/>
              <w:rPr>
                <w:rFonts w:ascii="Times New Roman" w:hAnsi="Times New Roman" w:cs="Times New Roman"/>
                <w:sz w:val="24"/>
                <w:szCs w:val="24"/>
              </w:rPr>
            </w:pPr>
            <w:r w:rsidRPr="007338C7">
              <w:rPr>
                <w:rFonts w:ascii="Times New Roman" w:hAnsi="Times New Roman" w:cs="Times New Roman"/>
                <w:sz w:val="24"/>
                <w:szCs w:val="24"/>
              </w:rPr>
              <w:t>Explains how a student’s confidence in their AI skills drives deeper, sustained cognitive engagement.</w:t>
            </w:r>
          </w:p>
        </w:tc>
      </w:tr>
    </w:tbl>
    <w:p w14:paraId="0078E97E" w14:textId="77C6B042" w:rsidR="45F06A60" w:rsidRPr="00EC6856" w:rsidRDefault="00587749" w:rsidP="004D0422">
      <w:pPr>
        <w:spacing w:before="240" w:after="240" w:line="240" w:lineRule="auto"/>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3</w:t>
      </w:r>
      <w:r w:rsidR="00F12012">
        <w:rPr>
          <w:rFonts w:ascii="Times New Roman" w:eastAsia="Times New Roman" w:hAnsi="Times New Roman" w:cs="Times New Roman"/>
          <w:b/>
          <w:bCs/>
          <w:sz w:val="28"/>
          <w:szCs w:val="28"/>
          <w:lang w:val="en-US"/>
        </w:rPr>
        <w:t>.</w:t>
      </w:r>
      <w:r w:rsidR="1FD0B369" w:rsidRPr="45F06A60">
        <w:rPr>
          <w:rFonts w:ascii="Times New Roman" w:eastAsia="Times New Roman" w:hAnsi="Times New Roman" w:cs="Times New Roman"/>
          <w:b/>
          <w:bCs/>
          <w:sz w:val="28"/>
          <w:szCs w:val="28"/>
          <w:lang w:val="en-US"/>
        </w:rPr>
        <w:t xml:space="preserve"> Results</w:t>
      </w:r>
    </w:p>
    <w:p w14:paraId="45923E19" w14:textId="77777777" w:rsidR="003D2004" w:rsidRDefault="003D2004" w:rsidP="004D0422">
      <w:pPr>
        <w:spacing w:before="240" w:after="240" w:line="240" w:lineRule="auto"/>
        <w:jc w:val="both"/>
        <w:rPr>
          <w:rFonts w:ascii="Times New Roman" w:eastAsia="Times New Roman" w:hAnsi="Times New Roman" w:cs="Times New Roman"/>
          <w:sz w:val="24"/>
          <w:szCs w:val="24"/>
        </w:rPr>
      </w:pPr>
      <w:r w:rsidRPr="003D2004">
        <w:rPr>
          <w:rFonts w:ascii="Times New Roman" w:eastAsia="Times New Roman" w:hAnsi="Times New Roman" w:cs="Times New Roman"/>
          <w:sz w:val="24"/>
          <w:szCs w:val="24"/>
        </w:rPr>
        <w:t>The consensus from meta-analyses and real-world studies is that AI tools, especially Generative AI (GenAI) like ChatGPT, improve academic performance among university students. A specific meta-analysis comprising 37 independent studies showed a large positive impact with standardized mean difference (SMD) value of 0.961. Other meta-analyses reported equally promising overall effect sizes in which the GenAI interventions generated a g = 0.683 based on 19 studies and AI technologies a g = 0.812 based on 24 articles. A further meta-analysis looking at 29 studies found a significant positive effect (0.924) as well. This positive impact is illustrated in the following examples:</w:t>
      </w:r>
    </w:p>
    <w:p w14:paraId="4B816398" w14:textId="613190F0" w:rsidR="1FD0B369" w:rsidRPr="003D2004" w:rsidRDefault="1FD0B369" w:rsidP="004D0422">
      <w:pPr>
        <w:pStyle w:val="ListParagraph"/>
        <w:numPr>
          <w:ilvl w:val="0"/>
          <w:numId w:val="9"/>
        </w:numPr>
        <w:spacing w:before="240" w:after="240" w:line="240" w:lineRule="auto"/>
        <w:contextualSpacing w:val="0"/>
        <w:jc w:val="both"/>
        <w:rPr>
          <w:rFonts w:ascii="Times New Roman" w:eastAsia="Times New Roman" w:hAnsi="Times New Roman" w:cs="Times New Roman"/>
          <w:sz w:val="24"/>
          <w:szCs w:val="24"/>
        </w:rPr>
      </w:pPr>
      <w:r w:rsidRPr="003D2004">
        <w:rPr>
          <w:rFonts w:ascii="Times New Roman" w:eastAsia="Times New Roman" w:hAnsi="Times New Roman" w:cs="Times New Roman"/>
          <w:sz w:val="24"/>
          <w:szCs w:val="24"/>
        </w:rPr>
        <w:t xml:space="preserve">The utilization of AI in education increased students’ average scores from 75 points to 86 points in one course. AI-powered adaptive learning systems resulted in a There is a major improvement in student performance with regards to average post-assessment. The marks increased from 68.4% to 82.7%. </w:t>
      </w:r>
    </w:p>
    <w:p w14:paraId="40B118CF" w14:textId="7407B779" w:rsidR="1FD0B369" w:rsidRDefault="1FD0B369" w:rsidP="004D0422">
      <w:pPr>
        <w:pStyle w:val="ListParagraph"/>
        <w:numPr>
          <w:ilvl w:val="0"/>
          <w:numId w:val="13"/>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AI-Driven Improvements to Education Productivity and Individualized Learning. Using the Learning Tools positively correlates with good learning outcomes credited to individualized guidance, improved educational productivity and lessened mental load.</w:t>
      </w:r>
    </w:p>
    <w:p w14:paraId="08F69E92" w14:textId="3EAB4A0B" w:rsidR="45F06A60" w:rsidRPr="00390B21" w:rsidRDefault="1FD0B369" w:rsidP="004D0422">
      <w:pPr>
        <w:pStyle w:val="ListParagraph"/>
        <w:numPr>
          <w:ilvl w:val="0"/>
          <w:numId w:val="13"/>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AI has a better link to students' academic performance in Technical Subject Areas (e.g., linear algebra r=0.245; microelectronic devices r=0.312) than in Humanities Subject Areas (e.g., modern history r=0.134). </w:t>
      </w:r>
    </w:p>
    <w:p w14:paraId="755CB551" w14:textId="71B044E8" w:rsidR="00606C2C" w:rsidRPr="004C217B" w:rsidRDefault="1FD0B369" w:rsidP="004D0422">
      <w:pPr>
        <w:spacing w:before="240" w:after="240" w:line="240" w:lineRule="auto"/>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The research showed that there are also negatives, such as the potential for AI to cause over-reliance or be unguided. In a meta-analysis of studies looking at AI, 26.3% of studies were negative (out of 19). When AI is used without guidance and/or autonomously, there is potential for a "perverse effect" or "impairment in academic </w:t>
      </w:r>
      <w:r w:rsidRPr="45F06A60">
        <w:rPr>
          <w:rFonts w:ascii="Times New Roman" w:eastAsia="Times New Roman" w:hAnsi="Times New Roman" w:cs="Times New Roman"/>
          <w:sz w:val="24"/>
          <w:szCs w:val="24"/>
        </w:rPr>
        <w:lastRenderedPageBreak/>
        <w:t>achievement." Over-reliance on AI can have a detrimental impact on developing critical thinking, originality and self-editing skills, resulting in more "surface vs conceptual" learning. In another study, AI literacy characteristics had no statistically significant impact on student academic achievement, indicating a need to re-evaluate ways to incorporate AI into education.</w:t>
      </w:r>
    </w:p>
    <w:p w14:paraId="22A1F43C" w14:textId="42EDACDF" w:rsidR="1FD0B369" w:rsidRDefault="1FD0B369" w:rsidP="004D0422">
      <w:pPr>
        <w:spacing w:before="240" w:after="240" w:line="240" w:lineRule="auto"/>
        <w:jc w:val="both"/>
        <w:rPr>
          <w:rFonts w:ascii="Times New Roman" w:eastAsia="Times New Roman" w:hAnsi="Times New Roman" w:cs="Times New Roman"/>
          <w:b/>
          <w:bCs/>
          <w:sz w:val="24"/>
          <w:szCs w:val="24"/>
        </w:rPr>
      </w:pPr>
      <w:r w:rsidRPr="45F06A60">
        <w:rPr>
          <w:rFonts w:ascii="Times New Roman" w:eastAsia="Times New Roman" w:hAnsi="Times New Roman" w:cs="Times New Roman"/>
          <w:b/>
          <w:bCs/>
          <w:sz w:val="24"/>
          <w:szCs w:val="24"/>
        </w:rPr>
        <w:t xml:space="preserve">The Influence of Student Engagement </w:t>
      </w:r>
    </w:p>
    <w:p w14:paraId="45B0C4A9" w14:textId="2E344621" w:rsidR="1FD0B369" w:rsidRDefault="1FD0B369" w:rsidP="004D0422">
      <w:pPr>
        <w:pStyle w:val="ListParagraph"/>
        <w:numPr>
          <w:ilvl w:val="0"/>
          <w:numId w:val="13"/>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Student engagement always proves to be a significant mediating variable between the use of AI technology and academic performance. </w:t>
      </w:r>
    </w:p>
    <w:p w14:paraId="74EBDB7C" w14:textId="5896827F" w:rsidR="1FD0B369" w:rsidRDefault="1FD0B369" w:rsidP="004D0422">
      <w:pPr>
        <w:pStyle w:val="ListParagraph"/>
        <w:numPr>
          <w:ilvl w:val="0"/>
          <w:numId w:val="13"/>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The effect of AI on student engagement: With the help of tools powered by AI, students can become more engaged because these tools provide engaging, customizable, and personalized experiences. AI tools were found to produce a "very high level of learner engagement" because they help provide instant feedback, individualized instruction, and motivate students. Students have reported increased interest, motivation, and learning support </w:t>
      </w:r>
      <w:proofErr w:type="gramStart"/>
      <w:r w:rsidRPr="45F06A60">
        <w:rPr>
          <w:rFonts w:ascii="Times New Roman" w:eastAsia="Times New Roman" w:hAnsi="Times New Roman" w:cs="Times New Roman"/>
          <w:sz w:val="24"/>
          <w:szCs w:val="24"/>
        </w:rPr>
        <w:t>through the use of</w:t>
      </w:r>
      <w:proofErr w:type="gramEnd"/>
      <w:r w:rsidRPr="45F06A60">
        <w:rPr>
          <w:rFonts w:ascii="Times New Roman" w:eastAsia="Times New Roman" w:hAnsi="Times New Roman" w:cs="Times New Roman"/>
          <w:sz w:val="24"/>
          <w:szCs w:val="24"/>
        </w:rPr>
        <w:t xml:space="preserve"> AI tools. In fact, AI feedback systems increase the cognitive, affective, </w:t>
      </w:r>
      <w:proofErr w:type="spellStart"/>
      <w:r w:rsidRPr="45F06A60">
        <w:rPr>
          <w:rFonts w:ascii="Times New Roman" w:eastAsia="Times New Roman" w:hAnsi="Times New Roman" w:cs="Times New Roman"/>
          <w:sz w:val="24"/>
          <w:szCs w:val="24"/>
        </w:rPr>
        <w:t>behavioral</w:t>
      </w:r>
      <w:proofErr w:type="spellEnd"/>
      <w:r w:rsidRPr="45F06A60">
        <w:rPr>
          <w:rFonts w:ascii="Times New Roman" w:eastAsia="Times New Roman" w:hAnsi="Times New Roman" w:cs="Times New Roman"/>
          <w:sz w:val="24"/>
          <w:szCs w:val="24"/>
        </w:rPr>
        <w:t>, and social engagement levels of the users. KM-oriented AI tools are particularly known to foster student engagement.</w:t>
      </w:r>
    </w:p>
    <w:p w14:paraId="7C803828" w14:textId="3BC1F025" w:rsidR="00606C2C" w:rsidRPr="004C217B" w:rsidRDefault="1FD0B369" w:rsidP="004D0422">
      <w:pPr>
        <w:pStyle w:val="ListParagraph"/>
        <w:numPr>
          <w:ilvl w:val="0"/>
          <w:numId w:val="13"/>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The research shows that Student Engagement (SE) serves as a significant statistical mediator in the relationship between the use of AI tools, their perceived usefulness and enhancement of learning outcomes. Engagement represents an exertion of cognitive energy and effort toward an academic task (i.e., germane cognitive load) and reflects the “cognitive bridge” between using digital tools and achieving academic success and gaining knowledge. Perception by students of the usefulness of AI tools increases the likelihood of their active engagement in learning, thus utilizing cognitive resources </w:t>
      </w:r>
      <w:proofErr w:type="gramStart"/>
      <w:r w:rsidRPr="45F06A60">
        <w:rPr>
          <w:rFonts w:ascii="Times New Roman" w:eastAsia="Times New Roman" w:hAnsi="Times New Roman" w:cs="Times New Roman"/>
          <w:sz w:val="24"/>
          <w:szCs w:val="24"/>
        </w:rPr>
        <w:t>in order to</w:t>
      </w:r>
      <w:proofErr w:type="gramEnd"/>
      <w:r w:rsidRPr="45F06A60">
        <w:rPr>
          <w:rFonts w:ascii="Times New Roman" w:eastAsia="Times New Roman" w:hAnsi="Times New Roman" w:cs="Times New Roman"/>
          <w:sz w:val="24"/>
          <w:szCs w:val="24"/>
        </w:rPr>
        <w:t xml:space="preserve"> create a deeper understanding. The results of the meta-analysis confirm that the effect of GenAI on student academic performance is significantly mediated by students’ Learning Motivation, Academic Self-Efficacy, and Creative Self-Efficacy. Of particular importance, the effect of GenAI feedback on student academic performance is significantly mediated by student engagement, indicating that AI enhances student academic performance because it increases mean levels of students’ engagement. </w:t>
      </w:r>
      <w:proofErr w:type="gramStart"/>
      <w:r w:rsidRPr="45F06A60">
        <w:rPr>
          <w:rFonts w:ascii="Times New Roman" w:eastAsia="Times New Roman" w:hAnsi="Times New Roman" w:cs="Times New Roman"/>
          <w:sz w:val="24"/>
          <w:szCs w:val="24"/>
        </w:rPr>
        <w:t>A number of</w:t>
      </w:r>
      <w:proofErr w:type="gramEnd"/>
      <w:r w:rsidRPr="45F06A60">
        <w:rPr>
          <w:rFonts w:ascii="Times New Roman" w:eastAsia="Times New Roman" w:hAnsi="Times New Roman" w:cs="Times New Roman"/>
          <w:sz w:val="24"/>
          <w:szCs w:val="24"/>
        </w:rPr>
        <w:t xml:space="preserve"> empirical studies support the finding that deeper levels of engagement (both cognitive, emotional, social and behavioural) are highly correlated with improved academic outcomes.</w:t>
      </w:r>
    </w:p>
    <w:p w14:paraId="30BAC727" w14:textId="72DBC8C2" w:rsidR="1FD0B369" w:rsidRDefault="1FD0B369" w:rsidP="004D0422">
      <w:pPr>
        <w:spacing w:before="240" w:after="240" w:line="240" w:lineRule="auto"/>
        <w:jc w:val="both"/>
        <w:rPr>
          <w:rFonts w:ascii="Times New Roman" w:eastAsia="Times New Roman" w:hAnsi="Times New Roman" w:cs="Times New Roman"/>
          <w:b/>
          <w:bCs/>
          <w:sz w:val="24"/>
          <w:szCs w:val="24"/>
        </w:rPr>
      </w:pPr>
      <w:r w:rsidRPr="45F06A60">
        <w:rPr>
          <w:rFonts w:ascii="Times New Roman" w:eastAsia="Times New Roman" w:hAnsi="Times New Roman" w:cs="Times New Roman"/>
          <w:b/>
          <w:bCs/>
          <w:sz w:val="24"/>
          <w:szCs w:val="24"/>
        </w:rPr>
        <w:t>Teacher scaffolding role</w:t>
      </w:r>
    </w:p>
    <w:p w14:paraId="28224CB1" w14:textId="335DA295" w:rsidR="1FD0B369" w:rsidRDefault="1FD0B369" w:rsidP="004D0422">
      <w:pPr>
        <w:pStyle w:val="ListParagraph"/>
        <w:numPr>
          <w:ilvl w:val="0"/>
          <w:numId w:val="13"/>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Scaffolding by teachers serves as an essential moderator and facilitator of ensuring that the impact of AI on academic achievement remains positive.</w:t>
      </w:r>
    </w:p>
    <w:p w14:paraId="595B2422" w14:textId="43B513C2" w:rsidR="1FD0B369" w:rsidRDefault="1FD0B369" w:rsidP="004D0422">
      <w:pPr>
        <w:pStyle w:val="ListParagraph"/>
        <w:numPr>
          <w:ilvl w:val="0"/>
          <w:numId w:val="13"/>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Moderation of the effect of AI by teachers: The positive effect of AI on academic achievement is substantially amplified by teacher support. Studies have found that AI interaction with teacher support achieves greater improvements (g = 1.426) relative to those with no teacher support (g = 0.077). On the other hand, lack of teacher involvement was found to result in the negative impact of GenAI applications. This implies that "the pivotal role of AI integration into instructional design and curricula development of subject matters may serve as a basis for proper use of AI technologies". </w:t>
      </w:r>
    </w:p>
    <w:p w14:paraId="7DCBEBEA" w14:textId="4D4B08EC" w:rsidR="1FD0B369" w:rsidRDefault="1FD0B369" w:rsidP="004D0422">
      <w:pPr>
        <w:pStyle w:val="ListParagraph"/>
        <w:numPr>
          <w:ilvl w:val="0"/>
          <w:numId w:val="13"/>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Structured vs. Unguided Use of AI: The difference between the structured and unguided use of AI technology is vital. While structured interventions with AI are associated with increased interest in individual study, critical thinking, and performance, the unguided use of AI does not ensure improvement of academic achievements and may hinder problem solving. It is thus suggested that the role of pedagogic integration is more important than the availability of AI tools in education.</w:t>
      </w:r>
    </w:p>
    <w:p w14:paraId="2A8B0348" w14:textId="653783A5" w:rsidR="00606C2C" w:rsidRPr="004C217B" w:rsidRDefault="1FD0B369" w:rsidP="004D0422">
      <w:pPr>
        <w:spacing w:before="240" w:after="240" w:line="240" w:lineRule="auto"/>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Significance of Integration and Training for Pedagogic Purposes: It is important to note that teaching assistance from instructors is viewed as crucial for developing critical thinking and creativity even if artificial intelligence is used. Artificial Intelligence-assisted writing becomes more efficient when it is backed by institutional regulations, pedagogical assistance, and ethical instruction. The teachers are advised to be proactive in </w:t>
      </w:r>
      <w:r w:rsidRPr="45F06A60">
        <w:rPr>
          <w:rFonts w:ascii="Times New Roman" w:eastAsia="Times New Roman" w:hAnsi="Times New Roman" w:cs="Times New Roman"/>
          <w:sz w:val="24"/>
          <w:szCs w:val="24"/>
        </w:rPr>
        <w:lastRenderedPageBreak/>
        <w:t xml:space="preserve">participating in their students’ interaction with the GenAI tools, talking about AI-generated content, </w:t>
      </w:r>
      <w:proofErr w:type="gramStart"/>
      <w:r w:rsidRPr="45F06A60">
        <w:rPr>
          <w:rFonts w:ascii="Times New Roman" w:eastAsia="Times New Roman" w:hAnsi="Times New Roman" w:cs="Times New Roman"/>
          <w:sz w:val="24"/>
          <w:szCs w:val="24"/>
        </w:rPr>
        <w:t>offering assistance</w:t>
      </w:r>
      <w:proofErr w:type="gramEnd"/>
      <w:r w:rsidRPr="45F06A60">
        <w:rPr>
          <w:rFonts w:ascii="Times New Roman" w:eastAsia="Times New Roman" w:hAnsi="Times New Roman" w:cs="Times New Roman"/>
          <w:sz w:val="24"/>
          <w:szCs w:val="24"/>
        </w:rPr>
        <w:t>, and clarifying mistakes of artificial intelligence feedback. Consequently, it is necessary to organize training for teachers so that they could acquire the needed skills for using AI tools in their classes, which would include AI literacy and pedagogic assistance.</w:t>
      </w:r>
    </w:p>
    <w:p w14:paraId="71CF047D" w14:textId="45BAFD82" w:rsidR="1FD0B369" w:rsidRDefault="1FD0B369" w:rsidP="004D0422">
      <w:pPr>
        <w:spacing w:before="240" w:after="240" w:line="240" w:lineRule="auto"/>
        <w:jc w:val="both"/>
        <w:rPr>
          <w:rFonts w:ascii="Times New Roman" w:eastAsia="Times New Roman" w:hAnsi="Times New Roman" w:cs="Times New Roman"/>
          <w:b/>
          <w:bCs/>
          <w:sz w:val="24"/>
          <w:szCs w:val="24"/>
        </w:rPr>
      </w:pPr>
      <w:r w:rsidRPr="45F06A60">
        <w:rPr>
          <w:rFonts w:ascii="Times New Roman" w:eastAsia="Times New Roman" w:hAnsi="Times New Roman" w:cs="Times New Roman"/>
          <w:b/>
          <w:bCs/>
          <w:sz w:val="24"/>
          <w:szCs w:val="24"/>
        </w:rPr>
        <w:t xml:space="preserve">Nexus of Engagement and Scaffolding in the Context of AI </w:t>
      </w:r>
    </w:p>
    <w:p w14:paraId="4AEA214E" w14:textId="2C505990" w:rsidR="1FD0B369" w:rsidRDefault="1FD0B369" w:rsidP="004D0422">
      <w:pPr>
        <w:spacing w:before="240" w:after="240" w:line="240" w:lineRule="auto"/>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All the studies together reveal that the full power of AI in higher education lies not just in the technology itself but in the interaction between student engagement and strategic teacher scaffolding.  </w:t>
      </w:r>
    </w:p>
    <w:p w14:paraId="6FC9B8EF" w14:textId="10A0C1BC" w:rsidR="1FD0B369" w:rsidRDefault="1FD0B369" w:rsidP="004D0422">
      <w:pPr>
        <w:pStyle w:val="ListParagraph"/>
        <w:numPr>
          <w:ilvl w:val="0"/>
          <w:numId w:val="13"/>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AI as a Scaffold: The generative AI can serve as a scaffold mechanism in a particular course by letting students work in their Zones of Proximal Development. Students who make use of AI not merely for regurgitation but for constructing knowledge and adding to it (that is, mastery goal structure) can have positive impacts on applied knowledge, critical thinking, and autonomous learning. </w:t>
      </w:r>
      <w:proofErr w:type="gramStart"/>
      <w:r w:rsidRPr="45F06A60">
        <w:rPr>
          <w:rFonts w:ascii="Times New Roman" w:eastAsia="Times New Roman" w:hAnsi="Times New Roman" w:cs="Times New Roman"/>
          <w:sz w:val="24"/>
          <w:szCs w:val="24"/>
        </w:rPr>
        <w:t>In order to</w:t>
      </w:r>
      <w:proofErr w:type="gramEnd"/>
      <w:r w:rsidRPr="45F06A60">
        <w:rPr>
          <w:rFonts w:ascii="Times New Roman" w:eastAsia="Times New Roman" w:hAnsi="Times New Roman" w:cs="Times New Roman"/>
          <w:sz w:val="24"/>
          <w:szCs w:val="24"/>
        </w:rPr>
        <w:t xml:space="preserve"> achieve such effects, it is necessary that the teacher guide the phases in which AI will be used.</w:t>
      </w:r>
    </w:p>
    <w:p w14:paraId="327C3D1C" w14:textId="692B825C" w:rsidR="00294826" w:rsidRPr="00EB1B94" w:rsidRDefault="1FD0B369" w:rsidP="004D0422">
      <w:pPr>
        <w:pStyle w:val="ListParagraph"/>
        <w:numPr>
          <w:ilvl w:val="0"/>
          <w:numId w:val="13"/>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Mediation and Moderation Effects: The beneficial effect of AI in terms of academic outcomes becomes strongly mediated by student engagement, while teacher scaffolding serves as a strong moderator. In other words, student engagement helps mediate the effects of AI use and its usefulness in terms of learning gains. On the other hand, teacher scaffolding moderates the use of AI so that it brings about beneficial effects of student engagement.</w:t>
      </w:r>
    </w:p>
    <w:p w14:paraId="41E0F947" w14:textId="11D3981A" w:rsidR="26306032" w:rsidRDefault="00F12012" w:rsidP="004D0422">
      <w:pPr>
        <w:spacing w:before="240" w:after="240" w:line="240" w:lineRule="auto"/>
      </w:pPr>
      <w:r>
        <w:rPr>
          <w:rFonts w:ascii="Times New Roman" w:eastAsia="Times New Roman" w:hAnsi="Times New Roman" w:cs="Times New Roman"/>
          <w:b/>
          <w:bCs/>
          <w:sz w:val="28"/>
          <w:szCs w:val="28"/>
          <w:lang w:val="en-US"/>
        </w:rPr>
        <w:t>4.</w:t>
      </w:r>
      <w:r w:rsidR="26306032" w:rsidRPr="45F06A60">
        <w:rPr>
          <w:rFonts w:ascii="Times New Roman" w:eastAsia="Times New Roman" w:hAnsi="Times New Roman" w:cs="Times New Roman"/>
          <w:b/>
          <w:bCs/>
          <w:sz w:val="28"/>
          <w:szCs w:val="28"/>
          <w:lang w:val="en-US"/>
        </w:rPr>
        <w:t xml:space="preserve"> Discussion</w:t>
      </w:r>
    </w:p>
    <w:p w14:paraId="2198DCFB" w14:textId="5DA45B35" w:rsidR="26306032" w:rsidRDefault="26306032" w:rsidP="004D0422">
      <w:pPr>
        <w:spacing w:before="240" w:after="240" w:line="240" w:lineRule="auto"/>
        <w:jc w:val="both"/>
      </w:pPr>
      <w:r w:rsidRPr="45F06A60">
        <w:rPr>
          <w:rFonts w:ascii="Times New Roman" w:eastAsia="Times New Roman" w:hAnsi="Times New Roman" w:cs="Times New Roman"/>
          <w:sz w:val="24"/>
          <w:szCs w:val="24"/>
          <w:lang w:val="en-US"/>
        </w:rPr>
        <w:t xml:space="preserve">The evidence reviewed in the academic literature suggests there is a strong positive overall impact of AI on student learning outcomes. This positive trend has been documented in multiple meta-analyses, which provide substantial evidence of the positive impact of AI on students' learning. For example, one meta-analysis integrated 37 independent studies and documented a substantial positive impact of ChatGPT on the academic performance of university students, with a standardized mean difference of 0.961. This study documented that the impact of </w:t>
      </w:r>
      <w:proofErr w:type="gramStart"/>
      <w:r w:rsidRPr="45F06A60">
        <w:rPr>
          <w:rFonts w:ascii="Times New Roman" w:eastAsia="Times New Roman" w:hAnsi="Times New Roman" w:cs="Times New Roman"/>
          <w:sz w:val="24"/>
          <w:szCs w:val="24"/>
          <w:lang w:val="en-US"/>
        </w:rPr>
        <w:t>ChatGPT was that it</w:t>
      </w:r>
      <w:proofErr w:type="gramEnd"/>
      <w:r w:rsidRPr="45F06A60">
        <w:rPr>
          <w:rFonts w:ascii="Times New Roman" w:eastAsia="Times New Roman" w:hAnsi="Times New Roman" w:cs="Times New Roman"/>
          <w:sz w:val="24"/>
          <w:szCs w:val="24"/>
          <w:lang w:val="en-US"/>
        </w:rPr>
        <w:t xml:space="preserve"> was much greater than the impact of traditional chatbots. Additionally, other meta-analyses demonstrate the strength of this finding, as GenAI interventions demonstrate a large overall effect size (g = 0.683 based on 19 independent studies), while other AI technologies also demonstrate large overall effect sizes (0.812 based on 24 articles and 0.924 based on 29 studies). Additionally, AI-powered adaptive learning systems have led to substantial improvements in student performance, with average post assessment scores rising from 68.4% to 82.7%. The use of AI-Assisted Learning Tools (AIALTU) is associated with improvements in student learning outcomes because they provide personalized instruction, make learning more efficient, and reduce cognitive load. Many studies report similar student performance improvements across learning levels and academic settings. Further, AI tools have a significantly greater correlation with student achievement in STEM (science, technology, engineering and mathematics) subjects (e.g., Microelectronic Devices, r = 0.312) versus non-STEM or the humanities (e.g., History and Modern History, r = 0.134), suggesting that the benefit of AI is dependent on the subject matter.</w:t>
      </w:r>
    </w:p>
    <w:p w14:paraId="24CA4189" w14:textId="3A265211" w:rsidR="00606C2C" w:rsidRPr="00EB1B94" w:rsidRDefault="26306032" w:rsidP="004D0422">
      <w:pPr>
        <w:spacing w:before="240" w:after="240" w:line="240" w:lineRule="auto"/>
        <w:jc w:val="both"/>
      </w:pPr>
      <w:r w:rsidRPr="45F06A60">
        <w:rPr>
          <w:rFonts w:ascii="Times New Roman" w:eastAsia="Times New Roman" w:hAnsi="Times New Roman" w:cs="Times New Roman"/>
          <w:sz w:val="24"/>
          <w:szCs w:val="24"/>
        </w:rPr>
        <w:t xml:space="preserve">The positive impacts of AI on learning outcomes are however not guaranteed or pervasive. It is important to acknowledge a portion of studies that displayed negative effect sizes (26.3% in one meta-analysis). The use of unguided/autonomous AI is said to have a "perverse effect" and an "impoverishing effect on academic outcomes." Often concerns are expressed about over reliance on AI, leading to decline in critical thinking skills, originality, independent learning abilities and development of "surface learning rather than conceptual learning." </w:t>
      </w:r>
    </w:p>
    <w:p w14:paraId="48737FEB" w14:textId="085AF734" w:rsidR="26306032" w:rsidRDefault="26306032" w:rsidP="004D0422">
      <w:pPr>
        <w:spacing w:before="240" w:after="240" w:line="240" w:lineRule="auto"/>
        <w:jc w:val="both"/>
      </w:pPr>
      <w:r w:rsidRPr="45F06A60">
        <w:rPr>
          <w:rFonts w:ascii="Times New Roman" w:eastAsia="Times New Roman" w:hAnsi="Times New Roman" w:cs="Times New Roman"/>
          <w:b/>
          <w:bCs/>
          <w:sz w:val="24"/>
          <w:szCs w:val="24"/>
        </w:rPr>
        <w:t xml:space="preserve">The Centrality of student Engagement </w:t>
      </w:r>
    </w:p>
    <w:p w14:paraId="25776382" w14:textId="1EC13531" w:rsidR="26306032" w:rsidRDefault="26306032" w:rsidP="004D0422">
      <w:pPr>
        <w:spacing w:before="240" w:after="240" w:line="240" w:lineRule="auto"/>
        <w:jc w:val="both"/>
      </w:pPr>
      <w:r w:rsidRPr="45F06A60">
        <w:rPr>
          <w:rFonts w:ascii="Times New Roman" w:eastAsia="Times New Roman" w:hAnsi="Times New Roman" w:cs="Times New Roman"/>
          <w:sz w:val="24"/>
          <w:szCs w:val="24"/>
        </w:rPr>
        <w:t>Student engagement has consistently been a significant mediating factor of how AI affect learning outcomes.</w:t>
      </w:r>
    </w:p>
    <w:p w14:paraId="091AC83F" w14:textId="17BBB4C3" w:rsidR="26306032" w:rsidRDefault="26306032" w:rsidP="004D0422">
      <w:pPr>
        <w:pStyle w:val="ListParagraph"/>
        <w:numPr>
          <w:ilvl w:val="0"/>
          <w:numId w:val="3"/>
        </w:numPr>
        <w:spacing w:before="240" w:after="240" w:line="240" w:lineRule="auto"/>
        <w:ind w:left="502"/>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AI as a Catalyst of student engagement: AI supported tools are known for their tendency to stimulate student engagement through their interactive, adaptive and personal nature that fosters focus and motivation. </w:t>
      </w:r>
      <w:r w:rsidRPr="45F06A60">
        <w:rPr>
          <w:rFonts w:ascii="Times New Roman" w:eastAsia="Times New Roman" w:hAnsi="Times New Roman" w:cs="Times New Roman"/>
          <w:sz w:val="24"/>
          <w:szCs w:val="24"/>
        </w:rPr>
        <w:lastRenderedPageBreak/>
        <w:t xml:space="preserve">Students report increased levels of interest, motivation and learning support from their interaction with AI tools. AI assisted feedback systems seem to promote the three domains of cognitive, emotional and </w:t>
      </w:r>
      <w:proofErr w:type="spellStart"/>
      <w:r w:rsidRPr="45F06A60">
        <w:rPr>
          <w:rFonts w:ascii="Times New Roman" w:eastAsia="Times New Roman" w:hAnsi="Times New Roman" w:cs="Times New Roman"/>
          <w:sz w:val="24"/>
          <w:szCs w:val="24"/>
        </w:rPr>
        <w:t>behavioral</w:t>
      </w:r>
      <w:proofErr w:type="spellEnd"/>
      <w:r w:rsidRPr="45F06A60">
        <w:rPr>
          <w:rFonts w:ascii="Times New Roman" w:eastAsia="Times New Roman" w:hAnsi="Times New Roman" w:cs="Times New Roman"/>
          <w:sz w:val="24"/>
          <w:szCs w:val="24"/>
        </w:rPr>
        <w:t xml:space="preserve"> engagement and social engagement. AI tools that focus on Knowledge Mastery had a particularly strong association with higher levels of student engagement.</w:t>
      </w:r>
    </w:p>
    <w:p w14:paraId="529F6829" w14:textId="27C797F4" w:rsidR="26306032" w:rsidRDefault="26306032" w:rsidP="004D0422">
      <w:pPr>
        <w:pStyle w:val="ListParagraph"/>
        <w:numPr>
          <w:ilvl w:val="0"/>
          <w:numId w:val="3"/>
        </w:numPr>
        <w:spacing w:before="240" w:after="240" w:line="240" w:lineRule="auto"/>
        <w:ind w:left="502"/>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The Mediating Role of Engagement: Engagement in CLT reflects the learners' purposeful commitment of cognitive effort, and therefore, is consistent with germane cognitive load and acts as a cognitive bridge between the use and perceived usefulness of digital tools and the improvement of academic performance and acquisition of knowledge. When students explicitly engage – cognitively, </w:t>
      </w:r>
      <w:proofErr w:type="spellStart"/>
      <w:r w:rsidRPr="45F06A60">
        <w:rPr>
          <w:rFonts w:ascii="Times New Roman" w:eastAsia="Times New Roman" w:hAnsi="Times New Roman" w:cs="Times New Roman"/>
          <w:sz w:val="24"/>
          <w:szCs w:val="24"/>
        </w:rPr>
        <w:t>behaviorally</w:t>
      </w:r>
      <w:proofErr w:type="spellEnd"/>
      <w:r w:rsidRPr="45F06A60">
        <w:rPr>
          <w:rFonts w:ascii="Times New Roman" w:eastAsia="Times New Roman" w:hAnsi="Times New Roman" w:cs="Times New Roman"/>
          <w:sz w:val="24"/>
          <w:szCs w:val="24"/>
        </w:rPr>
        <w:t>, and emotionally – they are better able to devote cognitive resources towards understanding, integrating, and applying knowledge.</w:t>
      </w:r>
    </w:p>
    <w:p w14:paraId="22C238C5" w14:textId="7E8B5E68" w:rsidR="00606C2C" w:rsidRPr="00EB1B94" w:rsidRDefault="26306032" w:rsidP="004D0422">
      <w:pPr>
        <w:pStyle w:val="ListParagraph"/>
        <w:numPr>
          <w:ilvl w:val="0"/>
          <w:numId w:val="3"/>
        </w:numPr>
        <w:spacing w:before="240" w:after="240" w:line="240" w:lineRule="auto"/>
        <w:ind w:left="502"/>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Mediating evidence from empirical </w:t>
      </w:r>
      <w:proofErr w:type="gramStart"/>
      <w:r w:rsidRPr="45F06A60">
        <w:rPr>
          <w:rFonts w:ascii="Times New Roman" w:eastAsia="Times New Roman" w:hAnsi="Times New Roman" w:cs="Times New Roman"/>
          <w:sz w:val="24"/>
          <w:szCs w:val="24"/>
        </w:rPr>
        <w:t>researches</w:t>
      </w:r>
      <w:proofErr w:type="gramEnd"/>
      <w:r w:rsidRPr="45F06A60">
        <w:rPr>
          <w:rFonts w:ascii="Times New Roman" w:eastAsia="Times New Roman" w:hAnsi="Times New Roman" w:cs="Times New Roman"/>
          <w:sz w:val="24"/>
          <w:szCs w:val="24"/>
        </w:rPr>
        <w:t xml:space="preserve">: Students engagement has been proved to be mediating the associations of both AI tools use/perceived usefulness to learning performance from statistics. That means, GenAI have a significant mediation effect on </w:t>
      </w:r>
      <w:proofErr w:type="spellStart"/>
      <w:proofErr w:type="gramStart"/>
      <w:r w:rsidRPr="45F06A60">
        <w:rPr>
          <w:rFonts w:ascii="Times New Roman" w:eastAsia="Times New Roman" w:hAnsi="Times New Roman" w:cs="Times New Roman"/>
          <w:sz w:val="24"/>
          <w:szCs w:val="24"/>
        </w:rPr>
        <w:t>students</w:t>
      </w:r>
      <w:proofErr w:type="spellEnd"/>
      <w:proofErr w:type="gramEnd"/>
      <w:r w:rsidRPr="45F06A60">
        <w:rPr>
          <w:rFonts w:ascii="Times New Roman" w:eastAsia="Times New Roman" w:hAnsi="Times New Roman" w:cs="Times New Roman"/>
          <w:sz w:val="24"/>
          <w:szCs w:val="24"/>
        </w:rPr>
        <w:t xml:space="preserve"> academic performance through motivations (learning motivation, academic self-efficacy, creative self-efficacy, etc.). Besides, </w:t>
      </w:r>
      <w:proofErr w:type="spellStart"/>
      <w:proofErr w:type="gramStart"/>
      <w:r w:rsidRPr="45F06A60">
        <w:rPr>
          <w:rFonts w:ascii="Times New Roman" w:eastAsia="Times New Roman" w:hAnsi="Times New Roman" w:cs="Times New Roman"/>
          <w:sz w:val="24"/>
          <w:szCs w:val="24"/>
        </w:rPr>
        <w:t>students</w:t>
      </w:r>
      <w:proofErr w:type="spellEnd"/>
      <w:proofErr w:type="gramEnd"/>
      <w:r w:rsidRPr="45F06A60">
        <w:rPr>
          <w:rFonts w:ascii="Times New Roman" w:eastAsia="Times New Roman" w:hAnsi="Times New Roman" w:cs="Times New Roman"/>
          <w:sz w:val="24"/>
          <w:szCs w:val="24"/>
        </w:rPr>
        <w:t xml:space="preserve"> performance generated from GenAI has also been proved to be mediated by </w:t>
      </w:r>
      <w:proofErr w:type="gramStart"/>
      <w:r w:rsidRPr="45F06A60">
        <w:rPr>
          <w:rFonts w:ascii="Times New Roman" w:eastAsia="Times New Roman" w:hAnsi="Times New Roman" w:cs="Times New Roman"/>
          <w:sz w:val="24"/>
          <w:szCs w:val="24"/>
        </w:rPr>
        <w:t>students</w:t>
      </w:r>
      <w:proofErr w:type="gramEnd"/>
      <w:r w:rsidRPr="45F06A60">
        <w:rPr>
          <w:rFonts w:ascii="Times New Roman" w:eastAsia="Times New Roman" w:hAnsi="Times New Roman" w:cs="Times New Roman"/>
          <w:sz w:val="24"/>
          <w:szCs w:val="24"/>
        </w:rPr>
        <w:t xml:space="preserve"> engagement in statistics, implying that </w:t>
      </w:r>
      <w:proofErr w:type="gramStart"/>
      <w:r w:rsidRPr="45F06A60">
        <w:rPr>
          <w:rFonts w:ascii="Times New Roman" w:eastAsia="Times New Roman" w:hAnsi="Times New Roman" w:cs="Times New Roman"/>
          <w:sz w:val="24"/>
          <w:szCs w:val="24"/>
        </w:rPr>
        <w:t>students</w:t>
      </w:r>
      <w:proofErr w:type="gramEnd"/>
      <w:r w:rsidRPr="45F06A60">
        <w:rPr>
          <w:rFonts w:ascii="Times New Roman" w:eastAsia="Times New Roman" w:hAnsi="Times New Roman" w:cs="Times New Roman"/>
          <w:sz w:val="24"/>
          <w:szCs w:val="24"/>
        </w:rPr>
        <w:t xml:space="preserve"> engagement is mostly what make AI benefit most to performance. High levels of engagement have been shown through research to predict academic performance very well.</w:t>
      </w:r>
    </w:p>
    <w:p w14:paraId="1CE80E66" w14:textId="4B11C99A" w:rsidR="26306032" w:rsidRDefault="26306032" w:rsidP="004D0422">
      <w:pPr>
        <w:spacing w:before="240" w:after="240" w:line="240" w:lineRule="auto"/>
        <w:jc w:val="both"/>
      </w:pPr>
      <w:r w:rsidRPr="45F06A60">
        <w:rPr>
          <w:rFonts w:ascii="Times New Roman" w:eastAsia="Times New Roman" w:hAnsi="Times New Roman" w:cs="Times New Roman"/>
          <w:b/>
          <w:bCs/>
          <w:sz w:val="24"/>
          <w:szCs w:val="24"/>
        </w:rPr>
        <w:t xml:space="preserve">The Indispensable Moderating role of Teacher Scaffolding </w:t>
      </w:r>
    </w:p>
    <w:p w14:paraId="68854B7A" w14:textId="45BF5CFE" w:rsidR="26306032" w:rsidRDefault="26306032" w:rsidP="004D0422">
      <w:pPr>
        <w:spacing w:before="240" w:after="240" w:line="240" w:lineRule="auto"/>
        <w:jc w:val="both"/>
      </w:pPr>
      <w:r w:rsidRPr="45F06A60">
        <w:rPr>
          <w:rFonts w:ascii="Times New Roman" w:eastAsia="Times New Roman" w:hAnsi="Times New Roman" w:cs="Times New Roman"/>
          <w:sz w:val="24"/>
          <w:szCs w:val="24"/>
        </w:rPr>
        <w:t xml:space="preserve">Teacher scaffolding and proactive support have been shown as indispensable moderating and enabling factors of AI-assisted academic success. </w:t>
      </w:r>
    </w:p>
    <w:p w14:paraId="51020788" w14:textId="33AB4F84" w:rsidR="26306032" w:rsidRDefault="26306032" w:rsidP="004D0422">
      <w:pPr>
        <w:pStyle w:val="ListParagraph"/>
        <w:numPr>
          <w:ilvl w:val="0"/>
          <w:numId w:val="4"/>
        </w:numPr>
        <w:spacing w:before="240" w:after="240" w:line="240" w:lineRule="auto"/>
        <w:ind w:left="360"/>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Amplified AI Impact with Teacher Support: The influence of AI on student academic outcomes was substantially amplified when combined with teacher support (g = 1.426) than without (g = 0.077) when used in GenAI interaction. Meanwhile, not integrating teacher support and guidance into AI has often been associated with detrimental consequences of GenAI usage. This highlights that "the pivotal nature of integrating AI into lesson planning and subject-specific curriculums may hold the secret to successful AI use". </w:t>
      </w:r>
    </w:p>
    <w:p w14:paraId="6FF1CDD7" w14:textId="24B3D2F7" w:rsidR="26306032" w:rsidRDefault="26306032" w:rsidP="004D0422">
      <w:pPr>
        <w:pStyle w:val="ListParagraph"/>
        <w:numPr>
          <w:ilvl w:val="0"/>
          <w:numId w:val="4"/>
        </w:numPr>
        <w:spacing w:before="240" w:after="240" w:line="240" w:lineRule="auto"/>
        <w:ind w:left="360"/>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Structured vs. Unsupervised Use: The division of supervised (structured) use versus unsupervised (unguided) use of AI is critically important. Compared to unguiding use, AI with pedagogical support (structured intervention) greatly amplified independent study engagement, critical thinking, communication, and problem-solving and even enhanced overall performance; without pedagogical support, AI use only sometimes enhanced performance, but even negatively impacted problem-solving with summative evaluation. The educational utility of AI is thus more about how it is integrated rather than the mere availability; an unguiding use of AI in education has high possibilities for passive consumption of AI content and dependence rather than autonomy.</w:t>
      </w:r>
    </w:p>
    <w:p w14:paraId="4BCA2150" w14:textId="4538BE60" w:rsidR="26306032" w:rsidRDefault="26306032" w:rsidP="004D0422">
      <w:pPr>
        <w:pStyle w:val="ListParagraph"/>
        <w:numPr>
          <w:ilvl w:val="0"/>
          <w:numId w:val="4"/>
        </w:numPr>
        <w:spacing w:before="240" w:after="240" w:line="240" w:lineRule="auto"/>
        <w:ind w:left="360"/>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Teaching and Training: Teachers must continue to make students think critically and creatively even with the availability of AI. The instructor should create the AI enabled tasks that keep learners engaged, reflective, and attentive. The faculty development courses should focus not only on technical skills, but also on strategies for pedagogical integration for effective learning engagement. From the pedagogical point of view, the teacher needs to understand about the knowledge, capabilities and limitation of the AI and student-centred learning strategies. These include proactively engaging in conversations among learners using AI-based technologies, discussing suggested material by AI, </w:t>
      </w:r>
      <w:proofErr w:type="gramStart"/>
      <w:r w:rsidRPr="45F06A60">
        <w:rPr>
          <w:rFonts w:ascii="Times New Roman" w:eastAsia="Times New Roman" w:hAnsi="Times New Roman" w:cs="Times New Roman"/>
          <w:sz w:val="24"/>
          <w:szCs w:val="24"/>
        </w:rPr>
        <w:t>offering assistance</w:t>
      </w:r>
      <w:proofErr w:type="gramEnd"/>
      <w:r w:rsidRPr="45F06A60">
        <w:rPr>
          <w:rFonts w:ascii="Times New Roman" w:eastAsia="Times New Roman" w:hAnsi="Times New Roman" w:cs="Times New Roman"/>
          <w:sz w:val="24"/>
          <w:szCs w:val="24"/>
        </w:rPr>
        <w:t>, and addressing feedback mistakes generated by artificial intelligence. The views of instructors may, nevertheless, indicate some scepticism about whether AI technologies are able to nurture learners’ independence in learning or help facilitate collaboration.</w:t>
      </w:r>
    </w:p>
    <w:p w14:paraId="0EF1474D" w14:textId="0BE175E6" w:rsidR="00EB1B94" w:rsidRPr="00753A16" w:rsidRDefault="26306032" w:rsidP="004D0422">
      <w:pPr>
        <w:pStyle w:val="ListParagraph"/>
        <w:numPr>
          <w:ilvl w:val="0"/>
          <w:numId w:val="4"/>
        </w:numPr>
        <w:spacing w:before="240" w:after="240" w:line="240" w:lineRule="auto"/>
        <w:ind w:left="360"/>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AI as a Conditional Scaffold: Generally speaking, GenAI can be described as “a conditional scaffold” which gives learners an opportunity to work in ZPD. To ensure success, AI should be used as a cognitive aid tool, </w:t>
      </w:r>
      <w:r w:rsidRPr="45F06A60">
        <w:rPr>
          <w:rFonts w:ascii="Times New Roman" w:eastAsia="Times New Roman" w:hAnsi="Times New Roman" w:cs="Times New Roman"/>
          <w:sz w:val="24"/>
          <w:szCs w:val="24"/>
        </w:rPr>
        <w:lastRenderedPageBreak/>
        <w:t>instead of substituting humans. For instance, effective AI-enabled writing depends on a combination of institutional policies, pedagogical scaffolding, and ethical guidelines which will ensure that AI will be employed merely as a supportive tool for learners.</w:t>
      </w:r>
    </w:p>
    <w:p w14:paraId="7DBE423D" w14:textId="72561549" w:rsidR="26306032" w:rsidRDefault="26306032" w:rsidP="004D0422">
      <w:pPr>
        <w:spacing w:before="240" w:after="240" w:line="240" w:lineRule="auto"/>
        <w:jc w:val="both"/>
      </w:pPr>
      <w:r w:rsidRPr="45F06A60">
        <w:rPr>
          <w:rFonts w:ascii="Times New Roman" w:eastAsia="Times New Roman" w:hAnsi="Times New Roman" w:cs="Times New Roman"/>
          <w:b/>
          <w:bCs/>
          <w:sz w:val="24"/>
          <w:szCs w:val="24"/>
        </w:rPr>
        <w:t xml:space="preserve">The Engagement-Scaffolding Nexus </w:t>
      </w:r>
    </w:p>
    <w:p w14:paraId="37CA5577" w14:textId="154F6749" w:rsidR="00606C2C" w:rsidRPr="00EB1B94" w:rsidRDefault="26306032" w:rsidP="004D0422">
      <w:pPr>
        <w:spacing w:before="240" w:after="240" w:line="240" w:lineRule="auto"/>
        <w:jc w:val="both"/>
      </w:pPr>
      <w:proofErr w:type="gramStart"/>
      <w:r w:rsidRPr="45F06A60">
        <w:rPr>
          <w:rFonts w:ascii="Times New Roman" w:eastAsia="Times New Roman" w:hAnsi="Times New Roman" w:cs="Times New Roman"/>
          <w:sz w:val="24"/>
          <w:szCs w:val="24"/>
        </w:rPr>
        <w:t>All of</w:t>
      </w:r>
      <w:proofErr w:type="gramEnd"/>
      <w:r w:rsidRPr="45F06A60">
        <w:rPr>
          <w:rFonts w:ascii="Times New Roman" w:eastAsia="Times New Roman" w:hAnsi="Times New Roman" w:cs="Times New Roman"/>
          <w:sz w:val="24"/>
          <w:szCs w:val="24"/>
        </w:rPr>
        <w:t xml:space="preserve"> these findings collectively indicate that the fully transformational capabilities of AI can be achieved through the dynamic intersection between AI and students-forming the Engagement-Scaffolding Nexus. Engagement serves as the mechanism whereby the impacts of AI interaction and perceived usefulness become learning outcomes. Teacher scaffolding, on the other hand, serves as the moderator that not only influences how students interact with the AI but also leverages engagement benefits, and circumvents any negative side effects of self-directed interaction with technology. Pedagogically sound technology must be integrated and perceived not merely as a tool, but rather </w:t>
      </w:r>
      <w:proofErr w:type="gramStart"/>
      <w:r w:rsidRPr="45F06A60">
        <w:rPr>
          <w:rFonts w:ascii="Times New Roman" w:eastAsia="Times New Roman" w:hAnsi="Times New Roman" w:cs="Times New Roman"/>
          <w:sz w:val="24"/>
          <w:szCs w:val="24"/>
        </w:rPr>
        <w:t>as a means to</w:t>
      </w:r>
      <w:proofErr w:type="gramEnd"/>
      <w:r w:rsidRPr="45F06A60">
        <w:rPr>
          <w:rFonts w:ascii="Times New Roman" w:eastAsia="Times New Roman" w:hAnsi="Times New Roman" w:cs="Times New Roman"/>
          <w:sz w:val="24"/>
          <w:szCs w:val="24"/>
        </w:rPr>
        <w:t xml:space="preserve"> a pedagogical end-one that will not undermine human cognition but rather enhance it by supporting “human-AI collaboration</w:t>
      </w:r>
      <w:r w:rsidR="00567E39" w:rsidRPr="45F06A60">
        <w:rPr>
          <w:rFonts w:ascii="Times New Roman" w:eastAsia="Times New Roman" w:hAnsi="Times New Roman" w:cs="Times New Roman"/>
          <w:sz w:val="24"/>
          <w:szCs w:val="24"/>
        </w:rPr>
        <w:t>”.</w:t>
      </w:r>
      <w:r w:rsidRPr="45F06A60">
        <w:rPr>
          <w:rFonts w:ascii="Times New Roman" w:eastAsia="Times New Roman" w:hAnsi="Times New Roman" w:cs="Times New Roman"/>
          <w:sz w:val="24"/>
          <w:szCs w:val="24"/>
        </w:rPr>
        <w:t xml:space="preserve"> Instructors, through understanding how to relate technology to learning objectives and cognitive principles, will be able to optimize their learners’ environments for germane cognitive processing. </w:t>
      </w:r>
    </w:p>
    <w:p w14:paraId="7E9FFEB9" w14:textId="55EF6C6C" w:rsidR="26306032" w:rsidRDefault="26306032" w:rsidP="004D0422">
      <w:pPr>
        <w:spacing w:before="240" w:after="240" w:line="240" w:lineRule="auto"/>
        <w:jc w:val="both"/>
      </w:pPr>
      <w:r w:rsidRPr="45F06A60">
        <w:rPr>
          <w:rFonts w:ascii="Times New Roman" w:eastAsia="Times New Roman" w:hAnsi="Times New Roman" w:cs="Times New Roman"/>
          <w:b/>
          <w:bCs/>
          <w:sz w:val="24"/>
          <w:szCs w:val="24"/>
        </w:rPr>
        <w:t xml:space="preserve">Concerns, limitations, and theoretical bases </w:t>
      </w:r>
    </w:p>
    <w:p w14:paraId="0F7EEFD0" w14:textId="30213B5D" w:rsidR="00186785" w:rsidRPr="00EB1B94" w:rsidRDefault="26306032" w:rsidP="004D0422">
      <w:pPr>
        <w:spacing w:before="240" w:after="240" w:line="240" w:lineRule="auto"/>
        <w:jc w:val="both"/>
      </w:pPr>
      <w:r w:rsidRPr="45F06A60">
        <w:rPr>
          <w:rFonts w:ascii="Times New Roman" w:eastAsia="Times New Roman" w:hAnsi="Times New Roman" w:cs="Times New Roman"/>
          <w:sz w:val="24"/>
          <w:szCs w:val="24"/>
        </w:rPr>
        <w:t xml:space="preserve">However, there are several limitations and concerns. A central concern is the extent to which over-utilization of AI might deteriorate human cognitive ability, originality, and creativity. Ethical concerns with plagiarism, academic honesty, authorship, fairness (bias), privacy, and inaccuracy of information seem to be central. The reliability and accuracy of AI output was of concern for </w:t>
      </w:r>
      <w:r w:rsidR="00186785" w:rsidRPr="45F06A60">
        <w:rPr>
          <w:rFonts w:ascii="Times New Roman" w:eastAsia="Times New Roman" w:hAnsi="Times New Roman" w:cs="Times New Roman"/>
          <w:sz w:val="24"/>
          <w:szCs w:val="24"/>
        </w:rPr>
        <w:t>students,</w:t>
      </w:r>
      <w:r w:rsidRPr="45F06A60">
        <w:rPr>
          <w:rFonts w:ascii="Times New Roman" w:eastAsia="Times New Roman" w:hAnsi="Times New Roman" w:cs="Times New Roman"/>
          <w:sz w:val="24"/>
          <w:szCs w:val="24"/>
        </w:rPr>
        <w:t xml:space="preserve"> and this was found to reduce their AI self-efficacy and output quality in one study.</w:t>
      </w:r>
    </w:p>
    <w:p w14:paraId="19918001" w14:textId="7B101502" w:rsidR="26306032" w:rsidRPr="00186785" w:rsidRDefault="26306032" w:rsidP="004D0422">
      <w:pPr>
        <w:spacing w:before="240" w:after="240" w:line="240" w:lineRule="auto"/>
        <w:jc w:val="both"/>
        <w:rPr>
          <w:b/>
          <w:bCs/>
        </w:rPr>
      </w:pPr>
      <w:r w:rsidRPr="00186785">
        <w:rPr>
          <w:rFonts w:ascii="Times New Roman" w:eastAsia="Times New Roman" w:hAnsi="Times New Roman" w:cs="Times New Roman"/>
          <w:b/>
          <w:bCs/>
          <w:sz w:val="24"/>
          <w:szCs w:val="24"/>
        </w:rPr>
        <w:t xml:space="preserve">Multiple theoretical approaches form the foundation of this </w:t>
      </w:r>
      <w:r w:rsidR="00390B21" w:rsidRPr="00186785">
        <w:rPr>
          <w:rFonts w:ascii="Times New Roman" w:eastAsia="Times New Roman" w:hAnsi="Times New Roman" w:cs="Times New Roman"/>
          <w:b/>
          <w:bCs/>
          <w:sz w:val="24"/>
          <w:szCs w:val="24"/>
        </w:rPr>
        <w:t>understanding:</w:t>
      </w:r>
    </w:p>
    <w:p w14:paraId="7D26DA87" w14:textId="3A56CB8B" w:rsidR="26306032" w:rsidRDefault="26306032" w:rsidP="004D0422">
      <w:pPr>
        <w:pStyle w:val="ListParagraph"/>
        <w:numPr>
          <w:ilvl w:val="0"/>
          <w:numId w:val="1"/>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Cognitive Load Theory (CLT) describes how AI affects learning efficiency, by reducing extraneous and fostering germane cognitive load where engagement is a component of the latter. </w:t>
      </w:r>
    </w:p>
    <w:p w14:paraId="2629F51B" w14:textId="62698F10" w:rsidR="26306032" w:rsidRDefault="26306032" w:rsidP="004D0422">
      <w:pPr>
        <w:pStyle w:val="ListParagraph"/>
        <w:numPr>
          <w:ilvl w:val="0"/>
          <w:numId w:val="1"/>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TAM and UTAUT (Technology Acceptance Model and the Unified Theory of Acceptance and Use of Technology) are often applied </w:t>
      </w:r>
      <w:proofErr w:type="gramStart"/>
      <w:r w:rsidRPr="45F06A60">
        <w:rPr>
          <w:rFonts w:ascii="Times New Roman" w:eastAsia="Times New Roman" w:hAnsi="Times New Roman" w:cs="Times New Roman"/>
          <w:sz w:val="24"/>
          <w:szCs w:val="24"/>
        </w:rPr>
        <w:t>in order to</w:t>
      </w:r>
      <w:proofErr w:type="gramEnd"/>
      <w:r w:rsidRPr="45F06A60">
        <w:rPr>
          <w:rFonts w:ascii="Times New Roman" w:eastAsia="Times New Roman" w:hAnsi="Times New Roman" w:cs="Times New Roman"/>
          <w:sz w:val="24"/>
          <w:szCs w:val="24"/>
        </w:rPr>
        <w:t xml:space="preserve"> define students' perceptions of AI utility, ease of use, and intentions to use the technology. </w:t>
      </w:r>
    </w:p>
    <w:p w14:paraId="0F04C943" w14:textId="0AD04A94" w:rsidR="26306032" w:rsidRDefault="26306032" w:rsidP="004D0422">
      <w:pPr>
        <w:pStyle w:val="ListParagraph"/>
        <w:numPr>
          <w:ilvl w:val="0"/>
          <w:numId w:val="1"/>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 xml:space="preserve">Social Cognitive Theory (SCT) investigates the effects of generative AI on students' self-efficacy, creativity, and responsible actions which contribute to academic performance. </w:t>
      </w:r>
    </w:p>
    <w:p w14:paraId="4901B7DE" w14:textId="449F7C88" w:rsidR="26306032" w:rsidRPr="00EB1B94" w:rsidRDefault="26306032" w:rsidP="004D0422">
      <w:pPr>
        <w:pStyle w:val="ListParagraph"/>
        <w:numPr>
          <w:ilvl w:val="0"/>
          <w:numId w:val="1"/>
        </w:numPr>
        <w:spacing w:before="240" w:after="240" w:line="240" w:lineRule="auto"/>
        <w:contextualSpacing w:val="0"/>
        <w:jc w:val="both"/>
        <w:rPr>
          <w:rFonts w:ascii="Times New Roman" w:eastAsia="Times New Roman" w:hAnsi="Times New Roman" w:cs="Times New Roman"/>
          <w:sz w:val="24"/>
          <w:szCs w:val="24"/>
        </w:rPr>
      </w:pPr>
      <w:r w:rsidRPr="45F06A60">
        <w:rPr>
          <w:rFonts w:ascii="Times New Roman" w:eastAsia="Times New Roman" w:hAnsi="Times New Roman" w:cs="Times New Roman"/>
          <w:sz w:val="24"/>
          <w:szCs w:val="24"/>
        </w:rPr>
        <w:t>TTF (Task-Technology Fit) posits the degree of correspondence between tasks and AI tools as an antecedent for its acceptance and use. Engagement Theory and Self-Determination Theory (SDT) provide a framework for the motivational and psychological processes behind student engagement with AI.</w:t>
      </w:r>
    </w:p>
    <w:p w14:paraId="437F973B" w14:textId="137A26C3" w:rsidR="009046C9" w:rsidRPr="00EB1B94" w:rsidRDefault="26306032" w:rsidP="004D0422">
      <w:pPr>
        <w:spacing w:before="240" w:after="240" w:line="240" w:lineRule="auto"/>
        <w:ind w:firstLine="360"/>
        <w:jc w:val="both"/>
      </w:pPr>
      <w:r w:rsidRPr="45F06A60">
        <w:rPr>
          <w:rFonts w:ascii="Times New Roman" w:eastAsia="Times New Roman" w:hAnsi="Times New Roman" w:cs="Times New Roman"/>
          <w:sz w:val="24"/>
          <w:szCs w:val="24"/>
        </w:rPr>
        <w:t>However, in many of these papers limitations are also identified: they are based on cross-sectional designs that restrict our ability to infer cause and effect, and make use of self-reported data which can introduce bias; single institutions were sometimes the sole research context; the longitudinal studies which would indicate how the effects of GenAI change over time were absent. To conclude, the full impact of GenAI on student achievement still need further investigation, as it presents a truly disruptive technology that offers unprecedented potential. A careful and balanced implementation is required to harness this potential, keeping in mind active student involvement, and strategic teacher guidance as the keys to success.</w:t>
      </w:r>
    </w:p>
    <w:p w14:paraId="3EA754BE" w14:textId="1D1C65D9" w:rsidR="00DB4481" w:rsidRPr="00D01CFF" w:rsidRDefault="00F12012" w:rsidP="004D0422">
      <w:pPr>
        <w:spacing w:before="240" w:after="240" w:line="240" w:lineRule="auto"/>
        <w:rPr>
          <w:sz w:val="24"/>
          <w:szCs w:val="24"/>
        </w:rPr>
      </w:pPr>
      <w:r>
        <w:rPr>
          <w:rFonts w:ascii="Times New Roman" w:hAnsi="Times New Roman" w:cs="Times New Roman"/>
          <w:b/>
          <w:bCs/>
          <w:sz w:val="28"/>
          <w:szCs w:val="28"/>
        </w:rPr>
        <w:t>5.</w:t>
      </w:r>
      <w:r w:rsidR="00D01CFF" w:rsidRPr="00D01CFF">
        <w:rPr>
          <w:rFonts w:ascii="Times New Roman" w:hAnsi="Times New Roman" w:cs="Times New Roman"/>
          <w:b/>
          <w:bCs/>
          <w:sz w:val="28"/>
          <w:szCs w:val="28"/>
        </w:rPr>
        <w:t xml:space="preserve"> </w:t>
      </w:r>
      <w:r w:rsidR="00DB4481" w:rsidRPr="00D01CFF">
        <w:rPr>
          <w:rFonts w:ascii="Times New Roman" w:hAnsi="Times New Roman" w:cs="Times New Roman"/>
          <w:b/>
          <w:bCs/>
          <w:sz w:val="28"/>
          <w:szCs w:val="28"/>
        </w:rPr>
        <w:t>Conclusion: Synthesizing the 'Gap-Bridging' Evidence</w:t>
      </w:r>
    </w:p>
    <w:p w14:paraId="57E8C361" w14:textId="0123260B" w:rsidR="00587749" w:rsidRDefault="003D2004" w:rsidP="004D0422">
      <w:pPr>
        <w:spacing w:before="240" w:after="240" w:line="240" w:lineRule="auto"/>
        <w:jc w:val="both"/>
        <w:rPr>
          <w:rFonts w:ascii="Times New Roman" w:eastAsia="Times New Roman" w:hAnsi="Times New Roman" w:cs="Times New Roman"/>
          <w:b/>
          <w:sz w:val="24"/>
          <w:szCs w:val="24"/>
        </w:rPr>
      </w:pPr>
      <w:r w:rsidRPr="003D2004">
        <w:rPr>
          <w:rFonts w:ascii="Times New Roman" w:hAnsi="Times New Roman" w:cs="Times New Roman"/>
          <w:sz w:val="24"/>
          <w:szCs w:val="24"/>
        </w:rPr>
        <w:t xml:space="preserve">The evidence suggests that GenAI tools successfully bridge the engagement-performance gap by bolstering motivation and self-efficacy, particularly when output quality is high. However, the R^2 = 0.9075 predictive </w:t>
      </w:r>
      <w:r w:rsidRPr="003D2004">
        <w:rPr>
          <w:rFonts w:ascii="Times New Roman" w:hAnsi="Times New Roman" w:cs="Times New Roman"/>
          <w:sz w:val="24"/>
          <w:szCs w:val="24"/>
        </w:rPr>
        <w:lastRenderedPageBreak/>
        <w:t>power must be balanced against the existence of "High Usage, Low Belief" clusters, which indicate that many students utilize AI for utilitarian efficiency rather than deep learning. Digital Literacy remains the fundamental moderator; without it, the bridge to performance gains leads only to surface-level academic inflation. The future of higher education necessitates a strategic balance between leveraging innovation for efficiency and preserving the rigorous, independent critical thought that defines the university experience.</w:t>
      </w:r>
    </w:p>
    <w:p w14:paraId="605E5813" w14:textId="77777777" w:rsidR="00587749" w:rsidRDefault="00587749" w:rsidP="004D0422">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163776A" w14:textId="6CB0DAD9" w:rsidR="09FEEE5C" w:rsidRPr="00CA5228" w:rsidRDefault="68A360BE" w:rsidP="004D0422">
      <w:pPr>
        <w:spacing w:before="240" w:after="240" w:line="240" w:lineRule="auto"/>
        <w:rPr>
          <w:sz w:val="24"/>
          <w:szCs w:val="24"/>
        </w:rPr>
      </w:pPr>
      <w:r w:rsidRPr="00CA5228">
        <w:rPr>
          <w:rFonts w:ascii="Times New Roman" w:eastAsia="Times New Roman" w:hAnsi="Times New Roman" w:cs="Times New Roman"/>
          <w:b/>
          <w:sz w:val="28"/>
          <w:szCs w:val="28"/>
        </w:rPr>
        <w:lastRenderedPageBreak/>
        <w:t>References</w:t>
      </w:r>
    </w:p>
    <w:p w14:paraId="33D3A6E7" w14:textId="74244DA7" w:rsidR="00CA5228" w:rsidRDefault="00CA5228" w:rsidP="004D0422">
      <w:pPr>
        <w:pStyle w:val="NormalWeb"/>
        <w:spacing w:before="240" w:beforeAutospacing="0" w:after="240" w:afterAutospacing="0"/>
        <w:ind w:left="720" w:hanging="720"/>
      </w:pPr>
      <w:r>
        <w:t xml:space="preserve">Abbas, M., Jam, F. A., &amp; Khan, T. I. (2024). Is it harmful or helpful? Examining the causes and consequences of generative AI usage among university students. </w:t>
      </w:r>
      <w:r>
        <w:rPr>
          <w:i/>
          <w:iCs/>
        </w:rPr>
        <w:t>International Journal of Educational Technology in Higher Education</w:t>
      </w:r>
      <w:r>
        <w:t xml:space="preserve">, </w:t>
      </w:r>
      <w:r>
        <w:rPr>
          <w:i/>
          <w:iCs/>
        </w:rPr>
        <w:t>21</w:t>
      </w:r>
      <w:r>
        <w:t xml:space="preserve">(1). </w:t>
      </w:r>
      <w:hyperlink r:id="rId16">
        <w:r w:rsidR="0DCF1617" w:rsidRPr="0DCF1617">
          <w:rPr>
            <w:rStyle w:val="Hyperlink"/>
          </w:rPr>
          <w:t>https://doi.org/10.1186/s41239-024-00444-7</w:t>
        </w:r>
      </w:hyperlink>
      <w:r w:rsidR="0DCF1617" w:rsidRPr="0DCF1617">
        <w:rPr>
          <w:rStyle w:val="url"/>
        </w:rPr>
        <w:t xml:space="preserve"> </w:t>
      </w:r>
    </w:p>
    <w:p w14:paraId="59B6C77B" w14:textId="382B46D6" w:rsidR="00CA5228" w:rsidRDefault="00CA5228" w:rsidP="004D0422">
      <w:pPr>
        <w:pStyle w:val="NormalWeb"/>
        <w:spacing w:before="240" w:beforeAutospacing="0" w:after="240" w:afterAutospacing="0"/>
        <w:ind w:left="720" w:hanging="720"/>
      </w:pPr>
      <w:r>
        <w:t xml:space="preserve">Ahmed, S., Rehman, H. U., Zaheer, A. M. Z., &amp; Pervez, N. (2025). The impact of AI-powered adaptive learning systems on student performance in higher education. </w:t>
      </w:r>
      <w:r>
        <w:rPr>
          <w:i/>
          <w:iCs/>
        </w:rPr>
        <w:t>Social Science Review Archives.</w:t>
      </w:r>
      <w:r>
        <w:t xml:space="preserve">, </w:t>
      </w:r>
      <w:r>
        <w:rPr>
          <w:i/>
          <w:iCs/>
        </w:rPr>
        <w:t>3</w:t>
      </w:r>
      <w:r>
        <w:t xml:space="preserve">(4), 133–145. </w:t>
      </w:r>
      <w:hyperlink r:id="rId17">
        <w:r w:rsidR="0DCF1617" w:rsidRPr="0DCF1617">
          <w:rPr>
            <w:rStyle w:val="Hyperlink"/>
          </w:rPr>
          <w:t>https://doi.org/10.70670/sra.v3i4.1103</w:t>
        </w:r>
      </w:hyperlink>
      <w:r w:rsidR="0DCF1617" w:rsidRPr="0DCF1617">
        <w:rPr>
          <w:rStyle w:val="url"/>
        </w:rPr>
        <w:t xml:space="preserve"> </w:t>
      </w:r>
    </w:p>
    <w:p w14:paraId="540F922C" w14:textId="168E7127" w:rsidR="00CA5228" w:rsidRDefault="00CA5228" w:rsidP="004D0422">
      <w:pPr>
        <w:pStyle w:val="NormalWeb"/>
        <w:spacing w:before="240" w:beforeAutospacing="0" w:after="240" w:afterAutospacing="0"/>
        <w:ind w:left="720" w:hanging="720"/>
      </w:pPr>
      <w:r>
        <w:t xml:space="preserve">Alam, M. N., Islam, M. A., Babiker, M. O., Siddiqui, M. S., Amin, M. B., &amp; Oláh, J. (2026). AI-assisted learning tools and student learning outcomes: A cognitive load theory perspective. </w:t>
      </w:r>
      <w:r>
        <w:rPr>
          <w:i/>
          <w:iCs/>
        </w:rPr>
        <w:t xml:space="preserve">Computers in Human </w:t>
      </w:r>
      <w:proofErr w:type="spellStart"/>
      <w:r>
        <w:rPr>
          <w:i/>
          <w:iCs/>
        </w:rPr>
        <w:t>Behavior</w:t>
      </w:r>
      <w:proofErr w:type="spellEnd"/>
      <w:r>
        <w:rPr>
          <w:i/>
          <w:iCs/>
        </w:rPr>
        <w:t xml:space="preserve"> Reports</w:t>
      </w:r>
      <w:r>
        <w:t xml:space="preserve">, </w:t>
      </w:r>
      <w:r>
        <w:rPr>
          <w:i/>
          <w:iCs/>
        </w:rPr>
        <w:t>21</w:t>
      </w:r>
      <w:r>
        <w:t xml:space="preserve">, 100986. </w:t>
      </w:r>
      <w:hyperlink r:id="rId18">
        <w:r w:rsidR="0DCF1617" w:rsidRPr="0DCF1617">
          <w:rPr>
            <w:rStyle w:val="Hyperlink"/>
          </w:rPr>
          <w:t>https://doi.org/10.1016/j.chbr.2026.100986</w:t>
        </w:r>
      </w:hyperlink>
      <w:r w:rsidR="0DCF1617" w:rsidRPr="0DCF1617">
        <w:rPr>
          <w:rStyle w:val="url"/>
        </w:rPr>
        <w:t xml:space="preserve"> </w:t>
      </w:r>
    </w:p>
    <w:p w14:paraId="74678FAD" w14:textId="784DE51F" w:rsidR="00CA5228" w:rsidRDefault="00CA5228" w:rsidP="004D0422">
      <w:pPr>
        <w:pStyle w:val="NormalWeb"/>
        <w:spacing w:before="240" w:beforeAutospacing="0" w:after="240" w:afterAutospacing="0"/>
        <w:ind w:left="720" w:hanging="720"/>
      </w:pPr>
      <w:r w:rsidRPr="00CA5228">
        <w:rPr>
          <w:lang w:val="it-IT"/>
        </w:rPr>
        <w:t xml:space="preserve">Al-Emran, M., Al-Sharafi, M. A., Foroughi, B., Al-Qaysi, N., Mansoor, D., Beheshti, A., &amp; Ali, N. (2025). </w:t>
      </w:r>
      <w:r>
        <w:t xml:space="preserve">Evaluating the influence of generative AI on students’ academic performance through the lenses of TPB and TTF using a hybrid SEM-ANN approach. </w:t>
      </w:r>
      <w:r>
        <w:rPr>
          <w:i/>
          <w:iCs/>
        </w:rPr>
        <w:t>Education and Information Technologies</w:t>
      </w:r>
      <w:r>
        <w:t xml:space="preserve">, </w:t>
      </w:r>
      <w:r>
        <w:rPr>
          <w:i/>
          <w:iCs/>
        </w:rPr>
        <w:t>30</w:t>
      </w:r>
      <w:r>
        <w:t xml:space="preserve">(12), 17557–17587. </w:t>
      </w:r>
      <w:hyperlink r:id="rId19">
        <w:r w:rsidR="0DCF1617" w:rsidRPr="0DCF1617">
          <w:rPr>
            <w:rStyle w:val="Hyperlink"/>
          </w:rPr>
          <w:t>https://doi.org/10.1007/s10639-025-13485-w</w:t>
        </w:r>
      </w:hyperlink>
      <w:r w:rsidR="0DCF1617" w:rsidRPr="0DCF1617">
        <w:rPr>
          <w:rStyle w:val="url"/>
        </w:rPr>
        <w:t xml:space="preserve"> </w:t>
      </w:r>
    </w:p>
    <w:p w14:paraId="1353909C" w14:textId="097C05D6" w:rsidR="00CA5228" w:rsidRDefault="00CA5228" w:rsidP="004D0422">
      <w:pPr>
        <w:pStyle w:val="NormalWeb"/>
        <w:spacing w:before="240" w:beforeAutospacing="0" w:after="240" w:afterAutospacing="0"/>
        <w:ind w:left="720" w:hanging="720"/>
      </w:pPr>
      <w:proofErr w:type="spellStart"/>
      <w:r>
        <w:t>Aljuaid</w:t>
      </w:r>
      <w:proofErr w:type="spellEnd"/>
      <w:r>
        <w:t xml:space="preserve">, H. (2024). The Impact of Artificial intelligence Tools on academic writing instruction in Higher Education: A Systematic review. </w:t>
      </w:r>
      <w:r>
        <w:rPr>
          <w:i/>
          <w:iCs/>
        </w:rPr>
        <w:t>Arab World English Journal</w:t>
      </w:r>
      <w:r>
        <w:t xml:space="preserve">, </w:t>
      </w:r>
      <w:r>
        <w:rPr>
          <w:i/>
          <w:iCs/>
        </w:rPr>
        <w:t>1</w:t>
      </w:r>
      <w:r>
        <w:t xml:space="preserve">(1), 26–55. </w:t>
      </w:r>
      <w:hyperlink r:id="rId20">
        <w:r w:rsidR="0DCF1617" w:rsidRPr="0DCF1617">
          <w:rPr>
            <w:rStyle w:val="Hyperlink"/>
          </w:rPr>
          <w:t>https://doi.org/10.24093/awej/chatgpt.2</w:t>
        </w:r>
      </w:hyperlink>
      <w:r w:rsidR="0DCF1617" w:rsidRPr="0DCF1617">
        <w:rPr>
          <w:rStyle w:val="url"/>
        </w:rPr>
        <w:t xml:space="preserve"> </w:t>
      </w:r>
    </w:p>
    <w:p w14:paraId="49D029A4" w14:textId="65D3B375" w:rsidR="00CA5228" w:rsidRDefault="00CA5228" w:rsidP="004D0422">
      <w:pPr>
        <w:pStyle w:val="NormalWeb"/>
        <w:spacing w:before="240" w:beforeAutospacing="0" w:after="240" w:afterAutospacing="0"/>
        <w:ind w:left="720" w:hanging="720"/>
      </w:pPr>
      <w:r>
        <w:t xml:space="preserve">Al-Mamary, Y. H., Alfalah, A. A., Shamsuddin, A., &amp; Abubakar, A. A. (2024). Artificial intelligence powering education: ChatGPT’s impact on students’ academic performance through the lens of technology-to-performance chain theory. </w:t>
      </w:r>
      <w:r>
        <w:rPr>
          <w:i/>
          <w:iCs/>
        </w:rPr>
        <w:t>Journal of Applied Research in Higher Education</w:t>
      </w:r>
      <w:r>
        <w:t xml:space="preserve">, </w:t>
      </w:r>
      <w:r>
        <w:rPr>
          <w:i/>
          <w:iCs/>
        </w:rPr>
        <w:t>17</w:t>
      </w:r>
      <w:r>
        <w:t xml:space="preserve">(5), 1661–1679. </w:t>
      </w:r>
      <w:hyperlink r:id="rId21">
        <w:r w:rsidR="0DCF1617" w:rsidRPr="0DCF1617">
          <w:rPr>
            <w:rStyle w:val="Hyperlink"/>
          </w:rPr>
          <w:t>https://doi.org/10.1108/jarhe-04-2024-0179</w:t>
        </w:r>
      </w:hyperlink>
      <w:r w:rsidR="0DCF1617" w:rsidRPr="0DCF1617">
        <w:rPr>
          <w:rStyle w:val="url"/>
        </w:rPr>
        <w:t xml:space="preserve"> </w:t>
      </w:r>
    </w:p>
    <w:p w14:paraId="51DA6453" w14:textId="6C50B6A0" w:rsidR="00CA5228" w:rsidRDefault="00CA5228" w:rsidP="004D0422">
      <w:pPr>
        <w:pStyle w:val="NormalWeb"/>
        <w:spacing w:before="240" w:beforeAutospacing="0" w:after="240" w:afterAutospacing="0"/>
        <w:ind w:left="720" w:hanging="720"/>
      </w:pPr>
      <w:r>
        <w:t xml:space="preserve">Ashraf, M. A., Alam, J., &amp; Kalim, U. (2025). Effects of ChatGPT on students’ academic performance in Pakistan higher education classrooms. </w:t>
      </w:r>
      <w:r>
        <w:rPr>
          <w:i/>
          <w:iCs/>
        </w:rPr>
        <w:t>Scientific Reports</w:t>
      </w:r>
      <w:r>
        <w:t xml:space="preserve">, </w:t>
      </w:r>
      <w:r>
        <w:rPr>
          <w:i/>
          <w:iCs/>
        </w:rPr>
        <w:t>15</w:t>
      </w:r>
      <w:r>
        <w:t xml:space="preserve">(1), 16434. </w:t>
      </w:r>
      <w:hyperlink r:id="rId22">
        <w:r w:rsidR="0DCF1617" w:rsidRPr="0DCF1617">
          <w:rPr>
            <w:rStyle w:val="Hyperlink"/>
          </w:rPr>
          <w:t>https://doi.org/10.1038/s41598-025-92625-1</w:t>
        </w:r>
      </w:hyperlink>
      <w:r w:rsidR="0DCF1617" w:rsidRPr="0DCF1617">
        <w:rPr>
          <w:rStyle w:val="url"/>
        </w:rPr>
        <w:t xml:space="preserve"> </w:t>
      </w:r>
    </w:p>
    <w:p w14:paraId="4247A5A2" w14:textId="4B03A927" w:rsidR="00CA5228" w:rsidRDefault="00CA5228" w:rsidP="004D0422">
      <w:pPr>
        <w:pStyle w:val="NormalWeb"/>
        <w:spacing w:before="240" w:beforeAutospacing="0" w:after="240" w:afterAutospacing="0"/>
        <w:ind w:left="720" w:hanging="720"/>
      </w:pPr>
      <w:r>
        <w:t xml:space="preserve">Bai, Y., &amp; Wang, S. (2025). Impact of generative AI interaction and output quality on university students’ learning outcomes: a technology-mediated and motivation-driven approach. </w:t>
      </w:r>
      <w:r>
        <w:rPr>
          <w:i/>
          <w:iCs/>
        </w:rPr>
        <w:t>Scientific Reports</w:t>
      </w:r>
      <w:r>
        <w:t xml:space="preserve">, </w:t>
      </w:r>
      <w:r>
        <w:rPr>
          <w:i/>
          <w:iCs/>
        </w:rPr>
        <w:t>15</w:t>
      </w:r>
      <w:r>
        <w:t xml:space="preserve">(1), 24054. </w:t>
      </w:r>
      <w:hyperlink r:id="rId23">
        <w:r w:rsidR="0DCF1617" w:rsidRPr="0DCF1617">
          <w:rPr>
            <w:rStyle w:val="Hyperlink"/>
          </w:rPr>
          <w:t>https://doi.org/10.1038/s41598-025-08697-6</w:t>
        </w:r>
      </w:hyperlink>
      <w:r w:rsidR="0DCF1617" w:rsidRPr="0DCF1617">
        <w:rPr>
          <w:rStyle w:val="url"/>
        </w:rPr>
        <w:t xml:space="preserve"> </w:t>
      </w:r>
    </w:p>
    <w:p w14:paraId="51AA1DC1" w14:textId="181614C6" w:rsidR="00CA5228" w:rsidRDefault="00CA5228" w:rsidP="004D0422">
      <w:pPr>
        <w:pStyle w:val="NormalWeb"/>
        <w:spacing w:before="240" w:beforeAutospacing="0" w:after="240" w:afterAutospacing="0"/>
        <w:ind w:left="720" w:hanging="720"/>
      </w:pPr>
      <w:r>
        <w:t xml:space="preserve">Bećirović, S., Polz, E., &amp; Tinkel, I. (2025). Exploring students’ AI literacy and its effects on their AI output quality, self-efficacy, and academic performance. </w:t>
      </w:r>
      <w:r>
        <w:rPr>
          <w:i/>
          <w:iCs/>
        </w:rPr>
        <w:t>Smart Learning Environments</w:t>
      </w:r>
      <w:r>
        <w:t xml:space="preserve">, </w:t>
      </w:r>
      <w:r>
        <w:rPr>
          <w:i/>
          <w:iCs/>
        </w:rPr>
        <w:t>12</w:t>
      </w:r>
      <w:r>
        <w:t xml:space="preserve">(1). </w:t>
      </w:r>
      <w:hyperlink r:id="rId24">
        <w:r w:rsidR="0DCF1617" w:rsidRPr="0DCF1617">
          <w:rPr>
            <w:rStyle w:val="Hyperlink"/>
          </w:rPr>
          <w:t>https://doi.org/10.1186/s40561-025-00384-3</w:t>
        </w:r>
      </w:hyperlink>
      <w:r w:rsidR="0DCF1617" w:rsidRPr="0DCF1617">
        <w:rPr>
          <w:rStyle w:val="url"/>
        </w:rPr>
        <w:t xml:space="preserve"> </w:t>
      </w:r>
    </w:p>
    <w:p w14:paraId="06445028" w14:textId="0C568346" w:rsidR="00CA5228" w:rsidRDefault="00CA5228" w:rsidP="004D0422">
      <w:pPr>
        <w:pStyle w:val="NormalWeb"/>
        <w:spacing w:before="240" w:beforeAutospacing="0" w:after="240" w:afterAutospacing="0"/>
        <w:ind w:left="720" w:hanging="720"/>
      </w:pPr>
      <w:r>
        <w:t xml:space="preserve">Castro-Lopez, A., Abed, M. E., Cervero, A., &amp; Álvarez-Blanco, L. (2026). From AI adoption to underperformance? Investigating the impact of interactive AI tools on student outcomes in higher education. </w:t>
      </w:r>
      <w:r>
        <w:rPr>
          <w:i/>
          <w:iCs/>
        </w:rPr>
        <w:t>European Journal of Higher Education</w:t>
      </w:r>
      <w:r>
        <w:t xml:space="preserve">, 1–22. </w:t>
      </w:r>
      <w:hyperlink r:id="rId25">
        <w:r w:rsidR="0DCF1617" w:rsidRPr="0DCF1617">
          <w:rPr>
            <w:rStyle w:val="Hyperlink"/>
          </w:rPr>
          <w:t>https://doi.org/10.1080/21568235.2026.2620686</w:t>
        </w:r>
      </w:hyperlink>
      <w:r w:rsidR="0DCF1617" w:rsidRPr="0DCF1617">
        <w:rPr>
          <w:rStyle w:val="url"/>
        </w:rPr>
        <w:t xml:space="preserve"> </w:t>
      </w:r>
    </w:p>
    <w:p w14:paraId="05C3B63F" w14:textId="64CC4AF0" w:rsidR="00CA5228" w:rsidRDefault="00CA5228" w:rsidP="004D0422">
      <w:pPr>
        <w:pStyle w:val="NormalWeb"/>
        <w:spacing w:before="240" w:beforeAutospacing="0" w:after="240" w:afterAutospacing="0"/>
        <w:ind w:left="720" w:hanging="720"/>
      </w:pPr>
      <w:r>
        <w:t xml:space="preserve">Chukwu, C. O., Chukwu, J. C., &amp; Odey, F. A. (2026). AI-Powered Learning Tools on Measurement of Student Engagement Across Academic Disciplines: Implications of Age and gender. </w:t>
      </w:r>
      <w:r>
        <w:rPr>
          <w:i/>
          <w:iCs/>
        </w:rPr>
        <w:t>Educational Point</w:t>
      </w:r>
      <w:r>
        <w:t xml:space="preserve">, </w:t>
      </w:r>
      <w:r>
        <w:rPr>
          <w:i/>
          <w:iCs/>
        </w:rPr>
        <w:t>3</w:t>
      </w:r>
      <w:r>
        <w:t xml:space="preserve">(1). </w:t>
      </w:r>
      <w:hyperlink r:id="rId26">
        <w:r w:rsidR="0DCF1617" w:rsidRPr="0DCF1617">
          <w:rPr>
            <w:rStyle w:val="Hyperlink"/>
          </w:rPr>
          <w:t>https://doi.org/10.71176/edup/17782</w:t>
        </w:r>
      </w:hyperlink>
      <w:r w:rsidR="0DCF1617" w:rsidRPr="0DCF1617">
        <w:rPr>
          <w:rStyle w:val="url"/>
        </w:rPr>
        <w:t xml:space="preserve"> </w:t>
      </w:r>
    </w:p>
    <w:p w14:paraId="3D0C3861" w14:textId="21F005E9" w:rsidR="00CA5228" w:rsidRDefault="00CA5228" w:rsidP="004D0422">
      <w:pPr>
        <w:pStyle w:val="NormalWeb"/>
        <w:spacing w:before="240" w:beforeAutospacing="0" w:after="240" w:afterAutospacing="0"/>
        <w:ind w:left="720" w:hanging="720"/>
      </w:pPr>
      <w:r>
        <w:t xml:space="preserve">Constantin, A., &amp; Iacob, S. (2025). Higher Education in the Age of AI: CHATGPT’s impact on Students’ Academic activities. </w:t>
      </w:r>
      <w:r>
        <w:rPr>
          <w:i/>
          <w:iCs/>
        </w:rPr>
        <w:t>Proceedings of the . . . International Conference on Business Excellence</w:t>
      </w:r>
      <w:r>
        <w:t xml:space="preserve">, </w:t>
      </w:r>
      <w:r>
        <w:rPr>
          <w:i/>
          <w:iCs/>
        </w:rPr>
        <w:t>19</w:t>
      </w:r>
      <w:r>
        <w:t xml:space="preserve">(1), 3360–3376. </w:t>
      </w:r>
      <w:hyperlink r:id="rId27">
        <w:r w:rsidR="0DCF1617" w:rsidRPr="0DCF1617">
          <w:rPr>
            <w:rStyle w:val="Hyperlink"/>
          </w:rPr>
          <w:t>https://doi.org/10.2478/picbe-2025-0256</w:t>
        </w:r>
      </w:hyperlink>
      <w:r w:rsidR="0DCF1617" w:rsidRPr="0DCF1617">
        <w:rPr>
          <w:rStyle w:val="url"/>
        </w:rPr>
        <w:t xml:space="preserve"> </w:t>
      </w:r>
    </w:p>
    <w:p w14:paraId="0B12699D" w14:textId="55AD87E1" w:rsidR="00CA5228" w:rsidRDefault="00CA5228" w:rsidP="004D0422">
      <w:pPr>
        <w:pStyle w:val="NormalWeb"/>
        <w:spacing w:before="240" w:beforeAutospacing="0" w:after="240" w:afterAutospacing="0"/>
        <w:ind w:left="720" w:hanging="720"/>
      </w:pPr>
      <w:r>
        <w:lastRenderedPageBreak/>
        <w:t xml:space="preserve">Dong, L., Tang, X., &amp; Wang, X. (2025). Examining the effect of artificial intelligence in relation to students’ academic achievement: A meta-analysis. </w:t>
      </w:r>
      <w:r>
        <w:rPr>
          <w:i/>
          <w:iCs/>
        </w:rPr>
        <w:t>Computers and Education Artificial Intelligence</w:t>
      </w:r>
      <w:r>
        <w:t xml:space="preserve">, </w:t>
      </w:r>
      <w:r>
        <w:rPr>
          <w:i/>
          <w:iCs/>
        </w:rPr>
        <w:t>8</w:t>
      </w:r>
      <w:r>
        <w:t xml:space="preserve">, 100400. </w:t>
      </w:r>
      <w:hyperlink r:id="rId28">
        <w:r w:rsidR="0DCF1617" w:rsidRPr="0DCF1617">
          <w:rPr>
            <w:rStyle w:val="Hyperlink"/>
          </w:rPr>
          <w:t>https://doi.org/10.1016/j.caeai.2025.100400</w:t>
        </w:r>
      </w:hyperlink>
      <w:r w:rsidR="0DCF1617" w:rsidRPr="0DCF1617">
        <w:rPr>
          <w:rStyle w:val="url"/>
        </w:rPr>
        <w:t xml:space="preserve"> </w:t>
      </w:r>
    </w:p>
    <w:p w14:paraId="5C6A65CE" w14:textId="715EDC50" w:rsidR="00CA5228" w:rsidRDefault="00CA5228" w:rsidP="004D0422">
      <w:pPr>
        <w:pStyle w:val="NormalWeb"/>
        <w:spacing w:before="240" w:beforeAutospacing="0" w:after="240" w:afterAutospacing="0"/>
        <w:ind w:left="720" w:hanging="720"/>
      </w:pPr>
      <w:r>
        <w:t xml:space="preserve">Dong, S., &amp; Fu, S. (2025). Research on Digital Transformation Strategies for University Curricula Integrating AI Technologies. </w:t>
      </w:r>
      <w:r>
        <w:rPr>
          <w:i/>
          <w:iCs/>
        </w:rPr>
        <w:t>DEAI ’25: Proceedings of the 2nd Guangdong-Hong Kong-Macao Greater Bay Area International Conference on Digital Economy and Artificial Intelligence</w:t>
      </w:r>
      <w:r>
        <w:t xml:space="preserve">, 1545–1549. </w:t>
      </w:r>
      <w:hyperlink r:id="rId29">
        <w:r w:rsidR="0DCF1617" w:rsidRPr="0DCF1617">
          <w:rPr>
            <w:rStyle w:val="Hyperlink"/>
          </w:rPr>
          <w:t>https://doi.org/10.1145/3745238.3745479</w:t>
        </w:r>
      </w:hyperlink>
      <w:r w:rsidR="0DCF1617" w:rsidRPr="0DCF1617">
        <w:rPr>
          <w:rStyle w:val="url"/>
        </w:rPr>
        <w:t xml:space="preserve"> </w:t>
      </w:r>
    </w:p>
    <w:p w14:paraId="78D06B65" w14:textId="79373569" w:rsidR="00CA5228" w:rsidRDefault="00CA5228" w:rsidP="004D0422">
      <w:pPr>
        <w:pStyle w:val="NormalWeb"/>
        <w:spacing w:before="240" w:beforeAutospacing="0" w:after="240" w:afterAutospacing="0"/>
        <w:ind w:left="720" w:hanging="720"/>
      </w:pPr>
      <w:r>
        <w:t xml:space="preserve">Eltahir, M. E., &amp; Babiker, F. M. E. (2024). The Influence of Artificial intelligence Tools on Student Performance in e-Learning Environments: case study. </w:t>
      </w:r>
      <w:r>
        <w:rPr>
          <w:i/>
          <w:iCs/>
        </w:rPr>
        <w:t>The Electronic Journal of e-Learning</w:t>
      </w:r>
      <w:r>
        <w:t xml:space="preserve">, </w:t>
      </w:r>
      <w:r>
        <w:rPr>
          <w:i/>
          <w:iCs/>
        </w:rPr>
        <w:t>22</w:t>
      </w:r>
      <w:r>
        <w:t xml:space="preserve">(9), 91–110. </w:t>
      </w:r>
      <w:hyperlink r:id="rId30">
        <w:r w:rsidR="0DCF1617" w:rsidRPr="0DCF1617">
          <w:rPr>
            <w:rStyle w:val="Hyperlink"/>
          </w:rPr>
          <w:t>https://doi.org/10.34190/ejel.22.9.3639</w:t>
        </w:r>
      </w:hyperlink>
      <w:r w:rsidR="0DCF1617" w:rsidRPr="0DCF1617">
        <w:rPr>
          <w:rStyle w:val="url"/>
        </w:rPr>
        <w:t xml:space="preserve"> </w:t>
      </w:r>
    </w:p>
    <w:p w14:paraId="6EB5008B" w14:textId="21E9E7E5" w:rsidR="00CA5228" w:rsidRDefault="00CA5228" w:rsidP="004D0422">
      <w:pPr>
        <w:pStyle w:val="NormalWeb"/>
        <w:spacing w:before="240" w:beforeAutospacing="0" w:after="240" w:afterAutospacing="0"/>
        <w:ind w:left="720" w:hanging="720"/>
      </w:pPr>
      <w:r>
        <w:t xml:space="preserve">Fazil, A. W., Hakimi, M., </w:t>
      </w:r>
      <w:proofErr w:type="spellStart"/>
      <w:r>
        <w:t>Shahidzay</w:t>
      </w:r>
      <w:proofErr w:type="spellEnd"/>
      <w:r>
        <w:t xml:space="preserve">, A. K., &amp; Hasas, A. (2024). Exploring the broad impact of AI technologies on student engagement and academic performance in university settings in Afghanistan. </w:t>
      </w:r>
      <w:r>
        <w:rPr>
          <w:i/>
          <w:iCs/>
        </w:rPr>
        <w:t>RIGGS Journal of Artificial Intelligence and Digital Business</w:t>
      </w:r>
      <w:r>
        <w:t xml:space="preserve">, </w:t>
      </w:r>
      <w:r>
        <w:rPr>
          <w:i/>
          <w:iCs/>
        </w:rPr>
        <w:t>2</w:t>
      </w:r>
      <w:r>
        <w:t xml:space="preserve">(2), 56–63. </w:t>
      </w:r>
      <w:hyperlink r:id="rId31">
        <w:r w:rsidR="0DCF1617" w:rsidRPr="0DCF1617">
          <w:rPr>
            <w:rStyle w:val="Hyperlink"/>
          </w:rPr>
          <w:t>https://doi.org/10.31004/riggs.v2i2.268</w:t>
        </w:r>
      </w:hyperlink>
      <w:r w:rsidR="0DCF1617" w:rsidRPr="0DCF1617">
        <w:rPr>
          <w:rStyle w:val="url"/>
        </w:rPr>
        <w:t xml:space="preserve"> </w:t>
      </w:r>
    </w:p>
    <w:p w14:paraId="30E2C244" w14:textId="3C4BC16F" w:rsidR="00CA5228" w:rsidRDefault="00CA5228" w:rsidP="004D0422">
      <w:pPr>
        <w:pStyle w:val="NormalWeb"/>
        <w:spacing w:before="240" w:beforeAutospacing="0" w:after="240" w:afterAutospacing="0"/>
        <w:ind w:left="720" w:hanging="720"/>
      </w:pPr>
      <w:r w:rsidRPr="00CA5228">
        <w:rPr>
          <w:lang w:val="it-IT"/>
        </w:rPr>
        <w:t xml:space="preserve">Festiyed, F., Desnita, D., Natasya, Z., Fadillah, M. A., &amp; Novitra, F. (2026). </w:t>
      </w:r>
      <w:r>
        <w:t xml:space="preserve">From Assistance to Autonomy: AI Integration in Structured Research-Based Learning for Higher Education. </w:t>
      </w:r>
      <w:r>
        <w:rPr>
          <w:i/>
          <w:iCs/>
        </w:rPr>
        <w:t>The Electronic Journal of e-Learning</w:t>
      </w:r>
      <w:r>
        <w:t xml:space="preserve">, </w:t>
      </w:r>
      <w:r>
        <w:rPr>
          <w:i/>
          <w:iCs/>
        </w:rPr>
        <w:t>24</w:t>
      </w:r>
      <w:r>
        <w:t xml:space="preserve">(1), 109–124. </w:t>
      </w:r>
      <w:hyperlink r:id="rId32">
        <w:r w:rsidR="0DCF1617" w:rsidRPr="0DCF1617">
          <w:rPr>
            <w:rStyle w:val="Hyperlink"/>
          </w:rPr>
          <w:t>https://doi.org/10.34190/ejel.24.1.4416</w:t>
        </w:r>
      </w:hyperlink>
      <w:r w:rsidR="0DCF1617" w:rsidRPr="0DCF1617">
        <w:rPr>
          <w:rStyle w:val="url"/>
        </w:rPr>
        <w:t xml:space="preserve"> </w:t>
      </w:r>
    </w:p>
    <w:p w14:paraId="06438898" w14:textId="50C42F86" w:rsidR="00CA5228" w:rsidRDefault="00CA5228" w:rsidP="004D0422">
      <w:pPr>
        <w:pStyle w:val="NormalWeb"/>
        <w:spacing w:before="240" w:beforeAutospacing="0" w:after="240" w:afterAutospacing="0"/>
        <w:ind w:left="720" w:hanging="720"/>
      </w:pPr>
      <w:r>
        <w:t xml:space="preserve">Göçer, Ş., &amp; </w:t>
      </w:r>
      <w:proofErr w:type="spellStart"/>
      <w:r>
        <w:t>Karabatak</w:t>
      </w:r>
      <w:proofErr w:type="spellEnd"/>
      <w:r>
        <w:t xml:space="preserve">, S. (2026). The impact of AI-supported online classroom management (AIS-OCM) on attitudes toward </w:t>
      </w:r>
      <w:proofErr w:type="spellStart"/>
      <w:r>
        <w:t>english</w:t>
      </w:r>
      <w:proofErr w:type="spellEnd"/>
      <w:r>
        <w:t xml:space="preserve"> lessons, self-directed online learning, and academic achievement. </w:t>
      </w:r>
      <w:r>
        <w:rPr>
          <w:i/>
          <w:iCs/>
        </w:rPr>
        <w:t>Smart Learning Environments</w:t>
      </w:r>
      <w:r>
        <w:t xml:space="preserve">, </w:t>
      </w:r>
      <w:r>
        <w:rPr>
          <w:i/>
          <w:iCs/>
        </w:rPr>
        <w:t>13</w:t>
      </w:r>
      <w:r>
        <w:t xml:space="preserve">(1). </w:t>
      </w:r>
      <w:hyperlink r:id="rId33">
        <w:r w:rsidR="0DCF1617" w:rsidRPr="0DCF1617">
          <w:rPr>
            <w:rStyle w:val="Hyperlink"/>
          </w:rPr>
          <w:t>https://doi.org/10.1186/s40561-026-00448-y</w:t>
        </w:r>
      </w:hyperlink>
      <w:r w:rsidR="0DCF1617" w:rsidRPr="0DCF1617">
        <w:rPr>
          <w:rStyle w:val="url"/>
        </w:rPr>
        <w:t xml:space="preserve"> </w:t>
      </w:r>
    </w:p>
    <w:p w14:paraId="67DBD32F" w14:textId="2DCC138F" w:rsidR="00CA5228" w:rsidRDefault="00CA5228" w:rsidP="004D0422">
      <w:pPr>
        <w:pStyle w:val="NormalWeb"/>
        <w:spacing w:before="240" w:beforeAutospacing="0" w:after="240" w:afterAutospacing="0"/>
        <w:ind w:left="720" w:hanging="720"/>
      </w:pPr>
      <w:r>
        <w:t xml:space="preserve">Gu, J., &amp; Yan, Z. (2025). Effects of GenAI interventions on student Academic Performance: A Meta-Analysis. </w:t>
      </w:r>
      <w:r>
        <w:rPr>
          <w:i/>
          <w:iCs/>
        </w:rPr>
        <w:t>Journal of Educational Computing Research</w:t>
      </w:r>
      <w:r>
        <w:t xml:space="preserve">, </w:t>
      </w:r>
      <w:r>
        <w:rPr>
          <w:i/>
          <w:iCs/>
        </w:rPr>
        <w:t>63</w:t>
      </w:r>
      <w:r>
        <w:t xml:space="preserve">(6), 1460–1492. </w:t>
      </w:r>
      <w:hyperlink r:id="rId34">
        <w:r w:rsidR="0DCF1617" w:rsidRPr="0DCF1617">
          <w:rPr>
            <w:rStyle w:val="Hyperlink"/>
          </w:rPr>
          <w:t>https://doi.org/10.1177/07356331251349620</w:t>
        </w:r>
      </w:hyperlink>
      <w:r w:rsidR="0DCF1617" w:rsidRPr="0DCF1617">
        <w:rPr>
          <w:rStyle w:val="url"/>
        </w:rPr>
        <w:t xml:space="preserve"> </w:t>
      </w:r>
    </w:p>
    <w:p w14:paraId="7741931A" w14:textId="360F7357" w:rsidR="00CA5228" w:rsidRDefault="00CA5228" w:rsidP="004D0422">
      <w:pPr>
        <w:pStyle w:val="NormalWeb"/>
        <w:spacing w:before="240" w:beforeAutospacing="0" w:after="240" w:afterAutospacing="0"/>
        <w:ind w:left="720" w:hanging="720"/>
      </w:pPr>
      <w:r>
        <w:t xml:space="preserve">Hassan, A. (2026). Leveraging artificial intelligence (AI) to enhance student engagement and academic performance in higher education. </w:t>
      </w:r>
      <w:r>
        <w:rPr>
          <w:i/>
          <w:iCs/>
        </w:rPr>
        <w:t>Education and Information Technologies</w:t>
      </w:r>
      <w:r>
        <w:t xml:space="preserve">. </w:t>
      </w:r>
      <w:hyperlink r:id="rId35">
        <w:r w:rsidR="0DCF1617" w:rsidRPr="0DCF1617">
          <w:rPr>
            <w:rStyle w:val="Hyperlink"/>
          </w:rPr>
          <w:t>https://doi.org/10.1007/s10639-026-13946-w</w:t>
        </w:r>
      </w:hyperlink>
      <w:r w:rsidR="0DCF1617" w:rsidRPr="0DCF1617">
        <w:rPr>
          <w:rStyle w:val="url"/>
        </w:rPr>
        <w:t xml:space="preserve"> </w:t>
      </w:r>
    </w:p>
    <w:p w14:paraId="29B55544" w14:textId="7795E0D5" w:rsidR="00CA5228" w:rsidRDefault="00CA5228" w:rsidP="004D0422">
      <w:pPr>
        <w:pStyle w:val="NormalWeb"/>
        <w:spacing w:before="240" w:beforeAutospacing="0" w:after="240" w:afterAutospacing="0"/>
        <w:ind w:left="720" w:hanging="720"/>
      </w:pPr>
      <w:r>
        <w:t xml:space="preserve">Liu, Y., Qi, Y., &amp; Sun, Y. (2024). AI Learning System Research on cognitive ability and academic Achievement. </w:t>
      </w:r>
      <w:r>
        <w:rPr>
          <w:i/>
          <w:iCs/>
        </w:rPr>
        <w:t>ICAIE ’24: Proceedings of the 2024 3rd International Conference on Artificial Intelligence and Education</w:t>
      </w:r>
      <w:r>
        <w:t xml:space="preserve">, 663–669. </w:t>
      </w:r>
      <w:hyperlink r:id="rId36">
        <w:r w:rsidR="0DCF1617" w:rsidRPr="0DCF1617">
          <w:rPr>
            <w:rStyle w:val="Hyperlink"/>
          </w:rPr>
          <w:t>https://doi.org/10.1145/3722237.3722353</w:t>
        </w:r>
      </w:hyperlink>
      <w:r w:rsidR="0DCF1617" w:rsidRPr="0DCF1617">
        <w:rPr>
          <w:rStyle w:val="url"/>
        </w:rPr>
        <w:t xml:space="preserve"> </w:t>
      </w:r>
    </w:p>
    <w:p w14:paraId="2C94DF41" w14:textId="62E8FB9A" w:rsidR="00CA5228" w:rsidRDefault="00CA5228" w:rsidP="004D0422">
      <w:pPr>
        <w:pStyle w:val="NormalWeb"/>
        <w:spacing w:before="240" w:beforeAutospacing="0" w:after="240" w:afterAutospacing="0"/>
        <w:ind w:left="720" w:hanging="720"/>
      </w:pPr>
      <w:proofErr w:type="spellStart"/>
      <w:r w:rsidRPr="003D4B47">
        <w:t>Mwilongo</w:t>
      </w:r>
      <w:proofErr w:type="spellEnd"/>
      <w:r w:rsidRPr="003D4B47">
        <w:t xml:space="preserve">, N. H., &amp; Mwita, K. M. (2025). </w:t>
      </w:r>
      <w:r>
        <w:t xml:space="preserve">The role of artificial intelligence on the academic performance of university students: The mediating role of intrinsic motivation to learn. </w:t>
      </w:r>
      <w:r>
        <w:rPr>
          <w:i/>
          <w:iCs/>
        </w:rPr>
        <w:t>Innovations in Education and Teaching International</w:t>
      </w:r>
      <w:r>
        <w:t xml:space="preserve">, </w:t>
      </w:r>
      <w:r>
        <w:rPr>
          <w:i/>
          <w:iCs/>
        </w:rPr>
        <w:t>62</w:t>
      </w:r>
      <w:r>
        <w:t xml:space="preserve">(5), 1467–1483. </w:t>
      </w:r>
      <w:hyperlink r:id="rId37">
        <w:r w:rsidR="0DCF1617" w:rsidRPr="0DCF1617">
          <w:rPr>
            <w:rStyle w:val="Hyperlink"/>
          </w:rPr>
          <w:t>https://doi.org/10.1080/14703297.2025.2534440</w:t>
        </w:r>
      </w:hyperlink>
      <w:r w:rsidR="0DCF1617" w:rsidRPr="0DCF1617">
        <w:rPr>
          <w:rStyle w:val="url"/>
        </w:rPr>
        <w:t xml:space="preserve"> </w:t>
      </w:r>
    </w:p>
    <w:p w14:paraId="66459A60" w14:textId="0DF8C610" w:rsidR="00CA5228" w:rsidRDefault="00CA5228" w:rsidP="004D0422">
      <w:pPr>
        <w:pStyle w:val="NormalWeb"/>
        <w:spacing w:before="240" w:beforeAutospacing="0" w:after="240" w:afterAutospacing="0"/>
        <w:ind w:left="720" w:hanging="720"/>
      </w:pPr>
      <w:r>
        <w:t xml:space="preserve">Otman, S. B., Otman, S. B., &amp; </w:t>
      </w:r>
      <w:proofErr w:type="spellStart"/>
      <w:r>
        <w:t>Adalı</w:t>
      </w:r>
      <w:proofErr w:type="spellEnd"/>
      <w:r>
        <w:t xml:space="preserve">, G. K. (2025). The impact of generative AI on university students’ learning experience. </w:t>
      </w:r>
      <w:r>
        <w:rPr>
          <w:i/>
          <w:iCs/>
        </w:rPr>
        <w:t>Journal of Information and Organizational Sciences</w:t>
      </w:r>
      <w:r>
        <w:t xml:space="preserve">, </w:t>
      </w:r>
      <w:r>
        <w:rPr>
          <w:i/>
          <w:iCs/>
        </w:rPr>
        <w:t>49</w:t>
      </w:r>
      <w:r>
        <w:t xml:space="preserve">(2), 329–344. </w:t>
      </w:r>
      <w:hyperlink r:id="rId38">
        <w:r w:rsidR="0DCF1617" w:rsidRPr="0DCF1617">
          <w:rPr>
            <w:rStyle w:val="Hyperlink"/>
          </w:rPr>
          <w:t>https://doi.org/10.31341/jios.49.2.10</w:t>
        </w:r>
      </w:hyperlink>
      <w:r w:rsidR="0DCF1617" w:rsidRPr="0DCF1617">
        <w:rPr>
          <w:rStyle w:val="url"/>
        </w:rPr>
        <w:t xml:space="preserve"> </w:t>
      </w:r>
    </w:p>
    <w:p w14:paraId="174045F2" w14:textId="6D6C02AB" w:rsidR="00CA5228" w:rsidRDefault="00CA5228" w:rsidP="004D0422">
      <w:pPr>
        <w:pStyle w:val="NormalWeb"/>
        <w:spacing w:before="240" w:beforeAutospacing="0" w:after="240" w:afterAutospacing="0"/>
        <w:ind w:left="720" w:hanging="720"/>
      </w:pPr>
      <w:r w:rsidRPr="00CA5228">
        <w:rPr>
          <w:lang w:val="it-IT"/>
        </w:rPr>
        <w:t xml:space="preserve">Pacheco-Mendoza, S., Guevara, C., Mayorga-Albán, A., &amp; Fernández-Escobar, J. (2023). </w:t>
      </w:r>
      <w:r>
        <w:t xml:space="preserve">Artificial intelligence in Higher Education: A Predictive model for Academic performance. </w:t>
      </w:r>
      <w:r>
        <w:rPr>
          <w:i/>
          <w:iCs/>
        </w:rPr>
        <w:t>Education Sciences</w:t>
      </w:r>
      <w:r>
        <w:t xml:space="preserve">, </w:t>
      </w:r>
      <w:r>
        <w:rPr>
          <w:i/>
          <w:iCs/>
        </w:rPr>
        <w:t>13</w:t>
      </w:r>
      <w:r>
        <w:t xml:space="preserve">(10), 990. </w:t>
      </w:r>
      <w:hyperlink r:id="rId39">
        <w:r w:rsidR="0DCF1617" w:rsidRPr="0DCF1617">
          <w:rPr>
            <w:rStyle w:val="Hyperlink"/>
          </w:rPr>
          <w:t>https://doi.org/10.3390/educsci13100990</w:t>
        </w:r>
      </w:hyperlink>
      <w:r w:rsidR="0DCF1617" w:rsidRPr="0DCF1617">
        <w:rPr>
          <w:rStyle w:val="url"/>
        </w:rPr>
        <w:t xml:space="preserve"> </w:t>
      </w:r>
    </w:p>
    <w:p w14:paraId="17C80C10" w14:textId="61F02201" w:rsidR="00CA5228" w:rsidRDefault="00CA5228" w:rsidP="004D0422">
      <w:pPr>
        <w:pStyle w:val="NormalWeb"/>
        <w:spacing w:before="240" w:beforeAutospacing="0" w:after="240" w:afterAutospacing="0"/>
        <w:ind w:left="720" w:hanging="720"/>
      </w:pPr>
      <w:r>
        <w:t xml:space="preserve">Pallant, J. L., </w:t>
      </w:r>
      <w:proofErr w:type="spellStart"/>
      <w:r>
        <w:t>Blijlevens</w:t>
      </w:r>
      <w:proofErr w:type="spellEnd"/>
      <w:r>
        <w:t xml:space="preserve">, J., Campbell, A., &amp; Jopp, R. (2025). Mastering knowledge: the impact of generative AI on student learning outcomes. </w:t>
      </w:r>
      <w:r>
        <w:rPr>
          <w:i/>
          <w:iCs/>
        </w:rPr>
        <w:t>Studies in Higher Education</w:t>
      </w:r>
      <w:r>
        <w:t xml:space="preserve">, </w:t>
      </w:r>
      <w:r>
        <w:rPr>
          <w:i/>
          <w:iCs/>
        </w:rPr>
        <w:t>51</w:t>
      </w:r>
      <w:r>
        <w:t xml:space="preserve">(4), 714–735. </w:t>
      </w:r>
      <w:hyperlink r:id="rId40">
        <w:r w:rsidR="0DCF1617" w:rsidRPr="0DCF1617">
          <w:rPr>
            <w:rStyle w:val="Hyperlink"/>
          </w:rPr>
          <w:t>https://doi.org/10.1080/03075079.2025.2487570</w:t>
        </w:r>
      </w:hyperlink>
      <w:r w:rsidR="0DCF1617" w:rsidRPr="0DCF1617">
        <w:rPr>
          <w:rStyle w:val="url"/>
        </w:rPr>
        <w:t xml:space="preserve"> </w:t>
      </w:r>
    </w:p>
    <w:p w14:paraId="70838FA9" w14:textId="76E57D93" w:rsidR="00CA5228" w:rsidRDefault="00CA5228" w:rsidP="004D0422">
      <w:pPr>
        <w:pStyle w:val="NormalWeb"/>
        <w:spacing w:before="240" w:beforeAutospacing="0" w:after="240" w:afterAutospacing="0"/>
        <w:ind w:left="720" w:hanging="720"/>
      </w:pPr>
      <w:r>
        <w:lastRenderedPageBreak/>
        <w:t xml:space="preserve">Phua, J. T. K., Neo, H., &amp; Teo, C. (2025). Evaluating the Impact of artificial intelligence tools on enhancing student academic performance: Efficacy amidst security and privacy concerns. </w:t>
      </w:r>
      <w:r>
        <w:rPr>
          <w:i/>
          <w:iCs/>
        </w:rPr>
        <w:t>Big Data and Cognitive Computing</w:t>
      </w:r>
      <w:r>
        <w:t xml:space="preserve">, </w:t>
      </w:r>
      <w:r>
        <w:rPr>
          <w:i/>
          <w:iCs/>
        </w:rPr>
        <w:t>9</w:t>
      </w:r>
      <w:r>
        <w:t xml:space="preserve">(5), 131. </w:t>
      </w:r>
      <w:hyperlink r:id="rId41">
        <w:r w:rsidR="0DCF1617" w:rsidRPr="0DCF1617">
          <w:rPr>
            <w:rStyle w:val="Hyperlink"/>
          </w:rPr>
          <w:t>https://doi.org/10.3390/bdcc9050131</w:t>
        </w:r>
      </w:hyperlink>
      <w:r w:rsidR="0DCF1617" w:rsidRPr="0DCF1617">
        <w:rPr>
          <w:rStyle w:val="url"/>
        </w:rPr>
        <w:t xml:space="preserve"> </w:t>
      </w:r>
    </w:p>
    <w:p w14:paraId="022B3C09" w14:textId="54B647FD" w:rsidR="00CA5228" w:rsidRDefault="00CA5228" w:rsidP="004D0422">
      <w:pPr>
        <w:pStyle w:val="NormalWeb"/>
        <w:spacing w:before="240" w:beforeAutospacing="0" w:after="240" w:afterAutospacing="0"/>
        <w:ind w:left="720" w:hanging="720"/>
      </w:pPr>
      <w:r>
        <w:t xml:space="preserve">Qadeer, A. (2025). The Mediating Impact of Student Engagement on the Association between Generative AI-Based Feedback and Academic Performance in Higher Education. </w:t>
      </w:r>
      <w:r>
        <w:rPr>
          <w:i/>
          <w:iCs/>
        </w:rPr>
        <w:t>Journal of Research Innovation and Strategies for Education (RISE)</w:t>
      </w:r>
      <w:r>
        <w:t xml:space="preserve">, </w:t>
      </w:r>
      <w:r>
        <w:rPr>
          <w:i/>
          <w:iCs/>
        </w:rPr>
        <w:t>2</w:t>
      </w:r>
      <w:r>
        <w:t xml:space="preserve">(1), 29–44. </w:t>
      </w:r>
      <w:hyperlink r:id="rId42">
        <w:r w:rsidR="0DCF1617" w:rsidRPr="0DCF1617">
          <w:rPr>
            <w:rStyle w:val="Hyperlink"/>
          </w:rPr>
          <w:t>https://doi.org/10.70148/rise.18</w:t>
        </w:r>
      </w:hyperlink>
      <w:r w:rsidR="0DCF1617" w:rsidRPr="0DCF1617">
        <w:rPr>
          <w:rStyle w:val="url"/>
        </w:rPr>
        <w:t xml:space="preserve"> </w:t>
      </w:r>
    </w:p>
    <w:p w14:paraId="4FAADFA3" w14:textId="5E290D95" w:rsidR="00CA5228" w:rsidRPr="003D4B47" w:rsidRDefault="00CA5228" w:rsidP="004D0422">
      <w:pPr>
        <w:pStyle w:val="NormalWeb"/>
        <w:spacing w:before="240" w:beforeAutospacing="0" w:after="240" w:afterAutospacing="0"/>
        <w:ind w:left="720" w:hanging="720"/>
        <w:rPr>
          <w:lang w:val="it-IT"/>
        </w:rPr>
      </w:pPr>
      <w:r w:rsidRPr="00CA5228">
        <w:rPr>
          <w:lang w:val="it-IT"/>
        </w:rPr>
        <w:t xml:space="preserve">Rasool, U., Li, J., &amp; Liu, M. (2025). </w:t>
      </w:r>
      <w:r>
        <w:t xml:space="preserve">Perceptions of generative AI in teaching and learning: UTAUT and TPACK model-based study of teachers and students. </w:t>
      </w:r>
      <w:r w:rsidRPr="003D4B47">
        <w:rPr>
          <w:i/>
          <w:iCs/>
          <w:lang w:val="it-IT"/>
        </w:rPr>
        <w:t>Acta Psychologica</w:t>
      </w:r>
      <w:r w:rsidRPr="003D4B47">
        <w:rPr>
          <w:lang w:val="it-IT"/>
        </w:rPr>
        <w:t xml:space="preserve">, </w:t>
      </w:r>
      <w:r w:rsidRPr="003D4B47">
        <w:rPr>
          <w:i/>
          <w:iCs/>
          <w:lang w:val="it-IT"/>
        </w:rPr>
        <w:t>261</w:t>
      </w:r>
      <w:r w:rsidRPr="003D4B47">
        <w:rPr>
          <w:lang w:val="it-IT"/>
        </w:rPr>
        <w:t xml:space="preserve">, 105827. </w:t>
      </w:r>
      <w:hyperlink r:id="rId43">
        <w:r w:rsidR="0DCF1617" w:rsidRPr="0DCF1617">
          <w:rPr>
            <w:rStyle w:val="Hyperlink"/>
            <w:lang w:val="it-IT"/>
          </w:rPr>
          <w:t>https://doi.org/10.1016/j.actpsy.2025.105827</w:t>
        </w:r>
      </w:hyperlink>
      <w:r w:rsidR="0DCF1617" w:rsidRPr="0DCF1617">
        <w:rPr>
          <w:rStyle w:val="url"/>
          <w:lang w:val="it-IT"/>
        </w:rPr>
        <w:t xml:space="preserve"> </w:t>
      </w:r>
    </w:p>
    <w:p w14:paraId="69525D29" w14:textId="4673DFEA" w:rsidR="00CA5228" w:rsidRDefault="00CA5228" w:rsidP="004D0422">
      <w:pPr>
        <w:pStyle w:val="NormalWeb"/>
        <w:spacing w:before="240" w:beforeAutospacing="0" w:after="240" w:afterAutospacing="0"/>
        <w:ind w:left="720" w:hanging="720"/>
      </w:pPr>
      <w:r w:rsidRPr="003D4B47">
        <w:rPr>
          <w:lang w:val="it-IT"/>
        </w:rPr>
        <w:t xml:space="preserve">Sari, H. E., Tumanggor, B., &amp; Efron, D. (2024). </w:t>
      </w:r>
      <w:r>
        <w:t xml:space="preserve">Improving Educational Outcomes Through Adaptive Learning Systems using AI. </w:t>
      </w:r>
      <w:r>
        <w:rPr>
          <w:i/>
          <w:iCs/>
        </w:rPr>
        <w:t>International Transactions on Artificial Intelligence (ITALIC)</w:t>
      </w:r>
      <w:r>
        <w:t xml:space="preserve">, </w:t>
      </w:r>
      <w:r>
        <w:rPr>
          <w:i/>
          <w:iCs/>
        </w:rPr>
        <w:t>3</w:t>
      </w:r>
      <w:r>
        <w:t xml:space="preserve">(1), 21–31. </w:t>
      </w:r>
      <w:hyperlink r:id="rId44">
        <w:r w:rsidR="0DCF1617" w:rsidRPr="0DCF1617">
          <w:rPr>
            <w:rStyle w:val="Hyperlink"/>
          </w:rPr>
          <w:t>https://doi.org/10.33050/italic.v3i1.647</w:t>
        </w:r>
      </w:hyperlink>
      <w:r w:rsidR="0DCF1617" w:rsidRPr="0DCF1617">
        <w:rPr>
          <w:rStyle w:val="url"/>
        </w:rPr>
        <w:t xml:space="preserve"> </w:t>
      </w:r>
    </w:p>
    <w:p w14:paraId="17CCE2C9" w14:textId="6EC6BFC7" w:rsidR="00CA5228" w:rsidRDefault="00CA5228" w:rsidP="004D0422">
      <w:pPr>
        <w:pStyle w:val="NormalWeb"/>
        <w:spacing w:before="240" w:beforeAutospacing="0" w:after="240" w:afterAutospacing="0"/>
        <w:ind w:left="720" w:hanging="720"/>
      </w:pPr>
      <w:r>
        <w:t xml:space="preserve">Shahzad, M. F., Xu, S., &amp; Zahid, H. (2024). Exploring the impact of generative AI-based technologies on learning performance through self-efficacy, fairness &amp; ethics, creativity, and trust in higher education. </w:t>
      </w:r>
      <w:r>
        <w:rPr>
          <w:i/>
          <w:iCs/>
        </w:rPr>
        <w:t>Education and Information Technologies</w:t>
      </w:r>
      <w:r>
        <w:t xml:space="preserve">, </w:t>
      </w:r>
      <w:r>
        <w:rPr>
          <w:i/>
          <w:iCs/>
        </w:rPr>
        <w:t>30</w:t>
      </w:r>
      <w:r>
        <w:t xml:space="preserve">(3), 3691–3716. </w:t>
      </w:r>
      <w:hyperlink r:id="rId45">
        <w:r w:rsidR="0DCF1617" w:rsidRPr="0DCF1617">
          <w:rPr>
            <w:rStyle w:val="Hyperlink"/>
          </w:rPr>
          <w:t>https://doi.org/10.1007/s10639-024-12949-9</w:t>
        </w:r>
      </w:hyperlink>
      <w:r w:rsidR="0DCF1617" w:rsidRPr="0DCF1617">
        <w:rPr>
          <w:rStyle w:val="url"/>
        </w:rPr>
        <w:t xml:space="preserve"> </w:t>
      </w:r>
    </w:p>
    <w:p w14:paraId="40EE3005" w14:textId="4FFCA68B" w:rsidR="00CA5228" w:rsidRDefault="00CA5228" w:rsidP="004D0422">
      <w:pPr>
        <w:pStyle w:val="NormalWeb"/>
        <w:spacing w:before="240" w:beforeAutospacing="0" w:after="240" w:afterAutospacing="0"/>
        <w:ind w:left="720" w:hanging="720"/>
        <w:rPr>
          <w:lang w:val="it-IT"/>
        </w:rPr>
      </w:pPr>
      <w:r>
        <w:t xml:space="preserve">Tan, W., &amp; Yang, G. (2025). Impact Assessment of Generative AI Integration in Higher Education Teaching and Learning. </w:t>
      </w:r>
      <w:r>
        <w:rPr>
          <w:i/>
          <w:iCs/>
        </w:rPr>
        <w:t>IECT ’25: Proceedings of the 2nd International Conference on Intelligent Education and Computer Technology</w:t>
      </w:r>
      <w:r>
        <w:t xml:space="preserve">, 724–731. </w:t>
      </w:r>
      <w:hyperlink r:id="rId46">
        <w:r w:rsidR="0DCF1617" w:rsidRPr="0DCF1617">
          <w:rPr>
            <w:rStyle w:val="Hyperlink"/>
            <w:lang w:val="it-IT"/>
          </w:rPr>
          <w:t>https://doi.org/10.1145/3764206.3764319</w:t>
        </w:r>
      </w:hyperlink>
      <w:r w:rsidR="0DCF1617" w:rsidRPr="0DCF1617">
        <w:rPr>
          <w:rStyle w:val="url"/>
          <w:lang w:val="it-IT"/>
        </w:rPr>
        <w:t xml:space="preserve"> </w:t>
      </w:r>
    </w:p>
    <w:p w14:paraId="67A27E03" w14:textId="73C7165A" w:rsidR="00CA5228" w:rsidRDefault="00CA5228" w:rsidP="004D0422">
      <w:pPr>
        <w:pStyle w:val="NormalWeb"/>
        <w:spacing w:before="240" w:beforeAutospacing="0" w:after="240" w:afterAutospacing="0"/>
        <w:ind w:left="720" w:hanging="720"/>
      </w:pPr>
      <w:r w:rsidRPr="00CA5228">
        <w:rPr>
          <w:lang w:val="it-IT"/>
        </w:rPr>
        <w:t xml:space="preserve">Tarhini, A., Al-Sharafi, M. A., &amp; Lawati, H. A. (2026). </w:t>
      </w:r>
      <w:r>
        <w:t xml:space="preserve">Role of AI characteristics, AI literacy, and institutional policy in shaping generative AI use and learning outcomes among higher education students. </w:t>
      </w:r>
      <w:r>
        <w:rPr>
          <w:i/>
          <w:iCs/>
        </w:rPr>
        <w:t>Interactive Learning Environments</w:t>
      </w:r>
      <w:r>
        <w:t xml:space="preserve">, 1–26. </w:t>
      </w:r>
      <w:hyperlink r:id="rId47">
        <w:r w:rsidR="0DCF1617" w:rsidRPr="0DCF1617">
          <w:rPr>
            <w:rStyle w:val="Hyperlink"/>
          </w:rPr>
          <w:t>https://doi.org/10.1080/10494820.2026.2628249</w:t>
        </w:r>
      </w:hyperlink>
      <w:r w:rsidR="0DCF1617" w:rsidRPr="0DCF1617">
        <w:rPr>
          <w:rStyle w:val="url"/>
        </w:rPr>
        <w:t xml:space="preserve"> </w:t>
      </w:r>
    </w:p>
    <w:p w14:paraId="5FC91B78" w14:textId="3C9151AF" w:rsidR="00CA5228" w:rsidRDefault="00CA5228" w:rsidP="004D0422">
      <w:pPr>
        <w:pStyle w:val="NormalWeb"/>
        <w:spacing w:before="240" w:beforeAutospacing="0" w:after="240" w:afterAutospacing="0"/>
        <w:ind w:left="720" w:hanging="720"/>
      </w:pPr>
      <w:r>
        <w:t xml:space="preserve">Vieriu, A. M., &amp; Petrea, G. (2025). The impact of artificial intelligence (AI) on students’ academic development. </w:t>
      </w:r>
      <w:r>
        <w:rPr>
          <w:i/>
          <w:iCs/>
        </w:rPr>
        <w:t>Education Sciences</w:t>
      </w:r>
      <w:r>
        <w:t xml:space="preserve">, </w:t>
      </w:r>
      <w:r>
        <w:rPr>
          <w:i/>
          <w:iCs/>
        </w:rPr>
        <w:t>15</w:t>
      </w:r>
      <w:r>
        <w:t xml:space="preserve">(3), 343. </w:t>
      </w:r>
      <w:hyperlink r:id="rId48">
        <w:r w:rsidR="0DCF1617" w:rsidRPr="0DCF1617">
          <w:rPr>
            <w:rStyle w:val="Hyperlink"/>
          </w:rPr>
          <w:t>https://doi.org/10.3390/educsci15030343</w:t>
        </w:r>
      </w:hyperlink>
      <w:r w:rsidR="0DCF1617" w:rsidRPr="0DCF1617">
        <w:rPr>
          <w:rStyle w:val="url"/>
        </w:rPr>
        <w:t xml:space="preserve"> </w:t>
      </w:r>
    </w:p>
    <w:p w14:paraId="412FB764" w14:textId="20B7B5A2" w:rsidR="00CA5228" w:rsidRDefault="00CA5228" w:rsidP="004D0422">
      <w:pPr>
        <w:pStyle w:val="NormalWeb"/>
        <w:spacing w:before="240" w:beforeAutospacing="0" w:after="240" w:afterAutospacing="0"/>
        <w:ind w:left="720" w:hanging="720"/>
      </w:pPr>
      <w:r>
        <w:t xml:space="preserve">Youssef, E., Medhat, M., Abdellatif, S., &amp; Malek, M. A. (2024). Examining the effect of ChatGPT usage on students’ academic learning and achievement: A survey-based study in Ajman, UAE. </w:t>
      </w:r>
      <w:r>
        <w:rPr>
          <w:i/>
          <w:iCs/>
        </w:rPr>
        <w:t>Computers and Education Artificial Intelligence</w:t>
      </w:r>
      <w:r>
        <w:t xml:space="preserve">, </w:t>
      </w:r>
      <w:r>
        <w:rPr>
          <w:i/>
          <w:iCs/>
        </w:rPr>
        <w:t>7</w:t>
      </w:r>
      <w:r>
        <w:t xml:space="preserve">, 100316. </w:t>
      </w:r>
      <w:hyperlink r:id="rId49">
        <w:r w:rsidR="0DCF1617" w:rsidRPr="0DCF1617">
          <w:rPr>
            <w:rStyle w:val="Hyperlink"/>
          </w:rPr>
          <w:t>https://doi.org/10.1016/j.caeai.2024.100316</w:t>
        </w:r>
      </w:hyperlink>
      <w:r w:rsidR="0DCF1617" w:rsidRPr="0DCF1617">
        <w:rPr>
          <w:rStyle w:val="url"/>
        </w:rPr>
        <w:t xml:space="preserve"> </w:t>
      </w:r>
    </w:p>
    <w:p w14:paraId="5E9B4746" w14:textId="0FF79F38" w:rsidR="00CA5228" w:rsidRDefault="00CA5228" w:rsidP="004D0422">
      <w:pPr>
        <w:pStyle w:val="NormalWeb"/>
        <w:spacing w:before="240" w:beforeAutospacing="0" w:after="240" w:afterAutospacing="0"/>
        <w:ind w:left="720" w:hanging="720"/>
      </w:pPr>
      <w:r>
        <w:t xml:space="preserve">Yu, Q., Yu, K., Yang, R., &amp; Li, B. (2025). Can ChatGPT as a generative AI tool enhance university student academic achievement? </w:t>
      </w:r>
      <w:r>
        <w:rPr>
          <w:i/>
          <w:iCs/>
        </w:rPr>
        <w:t>Innovations in Education and Teaching International</w:t>
      </w:r>
      <w:r>
        <w:t xml:space="preserve">, 1–18. </w:t>
      </w:r>
      <w:hyperlink r:id="rId50">
        <w:r w:rsidR="0DCF1617" w:rsidRPr="0DCF1617">
          <w:rPr>
            <w:rStyle w:val="Hyperlink"/>
          </w:rPr>
          <w:t>https://doi.org/10.1080/14703297.2025.2605651</w:t>
        </w:r>
      </w:hyperlink>
      <w:r w:rsidR="0DCF1617" w:rsidRPr="0DCF1617">
        <w:rPr>
          <w:rStyle w:val="url"/>
        </w:rPr>
        <w:t xml:space="preserve"> </w:t>
      </w:r>
    </w:p>
    <w:p w14:paraId="684DC841" w14:textId="0372CE67" w:rsidR="1E8486CD" w:rsidRDefault="1E8486CD" w:rsidP="004D0422">
      <w:pPr>
        <w:spacing w:before="240" w:after="240" w:line="240" w:lineRule="auto"/>
        <w:jc w:val="both"/>
      </w:pPr>
    </w:p>
    <w:sectPr w:rsidR="1E8486CD" w:rsidSect="00E60136">
      <w:headerReference w:type="default" r:id="rId51"/>
      <w:footerReference w:type="default" r:id="rId52"/>
      <w:pgSz w:w="11906" w:h="16838"/>
      <w:pgMar w:top="1094" w:right="607" w:bottom="607" w:left="607"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CDDA" w14:textId="77777777" w:rsidR="002364E8" w:rsidRDefault="002364E8" w:rsidP="001F6A3C">
      <w:pPr>
        <w:spacing w:after="0" w:line="240" w:lineRule="auto"/>
      </w:pPr>
      <w:r>
        <w:separator/>
      </w:r>
    </w:p>
  </w:endnote>
  <w:endnote w:type="continuationSeparator" w:id="0">
    <w:p w14:paraId="254A2453" w14:textId="77777777" w:rsidR="002364E8" w:rsidRDefault="002364E8" w:rsidP="001F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319006"/>
      <w:docPartObj>
        <w:docPartGallery w:val="Page Numbers (Bottom of Page)"/>
        <w:docPartUnique/>
      </w:docPartObj>
    </w:sdtPr>
    <w:sdtEndPr>
      <w:rPr>
        <w:color w:val="7F7F7F" w:themeColor="background1" w:themeShade="7F"/>
        <w:spacing w:val="60"/>
      </w:rPr>
    </w:sdtEndPr>
    <w:sdtContent>
      <w:p w14:paraId="4FF58787" w14:textId="23F91A26" w:rsidR="008956FF" w:rsidRDefault="008956F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5C171FF" w14:textId="77777777" w:rsidR="00F72A66" w:rsidRDefault="00F72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FBA0" w14:textId="77777777" w:rsidR="002364E8" w:rsidRDefault="002364E8" w:rsidP="001F6A3C">
      <w:pPr>
        <w:spacing w:after="0" w:line="240" w:lineRule="auto"/>
      </w:pPr>
      <w:r>
        <w:separator/>
      </w:r>
    </w:p>
  </w:footnote>
  <w:footnote w:type="continuationSeparator" w:id="0">
    <w:p w14:paraId="73A68828" w14:textId="77777777" w:rsidR="002364E8" w:rsidRDefault="002364E8" w:rsidP="001F6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60"/>
      <w:gridCol w:w="3560"/>
      <w:gridCol w:w="3560"/>
    </w:tblGrid>
    <w:tr w:rsidR="53967302" w14:paraId="7DDA084B" w14:textId="77777777" w:rsidTr="53967302">
      <w:trPr>
        <w:trHeight w:val="300"/>
      </w:trPr>
      <w:tc>
        <w:tcPr>
          <w:tcW w:w="3560" w:type="dxa"/>
        </w:tcPr>
        <w:p w14:paraId="785B5736" w14:textId="4AC4F45D" w:rsidR="53967302" w:rsidRDefault="53967302" w:rsidP="53967302">
          <w:pPr>
            <w:pStyle w:val="Header"/>
            <w:ind w:left="-115"/>
          </w:pPr>
        </w:p>
      </w:tc>
      <w:tc>
        <w:tcPr>
          <w:tcW w:w="3560" w:type="dxa"/>
        </w:tcPr>
        <w:p w14:paraId="30297635" w14:textId="69DFF23B" w:rsidR="53967302" w:rsidRDefault="53967302" w:rsidP="53967302">
          <w:pPr>
            <w:pStyle w:val="Header"/>
            <w:jc w:val="center"/>
          </w:pPr>
        </w:p>
      </w:tc>
      <w:tc>
        <w:tcPr>
          <w:tcW w:w="3560" w:type="dxa"/>
        </w:tcPr>
        <w:p w14:paraId="39D22F24" w14:textId="517CF753" w:rsidR="53967302" w:rsidRDefault="53967302" w:rsidP="53967302">
          <w:pPr>
            <w:pStyle w:val="Header"/>
            <w:ind w:right="-115"/>
            <w:jc w:val="right"/>
          </w:pPr>
        </w:p>
      </w:tc>
    </w:tr>
  </w:tbl>
  <w:p w14:paraId="73FF22AB" w14:textId="7CAD41E1" w:rsidR="00D82B1D" w:rsidRDefault="00D82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304C"/>
    <w:multiLevelType w:val="hybridMultilevel"/>
    <w:tmpl w:val="1B3E61B4"/>
    <w:lvl w:ilvl="0" w:tplc="96328FF8">
      <w:start w:val="1"/>
      <w:numFmt w:val="bullet"/>
      <w:lvlText w:val="·"/>
      <w:lvlJc w:val="left"/>
      <w:pPr>
        <w:ind w:left="720" w:hanging="360"/>
      </w:pPr>
      <w:rPr>
        <w:rFonts w:ascii="Symbol" w:hAnsi="Symbol" w:hint="default"/>
      </w:rPr>
    </w:lvl>
    <w:lvl w:ilvl="1" w:tplc="B4629D38">
      <w:start w:val="1"/>
      <w:numFmt w:val="bullet"/>
      <w:lvlText w:val="o"/>
      <w:lvlJc w:val="left"/>
      <w:pPr>
        <w:ind w:left="1440" w:hanging="360"/>
      </w:pPr>
      <w:rPr>
        <w:rFonts w:ascii="Courier New" w:hAnsi="Courier New" w:hint="default"/>
      </w:rPr>
    </w:lvl>
    <w:lvl w:ilvl="2" w:tplc="019AD570">
      <w:start w:val="1"/>
      <w:numFmt w:val="bullet"/>
      <w:lvlText w:val=""/>
      <w:lvlJc w:val="left"/>
      <w:pPr>
        <w:ind w:left="2160" w:hanging="360"/>
      </w:pPr>
      <w:rPr>
        <w:rFonts w:ascii="Wingdings" w:hAnsi="Wingdings" w:hint="default"/>
      </w:rPr>
    </w:lvl>
    <w:lvl w:ilvl="3" w:tplc="D2C0D134">
      <w:start w:val="1"/>
      <w:numFmt w:val="bullet"/>
      <w:lvlText w:val=""/>
      <w:lvlJc w:val="left"/>
      <w:pPr>
        <w:ind w:left="2880" w:hanging="360"/>
      </w:pPr>
      <w:rPr>
        <w:rFonts w:ascii="Symbol" w:hAnsi="Symbol" w:hint="default"/>
      </w:rPr>
    </w:lvl>
    <w:lvl w:ilvl="4" w:tplc="3140DF1C">
      <w:start w:val="1"/>
      <w:numFmt w:val="bullet"/>
      <w:lvlText w:val="o"/>
      <w:lvlJc w:val="left"/>
      <w:pPr>
        <w:ind w:left="3600" w:hanging="360"/>
      </w:pPr>
      <w:rPr>
        <w:rFonts w:ascii="Courier New" w:hAnsi="Courier New" w:hint="default"/>
      </w:rPr>
    </w:lvl>
    <w:lvl w:ilvl="5" w:tplc="DC3809CE">
      <w:start w:val="1"/>
      <w:numFmt w:val="bullet"/>
      <w:lvlText w:val=""/>
      <w:lvlJc w:val="left"/>
      <w:pPr>
        <w:ind w:left="4320" w:hanging="360"/>
      </w:pPr>
      <w:rPr>
        <w:rFonts w:ascii="Wingdings" w:hAnsi="Wingdings" w:hint="default"/>
      </w:rPr>
    </w:lvl>
    <w:lvl w:ilvl="6" w:tplc="68CE34A8">
      <w:start w:val="1"/>
      <w:numFmt w:val="bullet"/>
      <w:lvlText w:val=""/>
      <w:lvlJc w:val="left"/>
      <w:pPr>
        <w:ind w:left="5040" w:hanging="360"/>
      </w:pPr>
      <w:rPr>
        <w:rFonts w:ascii="Symbol" w:hAnsi="Symbol" w:hint="default"/>
      </w:rPr>
    </w:lvl>
    <w:lvl w:ilvl="7" w:tplc="5FB86F2E">
      <w:start w:val="1"/>
      <w:numFmt w:val="bullet"/>
      <w:lvlText w:val="o"/>
      <w:lvlJc w:val="left"/>
      <w:pPr>
        <w:ind w:left="5760" w:hanging="360"/>
      </w:pPr>
      <w:rPr>
        <w:rFonts w:ascii="Courier New" w:hAnsi="Courier New" w:hint="default"/>
      </w:rPr>
    </w:lvl>
    <w:lvl w:ilvl="8" w:tplc="C3309144">
      <w:start w:val="1"/>
      <w:numFmt w:val="bullet"/>
      <w:lvlText w:val=""/>
      <w:lvlJc w:val="left"/>
      <w:pPr>
        <w:ind w:left="6480" w:hanging="360"/>
      </w:pPr>
      <w:rPr>
        <w:rFonts w:ascii="Wingdings" w:hAnsi="Wingdings" w:hint="default"/>
      </w:rPr>
    </w:lvl>
  </w:abstractNum>
  <w:abstractNum w:abstractNumId="1" w15:restartNumberingAfterBreak="0">
    <w:nsid w:val="0C1F9FA6"/>
    <w:multiLevelType w:val="hybridMultilevel"/>
    <w:tmpl w:val="7AE2BC8C"/>
    <w:lvl w:ilvl="0" w:tplc="FF5E8710">
      <w:start w:val="1"/>
      <w:numFmt w:val="bullet"/>
      <w:lvlText w:val="·"/>
      <w:lvlJc w:val="left"/>
      <w:pPr>
        <w:ind w:left="720" w:hanging="360"/>
      </w:pPr>
      <w:rPr>
        <w:rFonts w:ascii="Symbol" w:hAnsi="Symbol" w:hint="default"/>
      </w:rPr>
    </w:lvl>
    <w:lvl w:ilvl="1" w:tplc="1AAC7F50">
      <w:start w:val="1"/>
      <w:numFmt w:val="bullet"/>
      <w:lvlText w:val="o"/>
      <w:lvlJc w:val="left"/>
      <w:pPr>
        <w:ind w:left="1440" w:hanging="360"/>
      </w:pPr>
      <w:rPr>
        <w:rFonts w:ascii="Courier New" w:hAnsi="Courier New" w:hint="default"/>
      </w:rPr>
    </w:lvl>
    <w:lvl w:ilvl="2" w:tplc="C2A02C06">
      <w:start w:val="1"/>
      <w:numFmt w:val="bullet"/>
      <w:lvlText w:val=""/>
      <w:lvlJc w:val="left"/>
      <w:pPr>
        <w:ind w:left="2160" w:hanging="360"/>
      </w:pPr>
      <w:rPr>
        <w:rFonts w:ascii="Wingdings" w:hAnsi="Wingdings" w:hint="default"/>
      </w:rPr>
    </w:lvl>
    <w:lvl w:ilvl="3" w:tplc="4DFC0D02">
      <w:start w:val="1"/>
      <w:numFmt w:val="bullet"/>
      <w:lvlText w:val=""/>
      <w:lvlJc w:val="left"/>
      <w:pPr>
        <w:ind w:left="2880" w:hanging="360"/>
      </w:pPr>
      <w:rPr>
        <w:rFonts w:ascii="Symbol" w:hAnsi="Symbol" w:hint="default"/>
      </w:rPr>
    </w:lvl>
    <w:lvl w:ilvl="4" w:tplc="5128EE54">
      <w:start w:val="1"/>
      <w:numFmt w:val="bullet"/>
      <w:lvlText w:val="o"/>
      <w:lvlJc w:val="left"/>
      <w:pPr>
        <w:ind w:left="3600" w:hanging="360"/>
      </w:pPr>
      <w:rPr>
        <w:rFonts w:ascii="Courier New" w:hAnsi="Courier New" w:hint="default"/>
      </w:rPr>
    </w:lvl>
    <w:lvl w:ilvl="5" w:tplc="AF920580">
      <w:start w:val="1"/>
      <w:numFmt w:val="bullet"/>
      <w:lvlText w:val=""/>
      <w:lvlJc w:val="left"/>
      <w:pPr>
        <w:ind w:left="4320" w:hanging="360"/>
      </w:pPr>
      <w:rPr>
        <w:rFonts w:ascii="Wingdings" w:hAnsi="Wingdings" w:hint="default"/>
      </w:rPr>
    </w:lvl>
    <w:lvl w:ilvl="6" w:tplc="3B882848">
      <w:start w:val="1"/>
      <w:numFmt w:val="bullet"/>
      <w:lvlText w:val=""/>
      <w:lvlJc w:val="left"/>
      <w:pPr>
        <w:ind w:left="5040" w:hanging="360"/>
      </w:pPr>
      <w:rPr>
        <w:rFonts w:ascii="Symbol" w:hAnsi="Symbol" w:hint="default"/>
      </w:rPr>
    </w:lvl>
    <w:lvl w:ilvl="7" w:tplc="976A5DC8">
      <w:start w:val="1"/>
      <w:numFmt w:val="bullet"/>
      <w:lvlText w:val="o"/>
      <w:lvlJc w:val="left"/>
      <w:pPr>
        <w:ind w:left="5760" w:hanging="360"/>
      </w:pPr>
      <w:rPr>
        <w:rFonts w:ascii="Courier New" w:hAnsi="Courier New" w:hint="default"/>
      </w:rPr>
    </w:lvl>
    <w:lvl w:ilvl="8" w:tplc="2174D094">
      <w:start w:val="1"/>
      <w:numFmt w:val="bullet"/>
      <w:lvlText w:val=""/>
      <w:lvlJc w:val="left"/>
      <w:pPr>
        <w:ind w:left="6480" w:hanging="360"/>
      </w:pPr>
      <w:rPr>
        <w:rFonts w:ascii="Wingdings" w:hAnsi="Wingdings" w:hint="default"/>
      </w:rPr>
    </w:lvl>
  </w:abstractNum>
  <w:abstractNum w:abstractNumId="2" w15:restartNumberingAfterBreak="0">
    <w:nsid w:val="17542F6C"/>
    <w:multiLevelType w:val="hybridMultilevel"/>
    <w:tmpl w:val="EE18A2E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1DF40C2"/>
    <w:multiLevelType w:val="hybridMultilevel"/>
    <w:tmpl w:val="D6ECCB2E"/>
    <w:lvl w:ilvl="0" w:tplc="43E0406E">
      <w:start w:val="1"/>
      <w:numFmt w:val="bullet"/>
      <w:lvlText w:val="·"/>
      <w:lvlJc w:val="left"/>
      <w:pPr>
        <w:ind w:left="720" w:hanging="360"/>
      </w:pPr>
      <w:rPr>
        <w:rFonts w:ascii="Symbol" w:hAnsi="Symbol" w:hint="default"/>
      </w:rPr>
    </w:lvl>
    <w:lvl w:ilvl="1" w:tplc="50EE1168">
      <w:start w:val="1"/>
      <w:numFmt w:val="bullet"/>
      <w:lvlText w:val="o"/>
      <w:lvlJc w:val="left"/>
      <w:pPr>
        <w:ind w:left="1440" w:hanging="360"/>
      </w:pPr>
      <w:rPr>
        <w:rFonts w:ascii="Courier New" w:hAnsi="Courier New" w:hint="default"/>
      </w:rPr>
    </w:lvl>
    <w:lvl w:ilvl="2" w:tplc="14B84894">
      <w:start w:val="1"/>
      <w:numFmt w:val="bullet"/>
      <w:lvlText w:val=""/>
      <w:lvlJc w:val="left"/>
      <w:pPr>
        <w:ind w:left="2160" w:hanging="360"/>
      </w:pPr>
      <w:rPr>
        <w:rFonts w:ascii="Wingdings" w:hAnsi="Wingdings" w:hint="default"/>
      </w:rPr>
    </w:lvl>
    <w:lvl w:ilvl="3" w:tplc="B610F4B2">
      <w:start w:val="1"/>
      <w:numFmt w:val="bullet"/>
      <w:lvlText w:val=""/>
      <w:lvlJc w:val="left"/>
      <w:pPr>
        <w:ind w:left="2880" w:hanging="360"/>
      </w:pPr>
      <w:rPr>
        <w:rFonts w:ascii="Symbol" w:hAnsi="Symbol" w:hint="default"/>
      </w:rPr>
    </w:lvl>
    <w:lvl w:ilvl="4" w:tplc="1B944628">
      <w:start w:val="1"/>
      <w:numFmt w:val="bullet"/>
      <w:lvlText w:val="o"/>
      <w:lvlJc w:val="left"/>
      <w:pPr>
        <w:ind w:left="3600" w:hanging="360"/>
      </w:pPr>
      <w:rPr>
        <w:rFonts w:ascii="Courier New" w:hAnsi="Courier New" w:hint="default"/>
      </w:rPr>
    </w:lvl>
    <w:lvl w:ilvl="5" w:tplc="E93C4F34">
      <w:start w:val="1"/>
      <w:numFmt w:val="bullet"/>
      <w:lvlText w:val=""/>
      <w:lvlJc w:val="left"/>
      <w:pPr>
        <w:ind w:left="4320" w:hanging="360"/>
      </w:pPr>
      <w:rPr>
        <w:rFonts w:ascii="Wingdings" w:hAnsi="Wingdings" w:hint="default"/>
      </w:rPr>
    </w:lvl>
    <w:lvl w:ilvl="6" w:tplc="EE0CDCF4">
      <w:start w:val="1"/>
      <w:numFmt w:val="bullet"/>
      <w:lvlText w:val=""/>
      <w:lvlJc w:val="left"/>
      <w:pPr>
        <w:ind w:left="5040" w:hanging="360"/>
      </w:pPr>
      <w:rPr>
        <w:rFonts w:ascii="Symbol" w:hAnsi="Symbol" w:hint="default"/>
      </w:rPr>
    </w:lvl>
    <w:lvl w:ilvl="7" w:tplc="3788E0FA">
      <w:start w:val="1"/>
      <w:numFmt w:val="bullet"/>
      <w:lvlText w:val="o"/>
      <w:lvlJc w:val="left"/>
      <w:pPr>
        <w:ind w:left="5760" w:hanging="360"/>
      </w:pPr>
      <w:rPr>
        <w:rFonts w:ascii="Courier New" w:hAnsi="Courier New" w:hint="default"/>
      </w:rPr>
    </w:lvl>
    <w:lvl w:ilvl="8" w:tplc="61BAB706">
      <w:start w:val="1"/>
      <w:numFmt w:val="bullet"/>
      <w:lvlText w:val=""/>
      <w:lvlJc w:val="left"/>
      <w:pPr>
        <w:ind w:left="6480" w:hanging="360"/>
      </w:pPr>
      <w:rPr>
        <w:rFonts w:ascii="Wingdings" w:hAnsi="Wingdings" w:hint="default"/>
      </w:rPr>
    </w:lvl>
  </w:abstractNum>
  <w:abstractNum w:abstractNumId="4" w15:restartNumberingAfterBreak="0">
    <w:nsid w:val="28C71E98"/>
    <w:multiLevelType w:val="multilevel"/>
    <w:tmpl w:val="C6DA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50F40"/>
    <w:multiLevelType w:val="multilevel"/>
    <w:tmpl w:val="83C2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B4C32"/>
    <w:multiLevelType w:val="hybridMultilevel"/>
    <w:tmpl w:val="A8460B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B9622F9"/>
    <w:multiLevelType w:val="multilevel"/>
    <w:tmpl w:val="B3A69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101D72"/>
    <w:multiLevelType w:val="multilevel"/>
    <w:tmpl w:val="BFFE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B1AB6"/>
    <w:multiLevelType w:val="hybridMultilevel"/>
    <w:tmpl w:val="F00CB2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5764367A"/>
    <w:multiLevelType w:val="hybridMultilevel"/>
    <w:tmpl w:val="FFAE5D1A"/>
    <w:lvl w:ilvl="0" w:tplc="1E66B142">
      <w:start w:val="1"/>
      <w:numFmt w:val="bullet"/>
      <w:lvlText w:val="·"/>
      <w:lvlJc w:val="left"/>
      <w:pPr>
        <w:ind w:left="720" w:hanging="360"/>
      </w:pPr>
      <w:rPr>
        <w:rFonts w:ascii="Symbol" w:hAnsi="Symbol" w:hint="default"/>
      </w:rPr>
    </w:lvl>
    <w:lvl w:ilvl="1" w:tplc="AC8CE6DA">
      <w:start w:val="1"/>
      <w:numFmt w:val="bullet"/>
      <w:lvlText w:val="o"/>
      <w:lvlJc w:val="left"/>
      <w:pPr>
        <w:ind w:left="1440" w:hanging="360"/>
      </w:pPr>
      <w:rPr>
        <w:rFonts w:ascii="Courier New" w:hAnsi="Courier New" w:hint="default"/>
      </w:rPr>
    </w:lvl>
    <w:lvl w:ilvl="2" w:tplc="E32498EE">
      <w:start w:val="1"/>
      <w:numFmt w:val="bullet"/>
      <w:lvlText w:val=""/>
      <w:lvlJc w:val="left"/>
      <w:pPr>
        <w:ind w:left="2160" w:hanging="360"/>
      </w:pPr>
      <w:rPr>
        <w:rFonts w:ascii="Wingdings" w:hAnsi="Wingdings" w:hint="default"/>
      </w:rPr>
    </w:lvl>
    <w:lvl w:ilvl="3" w:tplc="67104A6C">
      <w:start w:val="1"/>
      <w:numFmt w:val="bullet"/>
      <w:lvlText w:val=""/>
      <w:lvlJc w:val="left"/>
      <w:pPr>
        <w:ind w:left="2880" w:hanging="360"/>
      </w:pPr>
      <w:rPr>
        <w:rFonts w:ascii="Symbol" w:hAnsi="Symbol" w:hint="default"/>
      </w:rPr>
    </w:lvl>
    <w:lvl w:ilvl="4" w:tplc="8430AB94">
      <w:start w:val="1"/>
      <w:numFmt w:val="bullet"/>
      <w:lvlText w:val="o"/>
      <w:lvlJc w:val="left"/>
      <w:pPr>
        <w:ind w:left="3600" w:hanging="360"/>
      </w:pPr>
      <w:rPr>
        <w:rFonts w:ascii="Courier New" w:hAnsi="Courier New" w:hint="default"/>
      </w:rPr>
    </w:lvl>
    <w:lvl w:ilvl="5" w:tplc="E56C057A">
      <w:start w:val="1"/>
      <w:numFmt w:val="bullet"/>
      <w:lvlText w:val=""/>
      <w:lvlJc w:val="left"/>
      <w:pPr>
        <w:ind w:left="4320" w:hanging="360"/>
      </w:pPr>
      <w:rPr>
        <w:rFonts w:ascii="Wingdings" w:hAnsi="Wingdings" w:hint="default"/>
      </w:rPr>
    </w:lvl>
    <w:lvl w:ilvl="6" w:tplc="83B8B0B0">
      <w:start w:val="1"/>
      <w:numFmt w:val="bullet"/>
      <w:lvlText w:val=""/>
      <w:lvlJc w:val="left"/>
      <w:pPr>
        <w:ind w:left="5040" w:hanging="360"/>
      </w:pPr>
      <w:rPr>
        <w:rFonts w:ascii="Symbol" w:hAnsi="Symbol" w:hint="default"/>
      </w:rPr>
    </w:lvl>
    <w:lvl w:ilvl="7" w:tplc="F7DE8A8E">
      <w:start w:val="1"/>
      <w:numFmt w:val="bullet"/>
      <w:lvlText w:val="o"/>
      <w:lvlJc w:val="left"/>
      <w:pPr>
        <w:ind w:left="5760" w:hanging="360"/>
      </w:pPr>
      <w:rPr>
        <w:rFonts w:ascii="Courier New" w:hAnsi="Courier New" w:hint="default"/>
      </w:rPr>
    </w:lvl>
    <w:lvl w:ilvl="8" w:tplc="DF3A5D98">
      <w:start w:val="1"/>
      <w:numFmt w:val="bullet"/>
      <w:lvlText w:val=""/>
      <w:lvlJc w:val="left"/>
      <w:pPr>
        <w:ind w:left="6480" w:hanging="360"/>
      </w:pPr>
      <w:rPr>
        <w:rFonts w:ascii="Wingdings" w:hAnsi="Wingdings" w:hint="default"/>
      </w:rPr>
    </w:lvl>
  </w:abstractNum>
  <w:abstractNum w:abstractNumId="11" w15:restartNumberingAfterBreak="0">
    <w:nsid w:val="577911C4"/>
    <w:multiLevelType w:val="multilevel"/>
    <w:tmpl w:val="9DBA6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442DD9"/>
    <w:multiLevelType w:val="multilevel"/>
    <w:tmpl w:val="48C0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2F6674"/>
    <w:multiLevelType w:val="multilevel"/>
    <w:tmpl w:val="913048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D573FF"/>
    <w:multiLevelType w:val="hybridMultilevel"/>
    <w:tmpl w:val="BFF0FD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013992882">
    <w:abstractNumId w:val="0"/>
  </w:num>
  <w:num w:numId="2" w16cid:durableId="1155683092">
    <w:abstractNumId w:val="14"/>
  </w:num>
  <w:num w:numId="3" w16cid:durableId="1204559499">
    <w:abstractNumId w:val="3"/>
  </w:num>
  <w:num w:numId="4" w16cid:durableId="1276790624">
    <w:abstractNumId w:val="10"/>
  </w:num>
  <w:num w:numId="5" w16cid:durableId="1351418099">
    <w:abstractNumId w:val="7"/>
  </w:num>
  <w:num w:numId="6" w16cid:durableId="1426145495">
    <w:abstractNumId w:val="13"/>
  </w:num>
  <w:num w:numId="7" w16cid:durableId="1440643086">
    <w:abstractNumId w:val="8"/>
  </w:num>
  <w:num w:numId="8" w16cid:durableId="1678531716">
    <w:abstractNumId w:val="4"/>
  </w:num>
  <w:num w:numId="9" w16cid:durableId="1888177575">
    <w:abstractNumId w:val="6"/>
  </w:num>
  <w:num w:numId="10" w16cid:durableId="517694967">
    <w:abstractNumId w:val="12"/>
  </w:num>
  <w:num w:numId="11" w16cid:durableId="683165813">
    <w:abstractNumId w:val="2"/>
  </w:num>
  <w:num w:numId="12" w16cid:durableId="691885231">
    <w:abstractNumId w:val="11"/>
  </w:num>
  <w:num w:numId="13" w16cid:durableId="739332127">
    <w:abstractNumId w:val="1"/>
  </w:num>
  <w:num w:numId="14" w16cid:durableId="967933842">
    <w:abstractNumId w:val="5"/>
  </w:num>
  <w:num w:numId="15" w16cid:durableId="60858556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81"/>
    <w:rsid w:val="00024F14"/>
    <w:rsid w:val="000257DF"/>
    <w:rsid w:val="000276ED"/>
    <w:rsid w:val="0003393F"/>
    <w:rsid w:val="00035E97"/>
    <w:rsid w:val="0003646E"/>
    <w:rsid w:val="00042CF4"/>
    <w:rsid w:val="000509F4"/>
    <w:rsid w:val="00060DAD"/>
    <w:rsid w:val="00080BCA"/>
    <w:rsid w:val="000934BE"/>
    <w:rsid w:val="000941F6"/>
    <w:rsid w:val="000A0021"/>
    <w:rsid w:val="000A5005"/>
    <w:rsid w:val="000B5B69"/>
    <w:rsid w:val="000C3090"/>
    <w:rsid w:val="000D1416"/>
    <w:rsid w:val="000D3654"/>
    <w:rsid w:val="000D5480"/>
    <w:rsid w:val="000E67F9"/>
    <w:rsid w:val="000E6918"/>
    <w:rsid w:val="000EEA4C"/>
    <w:rsid w:val="000F3582"/>
    <w:rsid w:val="000F655C"/>
    <w:rsid w:val="001016D4"/>
    <w:rsid w:val="00110F69"/>
    <w:rsid w:val="00113BB4"/>
    <w:rsid w:val="0011695A"/>
    <w:rsid w:val="00134228"/>
    <w:rsid w:val="00142D46"/>
    <w:rsid w:val="00151D54"/>
    <w:rsid w:val="00165B01"/>
    <w:rsid w:val="0017699C"/>
    <w:rsid w:val="00176BD7"/>
    <w:rsid w:val="001779BD"/>
    <w:rsid w:val="00184A21"/>
    <w:rsid w:val="00186001"/>
    <w:rsid w:val="00186785"/>
    <w:rsid w:val="001A01D9"/>
    <w:rsid w:val="001A4BA9"/>
    <w:rsid w:val="001B1C76"/>
    <w:rsid w:val="001C1EB4"/>
    <w:rsid w:val="001C2F72"/>
    <w:rsid w:val="001C38AD"/>
    <w:rsid w:val="001C5EE5"/>
    <w:rsid w:val="001C64A5"/>
    <w:rsid w:val="001E515C"/>
    <w:rsid w:val="001E7BCB"/>
    <w:rsid w:val="001F6A3C"/>
    <w:rsid w:val="001F6ADD"/>
    <w:rsid w:val="00210722"/>
    <w:rsid w:val="0022230C"/>
    <w:rsid w:val="002229E7"/>
    <w:rsid w:val="00223B52"/>
    <w:rsid w:val="00230E03"/>
    <w:rsid w:val="00231FD0"/>
    <w:rsid w:val="002364E8"/>
    <w:rsid w:val="002571F5"/>
    <w:rsid w:val="002662E5"/>
    <w:rsid w:val="00270023"/>
    <w:rsid w:val="00284453"/>
    <w:rsid w:val="00284D24"/>
    <w:rsid w:val="00286311"/>
    <w:rsid w:val="00294826"/>
    <w:rsid w:val="0029539A"/>
    <w:rsid w:val="002A38C5"/>
    <w:rsid w:val="002B693E"/>
    <w:rsid w:val="002B6BAD"/>
    <w:rsid w:val="002C56FF"/>
    <w:rsid w:val="002C693F"/>
    <w:rsid w:val="002D2421"/>
    <w:rsid w:val="002D3779"/>
    <w:rsid w:val="002D4976"/>
    <w:rsid w:val="002D5D5F"/>
    <w:rsid w:val="002E3A65"/>
    <w:rsid w:val="002F5D64"/>
    <w:rsid w:val="002F60A0"/>
    <w:rsid w:val="002F6497"/>
    <w:rsid w:val="00332641"/>
    <w:rsid w:val="00334BB2"/>
    <w:rsid w:val="00337FFB"/>
    <w:rsid w:val="00340816"/>
    <w:rsid w:val="003449AA"/>
    <w:rsid w:val="00352C09"/>
    <w:rsid w:val="00357429"/>
    <w:rsid w:val="0038125B"/>
    <w:rsid w:val="00385865"/>
    <w:rsid w:val="00390B21"/>
    <w:rsid w:val="00391F1E"/>
    <w:rsid w:val="003A0D8D"/>
    <w:rsid w:val="003A639A"/>
    <w:rsid w:val="003B0A68"/>
    <w:rsid w:val="003B16AD"/>
    <w:rsid w:val="003B783A"/>
    <w:rsid w:val="003C549B"/>
    <w:rsid w:val="003D2004"/>
    <w:rsid w:val="003D4B47"/>
    <w:rsid w:val="003E287A"/>
    <w:rsid w:val="003E2E9C"/>
    <w:rsid w:val="00414C52"/>
    <w:rsid w:val="00422EBC"/>
    <w:rsid w:val="00423BC6"/>
    <w:rsid w:val="004245D1"/>
    <w:rsid w:val="0043275D"/>
    <w:rsid w:val="00434403"/>
    <w:rsid w:val="0043730C"/>
    <w:rsid w:val="00442C55"/>
    <w:rsid w:val="00444B03"/>
    <w:rsid w:val="004518B0"/>
    <w:rsid w:val="00466DC9"/>
    <w:rsid w:val="0048181F"/>
    <w:rsid w:val="00482645"/>
    <w:rsid w:val="004847FE"/>
    <w:rsid w:val="004A0549"/>
    <w:rsid w:val="004C217B"/>
    <w:rsid w:val="004C4ECA"/>
    <w:rsid w:val="004C7AD5"/>
    <w:rsid w:val="004D0422"/>
    <w:rsid w:val="004D4F0C"/>
    <w:rsid w:val="004E2256"/>
    <w:rsid w:val="004E3A06"/>
    <w:rsid w:val="004F318B"/>
    <w:rsid w:val="004F529B"/>
    <w:rsid w:val="005146F9"/>
    <w:rsid w:val="0051DF52"/>
    <w:rsid w:val="00520E4D"/>
    <w:rsid w:val="0053132A"/>
    <w:rsid w:val="005353EB"/>
    <w:rsid w:val="00540899"/>
    <w:rsid w:val="00547A97"/>
    <w:rsid w:val="005509B6"/>
    <w:rsid w:val="00551A25"/>
    <w:rsid w:val="00551A57"/>
    <w:rsid w:val="005612F3"/>
    <w:rsid w:val="00567E39"/>
    <w:rsid w:val="0057556F"/>
    <w:rsid w:val="00575A8E"/>
    <w:rsid w:val="005825F2"/>
    <w:rsid w:val="005863A6"/>
    <w:rsid w:val="00587129"/>
    <w:rsid w:val="00587749"/>
    <w:rsid w:val="00596736"/>
    <w:rsid w:val="00597585"/>
    <w:rsid w:val="005A028D"/>
    <w:rsid w:val="005B518B"/>
    <w:rsid w:val="005C10C0"/>
    <w:rsid w:val="005D49C8"/>
    <w:rsid w:val="005D4F34"/>
    <w:rsid w:val="005E2173"/>
    <w:rsid w:val="005F11D6"/>
    <w:rsid w:val="005F1794"/>
    <w:rsid w:val="00601EA2"/>
    <w:rsid w:val="00606C2C"/>
    <w:rsid w:val="00625740"/>
    <w:rsid w:val="006323FE"/>
    <w:rsid w:val="006356FB"/>
    <w:rsid w:val="00637905"/>
    <w:rsid w:val="00640659"/>
    <w:rsid w:val="0065003B"/>
    <w:rsid w:val="00661ADA"/>
    <w:rsid w:val="0066210E"/>
    <w:rsid w:val="00666AF8"/>
    <w:rsid w:val="006828B9"/>
    <w:rsid w:val="00693D68"/>
    <w:rsid w:val="00697EEF"/>
    <w:rsid w:val="006A00D9"/>
    <w:rsid w:val="006A289E"/>
    <w:rsid w:val="006A3AAC"/>
    <w:rsid w:val="006A3E1A"/>
    <w:rsid w:val="006B7259"/>
    <w:rsid w:val="006C4F10"/>
    <w:rsid w:val="006D030E"/>
    <w:rsid w:val="006D0FC2"/>
    <w:rsid w:val="006D1967"/>
    <w:rsid w:val="006D4CE9"/>
    <w:rsid w:val="006D5883"/>
    <w:rsid w:val="006E5058"/>
    <w:rsid w:val="006F275D"/>
    <w:rsid w:val="006F57C3"/>
    <w:rsid w:val="00705211"/>
    <w:rsid w:val="00705E9E"/>
    <w:rsid w:val="0070B266"/>
    <w:rsid w:val="00711F61"/>
    <w:rsid w:val="00721F77"/>
    <w:rsid w:val="007260B8"/>
    <w:rsid w:val="00730831"/>
    <w:rsid w:val="007338C7"/>
    <w:rsid w:val="007413D8"/>
    <w:rsid w:val="00745B6C"/>
    <w:rsid w:val="00750B7A"/>
    <w:rsid w:val="0075235A"/>
    <w:rsid w:val="00753A16"/>
    <w:rsid w:val="00770887"/>
    <w:rsid w:val="007715E9"/>
    <w:rsid w:val="0077229A"/>
    <w:rsid w:val="00773A0E"/>
    <w:rsid w:val="0077486D"/>
    <w:rsid w:val="00794D06"/>
    <w:rsid w:val="007971F4"/>
    <w:rsid w:val="007B18FF"/>
    <w:rsid w:val="007B416C"/>
    <w:rsid w:val="007C1852"/>
    <w:rsid w:val="007C5FD1"/>
    <w:rsid w:val="007E2B7A"/>
    <w:rsid w:val="007E4B46"/>
    <w:rsid w:val="007F1B25"/>
    <w:rsid w:val="007F76C6"/>
    <w:rsid w:val="007F7B76"/>
    <w:rsid w:val="00811E8F"/>
    <w:rsid w:val="00815DFE"/>
    <w:rsid w:val="00827BC9"/>
    <w:rsid w:val="00834A80"/>
    <w:rsid w:val="00835A04"/>
    <w:rsid w:val="0084086F"/>
    <w:rsid w:val="00853A48"/>
    <w:rsid w:val="00864A66"/>
    <w:rsid w:val="00866191"/>
    <w:rsid w:val="008913F1"/>
    <w:rsid w:val="00894E01"/>
    <w:rsid w:val="008956FF"/>
    <w:rsid w:val="008979F3"/>
    <w:rsid w:val="008A070C"/>
    <w:rsid w:val="008D28EB"/>
    <w:rsid w:val="008D419E"/>
    <w:rsid w:val="008E0156"/>
    <w:rsid w:val="008F2A9C"/>
    <w:rsid w:val="008F42C3"/>
    <w:rsid w:val="009046C9"/>
    <w:rsid w:val="00924261"/>
    <w:rsid w:val="0092717C"/>
    <w:rsid w:val="009332A3"/>
    <w:rsid w:val="009375E5"/>
    <w:rsid w:val="00950798"/>
    <w:rsid w:val="00961CDE"/>
    <w:rsid w:val="00965E8B"/>
    <w:rsid w:val="00971753"/>
    <w:rsid w:val="00972C6D"/>
    <w:rsid w:val="00985267"/>
    <w:rsid w:val="00995067"/>
    <w:rsid w:val="009B0121"/>
    <w:rsid w:val="009C04DF"/>
    <w:rsid w:val="009C48C1"/>
    <w:rsid w:val="009D5B26"/>
    <w:rsid w:val="009D5D0B"/>
    <w:rsid w:val="00A00FA1"/>
    <w:rsid w:val="00A01D57"/>
    <w:rsid w:val="00A03050"/>
    <w:rsid w:val="00A03B15"/>
    <w:rsid w:val="00A05E7A"/>
    <w:rsid w:val="00A066E7"/>
    <w:rsid w:val="00A24859"/>
    <w:rsid w:val="00A53529"/>
    <w:rsid w:val="00A538E4"/>
    <w:rsid w:val="00A6475C"/>
    <w:rsid w:val="00A67819"/>
    <w:rsid w:val="00A84EFC"/>
    <w:rsid w:val="00A859BF"/>
    <w:rsid w:val="00A85A26"/>
    <w:rsid w:val="00AA7367"/>
    <w:rsid w:val="00AB0C53"/>
    <w:rsid w:val="00AC0E4A"/>
    <w:rsid w:val="00AD4D15"/>
    <w:rsid w:val="00AD4DCB"/>
    <w:rsid w:val="00AD667B"/>
    <w:rsid w:val="00AE42D4"/>
    <w:rsid w:val="00AE51B9"/>
    <w:rsid w:val="00B202BD"/>
    <w:rsid w:val="00B20C55"/>
    <w:rsid w:val="00B305F2"/>
    <w:rsid w:val="00B31D8F"/>
    <w:rsid w:val="00B40A30"/>
    <w:rsid w:val="00B47015"/>
    <w:rsid w:val="00B66906"/>
    <w:rsid w:val="00B67A49"/>
    <w:rsid w:val="00B833CD"/>
    <w:rsid w:val="00B9061C"/>
    <w:rsid w:val="00B92048"/>
    <w:rsid w:val="00B923A1"/>
    <w:rsid w:val="00B96C4F"/>
    <w:rsid w:val="00BA4CE2"/>
    <w:rsid w:val="00BA6DEA"/>
    <w:rsid w:val="00BB0488"/>
    <w:rsid w:val="00BB6FFF"/>
    <w:rsid w:val="00BC38C2"/>
    <w:rsid w:val="00BD0CA8"/>
    <w:rsid w:val="00BD119A"/>
    <w:rsid w:val="00BD5019"/>
    <w:rsid w:val="00BE5A84"/>
    <w:rsid w:val="00BE5BCD"/>
    <w:rsid w:val="00C138B5"/>
    <w:rsid w:val="00C14EF2"/>
    <w:rsid w:val="00C15593"/>
    <w:rsid w:val="00C326F4"/>
    <w:rsid w:val="00C34C5F"/>
    <w:rsid w:val="00C421A3"/>
    <w:rsid w:val="00C465FC"/>
    <w:rsid w:val="00C62313"/>
    <w:rsid w:val="00C6579E"/>
    <w:rsid w:val="00C65B10"/>
    <w:rsid w:val="00C7733C"/>
    <w:rsid w:val="00C80CCF"/>
    <w:rsid w:val="00CA307A"/>
    <w:rsid w:val="00CA5228"/>
    <w:rsid w:val="00CD24BC"/>
    <w:rsid w:val="00D00FB1"/>
    <w:rsid w:val="00D01CFF"/>
    <w:rsid w:val="00D04E4E"/>
    <w:rsid w:val="00D13CC6"/>
    <w:rsid w:val="00D1478A"/>
    <w:rsid w:val="00D211D2"/>
    <w:rsid w:val="00D232B9"/>
    <w:rsid w:val="00D26DA8"/>
    <w:rsid w:val="00D353B7"/>
    <w:rsid w:val="00D42EEA"/>
    <w:rsid w:val="00D47FDA"/>
    <w:rsid w:val="00D531C8"/>
    <w:rsid w:val="00D544C8"/>
    <w:rsid w:val="00D60AC1"/>
    <w:rsid w:val="00D66F2C"/>
    <w:rsid w:val="00D71066"/>
    <w:rsid w:val="00D82B1D"/>
    <w:rsid w:val="00D83DC3"/>
    <w:rsid w:val="00D84DB7"/>
    <w:rsid w:val="00D93FCA"/>
    <w:rsid w:val="00DB1AB6"/>
    <w:rsid w:val="00DB1C78"/>
    <w:rsid w:val="00DB3709"/>
    <w:rsid w:val="00DB4481"/>
    <w:rsid w:val="00DB46DA"/>
    <w:rsid w:val="00DD6872"/>
    <w:rsid w:val="00DE1491"/>
    <w:rsid w:val="00DE5047"/>
    <w:rsid w:val="00DE753D"/>
    <w:rsid w:val="00DF3157"/>
    <w:rsid w:val="00DF3DCF"/>
    <w:rsid w:val="00DF5DE3"/>
    <w:rsid w:val="00E037FF"/>
    <w:rsid w:val="00E1338B"/>
    <w:rsid w:val="00E14CBD"/>
    <w:rsid w:val="00E16031"/>
    <w:rsid w:val="00E24630"/>
    <w:rsid w:val="00E30EA8"/>
    <w:rsid w:val="00E3208D"/>
    <w:rsid w:val="00E34D72"/>
    <w:rsid w:val="00E428DA"/>
    <w:rsid w:val="00E42BB8"/>
    <w:rsid w:val="00E535D5"/>
    <w:rsid w:val="00E57729"/>
    <w:rsid w:val="00E60136"/>
    <w:rsid w:val="00E61C94"/>
    <w:rsid w:val="00E66D07"/>
    <w:rsid w:val="00E66D74"/>
    <w:rsid w:val="00E67390"/>
    <w:rsid w:val="00E7508F"/>
    <w:rsid w:val="00E77159"/>
    <w:rsid w:val="00E857F0"/>
    <w:rsid w:val="00E85D8A"/>
    <w:rsid w:val="00E876C3"/>
    <w:rsid w:val="00E90C54"/>
    <w:rsid w:val="00E92AA0"/>
    <w:rsid w:val="00EA0D24"/>
    <w:rsid w:val="00EB1B94"/>
    <w:rsid w:val="00EB259A"/>
    <w:rsid w:val="00EB7905"/>
    <w:rsid w:val="00EC1031"/>
    <w:rsid w:val="00EC396A"/>
    <w:rsid w:val="00EC6856"/>
    <w:rsid w:val="00ED0426"/>
    <w:rsid w:val="00ED1FE7"/>
    <w:rsid w:val="00ED588A"/>
    <w:rsid w:val="00ED6F5C"/>
    <w:rsid w:val="00EE0FAF"/>
    <w:rsid w:val="00EF7EDA"/>
    <w:rsid w:val="00F0705D"/>
    <w:rsid w:val="00F12012"/>
    <w:rsid w:val="00F14D08"/>
    <w:rsid w:val="00F1F48F"/>
    <w:rsid w:val="00F2147B"/>
    <w:rsid w:val="00F2389F"/>
    <w:rsid w:val="00F278B8"/>
    <w:rsid w:val="00F30F64"/>
    <w:rsid w:val="00F3533E"/>
    <w:rsid w:val="00F43A38"/>
    <w:rsid w:val="00F546D0"/>
    <w:rsid w:val="00F60E7D"/>
    <w:rsid w:val="00F6658B"/>
    <w:rsid w:val="00F72A66"/>
    <w:rsid w:val="00F77D27"/>
    <w:rsid w:val="00F900E2"/>
    <w:rsid w:val="00F93334"/>
    <w:rsid w:val="00F96B4A"/>
    <w:rsid w:val="00FA7FDB"/>
    <w:rsid w:val="00FAE678"/>
    <w:rsid w:val="00FB5193"/>
    <w:rsid w:val="00FD5BBC"/>
    <w:rsid w:val="00FE12D5"/>
    <w:rsid w:val="00FF03EF"/>
    <w:rsid w:val="0126EA6A"/>
    <w:rsid w:val="01551C2D"/>
    <w:rsid w:val="015B329E"/>
    <w:rsid w:val="01C2EC3F"/>
    <w:rsid w:val="01D23F20"/>
    <w:rsid w:val="0207D2B7"/>
    <w:rsid w:val="0249671C"/>
    <w:rsid w:val="02A611E0"/>
    <w:rsid w:val="02AF3566"/>
    <w:rsid w:val="03000DCD"/>
    <w:rsid w:val="032C7700"/>
    <w:rsid w:val="03BA63FB"/>
    <w:rsid w:val="03DC000B"/>
    <w:rsid w:val="04D5B023"/>
    <w:rsid w:val="04F19B9E"/>
    <w:rsid w:val="0511A279"/>
    <w:rsid w:val="05CA9E97"/>
    <w:rsid w:val="05D8870E"/>
    <w:rsid w:val="0628229E"/>
    <w:rsid w:val="0677866A"/>
    <w:rsid w:val="06A3DD96"/>
    <w:rsid w:val="0702CFE4"/>
    <w:rsid w:val="0802F717"/>
    <w:rsid w:val="08E1CAD7"/>
    <w:rsid w:val="09AFE470"/>
    <w:rsid w:val="09D14EFB"/>
    <w:rsid w:val="09FEEE5C"/>
    <w:rsid w:val="0A110D04"/>
    <w:rsid w:val="0A281723"/>
    <w:rsid w:val="0A8A2E3F"/>
    <w:rsid w:val="0A913FFF"/>
    <w:rsid w:val="0AF7E518"/>
    <w:rsid w:val="0B230389"/>
    <w:rsid w:val="0C78ECD7"/>
    <w:rsid w:val="0D18ADD6"/>
    <w:rsid w:val="0D27E3B8"/>
    <w:rsid w:val="0D294971"/>
    <w:rsid w:val="0D5357F4"/>
    <w:rsid w:val="0DCF1617"/>
    <w:rsid w:val="0DCFF41F"/>
    <w:rsid w:val="0E2F4124"/>
    <w:rsid w:val="0EA6CE3B"/>
    <w:rsid w:val="0EB4F8D2"/>
    <w:rsid w:val="0F2DD8F3"/>
    <w:rsid w:val="10802849"/>
    <w:rsid w:val="1098A305"/>
    <w:rsid w:val="10CE4240"/>
    <w:rsid w:val="11A98F49"/>
    <w:rsid w:val="1203261C"/>
    <w:rsid w:val="125EEFFE"/>
    <w:rsid w:val="12A643C5"/>
    <w:rsid w:val="12B9CB03"/>
    <w:rsid w:val="12E3FE7C"/>
    <w:rsid w:val="13029A50"/>
    <w:rsid w:val="133CE9C0"/>
    <w:rsid w:val="13C357FA"/>
    <w:rsid w:val="1430D52C"/>
    <w:rsid w:val="1509FB1D"/>
    <w:rsid w:val="1534A3F0"/>
    <w:rsid w:val="154827D3"/>
    <w:rsid w:val="162BD203"/>
    <w:rsid w:val="17FB80AF"/>
    <w:rsid w:val="18707F82"/>
    <w:rsid w:val="189E2D8B"/>
    <w:rsid w:val="18C9A423"/>
    <w:rsid w:val="18EB1F99"/>
    <w:rsid w:val="192F5CAF"/>
    <w:rsid w:val="1959B81C"/>
    <w:rsid w:val="19ECB7DC"/>
    <w:rsid w:val="19FD2EE0"/>
    <w:rsid w:val="1A7E9956"/>
    <w:rsid w:val="1AAA4656"/>
    <w:rsid w:val="1B682E6C"/>
    <w:rsid w:val="1BDE8A86"/>
    <w:rsid w:val="1C9A0853"/>
    <w:rsid w:val="1CA12AF2"/>
    <w:rsid w:val="1CAC2931"/>
    <w:rsid w:val="1D24E6D9"/>
    <w:rsid w:val="1D5C034E"/>
    <w:rsid w:val="1D660801"/>
    <w:rsid w:val="1DB80C5B"/>
    <w:rsid w:val="1DBEB222"/>
    <w:rsid w:val="1DD99CB7"/>
    <w:rsid w:val="1E8486CD"/>
    <w:rsid w:val="1EC8BD80"/>
    <w:rsid w:val="1FA9B726"/>
    <w:rsid w:val="1FD0B369"/>
    <w:rsid w:val="203774FB"/>
    <w:rsid w:val="212C9743"/>
    <w:rsid w:val="21CEE48B"/>
    <w:rsid w:val="21D40F38"/>
    <w:rsid w:val="2205432C"/>
    <w:rsid w:val="223EF3A3"/>
    <w:rsid w:val="2292FD0B"/>
    <w:rsid w:val="229788BE"/>
    <w:rsid w:val="229B887B"/>
    <w:rsid w:val="22D3E367"/>
    <w:rsid w:val="22E40DDC"/>
    <w:rsid w:val="23043297"/>
    <w:rsid w:val="23B36CD2"/>
    <w:rsid w:val="23B533D1"/>
    <w:rsid w:val="23B6ECBA"/>
    <w:rsid w:val="25177CBB"/>
    <w:rsid w:val="258C4E73"/>
    <w:rsid w:val="26085EF9"/>
    <w:rsid w:val="262D67B1"/>
    <w:rsid w:val="26306032"/>
    <w:rsid w:val="26EB9E4A"/>
    <w:rsid w:val="270BFDB4"/>
    <w:rsid w:val="277A3D46"/>
    <w:rsid w:val="27ADB108"/>
    <w:rsid w:val="280D8B73"/>
    <w:rsid w:val="289CEF70"/>
    <w:rsid w:val="29E67770"/>
    <w:rsid w:val="29ECE429"/>
    <w:rsid w:val="2ABCF7DA"/>
    <w:rsid w:val="2B42753E"/>
    <w:rsid w:val="2B8AEC88"/>
    <w:rsid w:val="2BDD1C9C"/>
    <w:rsid w:val="2BFA484C"/>
    <w:rsid w:val="2C1E7149"/>
    <w:rsid w:val="2C4C1040"/>
    <w:rsid w:val="2D498E45"/>
    <w:rsid w:val="2D93E384"/>
    <w:rsid w:val="2D977755"/>
    <w:rsid w:val="2DBAAC8E"/>
    <w:rsid w:val="2DDB1656"/>
    <w:rsid w:val="2E50D5D4"/>
    <w:rsid w:val="2E777991"/>
    <w:rsid w:val="2ED24A26"/>
    <w:rsid w:val="2F18FF45"/>
    <w:rsid w:val="2F1AE3D4"/>
    <w:rsid w:val="316305B2"/>
    <w:rsid w:val="31B04193"/>
    <w:rsid w:val="32CE6249"/>
    <w:rsid w:val="331CE8F6"/>
    <w:rsid w:val="335964EF"/>
    <w:rsid w:val="33B92FA5"/>
    <w:rsid w:val="33BDC7D1"/>
    <w:rsid w:val="33D9FABC"/>
    <w:rsid w:val="3482B0C8"/>
    <w:rsid w:val="34841531"/>
    <w:rsid w:val="34B80146"/>
    <w:rsid w:val="34EB6C2F"/>
    <w:rsid w:val="34FE8D96"/>
    <w:rsid w:val="35061628"/>
    <w:rsid w:val="350B37E3"/>
    <w:rsid w:val="358CDFD3"/>
    <w:rsid w:val="35D36433"/>
    <w:rsid w:val="36B1EE17"/>
    <w:rsid w:val="37628F0D"/>
    <w:rsid w:val="37D2111A"/>
    <w:rsid w:val="3974DF56"/>
    <w:rsid w:val="3974E285"/>
    <w:rsid w:val="3A308265"/>
    <w:rsid w:val="3ADA0F66"/>
    <w:rsid w:val="3BF36EDA"/>
    <w:rsid w:val="3C3B49E0"/>
    <w:rsid w:val="3C94B84A"/>
    <w:rsid w:val="3CB19148"/>
    <w:rsid w:val="3CDEA10B"/>
    <w:rsid w:val="3D64B889"/>
    <w:rsid w:val="3E0007E0"/>
    <w:rsid w:val="3F1BC91E"/>
    <w:rsid w:val="40499199"/>
    <w:rsid w:val="4087C2CB"/>
    <w:rsid w:val="410A470D"/>
    <w:rsid w:val="41F31B72"/>
    <w:rsid w:val="4276631B"/>
    <w:rsid w:val="42F94BED"/>
    <w:rsid w:val="4370D166"/>
    <w:rsid w:val="440248DB"/>
    <w:rsid w:val="4406E56C"/>
    <w:rsid w:val="445779D2"/>
    <w:rsid w:val="45496078"/>
    <w:rsid w:val="45A531A3"/>
    <w:rsid w:val="45F06A60"/>
    <w:rsid w:val="46E74AE3"/>
    <w:rsid w:val="46F01218"/>
    <w:rsid w:val="4791E215"/>
    <w:rsid w:val="47DBA52C"/>
    <w:rsid w:val="47EEBA31"/>
    <w:rsid w:val="48003A7C"/>
    <w:rsid w:val="480B6355"/>
    <w:rsid w:val="48859957"/>
    <w:rsid w:val="48A2B576"/>
    <w:rsid w:val="48DAB1E3"/>
    <w:rsid w:val="48E3D56C"/>
    <w:rsid w:val="496AB31B"/>
    <w:rsid w:val="49F94C95"/>
    <w:rsid w:val="4ABEF541"/>
    <w:rsid w:val="4B4FEC1E"/>
    <w:rsid w:val="4B787874"/>
    <w:rsid w:val="4BFCBF23"/>
    <w:rsid w:val="4C09396E"/>
    <w:rsid w:val="4C19CF35"/>
    <w:rsid w:val="4C86A5B0"/>
    <w:rsid w:val="4C8B6878"/>
    <w:rsid w:val="4E452884"/>
    <w:rsid w:val="4E8C0BE9"/>
    <w:rsid w:val="4E913D4F"/>
    <w:rsid w:val="4E93136D"/>
    <w:rsid w:val="4EAB12F2"/>
    <w:rsid w:val="4EBF2EEF"/>
    <w:rsid w:val="504B519E"/>
    <w:rsid w:val="5291CB27"/>
    <w:rsid w:val="52DB618A"/>
    <w:rsid w:val="53967302"/>
    <w:rsid w:val="556C8B23"/>
    <w:rsid w:val="55A55532"/>
    <w:rsid w:val="576990E9"/>
    <w:rsid w:val="59453DF0"/>
    <w:rsid w:val="59E9DEBF"/>
    <w:rsid w:val="5A18A36A"/>
    <w:rsid w:val="5A249E89"/>
    <w:rsid w:val="5A2FFC57"/>
    <w:rsid w:val="5A50C7C0"/>
    <w:rsid w:val="5A594B75"/>
    <w:rsid w:val="5A6BE2B8"/>
    <w:rsid w:val="5A9CF1F4"/>
    <w:rsid w:val="5AE481D8"/>
    <w:rsid w:val="5B3B932D"/>
    <w:rsid w:val="5B553939"/>
    <w:rsid w:val="5B5A3D5B"/>
    <w:rsid w:val="5B88E56D"/>
    <w:rsid w:val="5BBD1CF5"/>
    <w:rsid w:val="5C8B258A"/>
    <w:rsid w:val="5D36839B"/>
    <w:rsid w:val="5DA4ACBD"/>
    <w:rsid w:val="5E3874EF"/>
    <w:rsid w:val="5E3960E7"/>
    <w:rsid w:val="5E8A6932"/>
    <w:rsid w:val="5EB88FFC"/>
    <w:rsid w:val="5EE928A9"/>
    <w:rsid w:val="5F3D7F74"/>
    <w:rsid w:val="60679D0E"/>
    <w:rsid w:val="608FC71C"/>
    <w:rsid w:val="60D7011F"/>
    <w:rsid w:val="60DFEA21"/>
    <w:rsid w:val="61762894"/>
    <w:rsid w:val="61AF5CE0"/>
    <w:rsid w:val="6250D0D1"/>
    <w:rsid w:val="6318BEEE"/>
    <w:rsid w:val="63651C84"/>
    <w:rsid w:val="6365F90A"/>
    <w:rsid w:val="65039F57"/>
    <w:rsid w:val="65CCAFB4"/>
    <w:rsid w:val="6669D14B"/>
    <w:rsid w:val="66D45D2D"/>
    <w:rsid w:val="67AC0ABA"/>
    <w:rsid w:val="6879B9D6"/>
    <w:rsid w:val="68A360BE"/>
    <w:rsid w:val="68ADB22D"/>
    <w:rsid w:val="69062525"/>
    <w:rsid w:val="69A67E1C"/>
    <w:rsid w:val="69B84342"/>
    <w:rsid w:val="69F744A7"/>
    <w:rsid w:val="6B18EC54"/>
    <w:rsid w:val="6BD72505"/>
    <w:rsid w:val="6BFDAA28"/>
    <w:rsid w:val="6C2F73D5"/>
    <w:rsid w:val="6C5465E8"/>
    <w:rsid w:val="6C9C165D"/>
    <w:rsid w:val="6CE3F8A1"/>
    <w:rsid w:val="6CF9E52F"/>
    <w:rsid w:val="6D943C01"/>
    <w:rsid w:val="6DCE7AED"/>
    <w:rsid w:val="6DDB4D78"/>
    <w:rsid w:val="6E8937F3"/>
    <w:rsid w:val="6EFE921B"/>
    <w:rsid w:val="6F601983"/>
    <w:rsid w:val="6F772218"/>
    <w:rsid w:val="6FA19369"/>
    <w:rsid w:val="7022CAD7"/>
    <w:rsid w:val="708B8179"/>
    <w:rsid w:val="70E98D06"/>
    <w:rsid w:val="72141FD4"/>
    <w:rsid w:val="72BA05AB"/>
    <w:rsid w:val="72C65434"/>
    <w:rsid w:val="72CB9F1E"/>
    <w:rsid w:val="72E3EC65"/>
    <w:rsid w:val="73E23084"/>
    <w:rsid w:val="74BC1743"/>
    <w:rsid w:val="74DA31B0"/>
    <w:rsid w:val="757497B8"/>
    <w:rsid w:val="75C81ABC"/>
    <w:rsid w:val="77441C58"/>
    <w:rsid w:val="77E59EB1"/>
    <w:rsid w:val="7827B052"/>
    <w:rsid w:val="7830001B"/>
    <w:rsid w:val="78594DBE"/>
    <w:rsid w:val="78C2F839"/>
    <w:rsid w:val="79144030"/>
    <w:rsid w:val="794EE8B2"/>
    <w:rsid w:val="79570535"/>
    <w:rsid w:val="7A18B667"/>
    <w:rsid w:val="7A3F08E7"/>
    <w:rsid w:val="7A5E69F3"/>
    <w:rsid w:val="7AE64406"/>
    <w:rsid w:val="7B512EB3"/>
    <w:rsid w:val="7B576F5E"/>
    <w:rsid w:val="7B88A5B3"/>
    <w:rsid w:val="7B9A9CD0"/>
    <w:rsid w:val="7D22E682"/>
    <w:rsid w:val="7DEA7347"/>
    <w:rsid w:val="7E11BB8C"/>
    <w:rsid w:val="7E14B1CE"/>
    <w:rsid w:val="7E360E81"/>
    <w:rsid w:val="7E50F3BE"/>
    <w:rsid w:val="7E5E4B72"/>
    <w:rsid w:val="7E90A5FA"/>
    <w:rsid w:val="7EAB204A"/>
    <w:rsid w:val="7EFA64C7"/>
    <w:rsid w:val="7EFD04F0"/>
    <w:rsid w:val="7F2E904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0D3C"/>
  <w15:chartTrackingRefBased/>
  <w15:docId w15:val="{CF822A89-548A-48B9-A7E0-C0C1230E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24"/>
  </w:style>
  <w:style w:type="paragraph" w:styleId="Heading1">
    <w:name w:val="heading 1"/>
    <w:basedOn w:val="Normal"/>
    <w:next w:val="Normal"/>
    <w:link w:val="Heading1Char"/>
    <w:uiPriority w:val="9"/>
    <w:qFormat/>
    <w:rsid w:val="00DB4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81"/>
    <w:rPr>
      <w:rFonts w:eastAsiaTheme="majorEastAsia" w:cstheme="majorBidi"/>
      <w:color w:val="272727" w:themeColor="text1" w:themeTint="D8"/>
    </w:rPr>
  </w:style>
  <w:style w:type="paragraph" w:styleId="Title">
    <w:name w:val="Title"/>
    <w:basedOn w:val="Normal"/>
    <w:next w:val="Normal"/>
    <w:link w:val="TitleChar"/>
    <w:uiPriority w:val="10"/>
    <w:qFormat/>
    <w:rsid w:val="00DB4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81"/>
    <w:pPr>
      <w:spacing w:before="160"/>
      <w:jc w:val="center"/>
    </w:pPr>
    <w:rPr>
      <w:i/>
      <w:iCs/>
      <w:color w:val="404040" w:themeColor="text1" w:themeTint="BF"/>
    </w:rPr>
  </w:style>
  <w:style w:type="character" w:customStyle="1" w:styleId="QuoteChar">
    <w:name w:val="Quote Char"/>
    <w:basedOn w:val="DefaultParagraphFont"/>
    <w:link w:val="Quote"/>
    <w:uiPriority w:val="29"/>
    <w:rsid w:val="00DB4481"/>
    <w:rPr>
      <w:i/>
      <w:iCs/>
      <w:color w:val="404040" w:themeColor="text1" w:themeTint="BF"/>
    </w:rPr>
  </w:style>
  <w:style w:type="paragraph" w:styleId="ListParagraph">
    <w:name w:val="List Paragraph"/>
    <w:basedOn w:val="Normal"/>
    <w:uiPriority w:val="34"/>
    <w:qFormat/>
    <w:rsid w:val="00DB4481"/>
    <w:pPr>
      <w:ind w:left="720"/>
      <w:contextualSpacing/>
    </w:pPr>
  </w:style>
  <w:style w:type="character" w:styleId="IntenseEmphasis">
    <w:name w:val="Intense Emphasis"/>
    <w:basedOn w:val="DefaultParagraphFont"/>
    <w:uiPriority w:val="21"/>
    <w:qFormat/>
    <w:rsid w:val="00DB4481"/>
    <w:rPr>
      <w:i/>
      <w:iCs/>
      <w:color w:val="0F4761" w:themeColor="accent1" w:themeShade="BF"/>
    </w:rPr>
  </w:style>
  <w:style w:type="paragraph" w:styleId="IntenseQuote">
    <w:name w:val="Intense Quote"/>
    <w:basedOn w:val="Normal"/>
    <w:next w:val="Normal"/>
    <w:link w:val="IntenseQuoteChar"/>
    <w:uiPriority w:val="30"/>
    <w:qFormat/>
    <w:rsid w:val="00DB4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81"/>
    <w:rPr>
      <w:i/>
      <w:iCs/>
      <w:color w:val="0F4761" w:themeColor="accent1" w:themeShade="BF"/>
    </w:rPr>
  </w:style>
  <w:style w:type="character" w:styleId="IntenseReference">
    <w:name w:val="Intense Reference"/>
    <w:basedOn w:val="DefaultParagraphFont"/>
    <w:uiPriority w:val="32"/>
    <w:qFormat/>
    <w:rsid w:val="00DB4481"/>
    <w:rPr>
      <w:b/>
      <w:bCs/>
      <w:smallCaps/>
      <w:color w:val="0F4761" w:themeColor="accent1" w:themeShade="BF"/>
      <w:spacing w:val="5"/>
    </w:rPr>
  </w:style>
  <w:style w:type="character" w:customStyle="1" w:styleId="ng-star-inserted">
    <w:name w:val="ng-star-inserted"/>
    <w:basedOn w:val="DefaultParagraphFont"/>
    <w:rsid w:val="0065003B"/>
  </w:style>
  <w:style w:type="character" w:styleId="Hyperlink">
    <w:name w:val="Hyperlink"/>
    <w:basedOn w:val="DefaultParagraphFont"/>
    <w:uiPriority w:val="99"/>
    <w:unhideWhenUsed/>
    <w:rsid w:val="006E5058"/>
    <w:rPr>
      <w:color w:val="467886"/>
      <w:u w:val="single"/>
    </w:rPr>
  </w:style>
  <w:style w:type="table" w:styleId="TableGrid">
    <w:name w:val="Table Grid"/>
    <w:basedOn w:val="TableNormal"/>
    <w:uiPriority w:val="39"/>
    <w:rsid w:val="005D4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38B5"/>
    <w:rPr>
      <w:color w:val="605E5C"/>
      <w:shd w:val="clear" w:color="auto" w:fill="E1DFDD"/>
    </w:rPr>
  </w:style>
  <w:style w:type="paragraph" w:styleId="NormalWeb">
    <w:name w:val="Normal (Web)"/>
    <w:basedOn w:val="Normal"/>
    <w:uiPriority w:val="99"/>
    <w:semiHidden/>
    <w:unhideWhenUsed/>
    <w:rsid w:val="00CA5228"/>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character" w:customStyle="1" w:styleId="url">
    <w:name w:val="url"/>
    <w:basedOn w:val="DefaultParagraphFont"/>
    <w:rsid w:val="00CA5228"/>
  </w:style>
  <w:style w:type="paragraph" w:styleId="Header">
    <w:name w:val="header"/>
    <w:basedOn w:val="Normal"/>
    <w:link w:val="HeaderChar"/>
    <w:uiPriority w:val="99"/>
    <w:unhideWhenUsed/>
    <w:rsid w:val="001F6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A3C"/>
  </w:style>
  <w:style w:type="paragraph" w:styleId="Footer">
    <w:name w:val="footer"/>
    <w:basedOn w:val="Normal"/>
    <w:link w:val="FooterChar"/>
    <w:uiPriority w:val="99"/>
    <w:unhideWhenUsed/>
    <w:rsid w:val="001F6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doi.org/10.1016/j.chbr.2026.100986" TargetMode="External"/><Relationship Id="rId26" Type="http://schemas.openxmlformats.org/officeDocument/2006/relationships/hyperlink" Target="https://doi.org/10.71176/edup/17782" TargetMode="External"/><Relationship Id="rId39" Type="http://schemas.openxmlformats.org/officeDocument/2006/relationships/hyperlink" Target="https://doi.org/10.3390/educsci13100990" TargetMode="External"/><Relationship Id="rId21" Type="http://schemas.openxmlformats.org/officeDocument/2006/relationships/hyperlink" Target="https://doi.org/10.1108/jarhe-04-2024-0179" TargetMode="External"/><Relationship Id="rId34" Type="http://schemas.openxmlformats.org/officeDocument/2006/relationships/hyperlink" Target="https://doi.org/10.1177/07356331251349620" TargetMode="External"/><Relationship Id="rId42" Type="http://schemas.openxmlformats.org/officeDocument/2006/relationships/hyperlink" Target="https://doi.org/10.70148/rise.18" TargetMode="External"/><Relationship Id="rId47" Type="http://schemas.openxmlformats.org/officeDocument/2006/relationships/hyperlink" Target="https://doi.org/10.1080/10494820.2026.2628249" TargetMode="External"/><Relationship Id="rId50" Type="http://schemas.openxmlformats.org/officeDocument/2006/relationships/hyperlink" Target="https://doi.org/10.1080/14703297.2025.260565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86/s41239-024-00444-7" TargetMode="External"/><Relationship Id="rId29" Type="http://schemas.openxmlformats.org/officeDocument/2006/relationships/hyperlink" Target="https://doi.org/10.1145/3745238.3745479" TargetMode="External"/><Relationship Id="rId11" Type="http://schemas.openxmlformats.org/officeDocument/2006/relationships/diagramData" Target="diagrams/data1.xml"/><Relationship Id="rId24" Type="http://schemas.openxmlformats.org/officeDocument/2006/relationships/hyperlink" Target="https://doi.org/10.1186/s40561-025-00384-3" TargetMode="External"/><Relationship Id="rId32" Type="http://schemas.openxmlformats.org/officeDocument/2006/relationships/hyperlink" Target="https://doi.org/10.34190/ejel.24.1.4416" TargetMode="External"/><Relationship Id="rId37" Type="http://schemas.openxmlformats.org/officeDocument/2006/relationships/hyperlink" Target="https://doi.org/10.1080/14703297.2025.2534440" TargetMode="External"/><Relationship Id="rId40" Type="http://schemas.openxmlformats.org/officeDocument/2006/relationships/hyperlink" Target="https://doi.org/10.1080/03075079.2025.2487570" TargetMode="External"/><Relationship Id="rId45" Type="http://schemas.openxmlformats.org/officeDocument/2006/relationships/hyperlink" Target="https://doi.org/10.1007/s10639-024-12949-9"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oi.org/10.1007/s10639-025-13485-w" TargetMode="External"/><Relationship Id="rId31" Type="http://schemas.openxmlformats.org/officeDocument/2006/relationships/hyperlink" Target="https://doi.org/10.31004/riggs.v2i2.268" TargetMode="External"/><Relationship Id="rId44" Type="http://schemas.openxmlformats.org/officeDocument/2006/relationships/hyperlink" Target="https://doi.org/10.33050/italic.v3i1.647"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doi.org/10.1038/s41598-025-92625-1" TargetMode="External"/><Relationship Id="rId27" Type="http://schemas.openxmlformats.org/officeDocument/2006/relationships/hyperlink" Target="https://doi.org/10.2478/picbe-2025-0256" TargetMode="External"/><Relationship Id="rId30" Type="http://schemas.openxmlformats.org/officeDocument/2006/relationships/hyperlink" Target="https://doi.org/10.34190/ejel.22.9.3639" TargetMode="External"/><Relationship Id="rId35" Type="http://schemas.openxmlformats.org/officeDocument/2006/relationships/hyperlink" Target="https://doi.org/10.1007/s10639-026-13946-w" TargetMode="External"/><Relationship Id="rId43" Type="http://schemas.openxmlformats.org/officeDocument/2006/relationships/hyperlink" Target="https://doi.org/10.1016/j.actpsy.2025.105827" TargetMode="External"/><Relationship Id="rId48" Type="http://schemas.openxmlformats.org/officeDocument/2006/relationships/hyperlink" Target="https://doi.org/10.3390/educsci15030343"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hyperlink" Target="https://doi.org/10.70670/sra.v3i4.1103" TargetMode="External"/><Relationship Id="rId25" Type="http://schemas.openxmlformats.org/officeDocument/2006/relationships/hyperlink" Target="https://doi.org/10.1080/21568235.2026.2620686" TargetMode="External"/><Relationship Id="rId33" Type="http://schemas.openxmlformats.org/officeDocument/2006/relationships/hyperlink" Target="https://doi.org/10.1186/s40561-026-00448-y" TargetMode="External"/><Relationship Id="rId38" Type="http://schemas.openxmlformats.org/officeDocument/2006/relationships/hyperlink" Target="https://doi.org/10.31341/jios.49.2.10" TargetMode="External"/><Relationship Id="rId46" Type="http://schemas.openxmlformats.org/officeDocument/2006/relationships/hyperlink" Target="https://doi.org/10.1145/3764206.3764319" TargetMode="External"/><Relationship Id="rId20" Type="http://schemas.openxmlformats.org/officeDocument/2006/relationships/hyperlink" Target="https://doi.org/10.24093/awej/chatgpt.2" TargetMode="External"/><Relationship Id="rId41" Type="http://schemas.openxmlformats.org/officeDocument/2006/relationships/hyperlink" Target="https://doi.org/10.3390/bdcc905013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hyperlink" Target="https://doi.org/10.1038/s41598-025-08697-6" TargetMode="External"/><Relationship Id="rId28" Type="http://schemas.openxmlformats.org/officeDocument/2006/relationships/hyperlink" Target="https://doi.org/10.1016/j.caeai.2025.100400" TargetMode="External"/><Relationship Id="rId36" Type="http://schemas.openxmlformats.org/officeDocument/2006/relationships/hyperlink" Target="https://doi.org/10.1145/3722237.3722353" TargetMode="External"/><Relationship Id="rId49" Type="http://schemas.openxmlformats.org/officeDocument/2006/relationships/hyperlink" Target="https://doi.org/10.1016/j.caeai.2024.100316"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04DCA2-EE4D-46A0-A3E4-6969C05714E3}" type="doc">
      <dgm:prSet loTypeId="urn:microsoft.com/office/officeart/2005/8/layout/process5" loCatId="process" qsTypeId="urn:microsoft.com/office/officeart/2005/8/quickstyle/3d3" qsCatId="3D" csTypeId="urn:microsoft.com/office/officeart/2005/8/colors/colorful3" csCatId="colorful" phldr="1"/>
      <dgm:spPr/>
      <dgm:t>
        <a:bodyPr/>
        <a:lstStyle/>
        <a:p>
          <a:endParaRPr lang="en-MY"/>
        </a:p>
      </dgm:t>
    </dgm:pt>
    <dgm:pt modelId="{7561E894-E086-4850-A27E-E23CBFE5A975}">
      <dgm:prSet phldrT="[Text]"/>
      <dgm:spPr/>
      <dgm:t>
        <a:bodyPr/>
        <a:lstStyle/>
        <a:p>
          <a:r>
            <a:rPr lang="en-MY"/>
            <a:t>Identification</a:t>
          </a:r>
        </a:p>
      </dgm:t>
    </dgm:pt>
    <dgm:pt modelId="{A7C46292-4932-431A-BF98-8FEF34D205B9}" type="parTrans" cxnId="{0BB44F61-4C90-4091-AEC9-01D263B6F5FE}">
      <dgm:prSet/>
      <dgm:spPr/>
      <dgm:t>
        <a:bodyPr/>
        <a:lstStyle/>
        <a:p>
          <a:endParaRPr lang="en-MY"/>
        </a:p>
      </dgm:t>
    </dgm:pt>
    <dgm:pt modelId="{2AF7D123-943F-40D2-86C8-09E7A79290AF}" type="sibTrans" cxnId="{0BB44F61-4C90-4091-AEC9-01D263B6F5FE}">
      <dgm:prSet/>
      <dgm:spPr/>
      <dgm:t>
        <a:bodyPr/>
        <a:lstStyle/>
        <a:p>
          <a:endParaRPr lang="en-MY"/>
        </a:p>
      </dgm:t>
    </dgm:pt>
    <dgm:pt modelId="{8E4F237D-0207-43EB-B4C9-43419ABB7032}">
      <dgm:prSet phldrT="[Text]"/>
      <dgm:spPr/>
      <dgm:t>
        <a:bodyPr/>
        <a:lstStyle/>
        <a:p>
          <a:r>
            <a:rPr lang="en-MY"/>
            <a:t>Screening</a:t>
          </a:r>
        </a:p>
      </dgm:t>
    </dgm:pt>
    <dgm:pt modelId="{A52B5252-4ADA-418A-88A3-91B0CBFA122C}" type="parTrans" cxnId="{69BC8EF4-4983-464F-BD31-4DD8E73BB2EB}">
      <dgm:prSet/>
      <dgm:spPr/>
      <dgm:t>
        <a:bodyPr/>
        <a:lstStyle/>
        <a:p>
          <a:endParaRPr lang="en-MY"/>
        </a:p>
      </dgm:t>
    </dgm:pt>
    <dgm:pt modelId="{E0793B8D-38D8-4379-A03A-78CB66201DBE}" type="sibTrans" cxnId="{69BC8EF4-4983-464F-BD31-4DD8E73BB2EB}">
      <dgm:prSet/>
      <dgm:spPr/>
      <dgm:t>
        <a:bodyPr/>
        <a:lstStyle/>
        <a:p>
          <a:endParaRPr lang="en-MY"/>
        </a:p>
      </dgm:t>
    </dgm:pt>
    <dgm:pt modelId="{50BF50B5-7B90-466B-90CC-5255B640C6F0}">
      <dgm:prSet phldrT="[Text]"/>
      <dgm:spPr/>
      <dgm:t>
        <a:bodyPr/>
        <a:lstStyle/>
        <a:p>
          <a:r>
            <a:rPr lang="en-MY"/>
            <a:t>Eligibility evaluation</a:t>
          </a:r>
        </a:p>
      </dgm:t>
    </dgm:pt>
    <dgm:pt modelId="{BDFF096C-7CE2-4184-9384-91514755EFE9}" type="parTrans" cxnId="{FFBCF514-540C-464E-B35B-7B7515139F1F}">
      <dgm:prSet/>
      <dgm:spPr/>
      <dgm:t>
        <a:bodyPr/>
        <a:lstStyle/>
        <a:p>
          <a:endParaRPr lang="en-MY"/>
        </a:p>
      </dgm:t>
    </dgm:pt>
    <dgm:pt modelId="{D2355C5C-9D95-4E0E-9636-1A4FC5BC2CED}" type="sibTrans" cxnId="{FFBCF514-540C-464E-B35B-7B7515139F1F}">
      <dgm:prSet/>
      <dgm:spPr/>
      <dgm:t>
        <a:bodyPr/>
        <a:lstStyle/>
        <a:p>
          <a:endParaRPr lang="en-MY"/>
        </a:p>
      </dgm:t>
    </dgm:pt>
    <dgm:pt modelId="{06F391B6-2576-477A-8129-99D2F37E9FD4}">
      <dgm:prSet phldrT="[Text]"/>
      <dgm:spPr/>
      <dgm:t>
        <a:bodyPr/>
        <a:lstStyle/>
        <a:p>
          <a:r>
            <a:rPr lang="en-MY"/>
            <a:t>Inclusion</a:t>
          </a:r>
        </a:p>
      </dgm:t>
    </dgm:pt>
    <dgm:pt modelId="{0476A14E-75EC-42B4-B886-A93808E73353}" type="parTrans" cxnId="{97CC9150-33E1-41D3-97F1-2D2B5FA83B9A}">
      <dgm:prSet/>
      <dgm:spPr/>
      <dgm:t>
        <a:bodyPr/>
        <a:lstStyle/>
        <a:p>
          <a:endParaRPr lang="en-MY"/>
        </a:p>
      </dgm:t>
    </dgm:pt>
    <dgm:pt modelId="{E542CBB3-CBAC-4746-96CB-AC57967875DA}" type="sibTrans" cxnId="{97CC9150-33E1-41D3-97F1-2D2B5FA83B9A}">
      <dgm:prSet/>
      <dgm:spPr/>
      <dgm:t>
        <a:bodyPr/>
        <a:lstStyle/>
        <a:p>
          <a:endParaRPr lang="en-MY"/>
        </a:p>
      </dgm:t>
    </dgm:pt>
    <dgm:pt modelId="{869C0903-628A-483F-BB19-8E33C0CE54C2}" type="pres">
      <dgm:prSet presAssocID="{6004DCA2-EE4D-46A0-A3E4-6969C05714E3}" presName="diagram" presStyleCnt="0">
        <dgm:presLayoutVars>
          <dgm:dir/>
          <dgm:resizeHandles val="exact"/>
        </dgm:presLayoutVars>
      </dgm:prSet>
      <dgm:spPr/>
    </dgm:pt>
    <dgm:pt modelId="{EBA34ADB-4A50-42F4-BF75-14C697ABC8D8}" type="pres">
      <dgm:prSet presAssocID="{7561E894-E086-4850-A27E-E23CBFE5A975}" presName="node" presStyleLbl="node1" presStyleIdx="0" presStyleCnt="4">
        <dgm:presLayoutVars>
          <dgm:bulletEnabled val="1"/>
        </dgm:presLayoutVars>
      </dgm:prSet>
      <dgm:spPr/>
    </dgm:pt>
    <dgm:pt modelId="{E5D932EB-2D8C-48BF-BAAF-CFB8F12C4E30}" type="pres">
      <dgm:prSet presAssocID="{2AF7D123-943F-40D2-86C8-09E7A79290AF}" presName="sibTrans" presStyleLbl="sibTrans2D1" presStyleIdx="0" presStyleCnt="3"/>
      <dgm:spPr/>
    </dgm:pt>
    <dgm:pt modelId="{C9584565-D2B7-410D-9CC7-7CFA47AAAD31}" type="pres">
      <dgm:prSet presAssocID="{2AF7D123-943F-40D2-86C8-09E7A79290AF}" presName="connectorText" presStyleLbl="sibTrans2D1" presStyleIdx="0" presStyleCnt="3"/>
      <dgm:spPr/>
    </dgm:pt>
    <dgm:pt modelId="{19BC960E-D68C-4457-B013-5A86EF41A398}" type="pres">
      <dgm:prSet presAssocID="{8E4F237D-0207-43EB-B4C9-43419ABB7032}" presName="node" presStyleLbl="node1" presStyleIdx="1" presStyleCnt="4">
        <dgm:presLayoutVars>
          <dgm:bulletEnabled val="1"/>
        </dgm:presLayoutVars>
      </dgm:prSet>
      <dgm:spPr/>
    </dgm:pt>
    <dgm:pt modelId="{9742D010-89FC-49C5-9770-7BECCD6BCE33}" type="pres">
      <dgm:prSet presAssocID="{E0793B8D-38D8-4379-A03A-78CB66201DBE}" presName="sibTrans" presStyleLbl="sibTrans2D1" presStyleIdx="1" presStyleCnt="3"/>
      <dgm:spPr/>
    </dgm:pt>
    <dgm:pt modelId="{C993AB43-0FAB-4FF5-97DF-31836F9557D1}" type="pres">
      <dgm:prSet presAssocID="{E0793B8D-38D8-4379-A03A-78CB66201DBE}" presName="connectorText" presStyleLbl="sibTrans2D1" presStyleIdx="1" presStyleCnt="3"/>
      <dgm:spPr/>
    </dgm:pt>
    <dgm:pt modelId="{F10834A7-98A8-4F09-833B-30E4C0E94C44}" type="pres">
      <dgm:prSet presAssocID="{50BF50B5-7B90-466B-90CC-5255B640C6F0}" presName="node" presStyleLbl="node1" presStyleIdx="2" presStyleCnt="4">
        <dgm:presLayoutVars>
          <dgm:bulletEnabled val="1"/>
        </dgm:presLayoutVars>
      </dgm:prSet>
      <dgm:spPr/>
    </dgm:pt>
    <dgm:pt modelId="{87ACF2E9-9E17-448D-8C1E-2063630296DA}" type="pres">
      <dgm:prSet presAssocID="{D2355C5C-9D95-4E0E-9636-1A4FC5BC2CED}" presName="sibTrans" presStyleLbl="sibTrans2D1" presStyleIdx="2" presStyleCnt="3"/>
      <dgm:spPr/>
    </dgm:pt>
    <dgm:pt modelId="{1422293A-FDEB-4705-85D7-AADAC9093678}" type="pres">
      <dgm:prSet presAssocID="{D2355C5C-9D95-4E0E-9636-1A4FC5BC2CED}" presName="connectorText" presStyleLbl="sibTrans2D1" presStyleIdx="2" presStyleCnt="3"/>
      <dgm:spPr/>
    </dgm:pt>
    <dgm:pt modelId="{764EEE2E-7ACE-4CEB-835D-6AA345A6769C}" type="pres">
      <dgm:prSet presAssocID="{06F391B6-2576-477A-8129-99D2F37E9FD4}" presName="node" presStyleLbl="node1" presStyleIdx="3" presStyleCnt="4">
        <dgm:presLayoutVars>
          <dgm:bulletEnabled val="1"/>
        </dgm:presLayoutVars>
      </dgm:prSet>
      <dgm:spPr/>
    </dgm:pt>
  </dgm:ptLst>
  <dgm:cxnLst>
    <dgm:cxn modelId="{044F6505-DD8C-449D-BA65-F557A8AD562E}" type="presOf" srcId="{D2355C5C-9D95-4E0E-9636-1A4FC5BC2CED}" destId="{87ACF2E9-9E17-448D-8C1E-2063630296DA}" srcOrd="0" destOrd="0" presId="urn:microsoft.com/office/officeart/2005/8/layout/process5"/>
    <dgm:cxn modelId="{45E9F909-C865-45E0-858A-69521AC945F1}" type="presOf" srcId="{8E4F237D-0207-43EB-B4C9-43419ABB7032}" destId="{19BC960E-D68C-4457-B013-5A86EF41A398}" srcOrd="0" destOrd="0" presId="urn:microsoft.com/office/officeart/2005/8/layout/process5"/>
    <dgm:cxn modelId="{FFBCF514-540C-464E-B35B-7B7515139F1F}" srcId="{6004DCA2-EE4D-46A0-A3E4-6969C05714E3}" destId="{50BF50B5-7B90-466B-90CC-5255B640C6F0}" srcOrd="2" destOrd="0" parTransId="{BDFF096C-7CE2-4184-9384-91514755EFE9}" sibTransId="{D2355C5C-9D95-4E0E-9636-1A4FC5BC2CED}"/>
    <dgm:cxn modelId="{03D69B17-46E5-4945-AB5B-03D68D033C77}" type="presOf" srcId="{06F391B6-2576-477A-8129-99D2F37E9FD4}" destId="{764EEE2E-7ACE-4CEB-835D-6AA345A6769C}" srcOrd="0" destOrd="0" presId="urn:microsoft.com/office/officeart/2005/8/layout/process5"/>
    <dgm:cxn modelId="{50D1991E-A284-4771-8C2B-CB2195485EF5}" type="presOf" srcId="{2AF7D123-943F-40D2-86C8-09E7A79290AF}" destId="{C9584565-D2B7-410D-9CC7-7CFA47AAAD31}" srcOrd="1" destOrd="0" presId="urn:microsoft.com/office/officeart/2005/8/layout/process5"/>
    <dgm:cxn modelId="{48416E2D-3476-4111-A3B7-9FCEBB08B9F8}" type="presOf" srcId="{D2355C5C-9D95-4E0E-9636-1A4FC5BC2CED}" destId="{1422293A-FDEB-4705-85D7-AADAC9093678}" srcOrd="1" destOrd="0" presId="urn:microsoft.com/office/officeart/2005/8/layout/process5"/>
    <dgm:cxn modelId="{0BB44F61-4C90-4091-AEC9-01D263B6F5FE}" srcId="{6004DCA2-EE4D-46A0-A3E4-6969C05714E3}" destId="{7561E894-E086-4850-A27E-E23CBFE5A975}" srcOrd="0" destOrd="0" parTransId="{A7C46292-4932-431A-BF98-8FEF34D205B9}" sibTransId="{2AF7D123-943F-40D2-86C8-09E7A79290AF}"/>
    <dgm:cxn modelId="{6632B164-8577-459F-A0E4-26C9B3E750DA}" type="presOf" srcId="{50BF50B5-7B90-466B-90CC-5255B640C6F0}" destId="{F10834A7-98A8-4F09-833B-30E4C0E94C44}" srcOrd="0" destOrd="0" presId="urn:microsoft.com/office/officeart/2005/8/layout/process5"/>
    <dgm:cxn modelId="{97CC9150-33E1-41D3-97F1-2D2B5FA83B9A}" srcId="{6004DCA2-EE4D-46A0-A3E4-6969C05714E3}" destId="{06F391B6-2576-477A-8129-99D2F37E9FD4}" srcOrd="3" destOrd="0" parTransId="{0476A14E-75EC-42B4-B886-A93808E73353}" sibTransId="{E542CBB3-CBAC-4746-96CB-AC57967875DA}"/>
    <dgm:cxn modelId="{F46E51B2-DF47-4F62-AE07-3C75A4FF699D}" type="presOf" srcId="{2AF7D123-943F-40D2-86C8-09E7A79290AF}" destId="{E5D932EB-2D8C-48BF-BAAF-CFB8F12C4E30}" srcOrd="0" destOrd="0" presId="urn:microsoft.com/office/officeart/2005/8/layout/process5"/>
    <dgm:cxn modelId="{82BEA4E8-B704-4366-ABCA-3AE422A18A2A}" type="presOf" srcId="{E0793B8D-38D8-4379-A03A-78CB66201DBE}" destId="{C993AB43-0FAB-4FF5-97DF-31836F9557D1}" srcOrd="1" destOrd="0" presId="urn:microsoft.com/office/officeart/2005/8/layout/process5"/>
    <dgm:cxn modelId="{19ADDFEA-0A1B-42DE-868C-5D8E115A45B2}" type="presOf" srcId="{E0793B8D-38D8-4379-A03A-78CB66201DBE}" destId="{9742D010-89FC-49C5-9770-7BECCD6BCE33}" srcOrd="0" destOrd="0" presId="urn:microsoft.com/office/officeart/2005/8/layout/process5"/>
    <dgm:cxn modelId="{69BC8EF4-4983-464F-BD31-4DD8E73BB2EB}" srcId="{6004DCA2-EE4D-46A0-A3E4-6969C05714E3}" destId="{8E4F237D-0207-43EB-B4C9-43419ABB7032}" srcOrd="1" destOrd="0" parTransId="{A52B5252-4ADA-418A-88A3-91B0CBFA122C}" sibTransId="{E0793B8D-38D8-4379-A03A-78CB66201DBE}"/>
    <dgm:cxn modelId="{8B52B1F9-8F3A-454F-BD7D-4AF5DF220083}" type="presOf" srcId="{6004DCA2-EE4D-46A0-A3E4-6969C05714E3}" destId="{869C0903-628A-483F-BB19-8E33C0CE54C2}" srcOrd="0" destOrd="0" presId="urn:microsoft.com/office/officeart/2005/8/layout/process5"/>
    <dgm:cxn modelId="{0A7B75FD-DAB6-44B3-A372-6788E2C3093A}" type="presOf" srcId="{7561E894-E086-4850-A27E-E23CBFE5A975}" destId="{EBA34ADB-4A50-42F4-BF75-14C697ABC8D8}" srcOrd="0" destOrd="0" presId="urn:microsoft.com/office/officeart/2005/8/layout/process5"/>
    <dgm:cxn modelId="{A4EA2F0A-1838-4EFB-88C8-ADEF1E9295F3}" type="presParOf" srcId="{869C0903-628A-483F-BB19-8E33C0CE54C2}" destId="{EBA34ADB-4A50-42F4-BF75-14C697ABC8D8}" srcOrd="0" destOrd="0" presId="urn:microsoft.com/office/officeart/2005/8/layout/process5"/>
    <dgm:cxn modelId="{C76D9229-26B3-4FF5-9792-87777B6BC066}" type="presParOf" srcId="{869C0903-628A-483F-BB19-8E33C0CE54C2}" destId="{E5D932EB-2D8C-48BF-BAAF-CFB8F12C4E30}" srcOrd="1" destOrd="0" presId="urn:microsoft.com/office/officeart/2005/8/layout/process5"/>
    <dgm:cxn modelId="{D182640E-12AF-4447-ADF3-971E48ADD1B5}" type="presParOf" srcId="{E5D932EB-2D8C-48BF-BAAF-CFB8F12C4E30}" destId="{C9584565-D2B7-410D-9CC7-7CFA47AAAD31}" srcOrd="0" destOrd="0" presId="urn:microsoft.com/office/officeart/2005/8/layout/process5"/>
    <dgm:cxn modelId="{A5C4D157-931C-434B-9634-CA741DB05FDA}" type="presParOf" srcId="{869C0903-628A-483F-BB19-8E33C0CE54C2}" destId="{19BC960E-D68C-4457-B013-5A86EF41A398}" srcOrd="2" destOrd="0" presId="urn:microsoft.com/office/officeart/2005/8/layout/process5"/>
    <dgm:cxn modelId="{05276BC4-1692-4AB8-B4B0-FF68F12411BF}" type="presParOf" srcId="{869C0903-628A-483F-BB19-8E33C0CE54C2}" destId="{9742D010-89FC-49C5-9770-7BECCD6BCE33}" srcOrd="3" destOrd="0" presId="urn:microsoft.com/office/officeart/2005/8/layout/process5"/>
    <dgm:cxn modelId="{FE41E571-222A-4616-9231-66BDC76ACE57}" type="presParOf" srcId="{9742D010-89FC-49C5-9770-7BECCD6BCE33}" destId="{C993AB43-0FAB-4FF5-97DF-31836F9557D1}" srcOrd="0" destOrd="0" presId="urn:microsoft.com/office/officeart/2005/8/layout/process5"/>
    <dgm:cxn modelId="{C18977AC-7008-4E9E-84D8-F6233C21EFF1}" type="presParOf" srcId="{869C0903-628A-483F-BB19-8E33C0CE54C2}" destId="{F10834A7-98A8-4F09-833B-30E4C0E94C44}" srcOrd="4" destOrd="0" presId="urn:microsoft.com/office/officeart/2005/8/layout/process5"/>
    <dgm:cxn modelId="{E1A4354C-11C8-426F-AAF3-25949BA1D558}" type="presParOf" srcId="{869C0903-628A-483F-BB19-8E33C0CE54C2}" destId="{87ACF2E9-9E17-448D-8C1E-2063630296DA}" srcOrd="5" destOrd="0" presId="urn:microsoft.com/office/officeart/2005/8/layout/process5"/>
    <dgm:cxn modelId="{3761D3C8-440D-4034-9CDF-4BEAB2714DAF}" type="presParOf" srcId="{87ACF2E9-9E17-448D-8C1E-2063630296DA}" destId="{1422293A-FDEB-4705-85D7-AADAC9093678}" srcOrd="0" destOrd="0" presId="urn:microsoft.com/office/officeart/2005/8/layout/process5"/>
    <dgm:cxn modelId="{76532D84-7392-4E8F-87E9-BE5995007B21}" type="presParOf" srcId="{869C0903-628A-483F-BB19-8E33C0CE54C2}" destId="{764EEE2E-7ACE-4CEB-835D-6AA345A6769C}" srcOrd="6" destOrd="0" presId="urn:microsoft.com/office/officeart/2005/8/layout/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A34ADB-4A50-42F4-BF75-14C697ABC8D8}">
      <dsp:nvSpPr>
        <dsp:cNvPr id="0" name=""/>
        <dsp:cNvSpPr/>
      </dsp:nvSpPr>
      <dsp:spPr>
        <a:xfrm>
          <a:off x="2832" y="316512"/>
          <a:ext cx="1238503" cy="743102"/>
        </a:xfrm>
        <a:prstGeom prst="roundRect">
          <a:avLst>
            <a:gd name="adj" fmla="val 1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MY" sz="1400" kern="1200"/>
            <a:t>Identification</a:t>
          </a:r>
        </a:p>
      </dsp:txBody>
      <dsp:txXfrm>
        <a:off x="24597" y="338277"/>
        <a:ext cx="1194973" cy="699572"/>
      </dsp:txXfrm>
    </dsp:sp>
    <dsp:sp modelId="{E5D932EB-2D8C-48BF-BAAF-CFB8F12C4E30}">
      <dsp:nvSpPr>
        <dsp:cNvPr id="0" name=""/>
        <dsp:cNvSpPr/>
      </dsp:nvSpPr>
      <dsp:spPr>
        <a:xfrm>
          <a:off x="1350324" y="534489"/>
          <a:ext cx="262562" cy="307148"/>
        </a:xfrm>
        <a:prstGeom prst="rightArrow">
          <a:avLst>
            <a:gd name="adj1" fmla="val 60000"/>
            <a:gd name="adj2" fmla="val 5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MY" sz="1200" kern="1200"/>
        </a:p>
      </dsp:txBody>
      <dsp:txXfrm>
        <a:off x="1350324" y="595919"/>
        <a:ext cx="183793" cy="184288"/>
      </dsp:txXfrm>
    </dsp:sp>
    <dsp:sp modelId="{19BC960E-D68C-4457-B013-5A86EF41A398}">
      <dsp:nvSpPr>
        <dsp:cNvPr id="0" name=""/>
        <dsp:cNvSpPr/>
      </dsp:nvSpPr>
      <dsp:spPr>
        <a:xfrm>
          <a:off x="1736737" y="316512"/>
          <a:ext cx="1238503" cy="743102"/>
        </a:xfrm>
        <a:prstGeom prst="roundRect">
          <a:avLst>
            <a:gd name="adj" fmla="val 10000"/>
          </a:avLst>
        </a:prstGeom>
        <a:solidFill>
          <a:schemeClr val="accent3">
            <a:hueOff val="1372388"/>
            <a:satOff val="8237"/>
            <a:lumOff val="627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MY" sz="1400" kern="1200"/>
            <a:t>Screening</a:t>
          </a:r>
        </a:p>
      </dsp:txBody>
      <dsp:txXfrm>
        <a:off x="1758502" y="338277"/>
        <a:ext cx="1194973" cy="699572"/>
      </dsp:txXfrm>
    </dsp:sp>
    <dsp:sp modelId="{9742D010-89FC-49C5-9770-7BECCD6BCE33}">
      <dsp:nvSpPr>
        <dsp:cNvPr id="0" name=""/>
        <dsp:cNvSpPr/>
      </dsp:nvSpPr>
      <dsp:spPr>
        <a:xfrm>
          <a:off x="3084230" y="534489"/>
          <a:ext cx="262562" cy="307148"/>
        </a:xfrm>
        <a:prstGeom prst="rightArrow">
          <a:avLst>
            <a:gd name="adj1" fmla="val 60000"/>
            <a:gd name="adj2" fmla="val 50000"/>
          </a:avLst>
        </a:prstGeom>
        <a:solidFill>
          <a:schemeClr val="accent3">
            <a:hueOff val="2058582"/>
            <a:satOff val="12356"/>
            <a:lumOff val="9413"/>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MY" sz="1200" kern="1200"/>
        </a:p>
      </dsp:txBody>
      <dsp:txXfrm>
        <a:off x="3084230" y="595919"/>
        <a:ext cx="183793" cy="184288"/>
      </dsp:txXfrm>
    </dsp:sp>
    <dsp:sp modelId="{F10834A7-98A8-4F09-833B-30E4C0E94C44}">
      <dsp:nvSpPr>
        <dsp:cNvPr id="0" name=""/>
        <dsp:cNvSpPr/>
      </dsp:nvSpPr>
      <dsp:spPr>
        <a:xfrm>
          <a:off x="3470643" y="316512"/>
          <a:ext cx="1238503" cy="743102"/>
        </a:xfrm>
        <a:prstGeom prst="roundRect">
          <a:avLst>
            <a:gd name="adj" fmla="val 10000"/>
          </a:avLst>
        </a:prstGeom>
        <a:solidFill>
          <a:schemeClr val="accent3">
            <a:hueOff val="2744775"/>
            <a:satOff val="16475"/>
            <a:lumOff val="1255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MY" sz="1400" kern="1200"/>
            <a:t>Eligibility evaluation</a:t>
          </a:r>
        </a:p>
      </dsp:txBody>
      <dsp:txXfrm>
        <a:off x="3492408" y="338277"/>
        <a:ext cx="1194973" cy="699572"/>
      </dsp:txXfrm>
    </dsp:sp>
    <dsp:sp modelId="{87ACF2E9-9E17-448D-8C1E-2063630296DA}">
      <dsp:nvSpPr>
        <dsp:cNvPr id="0" name=""/>
        <dsp:cNvSpPr/>
      </dsp:nvSpPr>
      <dsp:spPr>
        <a:xfrm>
          <a:off x="4818135" y="534489"/>
          <a:ext cx="262562" cy="307148"/>
        </a:xfrm>
        <a:prstGeom prst="rightArrow">
          <a:avLst>
            <a:gd name="adj1" fmla="val 60000"/>
            <a:gd name="adj2" fmla="val 50000"/>
          </a:avLst>
        </a:prstGeom>
        <a:solidFill>
          <a:schemeClr val="accent3">
            <a:hueOff val="4117163"/>
            <a:satOff val="24712"/>
            <a:lumOff val="18825"/>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MY" sz="1200" kern="1200"/>
        </a:p>
      </dsp:txBody>
      <dsp:txXfrm>
        <a:off x="4818135" y="595919"/>
        <a:ext cx="183793" cy="184288"/>
      </dsp:txXfrm>
    </dsp:sp>
    <dsp:sp modelId="{764EEE2E-7ACE-4CEB-835D-6AA345A6769C}">
      <dsp:nvSpPr>
        <dsp:cNvPr id="0" name=""/>
        <dsp:cNvSpPr/>
      </dsp:nvSpPr>
      <dsp:spPr>
        <a:xfrm>
          <a:off x="5204548" y="316512"/>
          <a:ext cx="1238503" cy="743102"/>
        </a:xfrm>
        <a:prstGeom prst="roundRect">
          <a:avLst>
            <a:gd name="adj" fmla="val 10000"/>
          </a:avLst>
        </a:prstGeom>
        <a:solidFill>
          <a:schemeClr val="accent3">
            <a:hueOff val="4117163"/>
            <a:satOff val="24712"/>
            <a:lumOff val="1882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MY" sz="1400" kern="1200"/>
            <a:t>Inclusion</a:t>
          </a:r>
        </a:p>
      </dsp:txBody>
      <dsp:txXfrm>
        <a:off x="5226313" y="338277"/>
        <a:ext cx="1194973" cy="6995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0FF8E8F4C4A4FAB5A20F660BA5410" ma:contentTypeVersion="5" ma:contentTypeDescription="Create a new document." ma:contentTypeScope="" ma:versionID="e96021718534e79b501ef8185ad3b5d1">
  <xsd:schema xmlns:xsd="http://www.w3.org/2001/XMLSchema" xmlns:xs="http://www.w3.org/2001/XMLSchema" xmlns:p="http://schemas.microsoft.com/office/2006/metadata/properties" xmlns:ns3="afc82255-f70f-461c-951f-8770b6fa3040" targetNamespace="http://schemas.microsoft.com/office/2006/metadata/properties" ma:root="true" ma:fieldsID="dea2dd036fe9cde9683ac34330b75472" ns3:_="">
    <xsd:import namespace="afc82255-f70f-461c-951f-8770b6fa304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82255-f70f-461c-951f-8770b6fa304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fc82255-f70f-461c-951f-8770b6fa3040" xsi:nil="true"/>
  </documentManagement>
</p:properties>
</file>

<file path=customXml/itemProps1.xml><?xml version="1.0" encoding="utf-8"?>
<ds:datastoreItem xmlns:ds="http://schemas.openxmlformats.org/officeDocument/2006/customXml" ds:itemID="{965FBA34-3496-426A-8BD7-309F7F9D3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82255-f70f-461c-951f-8770b6fa3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95A36-BE9E-497E-98A8-6EDAF294857F}">
  <ds:schemaRefs>
    <ds:schemaRef ds:uri="http://schemas.openxmlformats.org/officeDocument/2006/bibliography"/>
  </ds:schemaRefs>
</ds:datastoreItem>
</file>

<file path=customXml/itemProps3.xml><?xml version="1.0" encoding="utf-8"?>
<ds:datastoreItem xmlns:ds="http://schemas.openxmlformats.org/officeDocument/2006/customXml" ds:itemID="{F9199E9B-9FBD-4BD7-90AE-5988562E21CE}">
  <ds:schemaRefs>
    <ds:schemaRef ds:uri="http://schemas.microsoft.com/sharepoint/v3/contenttype/forms"/>
  </ds:schemaRefs>
</ds:datastoreItem>
</file>

<file path=customXml/itemProps4.xml><?xml version="1.0" encoding="utf-8"?>
<ds:datastoreItem xmlns:ds="http://schemas.openxmlformats.org/officeDocument/2006/customXml" ds:itemID="{B03A2CC7-AF90-4FDA-A244-1B0919C01654}">
  <ds:schemaRefs>
    <ds:schemaRef ds:uri="http://schemas.microsoft.com/office/2006/metadata/properties"/>
    <ds:schemaRef ds:uri="http://schemas.microsoft.com/office/infopath/2007/PartnerControls"/>
    <ds:schemaRef ds:uri="afc82255-f70f-461c-951f-8770b6fa30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6603</Words>
  <Characters>37640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44155</CharactersWithSpaces>
  <SharedDoc>false</SharedDoc>
  <HLinks>
    <vt:vector size="210" baseType="variant">
      <vt:variant>
        <vt:i4>131145</vt:i4>
      </vt:variant>
      <vt:variant>
        <vt:i4>102</vt:i4>
      </vt:variant>
      <vt:variant>
        <vt:i4>0</vt:i4>
      </vt:variant>
      <vt:variant>
        <vt:i4>5</vt:i4>
      </vt:variant>
      <vt:variant>
        <vt:lpwstr>https://doi.org/10.1080/14703297.2025.2605651</vt:lpwstr>
      </vt:variant>
      <vt:variant>
        <vt:lpwstr/>
      </vt:variant>
      <vt:variant>
        <vt:i4>2490484</vt:i4>
      </vt:variant>
      <vt:variant>
        <vt:i4>99</vt:i4>
      </vt:variant>
      <vt:variant>
        <vt:i4>0</vt:i4>
      </vt:variant>
      <vt:variant>
        <vt:i4>5</vt:i4>
      </vt:variant>
      <vt:variant>
        <vt:lpwstr>https://doi.org/10.1016/j.caeai.2024.100316</vt:lpwstr>
      </vt:variant>
      <vt:variant>
        <vt:lpwstr/>
      </vt:variant>
      <vt:variant>
        <vt:i4>7929958</vt:i4>
      </vt:variant>
      <vt:variant>
        <vt:i4>96</vt:i4>
      </vt:variant>
      <vt:variant>
        <vt:i4>0</vt:i4>
      </vt:variant>
      <vt:variant>
        <vt:i4>5</vt:i4>
      </vt:variant>
      <vt:variant>
        <vt:lpwstr>https://doi.org/10.3390/educsci15030343</vt:lpwstr>
      </vt:variant>
      <vt:variant>
        <vt:lpwstr/>
      </vt:variant>
      <vt:variant>
        <vt:i4>917571</vt:i4>
      </vt:variant>
      <vt:variant>
        <vt:i4>93</vt:i4>
      </vt:variant>
      <vt:variant>
        <vt:i4>0</vt:i4>
      </vt:variant>
      <vt:variant>
        <vt:i4>5</vt:i4>
      </vt:variant>
      <vt:variant>
        <vt:lpwstr>https://doi.org/10.1080/10494820.2026.2628249</vt:lpwstr>
      </vt:variant>
      <vt:variant>
        <vt:lpwstr/>
      </vt:variant>
      <vt:variant>
        <vt:i4>3670121</vt:i4>
      </vt:variant>
      <vt:variant>
        <vt:i4>90</vt:i4>
      </vt:variant>
      <vt:variant>
        <vt:i4>0</vt:i4>
      </vt:variant>
      <vt:variant>
        <vt:i4>5</vt:i4>
      </vt:variant>
      <vt:variant>
        <vt:lpwstr>https://doi.org/10.1145/3764206.3764319</vt:lpwstr>
      </vt:variant>
      <vt:variant>
        <vt:lpwstr/>
      </vt:variant>
      <vt:variant>
        <vt:i4>2162740</vt:i4>
      </vt:variant>
      <vt:variant>
        <vt:i4>87</vt:i4>
      </vt:variant>
      <vt:variant>
        <vt:i4>0</vt:i4>
      </vt:variant>
      <vt:variant>
        <vt:i4>5</vt:i4>
      </vt:variant>
      <vt:variant>
        <vt:lpwstr>https://doi.org/10.1007/s10639-024-12949-9</vt:lpwstr>
      </vt:variant>
      <vt:variant>
        <vt:lpwstr/>
      </vt:variant>
      <vt:variant>
        <vt:i4>4325389</vt:i4>
      </vt:variant>
      <vt:variant>
        <vt:i4>84</vt:i4>
      </vt:variant>
      <vt:variant>
        <vt:i4>0</vt:i4>
      </vt:variant>
      <vt:variant>
        <vt:i4>5</vt:i4>
      </vt:variant>
      <vt:variant>
        <vt:lpwstr>https://doi.org/10.33050/italic.v3i1.647</vt:lpwstr>
      </vt:variant>
      <vt:variant>
        <vt:lpwstr/>
      </vt:variant>
      <vt:variant>
        <vt:i4>4653133</vt:i4>
      </vt:variant>
      <vt:variant>
        <vt:i4>81</vt:i4>
      </vt:variant>
      <vt:variant>
        <vt:i4>0</vt:i4>
      </vt:variant>
      <vt:variant>
        <vt:i4>5</vt:i4>
      </vt:variant>
      <vt:variant>
        <vt:lpwstr>https://doi.org/10.1016/j.actpsy.2025.105827</vt:lpwstr>
      </vt:variant>
      <vt:variant>
        <vt:lpwstr/>
      </vt:variant>
      <vt:variant>
        <vt:i4>1310796</vt:i4>
      </vt:variant>
      <vt:variant>
        <vt:i4>78</vt:i4>
      </vt:variant>
      <vt:variant>
        <vt:i4>0</vt:i4>
      </vt:variant>
      <vt:variant>
        <vt:i4>5</vt:i4>
      </vt:variant>
      <vt:variant>
        <vt:lpwstr>https://doi.org/10.70148/rise.18</vt:lpwstr>
      </vt:variant>
      <vt:variant>
        <vt:lpwstr/>
      </vt:variant>
      <vt:variant>
        <vt:i4>2883685</vt:i4>
      </vt:variant>
      <vt:variant>
        <vt:i4>75</vt:i4>
      </vt:variant>
      <vt:variant>
        <vt:i4>0</vt:i4>
      </vt:variant>
      <vt:variant>
        <vt:i4>5</vt:i4>
      </vt:variant>
      <vt:variant>
        <vt:lpwstr>https://doi.org/10.3390/bdcc9050131</vt:lpwstr>
      </vt:variant>
      <vt:variant>
        <vt:lpwstr/>
      </vt:variant>
      <vt:variant>
        <vt:i4>786508</vt:i4>
      </vt:variant>
      <vt:variant>
        <vt:i4>72</vt:i4>
      </vt:variant>
      <vt:variant>
        <vt:i4>0</vt:i4>
      </vt:variant>
      <vt:variant>
        <vt:i4>5</vt:i4>
      </vt:variant>
      <vt:variant>
        <vt:lpwstr>https://doi.org/10.1080/03075079.2025.2487570</vt:lpwstr>
      </vt:variant>
      <vt:variant>
        <vt:lpwstr/>
      </vt:variant>
      <vt:variant>
        <vt:i4>7667817</vt:i4>
      </vt:variant>
      <vt:variant>
        <vt:i4>69</vt:i4>
      </vt:variant>
      <vt:variant>
        <vt:i4>0</vt:i4>
      </vt:variant>
      <vt:variant>
        <vt:i4>5</vt:i4>
      </vt:variant>
      <vt:variant>
        <vt:lpwstr>https://doi.org/10.3390/educsci13100990</vt:lpwstr>
      </vt:variant>
      <vt:variant>
        <vt:lpwstr/>
      </vt:variant>
      <vt:variant>
        <vt:i4>1900638</vt:i4>
      </vt:variant>
      <vt:variant>
        <vt:i4>66</vt:i4>
      </vt:variant>
      <vt:variant>
        <vt:i4>0</vt:i4>
      </vt:variant>
      <vt:variant>
        <vt:i4>5</vt:i4>
      </vt:variant>
      <vt:variant>
        <vt:lpwstr>https://doi.org/10.31341/jios.49.2.10</vt:lpwstr>
      </vt:variant>
      <vt:variant>
        <vt:lpwstr/>
      </vt:variant>
      <vt:variant>
        <vt:i4>65608</vt:i4>
      </vt:variant>
      <vt:variant>
        <vt:i4>63</vt:i4>
      </vt:variant>
      <vt:variant>
        <vt:i4>0</vt:i4>
      </vt:variant>
      <vt:variant>
        <vt:i4>5</vt:i4>
      </vt:variant>
      <vt:variant>
        <vt:lpwstr>https://doi.org/10.1080/14703297.2025.2534440</vt:lpwstr>
      </vt:variant>
      <vt:variant>
        <vt:lpwstr/>
      </vt:variant>
      <vt:variant>
        <vt:i4>4128872</vt:i4>
      </vt:variant>
      <vt:variant>
        <vt:i4>60</vt:i4>
      </vt:variant>
      <vt:variant>
        <vt:i4>0</vt:i4>
      </vt:variant>
      <vt:variant>
        <vt:i4>5</vt:i4>
      </vt:variant>
      <vt:variant>
        <vt:lpwstr>https://doi.org/10.1145/3722237.3722353</vt:lpwstr>
      </vt:variant>
      <vt:variant>
        <vt:lpwstr/>
      </vt:variant>
      <vt:variant>
        <vt:i4>6422581</vt:i4>
      </vt:variant>
      <vt:variant>
        <vt:i4>57</vt:i4>
      </vt:variant>
      <vt:variant>
        <vt:i4>0</vt:i4>
      </vt:variant>
      <vt:variant>
        <vt:i4>5</vt:i4>
      </vt:variant>
      <vt:variant>
        <vt:lpwstr>https://doi.org/10.1007/s10639-026-13946-w</vt:lpwstr>
      </vt:variant>
      <vt:variant>
        <vt:lpwstr/>
      </vt:variant>
      <vt:variant>
        <vt:i4>1638491</vt:i4>
      </vt:variant>
      <vt:variant>
        <vt:i4>54</vt:i4>
      </vt:variant>
      <vt:variant>
        <vt:i4>0</vt:i4>
      </vt:variant>
      <vt:variant>
        <vt:i4>5</vt:i4>
      </vt:variant>
      <vt:variant>
        <vt:lpwstr>https://doi.org/10.1177/07356331251349620</vt:lpwstr>
      </vt:variant>
      <vt:variant>
        <vt:lpwstr/>
      </vt:variant>
      <vt:variant>
        <vt:i4>6815795</vt:i4>
      </vt:variant>
      <vt:variant>
        <vt:i4>51</vt:i4>
      </vt:variant>
      <vt:variant>
        <vt:i4>0</vt:i4>
      </vt:variant>
      <vt:variant>
        <vt:i4>5</vt:i4>
      </vt:variant>
      <vt:variant>
        <vt:lpwstr>https://doi.org/10.1186/s40561-026-00448-y</vt:lpwstr>
      </vt:variant>
      <vt:variant>
        <vt:lpwstr/>
      </vt:variant>
      <vt:variant>
        <vt:i4>2162808</vt:i4>
      </vt:variant>
      <vt:variant>
        <vt:i4>48</vt:i4>
      </vt:variant>
      <vt:variant>
        <vt:i4>0</vt:i4>
      </vt:variant>
      <vt:variant>
        <vt:i4>5</vt:i4>
      </vt:variant>
      <vt:variant>
        <vt:lpwstr>https://doi.org/10.34190/ejel.24.1.4416</vt:lpwstr>
      </vt:variant>
      <vt:variant>
        <vt:lpwstr/>
      </vt:variant>
      <vt:variant>
        <vt:i4>7012454</vt:i4>
      </vt:variant>
      <vt:variant>
        <vt:i4>45</vt:i4>
      </vt:variant>
      <vt:variant>
        <vt:i4>0</vt:i4>
      </vt:variant>
      <vt:variant>
        <vt:i4>5</vt:i4>
      </vt:variant>
      <vt:variant>
        <vt:lpwstr>https://doi.org/10.31004/riggs.v2i2.268</vt:lpwstr>
      </vt:variant>
      <vt:variant>
        <vt:lpwstr/>
      </vt:variant>
      <vt:variant>
        <vt:i4>2752634</vt:i4>
      </vt:variant>
      <vt:variant>
        <vt:i4>42</vt:i4>
      </vt:variant>
      <vt:variant>
        <vt:i4>0</vt:i4>
      </vt:variant>
      <vt:variant>
        <vt:i4>5</vt:i4>
      </vt:variant>
      <vt:variant>
        <vt:lpwstr>https://doi.org/10.34190/ejel.22.9.3639</vt:lpwstr>
      </vt:variant>
      <vt:variant>
        <vt:lpwstr/>
      </vt:variant>
      <vt:variant>
        <vt:i4>3997792</vt:i4>
      </vt:variant>
      <vt:variant>
        <vt:i4>39</vt:i4>
      </vt:variant>
      <vt:variant>
        <vt:i4>0</vt:i4>
      </vt:variant>
      <vt:variant>
        <vt:i4>5</vt:i4>
      </vt:variant>
      <vt:variant>
        <vt:lpwstr>https://doi.org/10.1145/3745238.3745479</vt:lpwstr>
      </vt:variant>
      <vt:variant>
        <vt:lpwstr/>
      </vt:variant>
      <vt:variant>
        <vt:i4>2490483</vt:i4>
      </vt:variant>
      <vt:variant>
        <vt:i4>36</vt:i4>
      </vt:variant>
      <vt:variant>
        <vt:i4>0</vt:i4>
      </vt:variant>
      <vt:variant>
        <vt:i4>5</vt:i4>
      </vt:variant>
      <vt:variant>
        <vt:lpwstr>https://doi.org/10.1016/j.caeai.2025.100400</vt:lpwstr>
      </vt:variant>
      <vt:variant>
        <vt:lpwstr/>
      </vt:variant>
      <vt:variant>
        <vt:i4>3211327</vt:i4>
      </vt:variant>
      <vt:variant>
        <vt:i4>33</vt:i4>
      </vt:variant>
      <vt:variant>
        <vt:i4>0</vt:i4>
      </vt:variant>
      <vt:variant>
        <vt:i4>5</vt:i4>
      </vt:variant>
      <vt:variant>
        <vt:lpwstr>https://doi.org/10.2478/picbe-2025-0256</vt:lpwstr>
      </vt:variant>
      <vt:variant>
        <vt:lpwstr/>
      </vt:variant>
      <vt:variant>
        <vt:i4>3997793</vt:i4>
      </vt:variant>
      <vt:variant>
        <vt:i4>30</vt:i4>
      </vt:variant>
      <vt:variant>
        <vt:i4>0</vt:i4>
      </vt:variant>
      <vt:variant>
        <vt:i4>5</vt:i4>
      </vt:variant>
      <vt:variant>
        <vt:lpwstr>https://doi.org/10.71176/edup/17782</vt:lpwstr>
      </vt:variant>
      <vt:variant>
        <vt:lpwstr/>
      </vt:variant>
      <vt:variant>
        <vt:i4>720968</vt:i4>
      </vt:variant>
      <vt:variant>
        <vt:i4>27</vt:i4>
      </vt:variant>
      <vt:variant>
        <vt:i4>0</vt:i4>
      </vt:variant>
      <vt:variant>
        <vt:i4>5</vt:i4>
      </vt:variant>
      <vt:variant>
        <vt:lpwstr>https://doi.org/10.1080/21568235.2026.2620686</vt:lpwstr>
      </vt:variant>
      <vt:variant>
        <vt:lpwstr/>
      </vt:variant>
      <vt:variant>
        <vt:i4>2752575</vt:i4>
      </vt:variant>
      <vt:variant>
        <vt:i4>24</vt:i4>
      </vt:variant>
      <vt:variant>
        <vt:i4>0</vt:i4>
      </vt:variant>
      <vt:variant>
        <vt:i4>5</vt:i4>
      </vt:variant>
      <vt:variant>
        <vt:lpwstr>https://doi.org/10.1186/s40561-025-00384-3</vt:lpwstr>
      </vt:variant>
      <vt:variant>
        <vt:lpwstr/>
      </vt:variant>
      <vt:variant>
        <vt:i4>2818103</vt:i4>
      </vt:variant>
      <vt:variant>
        <vt:i4>21</vt:i4>
      </vt:variant>
      <vt:variant>
        <vt:i4>0</vt:i4>
      </vt:variant>
      <vt:variant>
        <vt:i4>5</vt:i4>
      </vt:variant>
      <vt:variant>
        <vt:lpwstr>https://doi.org/10.1038/s41598-025-08697-6</vt:lpwstr>
      </vt:variant>
      <vt:variant>
        <vt:lpwstr/>
      </vt:variant>
      <vt:variant>
        <vt:i4>2555958</vt:i4>
      </vt:variant>
      <vt:variant>
        <vt:i4>18</vt:i4>
      </vt:variant>
      <vt:variant>
        <vt:i4>0</vt:i4>
      </vt:variant>
      <vt:variant>
        <vt:i4>5</vt:i4>
      </vt:variant>
      <vt:variant>
        <vt:lpwstr>https://doi.org/10.1038/s41598-025-92625-1</vt:lpwstr>
      </vt:variant>
      <vt:variant>
        <vt:lpwstr/>
      </vt:variant>
      <vt:variant>
        <vt:i4>2490416</vt:i4>
      </vt:variant>
      <vt:variant>
        <vt:i4>15</vt:i4>
      </vt:variant>
      <vt:variant>
        <vt:i4>0</vt:i4>
      </vt:variant>
      <vt:variant>
        <vt:i4>5</vt:i4>
      </vt:variant>
      <vt:variant>
        <vt:lpwstr>https://doi.org/10.1108/jarhe-04-2024-0179</vt:lpwstr>
      </vt:variant>
      <vt:variant>
        <vt:lpwstr/>
      </vt:variant>
      <vt:variant>
        <vt:i4>6619252</vt:i4>
      </vt:variant>
      <vt:variant>
        <vt:i4>12</vt:i4>
      </vt:variant>
      <vt:variant>
        <vt:i4>0</vt:i4>
      </vt:variant>
      <vt:variant>
        <vt:i4>5</vt:i4>
      </vt:variant>
      <vt:variant>
        <vt:lpwstr>https://doi.org/10.24093/awej/chatgpt.2</vt:lpwstr>
      </vt:variant>
      <vt:variant>
        <vt:lpwstr/>
      </vt:variant>
      <vt:variant>
        <vt:i4>7274553</vt:i4>
      </vt:variant>
      <vt:variant>
        <vt:i4>9</vt:i4>
      </vt:variant>
      <vt:variant>
        <vt:i4>0</vt:i4>
      </vt:variant>
      <vt:variant>
        <vt:i4>5</vt:i4>
      </vt:variant>
      <vt:variant>
        <vt:lpwstr>https://doi.org/10.1007/s10639-025-13485-w</vt:lpwstr>
      </vt:variant>
      <vt:variant>
        <vt:lpwstr/>
      </vt:variant>
      <vt:variant>
        <vt:i4>3604518</vt:i4>
      </vt:variant>
      <vt:variant>
        <vt:i4>6</vt:i4>
      </vt:variant>
      <vt:variant>
        <vt:i4>0</vt:i4>
      </vt:variant>
      <vt:variant>
        <vt:i4>5</vt:i4>
      </vt:variant>
      <vt:variant>
        <vt:lpwstr>https://doi.org/10.1016/j.chbr.2026.100986</vt:lpwstr>
      </vt:variant>
      <vt:variant>
        <vt:lpwstr/>
      </vt:variant>
      <vt:variant>
        <vt:i4>2949160</vt:i4>
      </vt:variant>
      <vt:variant>
        <vt:i4>3</vt:i4>
      </vt:variant>
      <vt:variant>
        <vt:i4>0</vt:i4>
      </vt:variant>
      <vt:variant>
        <vt:i4>5</vt:i4>
      </vt:variant>
      <vt:variant>
        <vt:lpwstr>https://doi.org/10.70670/sra.v3i4.1103</vt:lpwstr>
      </vt:variant>
      <vt:variant>
        <vt:lpwstr/>
      </vt:variant>
      <vt:variant>
        <vt:i4>2555959</vt:i4>
      </vt:variant>
      <vt:variant>
        <vt:i4>0</vt:i4>
      </vt:variant>
      <vt:variant>
        <vt:i4>0</vt:i4>
      </vt:variant>
      <vt:variant>
        <vt:i4>5</vt:i4>
      </vt:variant>
      <vt:variant>
        <vt:lpwstr>https://doi.org/10.1186/s41239-024-00444-7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HADIRAH BINTI ABDUL RAZAK</dc:creator>
  <cp:keywords/>
  <dc:description/>
  <cp:lastModifiedBy>NUR HADIRAH BINTI ABDUL RAZAK</cp:lastModifiedBy>
  <cp:revision>2</cp:revision>
  <cp:lastPrinted>2026-06-11T15:05:00Z</cp:lastPrinted>
  <dcterms:created xsi:type="dcterms:W3CDTF">2026-06-11T15:28:00Z</dcterms:created>
  <dcterms:modified xsi:type="dcterms:W3CDTF">2026-06-11T15:28:00Z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0x010100D950FF8E8F4C4A4FAB5A20F660BA5410</vt:lpwstr>
  </property>
</Properties>
</file>