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41F5" w14:textId="77777777" w:rsidR="005264D4" w:rsidRPr="00420C30" w:rsidRDefault="005264D4" w:rsidP="005264D4">
      <w:pPr>
        <w:spacing w:after="0" w:line="240" w:lineRule="auto"/>
        <w:jc w:val="center"/>
        <w:rPr>
          <w:rFonts w:ascii="Bookman Old Style" w:hAnsi="Bookman Old Style" w:cs="Times New Roman"/>
          <w:b/>
          <w:bCs/>
          <w:sz w:val="24"/>
          <w:szCs w:val="24"/>
        </w:rPr>
      </w:pPr>
      <w:r w:rsidRPr="00420C30">
        <w:rPr>
          <w:rFonts w:ascii="Bookman Old Style" w:hAnsi="Bookman Old Style" w:cs="Times New Roman"/>
          <w:b/>
          <w:bCs/>
          <w:sz w:val="24"/>
          <w:szCs w:val="24"/>
        </w:rPr>
        <w:t>A Multidimensional Conceptual Framework of Generative AI as a Co-Instructor: Measurement Formulation for Personalized and Sustainable Higher Education</w:t>
      </w:r>
    </w:p>
    <w:p w14:paraId="51ED3423" w14:textId="77777777" w:rsidR="005264D4" w:rsidRPr="00420C30" w:rsidRDefault="005264D4" w:rsidP="005264D4">
      <w:pPr>
        <w:spacing w:after="0" w:line="240" w:lineRule="auto"/>
        <w:jc w:val="center"/>
        <w:rPr>
          <w:rFonts w:ascii="Bookman Old Style" w:hAnsi="Bookman Old Style" w:cs="Times New Roman"/>
          <w:b/>
          <w:bCs/>
          <w:sz w:val="24"/>
          <w:szCs w:val="24"/>
        </w:rPr>
      </w:pPr>
    </w:p>
    <w:p w14:paraId="13F5FE48" w14:textId="77777777" w:rsidR="005264D4" w:rsidRPr="00420C30" w:rsidRDefault="005264D4" w:rsidP="005264D4">
      <w:pPr>
        <w:spacing w:after="0" w:line="240" w:lineRule="auto"/>
        <w:jc w:val="center"/>
        <w:rPr>
          <w:rFonts w:ascii="Bookman Old Style" w:hAnsi="Bookman Old Style" w:cs="Times New Roman"/>
          <w:b/>
          <w:bCs/>
          <w:sz w:val="24"/>
          <w:szCs w:val="24"/>
        </w:rPr>
      </w:pPr>
    </w:p>
    <w:p w14:paraId="5F28C248"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39B231DA"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Abstract</w:t>
      </w:r>
    </w:p>
    <w:p w14:paraId="042F4F0B" w14:textId="77777777" w:rsidR="005264D4" w:rsidRPr="00420C30" w:rsidRDefault="005264D4" w:rsidP="005264D4">
      <w:pPr>
        <w:spacing w:after="0" w:line="240" w:lineRule="auto"/>
        <w:jc w:val="both"/>
        <w:rPr>
          <w:rFonts w:ascii="Bookman Old Style" w:hAnsi="Bookman Old Style" w:cs="Times New Roman"/>
          <w:sz w:val="24"/>
          <w:szCs w:val="24"/>
        </w:rPr>
      </w:pPr>
    </w:p>
    <w:p w14:paraId="25F7FA1E" w14:textId="77777777" w:rsidR="005264D4" w:rsidRPr="00AC2A15" w:rsidRDefault="005264D4" w:rsidP="005264D4">
      <w:pPr>
        <w:spacing w:after="0" w:line="240" w:lineRule="auto"/>
        <w:jc w:val="both"/>
        <w:rPr>
          <w:rFonts w:ascii="Bookman Old Style" w:hAnsi="Bookman Old Style" w:cs="Times New Roman"/>
          <w:sz w:val="24"/>
          <w:szCs w:val="24"/>
        </w:rPr>
      </w:pPr>
      <w:r w:rsidRPr="00AC2A15">
        <w:rPr>
          <w:rFonts w:ascii="Bookman Old Style" w:hAnsi="Bookman Old Style" w:cs="Times New Roman"/>
          <w:sz w:val="24"/>
          <w:szCs w:val="24"/>
        </w:rPr>
        <w:t>Generative artificial intelligence (GenAI) is transforming higher education by evolving from a content automation tool into a collaborative instructional partner. However, its conceptualization as a co-instructor remains fragmented and lacks a validated measurement structure. This study develops a multidimensional conceptual framework and measurement formulation that positions GenAI as a structured pedagogical collaborator supporting personalization, sustainability, and ethical integrity. Using a theory-building approach grounded in interdisciplinary literature, the study defines key constructs, specifies relationships, and proposes indicators for future structural equation modeling. The framework identifies three instructional domains—co-planning, co-instruction, and co-assessment—mediated by pedagogical implementation effectiveness and moderated by ethical governance readiness. An eight-construct model and 37-item instrument are proposed for empirical validation. The study contributes conceptual clarity by advancing a systematic, ethically grounded approach to human–AI collaboration in higher education and recommends institutionally guided, teacher-in-the-loop implementation strategies.</w:t>
      </w:r>
    </w:p>
    <w:p w14:paraId="35430F51"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68AF55AA"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b/>
          <w:bCs/>
          <w:sz w:val="24"/>
          <w:szCs w:val="24"/>
        </w:rPr>
        <w:t>Keywords:</w:t>
      </w:r>
      <w:r w:rsidRPr="00420C30">
        <w:rPr>
          <w:rFonts w:ascii="Bookman Old Style" w:hAnsi="Bookman Old Style" w:cs="Times New Roman"/>
          <w:sz w:val="24"/>
          <w:szCs w:val="24"/>
        </w:rPr>
        <w:t xml:space="preserve"> generative AI, co-instructor model, measurement development, higher education, ethical AI governance</w:t>
      </w:r>
    </w:p>
    <w:p w14:paraId="2976404A" w14:textId="77777777" w:rsidR="005264D4" w:rsidRPr="00420C30" w:rsidRDefault="005264D4" w:rsidP="005264D4">
      <w:pPr>
        <w:spacing w:after="0" w:line="240" w:lineRule="auto"/>
        <w:jc w:val="both"/>
        <w:rPr>
          <w:rFonts w:ascii="Bookman Old Style" w:hAnsi="Bookman Old Style" w:cs="Times New Roman"/>
          <w:sz w:val="24"/>
          <w:szCs w:val="24"/>
        </w:rPr>
      </w:pPr>
    </w:p>
    <w:p w14:paraId="388D0F14" w14:textId="77777777" w:rsidR="005264D4" w:rsidRPr="00420C30" w:rsidRDefault="005264D4" w:rsidP="005264D4">
      <w:pPr>
        <w:rPr>
          <w:rFonts w:ascii="Bookman Old Style" w:hAnsi="Bookman Old Style" w:cs="Times New Roman"/>
          <w:b/>
          <w:bCs/>
          <w:sz w:val="24"/>
          <w:szCs w:val="24"/>
        </w:rPr>
      </w:pPr>
      <w:r w:rsidRPr="00420C30">
        <w:rPr>
          <w:rFonts w:ascii="Bookman Old Style" w:hAnsi="Bookman Old Style" w:cs="Times New Roman"/>
          <w:b/>
          <w:bCs/>
          <w:sz w:val="24"/>
          <w:szCs w:val="24"/>
        </w:rPr>
        <w:br w:type="page"/>
      </w:r>
      <w:r w:rsidRPr="00420C30">
        <w:rPr>
          <w:rFonts w:ascii="Bookman Old Style" w:hAnsi="Bookman Old Style" w:cs="Times New Roman"/>
          <w:b/>
          <w:bCs/>
          <w:sz w:val="24"/>
          <w:szCs w:val="24"/>
        </w:rPr>
        <w:lastRenderedPageBreak/>
        <w:t>Introduction</w:t>
      </w:r>
    </w:p>
    <w:p w14:paraId="168854F3"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 xml:space="preserve">Generative artificial intelligence (GenAI) technologies are rapidly transforming the landscape of higher education by introducing new possibilities for personalized learning, instructional scalability, and pedagogical innovation. Powered by large language models and advanced machine learning architectures, AI-driven systems can now assist with a wide range of academic functions, including curriculum design, instructional content generation, adaptive tutoring, automated assessment, and feedback provision (Dwivedi et al., 2023; </w:t>
      </w:r>
      <w:proofErr w:type="spellStart"/>
      <w:r w:rsidRPr="00420C30">
        <w:rPr>
          <w:rFonts w:ascii="Bookman Old Style" w:hAnsi="Bookman Old Style"/>
          <w:sz w:val="24"/>
          <w:szCs w:val="24"/>
        </w:rPr>
        <w:t>Kasneci</w:t>
      </w:r>
      <w:proofErr w:type="spellEnd"/>
      <w:r w:rsidRPr="00420C30">
        <w:rPr>
          <w:rFonts w:ascii="Bookman Old Style" w:hAnsi="Bookman Old Style"/>
          <w:sz w:val="24"/>
          <w:szCs w:val="24"/>
        </w:rPr>
        <w:t xml:space="preserve"> et al., 2023). These capabilities have prompted universities worldwide to explore the integration of GenAI tools into teaching and learning environments </w:t>
      </w:r>
      <w:proofErr w:type="gramStart"/>
      <w:r w:rsidRPr="00420C30">
        <w:rPr>
          <w:rFonts w:ascii="Bookman Old Style" w:hAnsi="Bookman Old Style"/>
          <w:sz w:val="24"/>
          <w:szCs w:val="24"/>
        </w:rPr>
        <w:t>as a means to</w:t>
      </w:r>
      <w:proofErr w:type="gramEnd"/>
      <w:r w:rsidRPr="00420C30">
        <w:rPr>
          <w:rFonts w:ascii="Bookman Old Style" w:hAnsi="Bookman Old Style"/>
          <w:sz w:val="24"/>
          <w:szCs w:val="24"/>
        </w:rPr>
        <w:t xml:space="preserve"> improve instructional efficiency and enhance student engagement. As higher education institutions strive to develop more personalized learning pathways and resilient academic ecosystems, GenAI is increasingly recognized as a transformative technological enabler.</w:t>
      </w:r>
    </w:p>
    <w:p w14:paraId="072FAA3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Despite its growing adoption, scholarly discourse on GenAI in higher education remains conceptually fragmented. Existing research largely frames AI either as a productivity-enhancing tool that automates routine academic tasks or as a disruptive force that may undermine academic integrity, critical thinking, and authentic learning processes (</w:t>
      </w:r>
      <w:proofErr w:type="spellStart"/>
      <w:r w:rsidRPr="00420C30">
        <w:rPr>
          <w:rFonts w:ascii="Bookman Old Style" w:hAnsi="Bookman Old Style"/>
          <w:sz w:val="24"/>
          <w:szCs w:val="24"/>
        </w:rPr>
        <w:t>Kasneci</w:t>
      </w:r>
      <w:proofErr w:type="spellEnd"/>
      <w:r w:rsidRPr="00420C30">
        <w:rPr>
          <w:rFonts w:ascii="Bookman Old Style" w:hAnsi="Bookman Old Style"/>
          <w:sz w:val="24"/>
          <w:szCs w:val="24"/>
        </w:rPr>
        <w:t xml:space="preserve"> et al., 2023; Tlili et al., 2023). While these perspectives contribute valuable insights, they often overlook the potential for structured human–AI collaboration within instructional processes. Emerging pedagogical frameworks, such as the Teacher-in-the-Loop model, propose that when implemented within clearly defined instructional and governance structures, GenAI can function not merely as a supportive tool but as a collaborative partner that complements human expertise in teaching and learning activities (</w:t>
      </w:r>
      <w:proofErr w:type="spellStart"/>
      <w:r w:rsidRPr="00420C30">
        <w:rPr>
          <w:rFonts w:ascii="Bookman Old Style" w:hAnsi="Bookman Old Style"/>
          <w:sz w:val="24"/>
          <w:szCs w:val="24"/>
        </w:rPr>
        <w:t>Shubhanshi</w:t>
      </w:r>
      <w:proofErr w:type="spellEnd"/>
      <w:r w:rsidRPr="00420C30">
        <w:rPr>
          <w:rFonts w:ascii="Bookman Old Style" w:hAnsi="Bookman Old Style"/>
          <w:sz w:val="24"/>
          <w:szCs w:val="24"/>
        </w:rPr>
        <w:t>, 2025). This evolving perspective suggests a shift from a tool-centric view of AI toward a partnership-based paradigm in which human instructors and AI systems jointly contribute to instructional design, delivery, and evaluation.</w:t>
      </w:r>
    </w:p>
    <w:p w14:paraId="4AA20C2C"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conceptualization of GenAI as a co-instructor raises important theoretical and methodological questions. Currently, there is limited consensus on how to define, structure, and empirically measure the role of GenAI as a pedagogical collaborator. Without a coherent conceptual framework and validated measurement model, research on AI-assisted teaching risks remaining fragmented, descriptive, and context-specific rather than cumulative and theory-driven. A comprehensive framework is therefore needed to capture the multidimensional nature of AI-supported instruction</w:t>
      </w:r>
      <w:r>
        <w:rPr>
          <w:rFonts w:ascii="Bookman Old Style" w:hAnsi="Bookman Old Style"/>
          <w:sz w:val="24"/>
          <w:szCs w:val="24"/>
        </w:rPr>
        <w:t xml:space="preserve"> </w:t>
      </w:r>
      <w:r w:rsidRPr="00420C30">
        <w:rPr>
          <w:rFonts w:ascii="Bookman Old Style" w:hAnsi="Bookman Old Style"/>
          <w:sz w:val="24"/>
          <w:szCs w:val="24"/>
        </w:rPr>
        <w:t>one that integrates instructional collaboration processes, pedagogical effectiveness, ethical governance considerations, and measurable educational outcomes.</w:t>
      </w:r>
    </w:p>
    <w:p w14:paraId="45B9C80E"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lastRenderedPageBreak/>
        <w:t>Addressing this need requires grounding the emerging role of GenAI in established theoretical perspectives. Prior research in educational technology highlights the relevance of models such as the Technology Acceptance Model, which explains users’ adoption of new technologies based on perceived usefulness and ease of use (Davis, 1989); the Information Systems Success Model, which evaluates system effectiveness through dimensions such as system quality, information quality, and user satisfaction (</w:t>
      </w:r>
      <w:proofErr w:type="spellStart"/>
      <w:r w:rsidRPr="00420C30">
        <w:rPr>
          <w:rFonts w:ascii="Bookman Old Style" w:hAnsi="Bookman Old Style"/>
          <w:sz w:val="24"/>
          <w:szCs w:val="24"/>
        </w:rPr>
        <w:t>DeLone</w:t>
      </w:r>
      <w:proofErr w:type="spellEnd"/>
      <w:r w:rsidRPr="00420C30">
        <w:rPr>
          <w:rFonts w:ascii="Bookman Old Style" w:hAnsi="Bookman Old Style"/>
          <w:sz w:val="24"/>
          <w:szCs w:val="24"/>
        </w:rPr>
        <w:t xml:space="preserve"> and McLean, 2003); and Student Engagement Theory, which emphasizes the role of active participation in improving learning outcomes (Fredricks et al., 2004). In addition, pedagogical frameworks such as Formative Assessment Theory underscore the importance of continuous feedback and assessment in enhancing instructional effectiveness (Black &amp; Wiliam, 1998), while emerging discussions on Responsible AI Governance emphasize ethical transparency, accountability, and human oversight in AI-enabled systems (</w:t>
      </w:r>
      <w:proofErr w:type="spellStart"/>
      <w:r w:rsidRPr="00420C30">
        <w:rPr>
          <w:rFonts w:ascii="Bookman Old Style" w:hAnsi="Bookman Old Style"/>
          <w:sz w:val="24"/>
          <w:szCs w:val="24"/>
        </w:rPr>
        <w:t>Floridi</w:t>
      </w:r>
      <w:proofErr w:type="spellEnd"/>
      <w:r w:rsidRPr="00420C30">
        <w:rPr>
          <w:rFonts w:ascii="Bookman Old Style" w:hAnsi="Bookman Old Style"/>
          <w:sz w:val="24"/>
          <w:szCs w:val="24"/>
        </w:rPr>
        <w:t xml:space="preserve"> et al., 2018).</w:t>
      </w:r>
    </w:p>
    <w:p w14:paraId="033C934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Building upon these theoretical perspectives, this study addresses the conceptual gap by developing a multidimensional framework that positions GenAI as a collaborative instructional partner in higher education. Specifically, this paper aims to: (1) develop a multidimensional conceptual framework that positions Generative AI as a co-instructor in higher education, and (2) formulate a theory-grounded measurement structure that enables future empirical validation of this framework. By integrating instructional collaboration processes, pedagogical outcomes, and governance considerations, the study seeks to provide a systematic foundation for examining human–AI instructional collaboration in the pursuit of personalized, effective, and sustainable higher education ecosystems.</w:t>
      </w:r>
    </w:p>
    <w:p w14:paraId="45EB14F6" w14:textId="77777777" w:rsidR="005264D4" w:rsidRPr="00420C30" w:rsidRDefault="005264D4" w:rsidP="005264D4">
      <w:pPr>
        <w:rPr>
          <w:rFonts w:ascii="Bookman Old Style" w:hAnsi="Bookman Old Style"/>
          <w:b/>
          <w:bCs/>
          <w:sz w:val="24"/>
          <w:szCs w:val="24"/>
        </w:rPr>
      </w:pPr>
    </w:p>
    <w:p w14:paraId="668FF91C"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Theoretical Foundations</w:t>
      </w:r>
    </w:p>
    <w:p w14:paraId="3C548C8D"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conceptualization of Generative Artificial Intelligence (GenAI) as a co-instructor in higher education requires grounding in established theoretical perspectives from information systems, educational psychology, and technology governance. This study integrates five complementary theoretical lenses - the Technology Acceptance Model (TAM), the Information Systems Success Model, Student Engagement Theory, Formative Assessment Theory, and Responsible AI Governance frameworks - to explain how GenAI-supported instructional collaboration may influence pedagogical effectiveness and educational outcomes. Together, these theories provide a multidimensional foundation for understanding the interaction between technology adoption, instructional practices, ethical oversight, and learning performance.</w:t>
      </w:r>
    </w:p>
    <w:p w14:paraId="12A0CDD9" w14:textId="77777777" w:rsidR="005264D4" w:rsidRPr="00420C30" w:rsidRDefault="005264D4" w:rsidP="005264D4">
      <w:pPr>
        <w:jc w:val="both"/>
        <w:rPr>
          <w:rFonts w:ascii="Bookman Old Style" w:hAnsi="Bookman Old Style"/>
          <w:b/>
          <w:bCs/>
          <w:sz w:val="24"/>
          <w:szCs w:val="24"/>
        </w:rPr>
      </w:pPr>
    </w:p>
    <w:p w14:paraId="3E05C264"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lastRenderedPageBreak/>
        <w:t>Technology Acceptance Model</w:t>
      </w:r>
    </w:p>
    <w:p w14:paraId="7DFF57E2"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Technology Acceptance Model (TAM), originally proposed by Davis (1989), explains how users come to accept and utilize new technologies. TAM posits that perceived usefulness and perceived ease of use determine an individual’s intention to adopt technological systems (Davis, 1989). In the context of higher education, instructors’ willingness to integrate GenAI tools into teaching practices depends largely on their perception that these systems enhance instructional efficiency and improve learning outcomes.</w:t>
      </w:r>
    </w:p>
    <w:p w14:paraId="47DB65F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Within this study, TAM provides the theoretical basis for understanding instructors’ engagement with GenAI in collaborative instructional processes such as co-planning, co-instruction, and co-assessment. When educators perceive AI-assisted tools as useful for generating teaching materials, facilitating instructional delivery, or supporting assessment activities, they are more likely to incorporate these technologies into their pedagogical workflows. Consequently, higher levels of technology acceptance are expected to facilitate more effective human–AI instructional collaboration, thereby contributing to improved teaching performance and learning outcomes.</w:t>
      </w:r>
    </w:p>
    <w:p w14:paraId="46E3D873"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Information Systems Success Model</w:t>
      </w:r>
    </w:p>
    <w:p w14:paraId="2DF38932"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 xml:space="preserve">The Information Systems Success Model developed by William H. </w:t>
      </w:r>
      <w:proofErr w:type="spellStart"/>
      <w:r w:rsidRPr="00420C30">
        <w:rPr>
          <w:rFonts w:ascii="Bookman Old Style" w:hAnsi="Bookman Old Style"/>
          <w:sz w:val="24"/>
          <w:szCs w:val="24"/>
        </w:rPr>
        <w:t>DeLone</w:t>
      </w:r>
      <w:proofErr w:type="spellEnd"/>
      <w:r w:rsidRPr="00420C30">
        <w:rPr>
          <w:rFonts w:ascii="Bookman Old Style" w:hAnsi="Bookman Old Style"/>
          <w:sz w:val="24"/>
          <w:szCs w:val="24"/>
        </w:rPr>
        <w:t xml:space="preserve"> and Ephraim R. McLean provides a widely used framework for evaluating the effectiveness of information systems. The model identifies several dimensions of system success, including system quality, information quality, service quality, user satisfaction, and net benefits (</w:t>
      </w:r>
      <w:proofErr w:type="spellStart"/>
      <w:r w:rsidRPr="00420C30">
        <w:rPr>
          <w:rFonts w:ascii="Bookman Old Style" w:hAnsi="Bookman Old Style"/>
          <w:sz w:val="24"/>
          <w:szCs w:val="24"/>
        </w:rPr>
        <w:t>DeLone</w:t>
      </w:r>
      <w:proofErr w:type="spellEnd"/>
      <w:r w:rsidRPr="00420C30">
        <w:rPr>
          <w:rFonts w:ascii="Bookman Old Style" w:hAnsi="Bookman Old Style"/>
          <w:sz w:val="24"/>
          <w:szCs w:val="24"/>
        </w:rPr>
        <w:t xml:space="preserve"> and McLean, 2003).</w:t>
      </w:r>
    </w:p>
    <w:p w14:paraId="72E31FB3"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Applied to AI-supported educational environments, this model suggests that the effectiveness of GenAI as a co-instructor depends on the reliability, accuracy, and usability of the AI system. High-quality AI-generated instructional materials, responsive feedback mechanisms, and reliable system performance can enhance both instructor satisfaction and student learning experiences. In this study, the Information Systems Success Model informs the evaluation of Pedagogical Implementation Effectiveness (PIE) and helps explain how the quality of AI-assisted instructional processes contributes to Instructor Outcomes (IO) and Student Outcomes (SO).</w:t>
      </w:r>
    </w:p>
    <w:p w14:paraId="0E43FC62"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Student Engagement Theory</w:t>
      </w:r>
    </w:p>
    <w:p w14:paraId="6135F3DF"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Student Engagement Theory emphasizes the importance of active participation in learning activities as a critical determinant of academic success. Scholars such as Jennifer A. Fredricks conceptualize engagement as a multidimensional construct encompassing behavioral, emotional, and cognitive components (Fredricks et al., 2004). Higher levels of engagement are associated with improved motivation, deeper learning, and stronger academic performance.</w:t>
      </w:r>
    </w:p>
    <w:p w14:paraId="6DD99BA8"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lastRenderedPageBreak/>
        <w:t>In AI-supported learning environments, GenAI tools can facilitate interactive learning experiences by generating adaptive learning materials, personalized explanations, and timely feedback. These capabilities can increase students’ cognitive engagement with course content and encourage active participation in the learning process. Within the proposed framework, enhanced engagement mediated by AI-assisted instructional practices is expected to contribute directly to improved Student Outcomes, including deeper understanding, higher satisfaction, and stronger academic achievement.</w:t>
      </w:r>
    </w:p>
    <w:p w14:paraId="50358094"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Formative Assessment Theory</w:t>
      </w:r>
    </w:p>
    <w:p w14:paraId="2F92940B"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Formative Assessment Theory highlights the role of continuous assessment and feedback in improving teaching and learning processes. According to the seminal work of Paul Black and Dylan Wiliam, formative assessment enables instructors to monitor student progress, identify learning gaps, and adjust instructional strategies accordingly (Black and Wiliam, 1998).</w:t>
      </w:r>
    </w:p>
    <w:p w14:paraId="25464184"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Generative AI systems can enhance formative assessment practices by providing automated feedback, generating assessment questions, and assisting instructors in evaluating student work. These capabilities enable a more responsive and adaptive instructional environment in which assessment becomes an ongoing component of the learning process. In this study, Formative Assessment Theory supports the construct of Co-Assessment (CA), where instructors and AI systems collaboratively analyze student performance and provide feedback that improves both teaching effectiveness and student learning outcomes.</w:t>
      </w:r>
    </w:p>
    <w:p w14:paraId="134C1E6D"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Responsible AI Governance</w:t>
      </w:r>
    </w:p>
    <w:p w14:paraId="6A37FB4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increasing integration of AI technologies in educational settings raises important ethical and governance considerations. Responsible AI Governance frameworks emphasize principles such as transparency, accountability, fairness, and human oversight in the design and deployment of AI systems (</w:t>
      </w:r>
      <w:proofErr w:type="spellStart"/>
      <w:r w:rsidRPr="00420C30">
        <w:rPr>
          <w:rFonts w:ascii="Bookman Old Style" w:hAnsi="Bookman Old Style"/>
          <w:sz w:val="24"/>
          <w:szCs w:val="24"/>
        </w:rPr>
        <w:t>Floridi</w:t>
      </w:r>
      <w:proofErr w:type="spellEnd"/>
      <w:r w:rsidRPr="00420C30">
        <w:rPr>
          <w:rFonts w:ascii="Bookman Old Style" w:hAnsi="Bookman Old Style"/>
          <w:sz w:val="24"/>
          <w:szCs w:val="24"/>
        </w:rPr>
        <w:t xml:space="preserve"> et al., 2018). These principles are essential to ensuring that AI technologies are implemented in ways that support educational integrity and protect the rights of learners and educators.</w:t>
      </w:r>
    </w:p>
    <w:p w14:paraId="00B00880"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Within the proposed conceptual framework, responsible governance mechanisms are captured through the construct of Ethical Governance Readiness (EGR). This construct reflects the extent to which institutions establish policies, ethical guidelines, and oversight mechanisms for the responsible use of AI in teaching and learning. Strong governance frameworks help mitigate risks related to bias, misinformation, and overreliance on automated systems while ensuring that human educators retain ultimate pedagogical authority.</w:t>
      </w:r>
    </w:p>
    <w:p w14:paraId="7C42B5F7" w14:textId="77777777" w:rsidR="005264D4" w:rsidRPr="00420C30" w:rsidRDefault="005264D4" w:rsidP="005264D4">
      <w:pPr>
        <w:jc w:val="both"/>
        <w:rPr>
          <w:rFonts w:ascii="Bookman Old Style" w:hAnsi="Bookman Old Style"/>
          <w:sz w:val="24"/>
          <w:szCs w:val="24"/>
        </w:rPr>
      </w:pPr>
    </w:p>
    <w:p w14:paraId="264BD006"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lastRenderedPageBreak/>
        <w:t>The Proposed Conceptual Framework</w:t>
      </w:r>
    </w:p>
    <w:p w14:paraId="45784EF8"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proposed conceptual framework conceptualizes Generative Artificial Intelligence (GenAI) as a multidimensional instructional collaborator operating across interconnected pedagogical domains within higher education. Rather than viewing AI solely as a technological tool, the framework positions GenAI as a complementary instructional partner that supports instructors throughout the teaching and learning process. This perspective reflects an emerging paradigm of human–AI collaborative pedagogy, in which artificial intelligence augments human expertise while instructors retain pedagogical authority and oversight.</w:t>
      </w:r>
    </w:p>
    <w:p w14:paraId="337A634D"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At the core of the framework are three primary instructional collaboration domains. The first domain, co-planning, refers to the extent to which GenAI assists instructors in instructional design and preparation activities. This includes supporting curriculum development, generating teaching materials, organizing lesson structures, and providing suggestions for instructional strategies. By facilitating these preparatory tasks, GenAI can help instructors streamline course planning processes and devote greater attention to higher-order pedagogical decisions (Zhang, 2025).</w:t>
      </w:r>
    </w:p>
    <w:p w14:paraId="79404754"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second domain, co-instruction, represents the role of GenAI in supporting the delivery of instruction. Through capabilities such as personalized explanations, adaptive tutoring, interactive question–answering, and on-demand learning assistance, GenAI can complement traditional instructional methods and support individualized learning pathways. These capabilities enable instructors to extend instructional support beyond the physical classroom, thereby enhancing learning accessibility and responsiveness to diverse student needs (Neupane et al., 2024).</w:t>
      </w:r>
    </w:p>
    <w:p w14:paraId="31FD50DC"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third domain, co-assessment, captures the collaborative role of GenAI in student evaluation and feedback processes. GenAI systems can assist instructors in generating assessment questions, supporting grading processes, developing evaluation rubrics, and providing timely formative feedback. These functions allow instructors to monitor student progress more effectively and facilitate continuous improvement in learning outcomes through data-informed instructional adjustments (Xiao et al., 2024).</w:t>
      </w:r>
    </w:p>
    <w:p w14:paraId="5E13DEC3"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 xml:space="preserve">Beyond these core instructional domains, the framework incorporates Pedagogical Implementation Effectiveness, which represents the extent to which GenAI is integrated into teaching practices in a structured, purposeful, and pedagogically meaningful manner. Drawing on the Teacher-in-the-Loop approach, this construct emphasizes that while AI systems may support instructional processes, ultimate pedagogical authority and professional judgment remain with human instructors. This human-centered oversight ensures that AI-supported teaching practices remain aligned with educational </w:t>
      </w:r>
      <w:r w:rsidRPr="00420C30">
        <w:rPr>
          <w:rFonts w:ascii="Bookman Old Style" w:hAnsi="Bookman Old Style"/>
          <w:sz w:val="24"/>
          <w:szCs w:val="24"/>
        </w:rPr>
        <w:lastRenderedPageBreak/>
        <w:t>objectives, disciplinary standards, and ethical considerations (</w:t>
      </w:r>
      <w:proofErr w:type="spellStart"/>
      <w:r w:rsidRPr="00420C30">
        <w:rPr>
          <w:rFonts w:ascii="Bookman Old Style" w:hAnsi="Bookman Old Style"/>
          <w:sz w:val="24"/>
          <w:szCs w:val="24"/>
        </w:rPr>
        <w:t>Shubhanshi</w:t>
      </w:r>
      <w:proofErr w:type="spellEnd"/>
      <w:r w:rsidRPr="00420C30">
        <w:rPr>
          <w:rFonts w:ascii="Bookman Old Style" w:hAnsi="Bookman Old Style"/>
          <w:sz w:val="24"/>
          <w:szCs w:val="24"/>
        </w:rPr>
        <w:t>, 2025).</w:t>
      </w:r>
    </w:p>
    <w:p w14:paraId="3B55CCAF"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In addition, the framework introduces Ethical Governance Readiness as an important contextual factor influencing the responsible adoption of AI in education. Ethical governance readiness refers to the degree to which institutions establish policies, guidelines, and oversight mechanisms that ensure responsible AI deployment. These mechanisms include safeguards for mitigating algorithmic bias, protecting student data privacy, preserving academic integrity, and promoting transparency in AI-assisted decision-making processes (Franco et al., 2024). Strong governance structures help ensure that AI technologies are implemented in ways that support educational values while minimizing potential risks.</w:t>
      </w:r>
    </w:p>
    <w:p w14:paraId="659A3A5A"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combined influence of these constructs is expected to shape multiple categories of outcomes. Instructor outcomes include improvements in teaching efficiency, instructional innovation, and professional satisfaction resulting from AI-supported teaching practices. Student outcomes encompass enhanced engagement, improved academic performance, and deeper critical thinking through personalized and adaptive learning experiences. At the institutional level, institutional outcomes reflect broader organizational benefits such as digital transformation, scalable personalized education, and strengthened capacity for technology-enabled learning.</w:t>
      </w:r>
    </w:p>
    <w:p w14:paraId="68BD744C"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Collectively, the proposed framework provides a structured model for examining how GenAI can function as a sustainable, collaborative, and ethically governed co-instructor within higher education environments. By integrating instructional collaboration processes, implementation conditions, governance considerations, and educational outcomes, the model offers a comprehensive foundation for future empirical investigation of human–AI instructional partnerships.</w:t>
      </w:r>
    </w:p>
    <w:p w14:paraId="47236D23"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noProof/>
          <w:sz w:val="24"/>
          <w:szCs w:val="24"/>
        </w:rPr>
        <w:lastRenderedPageBreak/>
        <w:drawing>
          <wp:inline distT="0" distB="0" distL="0" distR="0" wp14:anchorId="121CBF88" wp14:editId="73EC745C">
            <wp:extent cx="5943600" cy="4407535"/>
            <wp:effectExtent l="0" t="0" r="0" b="0"/>
            <wp:docPr id="33734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49910" name=""/>
                    <pic:cNvPicPr/>
                  </pic:nvPicPr>
                  <pic:blipFill>
                    <a:blip r:embed="rId5"/>
                    <a:stretch>
                      <a:fillRect/>
                    </a:stretch>
                  </pic:blipFill>
                  <pic:spPr>
                    <a:xfrm>
                      <a:off x="0" y="0"/>
                      <a:ext cx="5943600" cy="4407535"/>
                    </a:xfrm>
                    <a:prstGeom prst="rect">
                      <a:avLst/>
                    </a:prstGeom>
                  </pic:spPr>
                </pic:pic>
              </a:graphicData>
            </a:graphic>
          </wp:inline>
        </w:drawing>
      </w:r>
      <w:r w:rsidRPr="00420C30">
        <w:rPr>
          <w:rFonts w:ascii="Bookman Old Style" w:hAnsi="Bookman Old Style"/>
          <w:b/>
          <w:bCs/>
          <w:sz w:val="24"/>
          <w:szCs w:val="24"/>
        </w:rPr>
        <w:t>Figure 1</w:t>
      </w:r>
      <w:r w:rsidRPr="00420C30">
        <w:rPr>
          <w:rFonts w:ascii="Bookman Old Style" w:hAnsi="Bookman Old Style"/>
          <w:sz w:val="24"/>
          <w:szCs w:val="24"/>
        </w:rPr>
        <w:t xml:space="preserve"> </w:t>
      </w:r>
      <w:r>
        <w:rPr>
          <w:rFonts w:ascii="Bookman Old Style" w:hAnsi="Bookman Old Style"/>
          <w:sz w:val="24"/>
          <w:szCs w:val="24"/>
        </w:rPr>
        <w:t>C</w:t>
      </w:r>
      <w:r w:rsidRPr="00420C30">
        <w:rPr>
          <w:rFonts w:ascii="Bookman Old Style" w:hAnsi="Bookman Old Style"/>
          <w:sz w:val="24"/>
          <w:szCs w:val="24"/>
        </w:rPr>
        <w:t>onceptual framework of Generative AI as a Co-Instructor in Higher Education.</w:t>
      </w:r>
    </w:p>
    <w:p w14:paraId="351EB646" w14:textId="77777777" w:rsidR="005264D4" w:rsidRPr="00420C30" w:rsidRDefault="005264D4" w:rsidP="005264D4">
      <w:pPr>
        <w:rPr>
          <w:rFonts w:ascii="Bookman Old Style" w:hAnsi="Bookman Old Style"/>
          <w:sz w:val="24"/>
          <w:szCs w:val="24"/>
        </w:rPr>
      </w:pPr>
    </w:p>
    <w:p w14:paraId="76437E1B"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Hypothesis Development</w:t>
      </w:r>
    </w:p>
    <w:p w14:paraId="1649DA7B"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2A4F6026"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Generative AI as a Co-Instructor in Higher Education</w:t>
      </w:r>
    </w:p>
    <w:p w14:paraId="422865E0" w14:textId="77777777" w:rsidR="005264D4" w:rsidRPr="00420C30" w:rsidRDefault="005264D4" w:rsidP="005264D4">
      <w:pPr>
        <w:spacing w:after="0" w:line="240" w:lineRule="auto"/>
        <w:jc w:val="both"/>
        <w:rPr>
          <w:rFonts w:ascii="Bookman Old Style" w:hAnsi="Bookman Old Style" w:cs="Times New Roman"/>
          <w:sz w:val="24"/>
          <w:szCs w:val="24"/>
        </w:rPr>
      </w:pPr>
    </w:p>
    <w:p w14:paraId="22D91493"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The integration of Generative Artificial Intelligence (GenAI) in higher education is increasingly conceptualized not merely as a technological tool, but as a pedagogical collaborator capable of augmenting instructional design, delivery, and assessment processes (Dwivedi et al., 2023; UNESCO, 2023). Framed as a co-instructor, GenAI supports educators through co-planning, co-instruction, and co-assessment functions. Emerging research suggests that AI systems can function as cognitive partners, enhancing teaching efficiency while preserving human pedagogical oversight (Holmes et al., 2022). This study advances a structural model examining how these functional roles influence instructor, student, and institutional outcomes, while accounting for implementation frameworks and ethical governance safeguards.</w:t>
      </w:r>
    </w:p>
    <w:p w14:paraId="7CF708D7"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2C1B1E36"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lastRenderedPageBreak/>
        <w:t>Direct Effects of GenAI Functional Roles</w:t>
      </w:r>
    </w:p>
    <w:p w14:paraId="2762CC12"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143B88D6"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GenAI Co-Planning and Instructor Outcomes</w:t>
      </w:r>
    </w:p>
    <w:p w14:paraId="4AFD395B"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GenAI-assisted co-planning enables instructors to automate lesson design, generate instructional materials, and streamline administrative preparation. Research on AI-supported instructional design indicates improvements in efficiency, instructional alignment, and creative ideation when AI is used collaboratively (Holmes et al., 2022; Luckin et al., 2016). By reducing routine cognitive workload, educators can allocate greater effort toward pedagogical innovation and student engagement, consistent with cognitive load theory (</w:t>
      </w:r>
      <w:proofErr w:type="spellStart"/>
      <w:r w:rsidRPr="00420C30">
        <w:rPr>
          <w:rFonts w:ascii="Bookman Old Style" w:hAnsi="Bookman Old Style" w:cs="Times New Roman"/>
          <w:sz w:val="24"/>
          <w:szCs w:val="24"/>
        </w:rPr>
        <w:t>Sweller</w:t>
      </w:r>
      <w:proofErr w:type="spellEnd"/>
      <w:r w:rsidRPr="00420C30">
        <w:rPr>
          <w:rFonts w:ascii="Bookman Old Style" w:hAnsi="Bookman Old Style" w:cs="Times New Roman"/>
          <w:sz w:val="24"/>
          <w:szCs w:val="24"/>
        </w:rPr>
        <w:t>, 1988).</w:t>
      </w:r>
    </w:p>
    <w:p w14:paraId="6F8E3A10"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3E566821"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b/>
          <w:bCs/>
          <w:sz w:val="24"/>
          <w:szCs w:val="24"/>
        </w:rPr>
        <w:t>H1a:</w:t>
      </w:r>
      <w:r w:rsidRPr="00420C30">
        <w:rPr>
          <w:rFonts w:ascii="Bookman Old Style" w:hAnsi="Bookman Old Style" w:cs="Times New Roman"/>
          <w:sz w:val="24"/>
          <w:szCs w:val="24"/>
        </w:rPr>
        <w:t xml:space="preserve"> GenAI-supported co-planning positively influences instructor outcomes.</w:t>
      </w:r>
    </w:p>
    <w:p w14:paraId="13E59E9F"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6B02EB10"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GenAI Co-Instruction and Student Outcomes</w:t>
      </w:r>
    </w:p>
    <w:p w14:paraId="6A00B295" w14:textId="77777777" w:rsidR="005264D4" w:rsidRPr="00420C30" w:rsidRDefault="005264D4" w:rsidP="005264D4">
      <w:pPr>
        <w:spacing w:after="0" w:line="240" w:lineRule="auto"/>
        <w:jc w:val="both"/>
        <w:rPr>
          <w:rFonts w:ascii="Bookman Old Style" w:hAnsi="Bookman Old Style" w:cs="Times New Roman"/>
          <w:sz w:val="24"/>
          <w:szCs w:val="24"/>
        </w:rPr>
      </w:pPr>
    </w:p>
    <w:p w14:paraId="37CFDC04"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GenAI-enabled co-instruction provides adaptive tutoring, real-time clarification, and personalized feedback. Adaptive learning and intelligent tutoring research demonstrate that personalized scaffolding improves comprehension, engagement, and performance (</w:t>
      </w:r>
      <w:proofErr w:type="spellStart"/>
      <w:r w:rsidRPr="00420C30">
        <w:rPr>
          <w:rFonts w:ascii="Bookman Old Style" w:hAnsi="Bookman Old Style" w:cs="Times New Roman"/>
          <w:sz w:val="24"/>
          <w:szCs w:val="24"/>
        </w:rPr>
        <w:t>VanLehn</w:t>
      </w:r>
      <w:proofErr w:type="spellEnd"/>
      <w:r w:rsidRPr="00420C30">
        <w:rPr>
          <w:rFonts w:ascii="Bookman Old Style" w:hAnsi="Bookman Old Style" w:cs="Times New Roman"/>
          <w:sz w:val="24"/>
          <w:szCs w:val="24"/>
        </w:rPr>
        <w:t>, 2011; Zawacki-Richter et al., 2019). When AI systems supplement classroom instruction, students benefit from differentiated explanations and continuous assistance.</w:t>
      </w:r>
    </w:p>
    <w:p w14:paraId="3C384FC8"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57598CB0"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b/>
          <w:bCs/>
          <w:sz w:val="24"/>
          <w:szCs w:val="24"/>
        </w:rPr>
        <w:t>H1b:</w:t>
      </w:r>
      <w:r w:rsidRPr="00420C30">
        <w:rPr>
          <w:rFonts w:ascii="Bookman Old Style" w:hAnsi="Bookman Old Style" w:cs="Times New Roman"/>
          <w:sz w:val="24"/>
          <w:szCs w:val="24"/>
        </w:rPr>
        <w:t xml:space="preserve"> GenAI-supported co-instruction positively influences student outcomes.</w:t>
      </w:r>
    </w:p>
    <w:p w14:paraId="21771E65"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71D5D617"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GenAI Co-Assessment and Student Outcomes</w:t>
      </w:r>
    </w:p>
    <w:p w14:paraId="3383228C" w14:textId="77777777" w:rsidR="005264D4" w:rsidRPr="00420C30" w:rsidRDefault="005264D4" w:rsidP="005264D4">
      <w:pPr>
        <w:spacing w:after="0" w:line="240" w:lineRule="auto"/>
        <w:jc w:val="both"/>
        <w:rPr>
          <w:rFonts w:ascii="Bookman Old Style" w:hAnsi="Bookman Old Style" w:cs="Times New Roman"/>
          <w:sz w:val="24"/>
          <w:szCs w:val="24"/>
        </w:rPr>
      </w:pPr>
    </w:p>
    <w:p w14:paraId="48D127CE"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AI-driven co-assessment systems facilitate automated scoring, rubric generation, and formative feedback delivery. Timely and consistent feedback significantly enhances learning gains and conceptual understanding (Hattie, 2009; Shute, 2008). Automated feedback systems also improve scalability and responsiveness in large classes (Zawacki-Richter et al., 2019).</w:t>
      </w:r>
    </w:p>
    <w:p w14:paraId="1AF0E69A"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26CB507A"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b/>
          <w:bCs/>
          <w:sz w:val="24"/>
          <w:szCs w:val="24"/>
        </w:rPr>
        <w:t>H1c:</w:t>
      </w:r>
      <w:r w:rsidRPr="00420C30">
        <w:rPr>
          <w:rFonts w:ascii="Bookman Old Style" w:hAnsi="Bookman Old Style" w:cs="Times New Roman"/>
          <w:sz w:val="24"/>
          <w:szCs w:val="24"/>
        </w:rPr>
        <w:t xml:space="preserve"> GenAI-supported co-assessment positively influences student outcomes.</w:t>
      </w:r>
    </w:p>
    <w:p w14:paraId="60DB2A71"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52F80DE3"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Mediating Role of Implementation Frameworks</w:t>
      </w:r>
    </w:p>
    <w:p w14:paraId="11399955" w14:textId="77777777" w:rsidR="005264D4" w:rsidRPr="00420C30" w:rsidRDefault="005264D4" w:rsidP="005264D4">
      <w:pPr>
        <w:spacing w:after="0" w:line="240" w:lineRule="auto"/>
        <w:jc w:val="both"/>
        <w:rPr>
          <w:rFonts w:ascii="Bookman Old Style" w:hAnsi="Bookman Old Style" w:cs="Times New Roman"/>
          <w:sz w:val="24"/>
          <w:szCs w:val="24"/>
        </w:rPr>
      </w:pPr>
    </w:p>
    <w:p w14:paraId="69BBF984"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The effectiveness of GenAI integration depends on structured implementation models, including teacher-in-the-loop validation, hybrid human - AI collaboration, and retrieval-augmented generation (RAG). Human-centered AI frameworks emphasize complementarity between human judgment and machine efficiency (Raisch and Krakowski, 2021). Without structured implementation, AI systems risk producing biased or inaccurate outputs (UNESCO, 2023).</w:t>
      </w:r>
    </w:p>
    <w:p w14:paraId="6B601A29" w14:textId="77777777" w:rsidR="005264D4" w:rsidRPr="00420C30" w:rsidRDefault="005264D4" w:rsidP="005264D4">
      <w:pPr>
        <w:spacing w:after="0" w:line="240" w:lineRule="auto"/>
        <w:jc w:val="both"/>
        <w:rPr>
          <w:rFonts w:ascii="Bookman Old Style" w:hAnsi="Bookman Old Style" w:cs="Times New Roman"/>
          <w:sz w:val="24"/>
          <w:szCs w:val="24"/>
        </w:rPr>
      </w:pPr>
    </w:p>
    <w:p w14:paraId="60D89599"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lastRenderedPageBreak/>
        <w:t>Thus, implementation framework effectiveness is proposed as a mediating mechanism through which GenAI functional roles translate into improved outcomes.</w:t>
      </w:r>
    </w:p>
    <w:p w14:paraId="6FEFEE6A" w14:textId="77777777" w:rsidR="005264D4" w:rsidRPr="00420C30" w:rsidRDefault="005264D4" w:rsidP="005264D4">
      <w:pPr>
        <w:spacing w:after="0" w:line="240" w:lineRule="auto"/>
        <w:rPr>
          <w:rFonts w:ascii="Bookman Old Style" w:hAnsi="Bookman Old Style" w:cs="Times New Roman"/>
          <w:b/>
          <w:bCs/>
          <w:sz w:val="24"/>
          <w:szCs w:val="24"/>
        </w:rPr>
      </w:pPr>
    </w:p>
    <w:p w14:paraId="629A3E8F" w14:textId="77777777" w:rsidR="005264D4" w:rsidRPr="00420C30" w:rsidRDefault="005264D4" w:rsidP="005264D4">
      <w:pPr>
        <w:spacing w:after="0" w:line="240" w:lineRule="auto"/>
        <w:rPr>
          <w:rFonts w:ascii="Bookman Old Style" w:hAnsi="Bookman Old Style" w:cs="Times New Roman"/>
          <w:b/>
          <w:bCs/>
          <w:sz w:val="24"/>
          <w:szCs w:val="24"/>
        </w:rPr>
      </w:pPr>
      <w:r w:rsidRPr="00420C30">
        <w:rPr>
          <w:rFonts w:ascii="Bookman Old Style" w:hAnsi="Bookman Old Style" w:cs="Times New Roman"/>
          <w:b/>
          <w:bCs/>
          <w:sz w:val="24"/>
          <w:szCs w:val="24"/>
        </w:rPr>
        <w:t>H2a:</w:t>
      </w:r>
      <w:r w:rsidRPr="00420C30">
        <w:rPr>
          <w:rFonts w:ascii="Bookman Old Style" w:hAnsi="Bookman Old Style" w:cs="Times New Roman"/>
          <w:sz w:val="24"/>
          <w:szCs w:val="24"/>
        </w:rPr>
        <w:t xml:space="preserve"> Implementation framework effectiveness mediates the relationship between GenAI co-planning and instructor outcomes.</w:t>
      </w:r>
      <w:r w:rsidRPr="00420C30">
        <w:rPr>
          <w:rFonts w:ascii="Bookman Old Style" w:hAnsi="Bookman Old Style" w:cs="Times New Roman"/>
          <w:sz w:val="24"/>
          <w:szCs w:val="24"/>
        </w:rPr>
        <w:br/>
      </w:r>
    </w:p>
    <w:p w14:paraId="525EDD13" w14:textId="77777777" w:rsidR="005264D4" w:rsidRPr="00420C30" w:rsidRDefault="005264D4" w:rsidP="005264D4">
      <w:pPr>
        <w:spacing w:after="0" w:line="240" w:lineRule="auto"/>
        <w:rPr>
          <w:rFonts w:ascii="Bookman Old Style" w:hAnsi="Bookman Old Style" w:cs="Times New Roman"/>
          <w:b/>
          <w:bCs/>
          <w:sz w:val="24"/>
          <w:szCs w:val="24"/>
        </w:rPr>
      </w:pPr>
      <w:r w:rsidRPr="00420C30">
        <w:rPr>
          <w:rFonts w:ascii="Bookman Old Style" w:hAnsi="Bookman Old Style" w:cs="Times New Roman"/>
          <w:b/>
          <w:bCs/>
          <w:sz w:val="24"/>
          <w:szCs w:val="24"/>
        </w:rPr>
        <w:t>H2b:</w:t>
      </w:r>
      <w:r w:rsidRPr="00420C30">
        <w:rPr>
          <w:rFonts w:ascii="Bookman Old Style" w:hAnsi="Bookman Old Style" w:cs="Times New Roman"/>
          <w:sz w:val="24"/>
          <w:szCs w:val="24"/>
        </w:rPr>
        <w:t xml:space="preserve"> Implementation framework effectiveness mediates the relationship between GenAI co-instruction and student outcomes.</w:t>
      </w:r>
      <w:r w:rsidRPr="00420C30">
        <w:rPr>
          <w:rFonts w:ascii="Bookman Old Style" w:hAnsi="Bookman Old Style" w:cs="Times New Roman"/>
          <w:sz w:val="24"/>
          <w:szCs w:val="24"/>
        </w:rPr>
        <w:br/>
      </w:r>
    </w:p>
    <w:p w14:paraId="1C53F5AD" w14:textId="77777777" w:rsidR="005264D4" w:rsidRPr="00420C30" w:rsidRDefault="005264D4" w:rsidP="005264D4">
      <w:pPr>
        <w:spacing w:after="0" w:line="240" w:lineRule="auto"/>
        <w:rPr>
          <w:rFonts w:ascii="Bookman Old Style" w:hAnsi="Bookman Old Style" w:cs="Times New Roman"/>
          <w:b/>
          <w:bCs/>
          <w:sz w:val="24"/>
          <w:szCs w:val="24"/>
        </w:rPr>
      </w:pPr>
      <w:r w:rsidRPr="00420C30">
        <w:rPr>
          <w:rFonts w:ascii="Bookman Old Style" w:hAnsi="Bookman Old Style" w:cs="Times New Roman"/>
          <w:b/>
          <w:bCs/>
          <w:sz w:val="24"/>
          <w:szCs w:val="24"/>
        </w:rPr>
        <w:t>H2c:</w:t>
      </w:r>
      <w:r w:rsidRPr="00420C30">
        <w:rPr>
          <w:rFonts w:ascii="Bookman Old Style" w:hAnsi="Bookman Old Style" w:cs="Times New Roman"/>
          <w:sz w:val="24"/>
          <w:szCs w:val="24"/>
        </w:rPr>
        <w:t xml:space="preserve"> Implementation framework effectiveness mediates the relationship between GenAI co-assessment and student outcomes.</w:t>
      </w:r>
      <w:r w:rsidRPr="00420C30">
        <w:rPr>
          <w:rFonts w:ascii="Bookman Old Style" w:hAnsi="Bookman Old Style" w:cs="Times New Roman"/>
          <w:sz w:val="24"/>
          <w:szCs w:val="24"/>
        </w:rPr>
        <w:br/>
      </w:r>
    </w:p>
    <w:p w14:paraId="5C04A42B"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Moderating Role of Ethical and Governance Safeguards</w:t>
      </w:r>
    </w:p>
    <w:p w14:paraId="391AF9E9" w14:textId="77777777" w:rsidR="005264D4" w:rsidRPr="00420C30" w:rsidRDefault="005264D4" w:rsidP="005264D4">
      <w:pPr>
        <w:spacing w:after="0" w:line="240" w:lineRule="auto"/>
        <w:jc w:val="both"/>
        <w:rPr>
          <w:rFonts w:ascii="Bookman Old Style" w:hAnsi="Bookman Old Style" w:cs="Times New Roman"/>
          <w:sz w:val="24"/>
          <w:szCs w:val="24"/>
        </w:rPr>
      </w:pPr>
    </w:p>
    <w:p w14:paraId="5AF235E3"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The integration of GenAI raises concerns regarding academic integrity, algorithmic bias, data privacy, and teacher autonomy (Dwivedi et al., 2023; UNESCO, 2023). Responsible AI governance frameworks stress transparency, accountability, and fairness (OECD, 2019). Strong governance safeguards are expected to strengthen positive relationships between GenAI functions and outcomes.</w:t>
      </w:r>
    </w:p>
    <w:p w14:paraId="190A21EE" w14:textId="77777777" w:rsidR="005264D4" w:rsidRPr="00420C30" w:rsidRDefault="005264D4" w:rsidP="005264D4">
      <w:pPr>
        <w:spacing w:after="0" w:line="240" w:lineRule="auto"/>
        <w:rPr>
          <w:rFonts w:ascii="Bookman Old Style" w:hAnsi="Bookman Old Style" w:cs="Times New Roman"/>
          <w:b/>
          <w:bCs/>
          <w:sz w:val="24"/>
          <w:szCs w:val="24"/>
        </w:rPr>
      </w:pPr>
    </w:p>
    <w:p w14:paraId="34C4607B" w14:textId="77777777" w:rsidR="005264D4" w:rsidRPr="00420C30" w:rsidRDefault="005264D4" w:rsidP="005264D4">
      <w:pPr>
        <w:spacing w:after="0" w:line="240" w:lineRule="auto"/>
        <w:rPr>
          <w:rFonts w:ascii="Bookman Old Style" w:hAnsi="Bookman Old Style" w:cs="Times New Roman"/>
          <w:b/>
          <w:bCs/>
          <w:sz w:val="24"/>
          <w:szCs w:val="24"/>
        </w:rPr>
      </w:pPr>
      <w:r w:rsidRPr="00420C30">
        <w:rPr>
          <w:rFonts w:ascii="Bookman Old Style" w:hAnsi="Bookman Old Style" w:cs="Times New Roman"/>
          <w:b/>
          <w:bCs/>
          <w:sz w:val="24"/>
          <w:szCs w:val="24"/>
        </w:rPr>
        <w:t>H3a:</w:t>
      </w:r>
      <w:r w:rsidRPr="00420C30">
        <w:rPr>
          <w:rFonts w:ascii="Bookman Old Style" w:hAnsi="Bookman Old Style" w:cs="Times New Roman"/>
          <w:sz w:val="24"/>
          <w:szCs w:val="24"/>
        </w:rPr>
        <w:t xml:space="preserve"> Ethical and governance safeguards positively moderate the relationship between GenAI co-planning and instructor outcomes.</w:t>
      </w:r>
      <w:r w:rsidRPr="00420C30">
        <w:rPr>
          <w:rFonts w:ascii="Bookman Old Style" w:hAnsi="Bookman Old Style" w:cs="Times New Roman"/>
          <w:sz w:val="24"/>
          <w:szCs w:val="24"/>
        </w:rPr>
        <w:br/>
      </w:r>
    </w:p>
    <w:p w14:paraId="6CB63149" w14:textId="77777777" w:rsidR="005264D4" w:rsidRPr="00420C30" w:rsidRDefault="005264D4" w:rsidP="005264D4">
      <w:pPr>
        <w:spacing w:after="0" w:line="240" w:lineRule="auto"/>
        <w:rPr>
          <w:rFonts w:ascii="Bookman Old Style" w:hAnsi="Bookman Old Style" w:cs="Times New Roman"/>
          <w:b/>
          <w:bCs/>
          <w:sz w:val="24"/>
          <w:szCs w:val="24"/>
        </w:rPr>
      </w:pPr>
      <w:r w:rsidRPr="00420C30">
        <w:rPr>
          <w:rFonts w:ascii="Bookman Old Style" w:hAnsi="Bookman Old Style" w:cs="Times New Roman"/>
          <w:b/>
          <w:bCs/>
          <w:sz w:val="24"/>
          <w:szCs w:val="24"/>
        </w:rPr>
        <w:t>H3b:</w:t>
      </w:r>
      <w:r w:rsidRPr="00420C30">
        <w:rPr>
          <w:rFonts w:ascii="Bookman Old Style" w:hAnsi="Bookman Old Style" w:cs="Times New Roman"/>
          <w:sz w:val="24"/>
          <w:szCs w:val="24"/>
        </w:rPr>
        <w:t xml:space="preserve"> Ethical and governance safeguards positively moderate the relationship between GenAI co-instruction and student outcomes.</w:t>
      </w:r>
      <w:r w:rsidRPr="00420C30">
        <w:rPr>
          <w:rFonts w:ascii="Bookman Old Style" w:hAnsi="Bookman Old Style" w:cs="Times New Roman"/>
          <w:sz w:val="24"/>
          <w:szCs w:val="24"/>
        </w:rPr>
        <w:br/>
      </w:r>
    </w:p>
    <w:p w14:paraId="248DBF39" w14:textId="77777777" w:rsidR="005264D4" w:rsidRPr="00420C30" w:rsidRDefault="005264D4" w:rsidP="005264D4">
      <w:pPr>
        <w:spacing w:after="0" w:line="240" w:lineRule="auto"/>
        <w:rPr>
          <w:rFonts w:ascii="Bookman Old Style" w:hAnsi="Bookman Old Style" w:cs="Times New Roman"/>
          <w:sz w:val="24"/>
          <w:szCs w:val="24"/>
        </w:rPr>
      </w:pPr>
      <w:r w:rsidRPr="00420C30">
        <w:rPr>
          <w:rFonts w:ascii="Bookman Old Style" w:hAnsi="Bookman Old Style" w:cs="Times New Roman"/>
          <w:b/>
          <w:bCs/>
          <w:sz w:val="24"/>
          <w:szCs w:val="24"/>
        </w:rPr>
        <w:t>H3c:</w:t>
      </w:r>
      <w:r w:rsidRPr="00420C30">
        <w:rPr>
          <w:rFonts w:ascii="Bookman Old Style" w:hAnsi="Bookman Old Style" w:cs="Times New Roman"/>
          <w:sz w:val="24"/>
          <w:szCs w:val="24"/>
        </w:rPr>
        <w:t xml:space="preserve"> Ethical and governance safeguards positively moderate the relationship between GenAI co-assessment and student outcomes.</w:t>
      </w:r>
    </w:p>
    <w:p w14:paraId="6CEDB15D"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75BA3DCF"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Institutional-Level Outcomes</w:t>
      </w:r>
    </w:p>
    <w:p w14:paraId="04E22650" w14:textId="77777777" w:rsidR="005264D4" w:rsidRPr="00420C30" w:rsidRDefault="005264D4" w:rsidP="005264D4">
      <w:pPr>
        <w:spacing w:after="0" w:line="240" w:lineRule="auto"/>
        <w:jc w:val="both"/>
        <w:rPr>
          <w:rFonts w:ascii="Bookman Old Style" w:hAnsi="Bookman Old Style" w:cs="Times New Roman"/>
          <w:sz w:val="24"/>
          <w:szCs w:val="24"/>
        </w:rPr>
      </w:pPr>
    </w:p>
    <w:p w14:paraId="72E48521"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Structured and ethically governed GenAI integration contributes to scalable and sustainable digital transformation in higher education institutions (Raisch and Krakowski, 2021; UNESCO, 2023). Institutions embedding hybrid AI models within robust governance systems are better positioned to achieve long-term innovation and competitive advantage.</w:t>
      </w:r>
    </w:p>
    <w:p w14:paraId="43D43A6D"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3FD22FC1"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b/>
          <w:bCs/>
          <w:sz w:val="24"/>
          <w:szCs w:val="24"/>
        </w:rPr>
        <w:t>H4:</w:t>
      </w:r>
      <w:r w:rsidRPr="00420C30">
        <w:rPr>
          <w:rFonts w:ascii="Bookman Old Style" w:hAnsi="Bookman Old Style" w:cs="Times New Roman"/>
          <w:sz w:val="24"/>
          <w:szCs w:val="24"/>
        </w:rPr>
        <w:t xml:space="preserve"> Effective implementation frameworks positively influence institutional outcomes.</w:t>
      </w:r>
    </w:p>
    <w:p w14:paraId="7D7ED5E0" w14:textId="77777777" w:rsidR="005264D4" w:rsidRPr="00420C30" w:rsidRDefault="005264D4" w:rsidP="005264D4">
      <w:pPr>
        <w:rPr>
          <w:rFonts w:ascii="Bookman Old Style" w:hAnsi="Bookman Old Style"/>
          <w:sz w:val="24"/>
          <w:szCs w:val="24"/>
        </w:rPr>
      </w:pPr>
    </w:p>
    <w:p w14:paraId="05DFFF9E"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Research Methodology</w:t>
      </w:r>
    </w:p>
    <w:p w14:paraId="7D5E1302"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Research Design</w:t>
      </w:r>
    </w:p>
    <w:p w14:paraId="1D0C1FED"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lastRenderedPageBreak/>
        <w:t xml:space="preserve">This study adopts a qualitative conceptual research design based on document analysis to develop a multidimensional framework that conceptualizes Generative Artificial Intelligence (GenAI) as a co-instructor in higher education. Document analysis is an established qualitative research method that involves the systematic examination and interpretation of existing scholarly materials </w:t>
      </w:r>
      <w:proofErr w:type="gramStart"/>
      <w:r w:rsidRPr="00420C30">
        <w:rPr>
          <w:rFonts w:ascii="Bookman Old Style" w:hAnsi="Bookman Old Style"/>
          <w:sz w:val="24"/>
          <w:szCs w:val="24"/>
        </w:rPr>
        <w:t>in order to</w:t>
      </w:r>
      <w:proofErr w:type="gramEnd"/>
      <w:r w:rsidRPr="00420C30">
        <w:rPr>
          <w:rFonts w:ascii="Bookman Old Style" w:hAnsi="Bookman Old Style"/>
          <w:sz w:val="24"/>
          <w:szCs w:val="24"/>
        </w:rPr>
        <w:t xml:space="preserve"> extract meaning, identify patterns, and develop theoretical insights (Bowen, 2009).</w:t>
      </w:r>
    </w:p>
    <w:p w14:paraId="753185A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purpose of employing document analysis in this study is to synthesize insights from diverse streams of literature related to artificial intelligence in education, educational technology, instructional design, assessment practices, and responsible AI governance. By systematically reviewing and interpreting these documents, the study identifies key instructional functions and contextual factors that shape the integration of GenAI within higher education teaching and learning environments.</w:t>
      </w:r>
    </w:p>
    <w:p w14:paraId="07E197F0"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research process involved a structured review of peer-reviewed journal articles, conference papers, policy reports, and theoretical studies addressing AI-supported learning and digital pedagogy. The collected documents were analyzed to identify recurring themes, conceptual constructs, and relationships relevant to human–AI instructional collaboration. These insights informed the development of the proposed conceptual framework and its associated measurement constructs.</w:t>
      </w:r>
    </w:p>
    <w:p w14:paraId="748E8942"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Instrument Development</w:t>
      </w:r>
    </w:p>
    <w:p w14:paraId="1B34963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Although the present study is conceptual in nature, it also proposes a measurement instrument that can support future empirical validation of the framework. The development of this instrument was guided by insights derived from the document analysis process.</w:t>
      </w:r>
    </w:p>
    <w:p w14:paraId="4B73DC40"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First, relevant constructs related to AI-supported instruction were identified through a systematic review of existing literature on educational technology adoption, AI-enabled learning systems, instructional design, formative assessment, and ethical AI governance. Key constructs frequently discussed in prior studies were extracted and categorized according to their pedagogical roles within higher education environments.</w:t>
      </w:r>
    </w:p>
    <w:p w14:paraId="36D57165"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Second, the identified constructs were synthesized and organized into a multidimensional structure that reflects the collaborative roles of GenAI across instructional planning, teaching, and assessment processes. Based on these constructs, measurement indicators were drafted to represent the conceptual dimensions of the framework.</w:t>
      </w:r>
    </w:p>
    <w:p w14:paraId="356C09FB"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 xml:space="preserve">Third, the proposed measurement items were formulated in a way that allows future researchers to operationalize the constructs within survey-based or </w:t>
      </w:r>
      <w:r w:rsidRPr="00420C30">
        <w:rPr>
          <w:rFonts w:ascii="Bookman Old Style" w:hAnsi="Bookman Old Style"/>
          <w:sz w:val="24"/>
          <w:szCs w:val="24"/>
        </w:rPr>
        <w:lastRenderedPageBreak/>
        <w:t>quantitative research designs, such as structural equation modeling. In this way, the present study contributes not only a conceptual framework but also a preliminary measurement structure that can facilitate future empirical research on human–AI instructional collaboration.</w:t>
      </w:r>
    </w:p>
    <w:p w14:paraId="0CC7B74E"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Measurement Scale</w:t>
      </w:r>
    </w:p>
    <w:p w14:paraId="64CFEBFF"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To enable future empirical testing of the framework, the proposed measurement items are designed to be measured using a five-point Likert scale, a commonly used approach in educational and information systems research. The Likert scale allows respondents to express their level of agreement with statements related to AI-supported instructional practices.</w:t>
      </w:r>
    </w:p>
    <w:p w14:paraId="179D8C7A" w14:textId="77777777" w:rsidR="005264D4" w:rsidRPr="00420C30" w:rsidRDefault="005264D4" w:rsidP="005264D4">
      <w:pPr>
        <w:rPr>
          <w:rFonts w:ascii="Bookman Old Style" w:hAnsi="Bookman Old Style"/>
          <w:sz w:val="24"/>
          <w:szCs w:val="24"/>
        </w:rPr>
      </w:pPr>
      <w:r w:rsidRPr="00420C30">
        <w:rPr>
          <w:rFonts w:ascii="Bookman Old Style" w:hAnsi="Bookman Old Style"/>
          <w:sz w:val="24"/>
          <w:szCs w:val="24"/>
        </w:rPr>
        <w:t>The scale ranges from:</w:t>
      </w:r>
    </w:p>
    <w:p w14:paraId="1222DAF2" w14:textId="77777777" w:rsidR="005264D4" w:rsidRPr="00420C30" w:rsidRDefault="005264D4" w:rsidP="005264D4">
      <w:pPr>
        <w:rPr>
          <w:rFonts w:ascii="Bookman Old Style" w:hAnsi="Bookman Old Style"/>
          <w:sz w:val="24"/>
          <w:szCs w:val="24"/>
        </w:rPr>
      </w:pPr>
      <w:r w:rsidRPr="00420C30">
        <w:rPr>
          <w:rFonts w:ascii="Bookman Old Style" w:hAnsi="Bookman Old Style"/>
          <w:sz w:val="24"/>
          <w:szCs w:val="24"/>
        </w:rPr>
        <w:t>1 – Strongly Disagree</w:t>
      </w:r>
      <w:r w:rsidRPr="00420C30">
        <w:rPr>
          <w:rFonts w:ascii="Bookman Old Style" w:hAnsi="Bookman Old Style"/>
          <w:sz w:val="24"/>
          <w:szCs w:val="24"/>
        </w:rPr>
        <w:br/>
        <w:t>2 – Disagree</w:t>
      </w:r>
      <w:r w:rsidRPr="00420C30">
        <w:rPr>
          <w:rFonts w:ascii="Bookman Old Style" w:hAnsi="Bookman Old Style"/>
          <w:sz w:val="24"/>
          <w:szCs w:val="24"/>
        </w:rPr>
        <w:br/>
        <w:t>3 – Neutral</w:t>
      </w:r>
      <w:r w:rsidRPr="00420C30">
        <w:rPr>
          <w:rFonts w:ascii="Bookman Old Style" w:hAnsi="Bookman Old Style"/>
          <w:sz w:val="24"/>
          <w:szCs w:val="24"/>
        </w:rPr>
        <w:br/>
        <w:t>4 – Agree</w:t>
      </w:r>
      <w:r w:rsidRPr="00420C30">
        <w:rPr>
          <w:rFonts w:ascii="Bookman Old Style" w:hAnsi="Bookman Old Style"/>
          <w:sz w:val="24"/>
          <w:szCs w:val="24"/>
        </w:rPr>
        <w:br/>
        <w:t>5 – Strongly Agree</w:t>
      </w:r>
    </w:p>
    <w:p w14:paraId="5E36395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Although the present study does not conduct empirical testing, the proposed measurement structure is designed to be suitable for future statistical validation using analytical techniques such as structural equation modeling (SEM). Future studies may evaluate the reliability and validity of the measurement model through procedures such as confirmatory factor analysis, reliability testing, and validity assessment.</w:t>
      </w:r>
    </w:p>
    <w:p w14:paraId="6142F774"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Constructs and Measurement</w:t>
      </w:r>
    </w:p>
    <w:p w14:paraId="611BFB19"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Based on the document analysis, eight key constructs were identified as central to conceptualizing GenAI as a collaborative instructional partner in higher education. These constructs capture the functional roles of GenAI, the conditions supporting its implementation, and the outcomes associated with AI-supported teaching and learning.</w:t>
      </w:r>
    </w:p>
    <w:p w14:paraId="097CE5BF"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Co-Planning (CP)</w:t>
      </w:r>
    </w:p>
    <w:p w14:paraId="178686F0"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Co-planning refers to the extent to which GenAI supports instructors in instructional design and preparation activities. Document analysis of literature on AI-supported curriculum design and instructional planning indicates that AI tools can assist educators in generating teaching materials, organizing lesson structures, and developing course content.</w:t>
      </w:r>
    </w:p>
    <w:p w14:paraId="1EF361A8"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Co-Instruction (CI)</w:t>
      </w:r>
    </w:p>
    <w:p w14:paraId="79F633E8"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lastRenderedPageBreak/>
        <w:t>Co-instruction represents the role of GenAI in supporting instructional delivery. Literature on intelligent tutoring systems and AI-powered learning assistants highlights the potential of AI technologies to provide personalized explanations, adaptive learning pathways, and interactive academic assistance that complement instructors’ teaching efforts.</w:t>
      </w:r>
    </w:p>
    <w:p w14:paraId="75324F3A"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Co-Assessment (CA)</w:t>
      </w:r>
    </w:p>
    <w:p w14:paraId="26165F54"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Co-assessment captures the role of GenAI in supporting student evaluation and feedback processes. Research on AI-enabled assessment systems demonstrates that AI tools can assist instructors in generating assessment questions, supporting grading processes, and providing timely formative feedback to students.</w:t>
      </w:r>
    </w:p>
    <w:p w14:paraId="4353EBB6"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Pedagogical Implementation Effectiveness (PIE)</w:t>
      </w:r>
    </w:p>
    <w:p w14:paraId="058688ED"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Pedagogical implementation effectiveness refers to the extent to which GenAI is integrated into teaching practices in a structured and pedagogically meaningful manner. Studies on human–AI collaboration in education emphasize the importance of maintaining instructor oversight to ensure that AI tools support rather than replace pedagogical decision-making.</w:t>
      </w:r>
    </w:p>
    <w:p w14:paraId="153F9D7A"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Ethical Governance Readiness (EGR)</w:t>
      </w:r>
    </w:p>
    <w:p w14:paraId="44891FB2"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Ethical governance readiness represents the institutional preparedness to ensure responsible AI deployment in educational settings. Document analysis highlights the importance of governance mechanisms that address issues such as algorithmic bias, academic integrity, data privacy, and transparency in AI-assisted decision-making.</w:t>
      </w:r>
    </w:p>
    <w:p w14:paraId="5B91C95A"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Instructor Outcomes (IO)</w:t>
      </w:r>
    </w:p>
    <w:p w14:paraId="02E66BCC"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Instructor outcomes refer to improvements in teaching efficiency, instructional innovation, and professional productivity that may result from the integration of GenAI into instructional practices.</w:t>
      </w:r>
    </w:p>
    <w:p w14:paraId="5CC22C60"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Student Outcomes (SO)</w:t>
      </w:r>
    </w:p>
    <w:p w14:paraId="202D52B8"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Student outcomes capture improvements in learning experiences, including higher levels of engagement, improved academic performance, and enhanced critical thinking resulting from personalized and adaptive AI-supported learning environments.</w:t>
      </w:r>
    </w:p>
    <w:p w14:paraId="05CB2048"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Institutional Outcomes (INO)</w:t>
      </w:r>
    </w:p>
    <w:p w14:paraId="5CA22FEA"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Institutional outcomes represent broader organizational benefits associated with AI adoption in higher education, including digital transformation, scalable personalized education, and improved institutional competitiveness.</w:t>
      </w:r>
    </w:p>
    <w:p w14:paraId="551501F8"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21F95865"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Measurement Foundations</w:t>
      </w:r>
    </w:p>
    <w:p w14:paraId="75C0D13C" w14:textId="77777777" w:rsidR="005264D4" w:rsidRPr="00420C30" w:rsidRDefault="005264D4" w:rsidP="005264D4">
      <w:pPr>
        <w:spacing w:after="0" w:line="240" w:lineRule="auto"/>
        <w:jc w:val="both"/>
        <w:rPr>
          <w:rFonts w:ascii="Bookman Old Style" w:hAnsi="Bookman Old Style" w:cs="Times New Roman"/>
          <w:sz w:val="24"/>
          <w:szCs w:val="24"/>
        </w:rPr>
      </w:pPr>
    </w:p>
    <w:p w14:paraId="0127F3FF"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The following table outlines the key variables underpinning the study, along with the theoretical foundations and primary sources that inform each construct. These variables ranging from co-planning and co-instruction to ethical governance readiness and outcome constructs are grounded in established frameworks, pedagogical theories, and emerging research on AI integration in education. By mapping each variable to its theoretical basis and citing seminal as well as contemporary works, the table provides a structured overview of the conceptual scaffolding that supports the research design.</w:t>
      </w:r>
    </w:p>
    <w:p w14:paraId="74C8213A"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3CAF92A0"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Table 2: Measurement Foundations by Construct</w:t>
      </w:r>
    </w:p>
    <w:p w14:paraId="3698E05D" w14:textId="77777777" w:rsidR="005264D4" w:rsidRPr="00420C30" w:rsidRDefault="005264D4" w:rsidP="005264D4">
      <w:pPr>
        <w:spacing w:after="0" w:line="240" w:lineRule="auto"/>
        <w:jc w:val="both"/>
        <w:rPr>
          <w:rFonts w:ascii="Bookman Old Style" w:hAnsi="Bookman Old Style" w:cs="Times New Roman"/>
          <w:b/>
          <w:bCs/>
          <w:sz w:val="24"/>
          <w:szCs w:val="24"/>
        </w:rPr>
      </w:pPr>
    </w:p>
    <w:tbl>
      <w:tblPr>
        <w:tblStyle w:val="TableGrid"/>
        <w:tblW w:w="0" w:type="auto"/>
        <w:tblLook w:val="04A0" w:firstRow="1" w:lastRow="0" w:firstColumn="1" w:lastColumn="0" w:noHBand="0" w:noVBand="1"/>
      </w:tblPr>
      <w:tblGrid>
        <w:gridCol w:w="2263"/>
        <w:gridCol w:w="3970"/>
        <w:gridCol w:w="3117"/>
      </w:tblGrid>
      <w:tr w:rsidR="005264D4" w:rsidRPr="00420C30" w14:paraId="6AEAD228" w14:textId="77777777" w:rsidTr="00D12EA6">
        <w:tc>
          <w:tcPr>
            <w:tcW w:w="2263" w:type="dxa"/>
          </w:tcPr>
          <w:p w14:paraId="21E41A44" w14:textId="77777777" w:rsidR="005264D4" w:rsidRPr="00420C30" w:rsidRDefault="005264D4" w:rsidP="00D12EA6">
            <w:pPr>
              <w:jc w:val="both"/>
              <w:rPr>
                <w:rFonts w:ascii="Bookman Old Style" w:hAnsi="Bookman Old Style" w:cs="Times New Roman"/>
                <w:b/>
                <w:bCs/>
                <w:sz w:val="24"/>
                <w:szCs w:val="24"/>
              </w:rPr>
            </w:pPr>
            <w:r w:rsidRPr="00420C30">
              <w:rPr>
                <w:rFonts w:ascii="Bookman Old Style" w:hAnsi="Bookman Old Style" w:cs="Times New Roman"/>
                <w:b/>
                <w:bCs/>
                <w:sz w:val="24"/>
                <w:szCs w:val="24"/>
              </w:rPr>
              <w:t>Variable</w:t>
            </w:r>
          </w:p>
        </w:tc>
        <w:tc>
          <w:tcPr>
            <w:tcW w:w="3970" w:type="dxa"/>
          </w:tcPr>
          <w:p w14:paraId="46D06B4F" w14:textId="77777777" w:rsidR="005264D4" w:rsidRPr="00420C30" w:rsidRDefault="005264D4" w:rsidP="00D12EA6">
            <w:pPr>
              <w:jc w:val="both"/>
              <w:rPr>
                <w:rFonts w:ascii="Bookman Old Style" w:hAnsi="Bookman Old Style" w:cs="Times New Roman"/>
                <w:b/>
                <w:bCs/>
                <w:sz w:val="24"/>
                <w:szCs w:val="24"/>
              </w:rPr>
            </w:pPr>
            <w:r w:rsidRPr="00420C30">
              <w:rPr>
                <w:rFonts w:ascii="Bookman Old Style" w:hAnsi="Bookman Old Style" w:cs="Times New Roman"/>
                <w:b/>
                <w:bCs/>
                <w:sz w:val="24"/>
                <w:szCs w:val="24"/>
              </w:rPr>
              <w:t>Grounded in</w:t>
            </w:r>
          </w:p>
        </w:tc>
        <w:tc>
          <w:tcPr>
            <w:tcW w:w="3117" w:type="dxa"/>
          </w:tcPr>
          <w:p w14:paraId="44B18FEA" w14:textId="77777777" w:rsidR="005264D4" w:rsidRPr="00420C30" w:rsidRDefault="005264D4" w:rsidP="00D12EA6">
            <w:pPr>
              <w:rPr>
                <w:rFonts w:ascii="Bookman Old Style" w:hAnsi="Bookman Old Style" w:cs="Times New Roman"/>
                <w:b/>
                <w:bCs/>
                <w:sz w:val="24"/>
                <w:szCs w:val="24"/>
              </w:rPr>
            </w:pPr>
            <w:r w:rsidRPr="00420C30">
              <w:rPr>
                <w:rFonts w:ascii="Bookman Old Style" w:hAnsi="Bookman Old Style" w:cs="Times New Roman"/>
                <w:b/>
                <w:bCs/>
                <w:sz w:val="24"/>
                <w:szCs w:val="24"/>
              </w:rPr>
              <w:t>Primary Theoretical Sources</w:t>
            </w:r>
          </w:p>
        </w:tc>
      </w:tr>
      <w:tr w:rsidR="005264D4" w:rsidRPr="00420C30" w14:paraId="08AFE6E9" w14:textId="77777777" w:rsidTr="00D12EA6">
        <w:tc>
          <w:tcPr>
            <w:tcW w:w="2263" w:type="dxa"/>
          </w:tcPr>
          <w:p w14:paraId="4D8D33AE" w14:textId="77777777" w:rsidR="005264D4" w:rsidRPr="00420C30" w:rsidRDefault="005264D4" w:rsidP="00D12EA6">
            <w:pPr>
              <w:jc w:val="both"/>
              <w:rPr>
                <w:rFonts w:ascii="Bookman Old Style" w:hAnsi="Bookman Old Style" w:cs="Times New Roman"/>
                <w:sz w:val="24"/>
                <w:szCs w:val="24"/>
              </w:rPr>
            </w:pPr>
            <w:r w:rsidRPr="00420C30">
              <w:rPr>
                <w:rFonts w:ascii="Bookman Old Style" w:hAnsi="Bookman Old Style" w:cs="Times New Roman"/>
                <w:sz w:val="24"/>
                <w:szCs w:val="24"/>
              </w:rPr>
              <w:t>Co-Planning (CP)</w:t>
            </w:r>
          </w:p>
        </w:tc>
        <w:tc>
          <w:tcPr>
            <w:tcW w:w="3970" w:type="dxa"/>
          </w:tcPr>
          <w:p w14:paraId="3D046A76" w14:textId="77777777" w:rsidR="005264D4" w:rsidRPr="00420C30" w:rsidRDefault="005264D4" w:rsidP="005264D4">
            <w:pPr>
              <w:numPr>
                <w:ilvl w:val="0"/>
                <w:numId w:val="1"/>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Technology Acceptance Model (Perceived Usefulness, Efficiency)</w:t>
            </w:r>
          </w:p>
          <w:p w14:paraId="6D74F8F2" w14:textId="77777777" w:rsidR="005264D4" w:rsidRPr="00420C30" w:rsidRDefault="005264D4" w:rsidP="005264D4">
            <w:pPr>
              <w:numPr>
                <w:ilvl w:val="0"/>
                <w:numId w:val="1"/>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Instructional Design &amp; Curriculum Development literature</w:t>
            </w:r>
          </w:p>
          <w:p w14:paraId="3B7F5214" w14:textId="77777777" w:rsidR="005264D4" w:rsidRPr="00420C30" w:rsidRDefault="005264D4" w:rsidP="005264D4">
            <w:pPr>
              <w:numPr>
                <w:ilvl w:val="0"/>
                <w:numId w:val="1"/>
              </w:numPr>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AI-assisted instructional design research</w:t>
            </w:r>
          </w:p>
        </w:tc>
        <w:tc>
          <w:tcPr>
            <w:tcW w:w="3117" w:type="dxa"/>
          </w:tcPr>
          <w:p w14:paraId="1E7C8DFA" w14:textId="77777777" w:rsidR="005264D4" w:rsidRPr="00420C30" w:rsidRDefault="005264D4" w:rsidP="00D12EA6">
            <w:pPr>
              <w:jc w:val="both"/>
              <w:rPr>
                <w:rFonts w:ascii="Bookman Old Style" w:hAnsi="Bookman Old Style" w:cs="Times New Roman"/>
                <w:sz w:val="24"/>
                <w:szCs w:val="24"/>
              </w:rPr>
            </w:pPr>
            <w:r w:rsidRPr="00420C30">
              <w:rPr>
                <w:rFonts w:ascii="Bookman Old Style" w:hAnsi="Bookman Old Style" w:cs="Times New Roman"/>
                <w:sz w:val="24"/>
                <w:szCs w:val="24"/>
              </w:rPr>
              <w:t xml:space="preserve">Davis (1989); Venkatesh et al. (2003); Zhang (2025); </w:t>
            </w:r>
            <w:proofErr w:type="spellStart"/>
            <w:r w:rsidRPr="00420C30">
              <w:rPr>
                <w:rFonts w:ascii="Bookman Old Style" w:hAnsi="Bookman Old Style" w:cs="Times New Roman"/>
                <w:sz w:val="24"/>
                <w:szCs w:val="24"/>
              </w:rPr>
              <w:t>Magrill</w:t>
            </w:r>
            <w:proofErr w:type="spellEnd"/>
            <w:r w:rsidRPr="00420C30">
              <w:rPr>
                <w:rFonts w:ascii="Bookman Old Style" w:hAnsi="Bookman Old Style" w:cs="Times New Roman"/>
                <w:sz w:val="24"/>
                <w:szCs w:val="24"/>
              </w:rPr>
              <w:t xml:space="preserve"> et al. (2024)</w:t>
            </w:r>
          </w:p>
          <w:p w14:paraId="2B5F78F4" w14:textId="77777777" w:rsidR="005264D4" w:rsidRPr="00420C30" w:rsidRDefault="005264D4" w:rsidP="00D12EA6">
            <w:pPr>
              <w:jc w:val="both"/>
              <w:rPr>
                <w:rFonts w:ascii="Bookman Old Style" w:hAnsi="Bookman Old Style" w:cs="Times New Roman"/>
                <w:sz w:val="24"/>
                <w:szCs w:val="24"/>
              </w:rPr>
            </w:pPr>
          </w:p>
        </w:tc>
      </w:tr>
      <w:tr w:rsidR="005264D4" w:rsidRPr="00420C30" w14:paraId="3F8E1C3B" w14:textId="77777777" w:rsidTr="00D12EA6">
        <w:tc>
          <w:tcPr>
            <w:tcW w:w="2263" w:type="dxa"/>
          </w:tcPr>
          <w:p w14:paraId="5F3A29F2" w14:textId="77777777" w:rsidR="005264D4" w:rsidRPr="00420C30" w:rsidRDefault="005264D4" w:rsidP="00D12EA6">
            <w:pPr>
              <w:rPr>
                <w:rFonts w:ascii="Bookman Old Style" w:hAnsi="Bookman Old Style" w:cs="Times New Roman"/>
                <w:sz w:val="24"/>
                <w:szCs w:val="24"/>
              </w:rPr>
            </w:pPr>
            <w:r w:rsidRPr="00420C30">
              <w:rPr>
                <w:rFonts w:ascii="Bookman Old Style" w:hAnsi="Bookman Old Style" w:cs="Times New Roman"/>
                <w:sz w:val="24"/>
                <w:szCs w:val="24"/>
              </w:rPr>
              <w:t>2. Co-Instruction (CI)</w:t>
            </w:r>
          </w:p>
          <w:p w14:paraId="556816AF" w14:textId="77777777" w:rsidR="005264D4" w:rsidRPr="00420C30" w:rsidRDefault="005264D4" w:rsidP="00D12EA6">
            <w:pPr>
              <w:jc w:val="both"/>
              <w:rPr>
                <w:rFonts w:ascii="Bookman Old Style" w:hAnsi="Bookman Old Style" w:cs="Times New Roman"/>
                <w:sz w:val="24"/>
                <w:szCs w:val="24"/>
              </w:rPr>
            </w:pPr>
          </w:p>
        </w:tc>
        <w:tc>
          <w:tcPr>
            <w:tcW w:w="3970" w:type="dxa"/>
          </w:tcPr>
          <w:p w14:paraId="153B1563" w14:textId="77777777" w:rsidR="005264D4" w:rsidRPr="00420C30" w:rsidRDefault="005264D4" w:rsidP="005264D4">
            <w:pPr>
              <w:numPr>
                <w:ilvl w:val="0"/>
                <w:numId w:val="2"/>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Personalized learning theory</w:t>
            </w:r>
          </w:p>
          <w:p w14:paraId="16B03A54" w14:textId="77777777" w:rsidR="005264D4" w:rsidRPr="00420C30" w:rsidRDefault="005264D4" w:rsidP="005264D4">
            <w:pPr>
              <w:numPr>
                <w:ilvl w:val="0"/>
                <w:numId w:val="2"/>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Intelligent tutoring systems</w:t>
            </w:r>
          </w:p>
          <w:p w14:paraId="01BA674F" w14:textId="77777777" w:rsidR="005264D4" w:rsidRPr="00420C30" w:rsidRDefault="005264D4" w:rsidP="005264D4">
            <w:pPr>
              <w:numPr>
                <w:ilvl w:val="0"/>
                <w:numId w:val="2"/>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AI-supported learning engagement</w:t>
            </w:r>
          </w:p>
          <w:p w14:paraId="6719FD6A" w14:textId="77777777" w:rsidR="005264D4" w:rsidRPr="00420C30" w:rsidRDefault="005264D4" w:rsidP="00D12EA6">
            <w:pPr>
              <w:jc w:val="both"/>
              <w:rPr>
                <w:rFonts w:ascii="Bookman Old Style" w:hAnsi="Bookman Old Style" w:cs="Times New Roman"/>
                <w:sz w:val="24"/>
                <w:szCs w:val="24"/>
              </w:rPr>
            </w:pPr>
          </w:p>
        </w:tc>
        <w:tc>
          <w:tcPr>
            <w:tcW w:w="3117" w:type="dxa"/>
          </w:tcPr>
          <w:p w14:paraId="6B1BC2CB" w14:textId="77777777" w:rsidR="005264D4" w:rsidRPr="00420C30" w:rsidRDefault="005264D4" w:rsidP="00D12EA6">
            <w:pPr>
              <w:tabs>
                <w:tab w:val="num" w:pos="720"/>
              </w:tabs>
              <w:jc w:val="both"/>
              <w:rPr>
                <w:rFonts w:ascii="Bookman Old Style" w:hAnsi="Bookman Old Style" w:cs="Times New Roman"/>
                <w:sz w:val="24"/>
                <w:szCs w:val="24"/>
              </w:rPr>
            </w:pPr>
            <w:r w:rsidRPr="00420C30">
              <w:rPr>
                <w:rFonts w:ascii="Bookman Old Style" w:hAnsi="Bookman Old Style" w:cs="Times New Roman"/>
                <w:sz w:val="24"/>
                <w:szCs w:val="24"/>
              </w:rPr>
              <w:t>Dwivedi et al. (2023); Neupane et al. (2024); Jamie et al. (2024)</w:t>
            </w:r>
          </w:p>
          <w:p w14:paraId="230CDD2F" w14:textId="77777777" w:rsidR="005264D4" w:rsidRPr="00420C30" w:rsidRDefault="005264D4" w:rsidP="00D12EA6">
            <w:pPr>
              <w:jc w:val="both"/>
              <w:rPr>
                <w:rFonts w:ascii="Bookman Old Style" w:hAnsi="Bookman Old Style" w:cs="Times New Roman"/>
                <w:sz w:val="24"/>
                <w:szCs w:val="24"/>
              </w:rPr>
            </w:pPr>
          </w:p>
        </w:tc>
      </w:tr>
      <w:tr w:rsidR="005264D4" w:rsidRPr="00420C30" w14:paraId="373B4C3F" w14:textId="77777777" w:rsidTr="00D12EA6">
        <w:tc>
          <w:tcPr>
            <w:tcW w:w="2263" w:type="dxa"/>
          </w:tcPr>
          <w:p w14:paraId="49DDDA33" w14:textId="77777777" w:rsidR="005264D4" w:rsidRPr="00420C30" w:rsidRDefault="005264D4" w:rsidP="00D12EA6">
            <w:pPr>
              <w:rPr>
                <w:rFonts w:ascii="Bookman Old Style" w:hAnsi="Bookman Old Style" w:cs="Times New Roman"/>
                <w:sz w:val="24"/>
                <w:szCs w:val="24"/>
              </w:rPr>
            </w:pPr>
            <w:r w:rsidRPr="00420C30">
              <w:rPr>
                <w:rFonts w:ascii="Bookman Old Style" w:hAnsi="Bookman Old Style" w:cs="Times New Roman"/>
                <w:sz w:val="24"/>
                <w:szCs w:val="24"/>
              </w:rPr>
              <w:t>3. Co-Assessment (CA)</w:t>
            </w:r>
          </w:p>
          <w:p w14:paraId="5F08BD67" w14:textId="77777777" w:rsidR="005264D4" w:rsidRPr="00420C30" w:rsidRDefault="005264D4" w:rsidP="00D12EA6">
            <w:pPr>
              <w:jc w:val="both"/>
              <w:rPr>
                <w:rFonts w:ascii="Bookman Old Style" w:hAnsi="Bookman Old Style" w:cs="Times New Roman"/>
                <w:sz w:val="24"/>
                <w:szCs w:val="24"/>
              </w:rPr>
            </w:pPr>
          </w:p>
        </w:tc>
        <w:tc>
          <w:tcPr>
            <w:tcW w:w="3970" w:type="dxa"/>
          </w:tcPr>
          <w:p w14:paraId="6D570151" w14:textId="77777777" w:rsidR="005264D4" w:rsidRPr="00420C30" w:rsidRDefault="005264D4" w:rsidP="005264D4">
            <w:pPr>
              <w:numPr>
                <w:ilvl w:val="0"/>
                <w:numId w:val="3"/>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Automated feedback systems</w:t>
            </w:r>
          </w:p>
          <w:p w14:paraId="3DDA65A8" w14:textId="77777777" w:rsidR="005264D4" w:rsidRPr="00420C30" w:rsidRDefault="005264D4" w:rsidP="005264D4">
            <w:pPr>
              <w:numPr>
                <w:ilvl w:val="0"/>
                <w:numId w:val="3"/>
              </w:numPr>
              <w:tabs>
                <w:tab w:val="clear" w:pos="36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Formative assessment theory</w:t>
            </w:r>
          </w:p>
          <w:p w14:paraId="7E7AA0CA" w14:textId="77777777" w:rsidR="005264D4" w:rsidRPr="00420C30" w:rsidRDefault="005264D4" w:rsidP="005264D4">
            <w:pPr>
              <w:numPr>
                <w:ilvl w:val="0"/>
                <w:numId w:val="3"/>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Human-AI co-grading research</w:t>
            </w:r>
          </w:p>
          <w:p w14:paraId="41775F84" w14:textId="77777777" w:rsidR="005264D4" w:rsidRPr="00420C30" w:rsidRDefault="005264D4" w:rsidP="00D12EA6">
            <w:pPr>
              <w:jc w:val="both"/>
              <w:rPr>
                <w:rFonts w:ascii="Bookman Old Style" w:hAnsi="Bookman Old Style" w:cs="Times New Roman"/>
                <w:sz w:val="24"/>
                <w:szCs w:val="24"/>
              </w:rPr>
            </w:pPr>
          </w:p>
        </w:tc>
        <w:tc>
          <w:tcPr>
            <w:tcW w:w="3117" w:type="dxa"/>
          </w:tcPr>
          <w:p w14:paraId="1B9827CB" w14:textId="77777777" w:rsidR="005264D4" w:rsidRPr="00420C30" w:rsidRDefault="005264D4" w:rsidP="00D12EA6">
            <w:pPr>
              <w:jc w:val="both"/>
              <w:rPr>
                <w:rFonts w:ascii="Bookman Old Style" w:hAnsi="Bookman Old Style" w:cs="Times New Roman"/>
                <w:sz w:val="24"/>
                <w:szCs w:val="24"/>
              </w:rPr>
            </w:pPr>
            <w:r w:rsidRPr="00420C30">
              <w:rPr>
                <w:rFonts w:ascii="Bookman Old Style" w:hAnsi="Bookman Old Style" w:cs="Times New Roman"/>
                <w:sz w:val="24"/>
                <w:szCs w:val="24"/>
              </w:rPr>
              <w:t xml:space="preserve">Xiao et al. (2024); Black &amp; Wiliam (1998); </w:t>
            </w:r>
            <w:proofErr w:type="spellStart"/>
            <w:r w:rsidRPr="00420C30">
              <w:rPr>
                <w:rFonts w:ascii="Bookman Old Style" w:hAnsi="Bookman Old Style" w:cs="Times New Roman"/>
                <w:sz w:val="24"/>
                <w:szCs w:val="24"/>
              </w:rPr>
              <w:t>Shubhanshi</w:t>
            </w:r>
            <w:proofErr w:type="spellEnd"/>
            <w:r w:rsidRPr="00420C30">
              <w:rPr>
                <w:rFonts w:ascii="Bookman Old Style" w:hAnsi="Bookman Old Style" w:cs="Times New Roman"/>
                <w:sz w:val="24"/>
                <w:szCs w:val="24"/>
              </w:rPr>
              <w:t xml:space="preserve"> (2025)</w:t>
            </w:r>
          </w:p>
        </w:tc>
      </w:tr>
      <w:tr w:rsidR="005264D4" w:rsidRPr="00420C30" w14:paraId="5AFF284C" w14:textId="77777777" w:rsidTr="00D12EA6">
        <w:tc>
          <w:tcPr>
            <w:tcW w:w="2263" w:type="dxa"/>
          </w:tcPr>
          <w:p w14:paraId="78E8DAE2" w14:textId="77777777" w:rsidR="005264D4" w:rsidRPr="00420C30" w:rsidRDefault="005264D4" w:rsidP="00D12EA6">
            <w:pPr>
              <w:rPr>
                <w:rFonts w:ascii="Bookman Old Style" w:hAnsi="Bookman Old Style" w:cs="Times New Roman"/>
                <w:sz w:val="24"/>
                <w:szCs w:val="24"/>
              </w:rPr>
            </w:pPr>
            <w:r w:rsidRPr="00420C30">
              <w:rPr>
                <w:rFonts w:ascii="Bookman Old Style" w:hAnsi="Bookman Old Style" w:cs="Times New Roman"/>
                <w:sz w:val="24"/>
                <w:szCs w:val="24"/>
              </w:rPr>
              <w:t>4. Pedagogical Implementation Effectiveness (PIE)</w:t>
            </w:r>
          </w:p>
          <w:p w14:paraId="182213AE" w14:textId="77777777" w:rsidR="005264D4" w:rsidRPr="00420C30" w:rsidRDefault="005264D4" w:rsidP="00D12EA6">
            <w:pPr>
              <w:jc w:val="both"/>
              <w:rPr>
                <w:rFonts w:ascii="Bookman Old Style" w:hAnsi="Bookman Old Style" w:cs="Times New Roman"/>
                <w:sz w:val="24"/>
                <w:szCs w:val="24"/>
              </w:rPr>
            </w:pPr>
          </w:p>
        </w:tc>
        <w:tc>
          <w:tcPr>
            <w:tcW w:w="3970" w:type="dxa"/>
          </w:tcPr>
          <w:p w14:paraId="6E59AC30" w14:textId="77777777" w:rsidR="005264D4" w:rsidRPr="00420C30" w:rsidRDefault="005264D4" w:rsidP="005264D4">
            <w:pPr>
              <w:numPr>
                <w:ilvl w:val="0"/>
                <w:numId w:val="4"/>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Teacher-in-the-Loop (</w:t>
            </w:r>
            <w:proofErr w:type="spellStart"/>
            <w:r w:rsidRPr="00420C30">
              <w:rPr>
                <w:rFonts w:ascii="Bookman Old Style" w:hAnsi="Bookman Old Style" w:cs="Times New Roman"/>
                <w:sz w:val="24"/>
                <w:szCs w:val="24"/>
              </w:rPr>
              <w:t>TiTL</w:t>
            </w:r>
            <w:proofErr w:type="spellEnd"/>
            <w:r w:rsidRPr="00420C30">
              <w:rPr>
                <w:rFonts w:ascii="Bookman Old Style" w:hAnsi="Bookman Old Style" w:cs="Times New Roman"/>
                <w:sz w:val="24"/>
                <w:szCs w:val="24"/>
              </w:rPr>
              <w:t>) framework</w:t>
            </w:r>
          </w:p>
          <w:p w14:paraId="012F8D33" w14:textId="77777777" w:rsidR="005264D4" w:rsidRPr="00420C30" w:rsidRDefault="005264D4" w:rsidP="005264D4">
            <w:pPr>
              <w:numPr>
                <w:ilvl w:val="0"/>
                <w:numId w:val="4"/>
              </w:numPr>
              <w:tabs>
                <w:tab w:val="clear" w:pos="36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Complementary Strengths Model</w:t>
            </w:r>
          </w:p>
          <w:p w14:paraId="18489667" w14:textId="77777777" w:rsidR="005264D4" w:rsidRPr="00420C30" w:rsidRDefault="005264D4" w:rsidP="005264D4">
            <w:pPr>
              <w:numPr>
                <w:ilvl w:val="0"/>
                <w:numId w:val="4"/>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Constructivist pedagogy</w:t>
            </w:r>
          </w:p>
          <w:p w14:paraId="33BE9BBA" w14:textId="77777777" w:rsidR="005264D4" w:rsidRPr="00420C30" w:rsidRDefault="005264D4" w:rsidP="00D12EA6">
            <w:pPr>
              <w:jc w:val="both"/>
              <w:rPr>
                <w:rFonts w:ascii="Bookman Old Style" w:hAnsi="Bookman Old Style" w:cs="Times New Roman"/>
                <w:sz w:val="24"/>
                <w:szCs w:val="24"/>
              </w:rPr>
            </w:pPr>
          </w:p>
        </w:tc>
        <w:tc>
          <w:tcPr>
            <w:tcW w:w="3117" w:type="dxa"/>
          </w:tcPr>
          <w:p w14:paraId="3268F74A" w14:textId="77777777" w:rsidR="005264D4" w:rsidRPr="00420C30" w:rsidRDefault="005264D4" w:rsidP="00D12EA6">
            <w:pPr>
              <w:tabs>
                <w:tab w:val="num" w:pos="720"/>
              </w:tabs>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Shubhanshi</w:t>
            </w:r>
            <w:proofErr w:type="spellEnd"/>
            <w:r w:rsidRPr="00420C30">
              <w:rPr>
                <w:rFonts w:ascii="Bookman Old Style" w:hAnsi="Bookman Old Style" w:cs="Times New Roman"/>
                <w:sz w:val="24"/>
                <w:szCs w:val="24"/>
              </w:rPr>
              <w:t xml:space="preserve"> (2025); Kotsis (2025); Chaves et al. (2025)</w:t>
            </w:r>
          </w:p>
          <w:p w14:paraId="7FE3A35D" w14:textId="77777777" w:rsidR="005264D4" w:rsidRPr="00420C30" w:rsidRDefault="005264D4" w:rsidP="00D12EA6">
            <w:pPr>
              <w:jc w:val="both"/>
              <w:rPr>
                <w:rFonts w:ascii="Bookman Old Style" w:hAnsi="Bookman Old Style" w:cs="Times New Roman"/>
                <w:sz w:val="24"/>
                <w:szCs w:val="24"/>
              </w:rPr>
            </w:pPr>
          </w:p>
        </w:tc>
      </w:tr>
      <w:tr w:rsidR="005264D4" w:rsidRPr="00420C30" w14:paraId="338B693A" w14:textId="77777777" w:rsidTr="00D12EA6">
        <w:tc>
          <w:tcPr>
            <w:tcW w:w="2263" w:type="dxa"/>
          </w:tcPr>
          <w:p w14:paraId="09B9D76F" w14:textId="77777777" w:rsidR="005264D4" w:rsidRPr="00420C30" w:rsidRDefault="005264D4" w:rsidP="00D12EA6">
            <w:pPr>
              <w:rPr>
                <w:rFonts w:ascii="Bookman Old Style" w:hAnsi="Bookman Old Style" w:cs="Times New Roman"/>
                <w:sz w:val="24"/>
                <w:szCs w:val="24"/>
              </w:rPr>
            </w:pPr>
            <w:r w:rsidRPr="00420C30">
              <w:rPr>
                <w:rFonts w:ascii="Bookman Old Style" w:hAnsi="Bookman Old Style" w:cs="Times New Roman"/>
                <w:sz w:val="24"/>
                <w:szCs w:val="24"/>
              </w:rPr>
              <w:t>5. Ethical Governance Readiness (EGR)</w:t>
            </w:r>
          </w:p>
          <w:p w14:paraId="398A7F69" w14:textId="77777777" w:rsidR="005264D4" w:rsidRPr="00420C30" w:rsidRDefault="005264D4" w:rsidP="00D12EA6">
            <w:pPr>
              <w:jc w:val="both"/>
              <w:rPr>
                <w:rFonts w:ascii="Bookman Old Style" w:hAnsi="Bookman Old Style" w:cs="Times New Roman"/>
                <w:sz w:val="24"/>
                <w:szCs w:val="24"/>
              </w:rPr>
            </w:pPr>
          </w:p>
        </w:tc>
        <w:tc>
          <w:tcPr>
            <w:tcW w:w="3970" w:type="dxa"/>
          </w:tcPr>
          <w:p w14:paraId="1146C0EE" w14:textId="77777777" w:rsidR="005264D4" w:rsidRPr="00420C30" w:rsidRDefault="005264D4" w:rsidP="005264D4">
            <w:pPr>
              <w:numPr>
                <w:ilvl w:val="0"/>
                <w:numId w:val="5"/>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Responsible AI frameworks</w:t>
            </w:r>
          </w:p>
          <w:p w14:paraId="62641F82" w14:textId="77777777" w:rsidR="005264D4" w:rsidRPr="00420C30" w:rsidRDefault="005264D4" w:rsidP="005264D4">
            <w:pPr>
              <w:numPr>
                <w:ilvl w:val="0"/>
                <w:numId w:val="5"/>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AI fairness and bias research</w:t>
            </w:r>
          </w:p>
          <w:p w14:paraId="3619AF25" w14:textId="77777777" w:rsidR="005264D4" w:rsidRPr="00420C30" w:rsidRDefault="005264D4" w:rsidP="005264D4">
            <w:pPr>
              <w:numPr>
                <w:ilvl w:val="0"/>
                <w:numId w:val="5"/>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Educational data governance</w:t>
            </w:r>
          </w:p>
          <w:p w14:paraId="1260EE05" w14:textId="77777777" w:rsidR="005264D4" w:rsidRPr="00420C30" w:rsidRDefault="005264D4" w:rsidP="00D12EA6">
            <w:pPr>
              <w:jc w:val="both"/>
              <w:rPr>
                <w:rFonts w:ascii="Bookman Old Style" w:hAnsi="Bookman Old Style" w:cs="Times New Roman"/>
                <w:sz w:val="24"/>
                <w:szCs w:val="24"/>
              </w:rPr>
            </w:pPr>
          </w:p>
        </w:tc>
        <w:tc>
          <w:tcPr>
            <w:tcW w:w="3117" w:type="dxa"/>
          </w:tcPr>
          <w:p w14:paraId="2B97E58C" w14:textId="77777777" w:rsidR="005264D4" w:rsidRPr="00420C30" w:rsidRDefault="005264D4" w:rsidP="00D12EA6">
            <w:pPr>
              <w:tabs>
                <w:tab w:val="num" w:pos="720"/>
              </w:tabs>
              <w:jc w:val="both"/>
              <w:rPr>
                <w:rFonts w:ascii="Bookman Old Style" w:hAnsi="Bookman Old Style" w:cs="Times New Roman"/>
                <w:sz w:val="24"/>
                <w:szCs w:val="24"/>
              </w:rPr>
            </w:pPr>
            <w:r w:rsidRPr="00420C30">
              <w:rPr>
                <w:rFonts w:ascii="Bookman Old Style" w:hAnsi="Bookman Old Style" w:cs="Times New Roman"/>
                <w:sz w:val="24"/>
                <w:szCs w:val="24"/>
              </w:rPr>
              <w:t>Dwivedi et al. (2023); Franco et al. (2024); Joon et al. (2024)</w:t>
            </w:r>
          </w:p>
          <w:p w14:paraId="7D4DFA61" w14:textId="77777777" w:rsidR="005264D4" w:rsidRPr="00420C30" w:rsidRDefault="005264D4" w:rsidP="00D12EA6">
            <w:pPr>
              <w:jc w:val="both"/>
              <w:rPr>
                <w:rFonts w:ascii="Bookman Old Style" w:hAnsi="Bookman Old Style" w:cs="Times New Roman"/>
                <w:sz w:val="24"/>
                <w:szCs w:val="24"/>
              </w:rPr>
            </w:pPr>
          </w:p>
        </w:tc>
      </w:tr>
      <w:tr w:rsidR="005264D4" w:rsidRPr="00420C30" w14:paraId="2B73D4CB" w14:textId="77777777" w:rsidTr="00D12EA6">
        <w:tc>
          <w:tcPr>
            <w:tcW w:w="2263" w:type="dxa"/>
          </w:tcPr>
          <w:p w14:paraId="0650B801" w14:textId="77777777" w:rsidR="005264D4" w:rsidRPr="00420C30" w:rsidRDefault="005264D4" w:rsidP="00D12EA6">
            <w:pPr>
              <w:rPr>
                <w:rFonts w:ascii="Bookman Old Style" w:hAnsi="Bookman Old Style" w:cs="Times New Roman"/>
                <w:sz w:val="24"/>
                <w:szCs w:val="24"/>
              </w:rPr>
            </w:pPr>
            <w:r w:rsidRPr="00420C30">
              <w:rPr>
                <w:rFonts w:ascii="Bookman Old Style" w:hAnsi="Bookman Old Style" w:cs="Times New Roman"/>
                <w:sz w:val="24"/>
                <w:szCs w:val="24"/>
              </w:rPr>
              <w:lastRenderedPageBreak/>
              <w:t xml:space="preserve">6. Outcome Constructs (IO, SO, </w:t>
            </w:r>
            <w:proofErr w:type="spellStart"/>
            <w:r w:rsidRPr="00420C30">
              <w:rPr>
                <w:rFonts w:ascii="Bookman Old Style" w:hAnsi="Bookman Old Style" w:cs="Times New Roman"/>
                <w:sz w:val="24"/>
                <w:szCs w:val="24"/>
              </w:rPr>
              <w:t>InstO</w:t>
            </w:r>
            <w:proofErr w:type="spellEnd"/>
            <w:r w:rsidRPr="00420C30">
              <w:rPr>
                <w:rFonts w:ascii="Bookman Old Style" w:hAnsi="Bookman Old Style" w:cs="Times New Roman"/>
                <w:sz w:val="24"/>
                <w:szCs w:val="24"/>
              </w:rPr>
              <w:t>)</w:t>
            </w:r>
          </w:p>
          <w:p w14:paraId="61AFC159" w14:textId="77777777" w:rsidR="005264D4" w:rsidRPr="00420C30" w:rsidRDefault="005264D4" w:rsidP="00D12EA6">
            <w:pPr>
              <w:jc w:val="both"/>
              <w:rPr>
                <w:rFonts w:ascii="Bookman Old Style" w:hAnsi="Bookman Old Style" w:cs="Times New Roman"/>
                <w:sz w:val="24"/>
                <w:szCs w:val="24"/>
              </w:rPr>
            </w:pPr>
          </w:p>
        </w:tc>
        <w:tc>
          <w:tcPr>
            <w:tcW w:w="3970" w:type="dxa"/>
          </w:tcPr>
          <w:p w14:paraId="2E995C02" w14:textId="77777777" w:rsidR="005264D4" w:rsidRPr="00420C30" w:rsidRDefault="005264D4" w:rsidP="005264D4">
            <w:pPr>
              <w:numPr>
                <w:ilvl w:val="0"/>
                <w:numId w:val="6"/>
              </w:numPr>
              <w:tabs>
                <w:tab w:val="clear" w:pos="360"/>
                <w:tab w:val="num" w:pos="72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IS Success Model</w:t>
            </w:r>
          </w:p>
          <w:p w14:paraId="4C6B890D" w14:textId="77777777" w:rsidR="005264D4" w:rsidRPr="00420C30" w:rsidRDefault="005264D4" w:rsidP="005264D4">
            <w:pPr>
              <w:numPr>
                <w:ilvl w:val="0"/>
                <w:numId w:val="6"/>
              </w:numPr>
              <w:tabs>
                <w:tab w:val="clear" w:pos="36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Teaching effectiveness scales</w:t>
            </w:r>
          </w:p>
          <w:p w14:paraId="547586C5" w14:textId="77777777" w:rsidR="005264D4" w:rsidRPr="00420C30" w:rsidRDefault="005264D4" w:rsidP="005264D4">
            <w:pPr>
              <w:numPr>
                <w:ilvl w:val="0"/>
                <w:numId w:val="6"/>
              </w:numPr>
              <w:tabs>
                <w:tab w:val="clear" w:pos="36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Student engagement frameworks</w:t>
            </w:r>
          </w:p>
          <w:p w14:paraId="3BC0259C" w14:textId="77777777" w:rsidR="005264D4" w:rsidRPr="00420C30" w:rsidRDefault="005264D4" w:rsidP="005264D4">
            <w:pPr>
              <w:numPr>
                <w:ilvl w:val="0"/>
                <w:numId w:val="6"/>
              </w:numPr>
              <w:tabs>
                <w:tab w:val="clear" w:pos="360"/>
              </w:tabs>
              <w:spacing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Digital transformation literature</w:t>
            </w:r>
          </w:p>
          <w:p w14:paraId="556F96AE" w14:textId="77777777" w:rsidR="005264D4" w:rsidRPr="00420C30" w:rsidRDefault="005264D4" w:rsidP="00D12EA6">
            <w:pPr>
              <w:jc w:val="both"/>
              <w:rPr>
                <w:rFonts w:ascii="Bookman Old Style" w:hAnsi="Bookman Old Style" w:cs="Times New Roman"/>
                <w:sz w:val="24"/>
                <w:szCs w:val="24"/>
              </w:rPr>
            </w:pPr>
          </w:p>
        </w:tc>
        <w:tc>
          <w:tcPr>
            <w:tcW w:w="3117" w:type="dxa"/>
          </w:tcPr>
          <w:p w14:paraId="34F47637" w14:textId="77777777" w:rsidR="005264D4" w:rsidRPr="00420C30" w:rsidRDefault="005264D4" w:rsidP="00D12EA6">
            <w:pPr>
              <w:tabs>
                <w:tab w:val="num" w:pos="720"/>
              </w:tabs>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DeLone</w:t>
            </w:r>
            <w:proofErr w:type="spellEnd"/>
            <w:r w:rsidRPr="00420C30">
              <w:rPr>
                <w:rFonts w:ascii="Bookman Old Style" w:hAnsi="Bookman Old Style" w:cs="Times New Roman"/>
                <w:sz w:val="24"/>
                <w:szCs w:val="24"/>
              </w:rPr>
              <w:t xml:space="preserve"> &amp; McLean (2003); Fredricks et al. (2004); Venkatesh et al. (2003)</w:t>
            </w:r>
          </w:p>
          <w:p w14:paraId="2167F021" w14:textId="77777777" w:rsidR="005264D4" w:rsidRPr="00420C30" w:rsidRDefault="005264D4" w:rsidP="00D12EA6">
            <w:pPr>
              <w:jc w:val="both"/>
              <w:rPr>
                <w:rFonts w:ascii="Bookman Old Style" w:hAnsi="Bookman Old Style" w:cs="Times New Roman"/>
                <w:sz w:val="24"/>
                <w:szCs w:val="24"/>
              </w:rPr>
            </w:pPr>
          </w:p>
        </w:tc>
      </w:tr>
    </w:tbl>
    <w:p w14:paraId="15B72912" w14:textId="77777777" w:rsidR="005264D4" w:rsidRPr="00420C30" w:rsidRDefault="005264D4" w:rsidP="005264D4">
      <w:pPr>
        <w:rPr>
          <w:rFonts w:ascii="Bookman Old Style" w:hAnsi="Bookman Old Style"/>
          <w:sz w:val="24"/>
          <w:szCs w:val="24"/>
        </w:rPr>
      </w:pPr>
    </w:p>
    <w:p w14:paraId="2EAF494B" w14:textId="77777777" w:rsidR="005264D4" w:rsidRPr="00420C30" w:rsidRDefault="005264D4" w:rsidP="005264D4">
      <w:pPr>
        <w:rPr>
          <w:rFonts w:ascii="Bookman Old Style" w:hAnsi="Bookman Old Style"/>
          <w:sz w:val="24"/>
          <w:szCs w:val="24"/>
        </w:rPr>
      </w:pPr>
      <w:r w:rsidRPr="00420C30">
        <w:rPr>
          <w:rFonts w:ascii="Bookman Old Style" w:hAnsi="Bookman Old Style" w:cs="Times New Roman"/>
          <w:b/>
          <w:bCs/>
          <w:sz w:val="24"/>
          <w:szCs w:val="24"/>
        </w:rPr>
        <w:t>Survey Instrument</w:t>
      </w:r>
    </w:p>
    <w:p w14:paraId="159B8D1A"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This table presents the central variables that structure the study, highlighting their theoretical grounding and the primary sources that inform each construct. It captures the interplay between established pedagogical theories, foundational models, and emerging research on AI integration in education. By organizing variables such as co-planning, co-instruction, co-assessment, pedagogical implementation effectiveness, ethical governance readiness, and outcome constructs alongside their theoretical bases and seminal references, the table provides a clear conceptual framework. This structured mapping not only situates the study within existing scholarship but also underscores how contemporary advancements in AI and educational research extend and enrich traditional models.</w:t>
      </w:r>
    </w:p>
    <w:p w14:paraId="0B80E388" w14:textId="77777777" w:rsidR="005264D4" w:rsidRPr="00420C30" w:rsidRDefault="005264D4" w:rsidP="005264D4">
      <w:pPr>
        <w:spacing w:after="0" w:line="240" w:lineRule="auto"/>
        <w:jc w:val="both"/>
        <w:rPr>
          <w:rFonts w:ascii="Bookman Old Style" w:hAnsi="Bookman Old Style" w:cs="Times New Roman"/>
          <w:b/>
          <w:bCs/>
          <w:sz w:val="24"/>
          <w:szCs w:val="24"/>
        </w:rPr>
      </w:pPr>
    </w:p>
    <w:p w14:paraId="6AA59E03"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Table 2: Survey Instrument</w:t>
      </w:r>
    </w:p>
    <w:p w14:paraId="6EABCF79" w14:textId="77777777" w:rsidR="005264D4" w:rsidRPr="00420C30" w:rsidRDefault="005264D4" w:rsidP="005264D4">
      <w:pPr>
        <w:spacing w:after="0" w:line="240" w:lineRule="auto"/>
        <w:jc w:val="both"/>
        <w:rPr>
          <w:rFonts w:ascii="Bookman Old Style" w:hAnsi="Bookman Old Style" w:cs="Times New Roman"/>
          <w:b/>
          <w:bCs/>
          <w:sz w:val="24"/>
          <w:szCs w:val="24"/>
        </w:rPr>
      </w:pPr>
    </w:p>
    <w:tbl>
      <w:tblPr>
        <w:tblStyle w:val="TableGrid"/>
        <w:tblW w:w="9599" w:type="dxa"/>
        <w:tblLook w:val="04A0" w:firstRow="1" w:lastRow="0" w:firstColumn="1" w:lastColumn="0" w:noHBand="0" w:noVBand="1"/>
      </w:tblPr>
      <w:tblGrid>
        <w:gridCol w:w="1014"/>
        <w:gridCol w:w="6340"/>
        <w:gridCol w:w="449"/>
        <w:gridCol w:w="449"/>
        <w:gridCol w:w="449"/>
        <w:gridCol w:w="449"/>
        <w:gridCol w:w="449"/>
      </w:tblGrid>
      <w:tr w:rsidR="005264D4" w:rsidRPr="00420C30" w14:paraId="421B5829" w14:textId="77777777" w:rsidTr="00D12EA6">
        <w:tc>
          <w:tcPr>
            <w:tcW w:w="9599" w:type="dxa"/>
            <w:gridSpan w:val="7"/>
          </w:tcPr>
          <w:p w14:paraId="504354D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A: Co-Planning (CP)</w:t>
            </w:r>
          </w:p>
        </w:tc>
      </w:tr>
      <w:tr w:rsidR="005264D4" w:rsidRPr="00420C30" w14:paraId="7FE6167A" w14:textId="77777777" w:rsidTr="00D12EA6">
        <w:tc>
          <w:tcPr>
            <w:tcW w:w="9599" w:type="dxa"/>
            <w:gridSpan w:val="7"/>
          </w:tcPr>
          <w:p w14:paraId="2E11E760"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The extent to which GenAI supports curriculum design, lesson planning, and instructional resource development.</w:t>
            </w:r>
          </w:p>
        </w:tc>
      </w:tr>
      <w:tr w:rsidR="005264D4" w:rsidRPr="00420C30" w14:paraId="26C10138" w14:textId="77777777" w:rsidTr="00D12EA6">
        <w:tc>
          <w:tcPr>
            <w:tcW w:w="1014" w:type="dxa"/>
          </w:tcPr>
          <w:p w14:paraId="38F946E6"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CP1</w:t>
            </w:r>
          </w:p>
        </w:tc>
        <w:tc>
          <w:tcPr>
            <w:tcW w:w="6340" w:type="dxa"/>
          </w:tcPr>
          <w:p w14:paraId="4E21B3B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helps me design lessons more efficiently.</w:t>
            </w:r>
          </w:p>
        </w:tc>
        <w:tc>
          <w:tcPr>
            <w:tcW w:w="449" w:type="dxa"/>
          </w:tcPr>
          <w:p w14:paraId="7DF7EB89"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sz w:val="24"/>
                <w:szCs w:val="24"/>
              </w:rPr>
              <w:t>1</w:t>
            </w:r>
          </w:p>
        </w:tc>
        <w:tc>
          <w:tcPr>
            <w:tcW w:w="449" w:type="dxa"/>
          </w:tcPr>
          <w:p w14:paraId="2B13DD3C"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sz w:val="24"/>
                <w:szCs w:val="24"/>
              </w:rPr>
              <w:t>2</w:t>
            </w:r>
          </w:p>
        </w:tc>
        <w:tc>
          <w:tcPr>
            <w:tcW w:w="449" w:type="dxa"/>
          </w:tcPr>
          <w:p w14:paraId="341B0104"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sz w:val="24"/>
                <w:szCs w:val="24"/>
              </w:rPr>
              <w:t>3</w:t>
            </w:r>
          </w:p>
        </w:tc>
        <w:tc>
          <w:tcPr>
            <w:tcW w:w="449" w:type="dxa"/>
          </w:tcPr>
          <w:p w14:paraId="0B02D577"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sz w:val="24"/>
                <w:szCs w:val="24"/>
              </w:rPr>
              <w:t>4</w:t>
            </w:r>
          </w:p>
        </w:tc>
        <w:tc>
          <w:tcPr>
            <w:tcW w:w="449" w:type="dxa"/>
          </w:tcPr>
          <w:p w14:paraId="06C3F600"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sz w:val="24"/>
                <w:szCs w:val="24"/>
              </w:rPr>
              <w:t>5</w:t>
            </w:r>
          </w:p>
        </w:tc>
      </w:tr>
      <w:tr w:rsidR="005264D4" w:rsidRPr="00420C30" w14:paraId="66E0FF06" w14:textId="77777777" w:rsidTr="00D12EA6">
        <w:tc>
          <w:tcPr>
            <w:tcW w:w="1014" w:type="dxa"/>
          </w:tcPr>
          <w:p w14:paraId="5558830E"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CP2</w:t>
            </w:r>
          </w:p>
        </w:tc>
        <w:tc>
          <w:tcPr>
            <w:tcW w:w="6340" w:type="dxa"/>
          </w:tcPr>
          <w:p w14:paraId="3FA8956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The AI-generated materials align with my course learning objectives.</w:t>
            </w:r>
          </w:p>
        </w:tc>
        <w:tc>
          <w:tcPr>
            <w:tcW w:w="449" w:type="dxa"/>
          </w:tcPr>
          <w:p w14:paraId="4177E6F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FE51A3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032C044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4AABFBA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42E1AE1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D08510D" w14:textId="77777777" w:rsidTr="00D12EA6">
        <w:tc>
          <w:tcPr>
            <w:tcW w:w="1014" w:type="dxa"/>
          </w:tcPr>
          <w:p w14:paraId="60A47261"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CP3</w:t>
            </w:r>
          </w:p>
        </w:tc>
        <w:tc>
          <w:tcPr>
            <w:tcW w:w="6340" w:type="dxa"/>
          </w:tcPr>
          <w:p w14:paraId="1FC4CDF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Using GenAI reduces the time I spend creating instructional content.</w:t>
            </w:r>
          </w:p>
        </w:tc>
        <w:tc>
          <w:tcPr>
            <w:tcW w:w="449" w:type="dxa"/>
          </w:tcPr>
          <w:p w14:paraId="5C1EC86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3FA4C4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544C9F6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A8CE07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98BA36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1555DC36" w14:textId="77777777" w:rsidTr="00D12EA6">
        <w:tc>
          <w:tcPr>
            <w:tcW w:w="1014" w:type="dxa"/>
          </w:tcPr>
          <w:p w14:paraId="731A471F"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CP4</w:t>
            </w:r>
          </w:p>
        </w:tc>
        <w:tc>
          <w:tcPr>
            <w:tcW w:w="6340" w:type="dxa"/>
          </w:tcPr>
          <w:p w14:paraId="5227639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improves the quality of my teaching materials.</w:t>
            </w:r>
          </w:p>
        </w:tc>
        <w:tc>
          <w:tcPr>
            <w:tcW w:w="449" w:type="dxa"/>
          </w:tcPr>
          <w:p w14:paraId="4C23ED3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9506FF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3DE4ECF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2629D9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6C445AA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1D87F7EA" w14:textId="77777777" w:rsidTr="00D12EA6">
        <w:tc>
          <w:tcPr>
            <w:tcW w:w="1014" w:type="dxa"/>
          </w:tcPr>
          <w:p w14:paraId="19EDB1B3"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CP5</w:t>
            </w:r>
          </w:p>
        </w:tc>
        <w:tc>
          <w:tcPr>
            <w:tcW w:w="6340" w:type="dxa"/>
          </w:tcPr>
          <w:p w14:paraId="4EC6EEB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assists in organizing and structuring course topics effectively.</w:t>
            </w:r>
          </w:p>
        </w:tc>
        <w:tc>
          <w:tcPr>
            <w:tcW w:w="449" w:type="dxa"/>
          </w:tcPr>
          <w:p w14:paraId="40C03E9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A2E007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41D4DEB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E7144F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A6F5E7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E1D792A" w14:textId="77777777" w:rsidTr="00D12EA6">
        <w:tc>
          <w:tcPr>
            <w:tcW w:w="9599" w:type="dxa"/>
            <w:gridSpan w:val="7"/>
          </w:tcPr>
          <w:p w14:paraId="043E891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Section B: Co-Instruction (CI)</w:t>
            </w:r>
          </w:p>
        </w:tc>
      </w:tr>
      <w:tr w:rsidR="005264D4" w:rsidRPr="00420C30" w14:paraId="485AB30D" w14:textId="77777777" w:rsidTr="00D12EA6">
        <w:tc>
          <w:tcPr>
            <w:tcW w:w="9599" w:type="dxa"/>
            <w:gridSpan w:val="7"/>
          </w:tcPr>
          <w:p w14:paraId="7BBE233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lastRenderedPageBreak/>
              <w:t>Construct Definition:</w:t>
            </w:r>
            <w:r w:rsidRPr="00420C30">
              <w:rPr>
                <w:rFonts w:ascii="Bookman Old Style" w:hAnsi="Bookman Old Style" w:cs="Times New Roman"/>
                <w:sz w:val="24"/>
                <w:szCs w:val="24"/>
              </w:rPr>
              <w:t xml:space="preserve"> The extent to which GenAI enhances personalized learning and instructional delivery.</w:t>
            </w:r>
          </w:p>
        </w:tc>
      </w:tr>
      <w:tr w:rsidR="005264D4" w:rsidRPr="00420C30" w14:paraId="3D0FC6F9" w14:textId="77777777" w:rsidTr="00D12EA6">
        <w:tc>
          <w:tcPr>
            <w:tcW w:w="1014" w:type="dxa"/>
          </w:tcPr>
          <w:p w14:paraId="5A93D61C"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CI1</w:t>
            </w:r>
          </w:p>
        </w:tc>
        <w:tc>
          <w:tcPr>
            <w:tcW w:w="6340" w:type="dxa"/>
          </w:tcPr>
          <w:p w14:paraId="7489C89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provides effective clarification of complex concepts.</w:t>
            </w:r>
          </w:p>
        </w:tc>
        <w:tc>
          <w:tcPr>
            <w:tcW w:w="449" w:type="dxa"/>
          </w:tcPr>
          <w:p w14:paraId="64E1093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82B846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288271A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F4FDE0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60586C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C7F28E0" w14:textId="77777777" w:rsidTr="00D12EA6">
        <w:tc>
          <w:tcPr>
            <w:tcW w:w="1014" w:type="dxa"/>
          </w:tcPr>
          <w:p w14:paraId="21511A06"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CI2</w:t>
            </w:r>
          </w:p>
        </w:tc>
        <w:tc>
          <w:tcPr>
            <w:tcW w:w="6340" w:type="dxa"/>
          </w:tcPr>
          <w:p w14:paraId="3F600A4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supports personalized learning for students.</w:t>
            </w:r>
          </w:p>
        </w:tc>
        <w:tc>
          <w:tcPr>
            <w:tcW w:w="449" w:type="dxa"/>
          </w:tcPr>
          <w:p w14:paraId="6278400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3A3D49C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5C43123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41F463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ED56B3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4E12FDC5" w14:textId="77777777" w:rsidTr="00D12EA6">
        <w:tc>
          <w:tcPr>
            <w:tcW w:w="1014" w:type="dxa"/>
          </w:tcPr>
          <w:p w14:paraId="254FD193"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CI3</w:t>
            </w:r>
          </w:p>
        </w:tc>
        <w:tc>
          <w:tcPr>
            <w:tcW w:w="6340" w:type="dxa"/>
          </w:tcPr>
          <w:p w14:paraId="0227B0B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Students receive timely assistance through AI tools.</w:t>
            </w:r>
          </w:p>
        </w:tc>
        <w:tc>
          <w:tcPr>
            <w:tcW w:w="449" w:type="dxa"/>
          </w:tcPr>
          <w:p w14:paraId="47B3652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483C48A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4BBB59E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6D75A23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54DD6FB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3BE8BC93" w14:textId="77777777" w:rsidTr="00D12EA6">
        <w:tc>
          <w:tcPr>
            <w:tcW w:w="1014" w:type="dxa"/>
          </w:tcPr>
          <w:p w14:paraId="499E3CF1"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CI4</w:t>
            </w:r>
          </w:p>
        </w:tc>
        <w:tc>
          <w:tcPr>
            <w:tcW w:w="6340" w:type="dxa"/>
          </w:tcPr>
          <w:p w14:paraId="5694C33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enhances student engagement in my course.</w:t>
            </w:r>
          </w:p>
        </w:tc>
        <w:tc>
          <w:tcPr>
            <w:tcW w:w="449" w:type="dxa"/>
          </w:tcPr>
          <w:p w14:paraId="2412E54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3F1F69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748E8C2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BA3609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65BDC2D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0A038A6A" w14:textId="77777777" w:rsidTr="00D12EA6">
        <w:tc>
          <w:tcPr>
            <w:tcW w:w="1014" w:type="dxa"/>
          </w:tcPr>
          <w:p w14:paraId="6A9720A7"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CI5</w:t>
            </w:r>
          </w:p>
        </w:tc>
        <w:tc>
          <w:tcPr>
            <w:tcW w:w="6340" w:type="dxa"/>
          </w:tcPr>
          <w:p w14:paraId="42CC8AEC"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AI-assisted tutoring improves students’ understanding of course content.</w:t>
            </w:r>
          </w:p>
        </w:tc>
        <w:tc>
          <w:tcPr>
            <w:tcW w:w="449" w:type="dxa"/>
          </w:tcPr>
          <w:p w14:paraId="3BFA5AE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E7EEBC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3626DA5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B92772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CF0B95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2B80C15" w14:textId="77777777" w:rsidTr="00D12EA6">
        <w:tc>
          <w:tcPr>
            <w:tcW w:w="9599" w:type="dxa"/>
            <w:gridSpan w:val="7"/>
          </w:tcPr>
          <w:p w14:paraId="44E1BA6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Section C: Co-Assessment (CA)</w:t>
            </w:r>
          </w:p>
        </w:tc>
      </w:tr>
      <w:tr w:rsidR="005264D4" w:rsidRPr="00420C30" w14:paraId="6490BA02" w14:textId="77777777" w:rsidTr="00D12EA6">
        <w:tc>
          <w:tcPr>
            <w:tcW w:w="9599" w:type="dxa"/>
            <w:gridSpan w:val="7"/>
          </w:tcPr>
          <w:p w14:paraId="09B44A3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The extent to which GenAI supports assessment, grading, and feedback processes.</w:t>
            </w:r>
          </w:p>
        </w:tc>
      </w:tr>
      <w:tr w:rsidR="005264D4" w:rsidRPr="00420C30" w14:paraId="10CD604C" w14:textId="77777777" w:rsidTr="00D12EA6">
        <w:tc>
          <w:tcPr>
            <w:tcW w:w="1014" w:type="dxa"/>
          </w:tcPr>
          <w:p w14:paraId="1F3CD33E"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CA1</w:t>
            </w:r>
          </w:p>
        </w:tc>
        <w:tc>
          <w:tcPr>
            <w:tcW w:w="6340" w:type="dxa"/>
          </w:tcPr>
          <w:p w14:paraId="7B80B64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enables faster feedback delivery to students.</w:t>
            </w:r>
          </w:p>
        </w:tc>
        <w:tc>
          <w:tcPr>
            <w:tcW w:w="449" w:type="dxa"/>
          </w:tcPr>
          <w:p w14:paraId="13DEC4C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6430A6B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3977B35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4026C3D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A33659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36D3442F" w14:textId="77777777" w:rsidTr="00D12EA6">
        <w:tc>
          <w:tcPr>
            <w:tcW w:w="1014" w:type="dxa"/>
          </w:tcPr>
          <w:p w14:paraId="31F4028D"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CA2</w:t>
            </w:r>
          </w:p>
        </w:tc>
        <w:tc>
          <w:tcPr>
            <w:tcW w:w="6340" w:type="dxa"/>
          </w:tcPr>
          <w:p w14:paraId="7912A4E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AI-generated feedback is consistent and structured.</w:t>
            </w:r>
          </w:p>
        </w:tc>
        <w:tc>
          <w:tcPr>
            <w:tcW w:w="449" w:type="dxa"/>
          </w:tcPr>
          <w:p w14:paraId="5B4C146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0B82E3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04D158D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6E4AACD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41D5816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C2FF073" w14:textId="77777777" w:rsidTr="00D12EA6">
        <w:tc>
          <w:tcPr>
            <w:tcW w:w="1014" w:type="dxa"/>
          </w:tcPr>
          <w:p w14:paraId="61EB9624"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CA3</w:t>
            </w:r>
          </w:p>
        </w:tc>
        <w:tc>
          <w:tcPr>
            <w:tcW w:w="6340" w:type="dxa"/>
          </w:tcPr>
          <w:p w14:paraId="25EBBF7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assists in developing effective grading rubrics.</w:t>
            </w:r>
          </w:p>
        </w:tc>
        <w:tc>
          <w:tcPr>
            <w:tcW w:w="449" w:type="dxa"/>
          </w:tcPr>
          <w:p w14:paraId="601D10A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561470A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69332B1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6B08B21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47A5516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F6549A9" w14:textId="77777777" w:rsidTr="00D12EA6">
        <w:tc>
          <w:tcPr>
            <w:tcW w:w="1014" w:type="dxa"/>
          </w:tcPr>
          <w:p w14:paraId="46282912"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CA4</w:t>
            </w:r>
          </w:p>
        </w:tc>
        <w:tc>
          <w:tcPr>
            <w:tcW w:w="6340" w:type="dxa"/>
          </w:tcPr>
          <w:p w14:paraId="0DBC615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 tools improve formative assessment practices.</w:t>
            </w:r>
          </w:p>
        </w:tc>
        <w:tc>
          <w:tcPr>
            <w:tcW w:w="449" w:type="dxa"/>
          </w:tcPr>
          <w:p w14:paraId="0EEF439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C00AA7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10972F1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2F6DCE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38639D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C77B4F6" w14:textId="77777777" w:rsidTr="00D12EA6">
        <w:tc>
          <w:tcPr>
            <w:tcW w:w="1014" w:type="dxa"/>
          </w:tcPr>
          <w:p w14:paraId="1BC7DBD2"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CA5</w:t>
            </w:r>
          </w:p>
        </w:tc>
        <w:tc>
          <w:tcPr>
            <w:tcW w:w="6340" w:type="dxa"/>
          </w:tcPr>
          <w:p w14:paraId="5D48D1D7"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Using GenAI reduces my grading workload.</w:t>
            </w:r>
          </w:p>
        </w:tc>
        <w:tc>
          <w:tcPr>
            <w:tcW w:w="449" w:type="dxa"/>
          </w:tcPr>
          <w:p w14:paraId="4DA71B0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EC54B1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11DE7FE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FDCC25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3194BA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7048F34A" w14:textId="77777777" w:rsidTr="00D12EA6">
        <w:tc>
          <w:tcPr>
            <w:tcW w:w="9599" w:type="dxa"/>
            <w:gridSpan w:val="7"/>
          </w:tcPr>
          <w:p w14:paraId="076607E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Section D: Pedagogical Implementation Effectiveness (PIE)</w:t>
            </w:r>
          </w:p>
        </w:tc>
      </w:tr>
      <w:tr w:rsidR="005264D4" w:rsidRPr="00420C30" w14:paraId="56335765" w14:textId="77777777" w:rsidTr="00D12EA6">
        <w:tc>
          <w:tcPr>
            <w:tcW w:w="9599" w:type="dxa"/>
            <w:gridSpan w:val="7"/>
          </w:tcPr>
          <w:p w14:paraId="39AA52B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The degree to which GenAI is implemented using structured pedagogical frameworks (Teacher-in-the-Loop, hybrid models, validation).</w:t>
            </w:r>
          </w:p>
        </w:tc>
      </w:tr>
      <w:tr w:rsidR="005264D4" w:rsidRPr="00420C30" w14:paraId="2A05A6BD" w14:textId="77777777" w:rsidTr="00D12EA6">
        <w:tc>
          <w:tcPr>
            <w:tcW w:w="1014" w:type="dxa"/>
          </w:tcPr>
          <w:p w14:paraId="0AACAAA4"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PIE1</w:t>
            </w:r>
          </w:p>
        </w:tc>
        <w:tc>
          <w:tcPr>
            <w:tcW w:w="6340" w:type="dxa"/>
          </w:tcPr>
          <w:p w14:paraId="1D1B0D1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I carefully review and validate AI-generated outputs before using them.</w:t>
            </w:r>
          </w:p>
        </w:tc>
        <w:tc>
          <w:tcPr>
            <w:tcW w:w="449" w:type="dxa"/>
          </w:tcPr>
          <w:p w14:paraId="31D268C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700A54F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576A43D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2B8C33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5257BA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F4FFAA9" w14:textId="77777777" w:rsidTr="00D12EA6">
        <w:tc>
          <w:tcPr>
            <w:tcW w:w="1014" w:type="dxa"/>
          </w:tcPr>
          <w:p w14:paraId="35DA57CF"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PIE2</w:t>
            </w:r>
          </w:p>
        </w:tc>
        <w:tc>
          <w:tcPr>
            <w:tcW w:w="6340" w:type="dxa"/>
          </w:tcPr>
          <w:p w14:paraId="14676E0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is used as a supplement rather than a replacement for my teaching.</w:t>
            </w:r>
          </w:p>
        </w:tc>
        <w:tc>
          <w:tcPr>
            <w:tcW w:w="449" w:type="dxa"/>
          </w:tcPr>
          <w:p w14:paraId="5EF5B7F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3A0923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12164D5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7CA25BD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BA9773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4DBB728E" w14:textId="77777777" w:rsidTr="00D12EA6">
        <w:tc>
          <w:tcPr>
            <w:tcW w:w="1014" w:type="dxa"/>
          </w:tcPr>
          <w:p w14:paraId="2A4FF259"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PIE3</w:t>
            </w:r>
          </w:p>
        </w:tc>
        <w:tc>
          <w:tcPr>
            <w:tcW w:w="6340" w:type="dxa"/>
          </w:tcPr>
          <w:p w14:paraId="581108B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 tools are aligned with my pedagogical approach.</w:t>
            </w:r>
          </w:p>
        </w:tc>
        <w:tc>
          <w:tcPr>
            <w:tcW w:w="449" w:type="dxa"/>
          </w:tcPr>
          <w:p w14:paraId="208819C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05234E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0CC41F3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5AEE5BA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53E9A8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9218B68" w14:textId="77777777" w:rsidTr="00D12EA6">
        <w:tc>
          <w:tcPr>
            <w:tcW w:w="1014" w:type="dxa"/>
          </w:tcPr>
          <w:p w14:paraId="2B2683EF"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PIE4</w:t>
            </w:r>
          </w:p>
        </w:tc>
        <w:tc>
          <w:tcPr>
            <w:tcW w:w="6340" w:type="dxa"/>
          </w:tcPr>
          <w:p w14:paraId="7FA0333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I maintain control over instructional decisions when using AI.</w:t>
            </w:r>
          </w:p>
        </w:tc>
        <w:tc>
          <w:tcPr>
            <w:tcW w:w="449" w:type="dxa"/>
          </w:tcPr>
          <w:p w14:paraId="3FD9216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7E2C88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2233BCA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35D95C2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6EB176A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867965B" w14:textId="77777777" w:rsidTr="00D12EA6">
        <w:tc>
          <w:tcPr>
            <w:tcW w:w="1014" w:type="dxa"/>
          </w:tcPr>
          <w:p w14:paraId="06EDEB2D"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PIE5</w:t>
            </w:r>
          </w:p>
        </w:tc>
        <w:tc>
          <w:tcPr>
            <w:tcW w:w="6340" w:type="dxa"/>
          </w:tcPr>
          <w:p w14:paraId="7063E161"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AI-generated responses are grounded in course-specific materials.</w:t>
            </w:r>
          </w:p>
        </w:tc>
        <w:tc>
          <w:tcPr>
            <w:tcW w:w="449" w:type="dxa"/>
          </w:tcPr>
          <w:p w14:paraId="42CA43B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6495B37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5E12446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7DD7066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3D1D4ED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7EA54298" w14:textId="77777777" w:rsidTr="00D12EA6">
        <w:tc>
          <w:tcPr>
            <w:tcW w:w="9599" w:type="dxa"/>
            <w:gridSpan w:val="7"/>
          </w:tcPr>
          <w:p w14:paraId="28FFF6A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lastRenderedPageBreak/>
              <w:t>Section E: Ethical Governance Readiness (EGR)</w:t>
            </w:r>
          </w:p>
        </w:tc>
      </w:tr>
      <w:tr w:rsidR="005264D4" w:rsidRPr="00420C30" w14:paraId="76C4F688" w14:textId="77777777" w:rsidTr="00D12EA6">
        <w:tc>
          <w:tcPr>
            <w:tcW w:w="9599" w:type="dxa"/>
            <w:gridSpan w:val="7"/>
          </w:tcPr>
          <w:p w14:paraId="24F8C5B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Institutional and instructional safeguards ensuring responsible AI use.</w:t>
            </w:r>
          </w:p>
        </w:tc>
      </w:tr>
      <w:tr w:rsidR="005264D4" w:rsidRPr="00420C30" w14:paraId="159130CD" w14:textId="77777777" w:rsidTr="00D12EA6">
        <w:tc>
          <w:tcPr>
            <w:tcW w:w="1014" w:type="dxa"/>
          </w:tcPr>
          <w:p w14:paraId="7D32BA6F"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EGR1</w:t>
            </w:r>
          </w:p>
        </w:tc>
        <w:tc>
          <w:tcPr>
            <w:tcW w:w="6340" w:type="dxa"/>
          </w:tcPr>
          <w:p w14:paraId="1E273E6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My institution has clear policies regarding AI use in teaching.</w:t>
            </w:r>
          </w:p>
        </w:tc>
        <w:tc>
          <w:tcPr>
            <w:tcW w:w="449" w:type="dxa"/>
          </w:tcPr>
          <w:p w14:paraId="62925FB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46EEF4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4EDF7EE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6F13DED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6858110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59616B54" w14:textId="77777777" w:rsidTr="00D12EA6">
        <w:tc>
          <w:tcPr>
            <w:tcW w:w="1014" w:type="dxa"/>
          </w:tcPr>
          <w:p w14:paraId="7E09EF5A"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EGR2</w:t>
            </w:r>
          </w:p>
        </w:tc>
        <w:tc>
          <w:tcPr>
            <w:tcW w:w="6340" w:type="dxa"/>
          </w:tcPr>
          <w:p w14:paraId="5E30497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There are safeguards to protect student data when using AI tools.</w:t>
            </w:r>
          </w:p>
        </w:tc>
        <w:tc>
          <w:tcPr>
            <w:tcW w:w="449" w:type="dxa"/>
          </w:tcPr>
          <w:p w14:paraId="7D7EC76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3B563B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60BFF38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3EEF09F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35D325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40BF29CD" w14:textId="77777777" w:rsidTr="00D12EA6">
        <w:tc>
          <w:tcPr>
            <w:tcW w:w="1014" w:type="dxa"/>
          </w:tcPr>
          <w:p w14:paraId="095F5E0B"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EGR3</w:t>
            </w:r>
          </w:p>
        </w:tc>
        <w:tc>
          <w:tcPr>
            <w:tcW w:w="6340" w:type="dxa"/>
          </w:tcPr>
          <w:p w14:paraId="2AA78E6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Measures are in place to monitor potential AI bias.</w:t>
            </w:r>
          </w:p>
        </w:tc>
        <w:tc>
          <w:tcPr>
            <w:tcW w:w="449" w:type="dxa"/>
          </w:tcPr>
          <w:p w14:paraId="790E1CE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D77481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5416995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20479E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0C5D66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7D18E37B" w14:textId="77777777" w:rsidTr="00D12EA6">
        <w:tc>
          <w:tcPr>
            <w:tcW w:w="1014" w:type="dxa"/>
          </w:tcPr>
          <w:p w14:paraId="00B37C08"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EGR4</w:t>
            </w:r>
          </w:p>
        </w:tc>
        <w:tc>
          <w:tcPr>
            <w:tcW w:w="6340" w:type="dxa"/>
          </w:tcPr>
          <w:p w14:paraId="00A9E81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 use does not undermine teacher professional autonomy.</w:t>
            </w:r>
          </w:p>
        </w:tc>
        <w:tc>
          <w:tcPr>
            <w:tcW w:w="449" w:type="dxa"/>
          </w:tcPr>
          <w:p w14:paraId="113A9CF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0A5964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3B83C0E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488B631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6649E4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B5AD1B7" w14:textId="77777777" w:rsidTr="00D12EA6">
        <w:tc>
          <w:tcPr>
            <w:tcW w:w="1014" w:type="dxa"/>
          </w:tcPr>
          <w:p w14:paraId="3EDBCFC8"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EGR5</w:t>
            </w:r>
          </w:p>
        </w:tc>
        <w:tc>
          <w:tcPr>
            <w:tcW w:w="6340" w:type="dxa"/>
          </w:tcPr>
          <w:p w14:paraId="11BF0D4A"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Students are guided to use AI responsibly and ethically.</w:t>
            </w:r>
          </w:p>
        </w:tc>
        <w:tc>
          <w:tcPr>
            <w:tcW w:w="449" w:type="dxa"/>
          </w:tcPr>
          <w:p w14:paraId="696D9D5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D3AA53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3DE1242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13562C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81A7DD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75724839" w14:textId="77777777" w:rsidTr="00D12EA6">
        <w:tc>
          <w:tcPr>
            <w:tcW w:w="9599" w:type="dxa"/>
            <w:gridSpan w:val="7"/>
          </w:tcPr>
          <w:p w14:paraId="562C1D7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Section F: Instructor Outcomes (IO)</w:t>
            </w:r>
          </w:p>
        </w:tc>
      </w:tr>
      <w:tr w:rsidR="005264D4" w:rsidRPr="00420C30" w14:paraId="6EACD111" w14:textId="77777777" w:rsidTr="00D12EA6">
        <w:tc>
          <w:tcPr>
            <w:tcW w:w="9599" w:type="dxa"/>
            <w:gridSpan w:val="7"/>
          </w:tcPr>
          <w:p w14:paraId="3C499A2F" w14:textId="77777777" w:rsidR="005264D4" w:rsidRPr="00420C30" w:rsidRDefault="005264D4" w:rsidP="00D12EA6">
            <w:pPr>
              <w:spacing w:after="160"/>
              <w:jc w:val="both"/>
              <w:rPr>
                <w:rFonts w:ascii="Bookman Old Style" w:hAnsi="Bookman Old Style" w:cs="Times New Roman"/>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Impact of GenAI use on instructor performance and professional practice.</w:t>
            </w:r>
          </w:p>
        </w:tc>
      </w:tr>
      <w:tr w:rsidR="005264D4" w:rsidRPr="00420C30" w14:paraId="47859C44" w14:textId="77777777" w:rsidTr="00D12EA6">
        <w:tc>
          <w:tcPr>
            <w:tcW w:w="1014" w:type="dxa"/>
          </w:tcPr>
          <w:p w14:paraId="76DD6AC4"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IO1</w:t>
            </w:r>
          </w:p>
        </w:tc>
        <w:tc>
          <w:tcPr>
            <w:tcW w:w="6340" w:type="dxa"/>
          </w:tcPr>
          <w:p w14:paraId="2755C92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improves my teaching efficiency.</w:t>
            </w:r>
          </w:p>
        </w:tc>
        <w:tc>
          <w:tcPr>
            <w:tcW w:w="449" w:type="dxa"/>
          </w:tcPr>
          <w:p w14:paraId="2111CE6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43292AD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1D5CCAD4"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BDDE94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5B4A2BF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4EF960DF" w14:textId="77777777" w:rsidTr="00D12EA6">
        <w:tc>
          <w:tcPr>
            <w:tcW w:w="1014" w:type="dxa"/>
          </w:tcPr>
          <w:p w14:paraId="6BC8A801"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IO2</w:t>
            </w:r>
          </w:p>
        </w:tc>
        <w:tc>
          <w:tcPr>
            <w:tcW w:w="6340" w:type="dxa"/>
          </w:tcPr>
          <w:p w14:paraId="0BE21D4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GenAI enables me to focus on higher-order pedagogical activities.</w:t>
            </w:r>
          </w:p>
        </w:tc>
        <w:tc>
          <w:tcPr>
            <w:tcW w:w="449" w:type="dxa"/>
          </w:tcPr>
          <w:p w14:paraId="7C89403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38719CF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79A00DB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C3C139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77C801C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3AE8AD07" w14:textId="77777777" w:rsidTr="00D12EA6">
        <w:tc>
          <w:tcPr>
            <w:tcW w:w="1014" w:type="dxa"/>
          </w:tcPr>
          <w:p w14:paraId="500637BB"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IO3</w:t>
            </w:r>
          </w:p>
        </w:tc>
        <w:tc>
          <w:tcPr>
            <w:tcW w:w="6340" w:type="dxa"/>
          </w:tcPr>
          <w:p w14:paraId="1994F04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My instructional innovation has increased due to AI use.</w:t>
            </w:r>
          </w:p>
        </w:tc>
        <w:tc>
          <w:tcPr>
            <w:tcW w:w="449" w:type="dxa"/>
          </w:tcPr>
          <w:p w14:paraId="01D2AA7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09E336F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6CC01BA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0F21E3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37F04D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08380E7" w14:textId="77777777" w:rsidTr="00D12EA6">
        <w:tc>
          <w:tcPr>
            <w:tcW w:w="1014" w:type="dxa"/>
          </w:tcPr>
          <w:p w14:paraId="0B42BCFD"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IO4</w:t>
            </w:r>
          </w:p>
        </w:tc>
        <w:tc>
          <w:tcPr>
            <w:tcW w:w="6340" w:type="dxa"/>
          </w:tcPr>
          <w:p w14:paraId="1A58E86A"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I feel empowered rather than replaced by AI tools.</w:t>
            </w:r>
          </w:p>
        </w:tc>
        <w:tc>
          <w:tcPr>
            <w:tcW w:w="449" w:type="dxa"/>
          </w:tcPr>
          <w:p w14:paraId="5FD8EE5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03B820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25F80FE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3886BDB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42953E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8946850" w14:textId="77777777" w:rsidTr="00D12EA6">
        <w:tc>
          <w:tcPr>
            <w:tcW w:w="9599" w:type="dxa"/>
            <w:gridSpan w:val="7"/>
          </w:tcPr>
          <w:p w14:paraId="2FF5178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Section G: Student Outcomes (SO)</w:t>
            </w:r>
          </w:p>
        </w:tc>
      </w:tr>
      <w:tr w:rsidR="005264D4" w:rsidRPr="00420C30" w14:paraId="6AD0785C" w14:textId="77777777" w:rsidTr="00D12EA6">
        <w:tc>
          <w:tcPr>
            <w:tcW w:w="9599" w:type="dxa"/>
            <w:gridSpan w:val="7"/>
          </w:tcPr>
          <w:p w14:paraId="2072AFD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Perceived impact of GenAI integration on student learning.</w:t>
            </w:r>
          </w:p>
        </w:tc>
      </w:tr>
      <w:tr w:rsidR="005264D4" w:rsidRPr="00420C30" w14:paraId="27BB5711" w14:textId="77777777" w:rsidTr="00D12EA6">
        <w:tc>
          <w:tcPr>
            <w:tcW w:w="1014" w:type="dxa"/>
          </w:tcPr>
          <w:p w14:paraId="5AA65689"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SO1</w:t>
            </w:r>
          </w:p>
        </w:tc>
        <w:tc>
          <w:tcPr>
            <w:tcW w:w="6340" w:type="dxa"/>
          </w:tcPr>
          <w:p w14:paraId="3A529C0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Students demonstrate improved academic performance.</w:t>
            </w:r>
          </w:p>
        </w:tc>
        <w:tc>
          <w:tcPr>
            <w:tcW w:w="449" w:type="dxa"/>
          </w:tcPr>
          <w:p w14:paraId="0E37FB8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4BA2F9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45C12FE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F57FF5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DEBBCE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58A57F7" w14:textId="77777777" w:rsidTr="00D12EA6">
        <w:tc>
          <w:tcPr>
            <w:tcW w:w="1014" w:type="dxa"/>
          </w:tcPr>
          <w:p w14:paraId="5907FCE4"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SO2</w:t>
            </w:r>
          </w:p>
        </w:tc>
        <w:tc>
          <w:tcPr>
            <w:tcW w:w="6340" w:type="dxa"/>
          </w:tcPr>
          <w:p w14:paraId="227DAF3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Students are more engaged in learning activities.</w:t>
            </w:r>
          </w:p>
        </w:tc>
        <w:tc>
          <w:tcPr>
            <w:tcW w:w="449" w:type="dxa"/>
          </w:tcPr>
          <w:p w14:paraId="4AB88D0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2507258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1E3779AC"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514375D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40D192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06234C4E" w14:textId="77777777" w:rsidTr="00D12EA6">
        <w:tc>
          <w:tcPr>
            <w:tcW w:w="1014" w:type="dxa"/>
          </w:tcPr>
          <w:p w14:paraId="475D690F"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SO3</w:t>
            </w:r>
          </w:p>
        </w:tc>
        <w:tc>
          <w:tcPr>
            <w:tcW w:w="6340" w:type="dxa"/>
          </w:tcPr>
          <w:p w14:paraId="6594457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Students show greater self-directed learning behaviors.</w:t>
            </w:r>
          </w:p>
        </w:tc>
        <w:tc>
          <w:tcPr>
            <w:tcW w:w="449" w:type="dxa"/>
          </w:tcPr>
          <w:p w14:paraId="043A622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4ED3CC7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2E58568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0DFBB28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BFD0E8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2EC1C664" w14:textId="77777777" w:rsidTr="00D12EA6">
        <w:tc>
          <w:tcPr>
            <w:tcW w:w="1014" w:type="dxa"/>
          </w:tcPr>
          <w:p w14:paraId="1332F819"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SO4</w:t>
            </w:r>
          </w:p>
        </w:tc>
        <w:tc>
          <w:tcPr>
            <w:tcW w:w="6340" w:type="dxa"/>
          </w:tcPr>
          <w:p w14:paraId="25648D8F"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Students demonstrate stronger critical thinking skills.</w:t>
            </w:r>
          </w:p>
        </w:tc>
        <w:tc>
          <w:tcPr>
            <w:tcW w:w="449" w:type="dxa"/>
          </w:tcPr>
          <w:p w14:paraId="1D975C7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52C275C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092D308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5AA9D35"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1D5DB3A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12697846" w14:textId="77777777" w:rsidTr="00D12EA6">
        <w:tc>
          <w:tcPr>
            <w:tcW w:w="9599" w:type="dxa"/>
            <w:gridSpan w:val="7"/>
          </w:tcPr>
          <w:p w14:paraId="5AE4B10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lastRenderedPageBreak/>
              <w:t>Section H: Institutional Outcomes (</w:t>
            </w:r>
            <w:proofErr w:type="spellStart"/>
            <w:r w:rsidRPr="00420C30">
              <w:rPr>
                <w:rFonts w:ascii="Bookman Old Style" w:hAnsi="Bookman Old Style" w:cs="Times New Roman"/>
                <w:b/>
                <w:bCs/>
                <w:sz w:val="24"/>
                <w:szCs w:val="24"/>
              </w:rPr>
              <w:t>InstO</w:t>
            </w:r>
            <w:proofErr w:type="spellEnd"/>
            <w:r w:rsidRPr="00420C30">
              <w:rPr>
                <w:rFonts w:ascii="Bookman Old Style" w:hAnsi="Bookman Old Style" w:cs="Times New Roman"/>
                <w:b/>
                <w:bCs/>
                <w:sz w:val="24"/>
                <w:szCs w:val="24"/>
              </w:rPr>
              <w:t>)</w:t>
            </w:r>
          </w:p>
        </w:tc>
      </w:tr>
      <w:tr w:rsidR="005264D4" w:rsidRPr="00420C30" w14:paraId="4053C4BC" w14:textId="77777777" w:rsidTr="00D12EA6">
        <w:tc>
          <w:tcPr>
            <w:tcW w:w="9599" w:type="dxa"/>
            <w:gridSpan w:val="7"/>
          </w:tcPr>
          <w:p w14:paraId="7337D78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b/>
                <w:bCs/>
                <w:sz w:val="24"/>
                <w:szCs w:val="24"/>
              </w:rPr>
              <w:t>Construct Definition:</w:t>
            </w:r>
            <w:r w:rsidRPr="00420C30">
              <w:rPr>
                <w:rFonts w:ascii="Bookman Old Style" w:hAnsi="Bookman Old Style" w:cs="Times New Roman"/>
                <w:sz w:val="24"/>
                <w:szCs w:val="24"/>
              </w:rPr>
              <w:t xml:space="preserve"> Institutional-level transformation due to GenAI co-instruction.</w:t>
            </w:r>
          </w:p>
        </w:tc>
      </w:tr>
      <w:tr w:rsidR="005264D4" w:rsidRPr="00420C30" w14:paraId="29B23BFE" w14:textId="77777777" w:rsidTr="00D12EA6">
        <w:tc>
          <w:tcPr>
            <w:tcW w:w="1014" w:type="dxa"/>
          </w:tcPr>
          <w:p w14:paraId="68AF3BC8"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InstO1</w:t>
            </w:r>
          </w:p>
        </w:tc>
        <w:tc>
          <w:tcPr>
            <w:tcW w:w="6340" w:type="dxa"/>
          </w:tcPr>
          <w:p w14:paraId="25955F8B"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 integration supports scalable personalized education.</w:t>
            </w:r>
          </w:p>
        </w:tc>
        <w:tc>
          <w:tcPr>
            <w:tcW w:w="449" w:type="dxa"/>
          </w:tcPr>
          <w:p w14:paraId="6E7F22F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E6C9ABF"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47795C8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15DFFB1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4CB07CD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50FF7E4A" w14:textId="77777777" w:rsidTr="00D12EA6">
        <w:tc>
          <w:tcPr>
            <w:tcW w:w="1014" w:type="dxa"/>
          </w:tcPr>
          <w:p w14:paraId="35B44ABA"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InstO2</w:t>
            </w:r>
          </w:p>
        </w:tc>
        <w:tc>
          <w:tcPr>
            <w:tcW w:w="6340" w:type="dxa"/>
          </w:tcPr>
          <w:p w14:paraId="60A3980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AI use contributes to digital transformation in the institution.</w:t>
            </w:r>
          </w:p>
        </w:tc>
        <w:tc>
          <w:tcPr>
            <w:tcW w:w="449" w:type="dxa"/>
          </w:tcPr>
          <w:p w14:paraId="7F0C82A2"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1DFC7A3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79EA3386"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8C792D1"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0B582E93"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6C1C47BD" w14:textId="77777777" w:rsidTr="00D12EA6">
        <w:tc>
          <w:tcPr>
            <w:tcW w:w="1014" w:type="dxa"/>
          </w:tcPr>
          <w:p w14:paraId="749CC242"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InstO3</w:t>
            </w:r>
          </w:p>
        </w:tc>
        <w:tc>
          <w:tcPr>
            <w:tcW w:w="6340" w:type="dxa"/>
          </w:tcPr>
          <w:p w14:paraId="3CD554F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Teaching quality has improved due to AI-supported practices.</w:t>
            </w:r>
          </w:p>
        </w:tc>
        <w:tc>
          <w:tcPr>
            <w:tcW w:w="449" w:type="dxa"/>
          </w:tcPr>
          <w:p w14:paraId="5F294C4A"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4E60947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6A2B798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20E339DE"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482FC819"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r w:rsidR="005264D4" w:rsidRPr="00420C30" w14:paraId="0CC0087A" w14:textId="77777777" w:rsidTr="00D12EA6">
        <w:tc>
          <w:tcPr>
            <w:tcW w:w="1014" w:type="dxa"/>
          </w:tcPr>
          <w:p w14:paraId="13F903A4" w14:textId="77777777" w:rsidR="005264D4" w:rsidRPr="00420C30" w:rsidRDefault="005264D4" w:rsidP="00D12EA6">
            <w:pPr>
              <w:spacing w:after="160"/>
              <w:jc w:val="center"/>
              <w:rPr>
                <w:rFonts w:ascii="Bookman Old Style" w:hAnsi="Bookman Old Style" w:cs="Times New Roman"/>
                <w:b/>
                <w:bCs/>
                <w:sz w:val="24"/>
                <w:szCs w:val="24"/>
              </w:rPr>
            </w:pPr>
            <w:r w:rsidRPr="00420C30">
              <w:rPr>
                <w:rFonts w:ascii="Bookman Old Style" w:hAnsi="Bookman Old Style" w:cs="Times New Roman"/>
                <w:sz w:val="24"/>
                <w:szCs w:val="24"/>
              </w:rPr>
              <w:t>InstO4</w:t>
            </w:r>
          </w:p>
        </w:tc>
        <w:tc>
          <w:tcPr>
            <w:tcW w:w="6340" w:type="dxa"/>
          </w:tcPr>
          <w:p w14:paraId="530D664C" w14:textId="77777777" w:rsidR="005264D4" w:rsidRPr="00420C30" w:rsidRDefault="005264D4" w:rsidP="00D12EA6">
            <w:pPr>
              <w:spacing w:after="160"/>
              <w:rPr>
                <w:rFonts w:ascii="Bookman Old Style" w:hAnsi="Bookman Old Style" w:cs="Times New Roman"/>
                <w:sz w:val="24"/>
                <w:szCs w:val="24"/>
              </w:rPr>
            </w:pPr>
            <w:r w:rsidRPr="00420C30">
              <w:rPr>
                <w:rFonts w:ascii="Bookman Old Style" w:hAnsi="Bookman Old Style" w:cs="Times New Roman"/>
                <w:sz w:val="24"/>
                <w:szCs w:val="24"/>
              </w:rPr>
              <w:t>AI implementation is aligned with ethical standards.</w:t>
            </w:r>
          </w:p>
        </w:tc>
        <w:tc>
          <w:tcPr>
            <w:tcW w:w="449" w:type="dxa"/>
          </w:tcPr>
          <w:p w14:paraId="441A428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1</w:t>
            </w:r>
          </w:p>
        </w:tc>
        <w:tc>
          <w:tcPr>
            <w:tcW w:w="449" w:type="dxa"/>
          </w:tcPr>
          <w:p w14:paraId="3E773BD7"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2</w:t>
            </w:r>
          </w:p>
        </w:tc>
        <w:tc>
          <w:tcPr>
            <w:tcW w:w="449" w:type="dxa"/>
          </w:tcPr>
          <w:p w14:paraId="7F3F782D"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3</w:t>
            </w:r>
          </w:p>
        </w:tc>
        <w:tc>
          <w:tcPr>
            <w:tcW w:w="449" w:type="dxa"/>
          </w:tcPr>
          <w:p w14:paraId="40F244B8"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4</w:t>
            </w:r>
          </w:p>
        </w:tc>
        <w:tc>
          <w:tcPr>
            <w:tcW w:w="449" w:type="dxa"/>
          </w:tcPr>
          <w:p w14:paraId="29430FC0" w14:textId="77777777" w:rsidR="005264D4" w:rsidRPr="00420C30" w:rsidRDefault="005264D4" w:rsidP="00D12EA6">
            <w:pPr>
              <w:spacing w:after="160"/>
              <w:jc w:val="both"/>
              <w:rPr>
                <w:rFonts w:ascii="Bookman Old Style" w:hAnsi="Bookman Old Style" w:cs="Times New Roman"/>
                <w:b/>
                <w:bCs/>
                <w:sz w:val="24"/>
                <w:szCs w:val="24"/>
              </w:rPr>
            </w:pPr>
            <w:r w:rsidRPr="00420C30">
              <w:rPr>
                <w:rFonts w:ascii="Bookman Old Style" w:hAnsi="Bookman Old Style" w:cs="Times New Roman"/>
                <w:sz w:val="24"/>
                <w:szCs w:val="24"/>
              </w:rPr>
              <w:t>5</w:t>
            </w:r>
          </w:p>
        </w:tc>
      </w:tr>
    </w:tbl>
    <w:p w14:paraId="3E11EDFD" w14:textId="77777777" w:rsidR="005264D4" w:rsidRPr="00420C30" w:rsidRDefault="005264D4" w:rsidP="005264D4">
      <w:pPr>
        <w:rPr>
          <w:rFonts w:ascii="Bookman Old Style" w:hAnsi="Bookman Old Style"/>
          <w:sz w:val="24"/>
          <w:szCs w:val="24"/>
        </w:rPr>
      </w:pPr>
    </w:p>
    <w:p w14:paraId="50E3C931"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Expected Contributions</w:t>
      </w:r>
    </w:p>
    <w:p w14:paraId="4DAA452D" w14:textId="77777777" w:rsidR="005264D4" w:rsidRPr="00420C30" w:rsidRDefault="005264D4" w:rsidP="005264D4">
      <w:pPr>
        <w:rPr>
          <w:rFonts w:ascii="Bookman Old Style" w:hAnsi="Bookman Old Style"/>
          <w:b/>
          <w:bCs/>
          <w:sz w:val="24"/>
          <w:szCs w:val="24"/>
        </w:rPr>
      </w:pPr>
      <w:r w:rsidRPr="00420C30">
        <w:rPr>
          <w:rFonts w:ascii="Bookman Old Style" w:hAnsi="Bookman Old Style"/>
          <w:b/>
          <w:bCs/>
          <w:sz w:val="24"/>
          <w:szCs w:val="24"/>
        </w:rPr>
        <w:t>Theoretical Contribution</w:t>
      </w:r>
    </w:p>
    <w:p w14:paraId="182CAA2A"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This study contributes to the emerging scholarship on artificial intelligence in education by conceptualizing generative AI as a pedagogical collaborator rather than merely a technological tool. The proposed framework integrates insights from educational technology, information systems success theory, student engagement research, and responsible AI governance into a unified model.</w:t>
      </w:r>
    </w:p>
    <w:p w14:paraId="0488C66F"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Methodological Contribution</w:t>
      </w:r>
    </w:p>
    <w:p w14:paraId="0E313425"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study develops a 37-item measurement instrument across eight latent constructs, providing a structured tool for empirical investigation of human–AI instructional collaboration using structural equation modeling.</w:t>
      </w:r>
    </w:p>
    <w:p w14:paraId="10AA1C2D" w14:textId="77777777" w:rsidR="005264D4" w:rsidRPr="00420C30" w:rsidRDefault="005264D4" w:rsidP="005264D4">
      <w:pPr>
        <w:jc w:val="both"/>
        <w:rPr>
          <w:rFonts w:ascii="Bookman Old Style" w:hAnsi="Bookman Old Style"/>
          <w:b/>
          <w:bCs/>
          <w:sz w:val="24"/>
          <w:szCs w:val="24"/>
        </w:rPr>
      </w:pPr>
      <w:r w:rsidRPr="00420C30">
        <w:rPr>
          <w:rFonts w:ascii="Bookman Old Style" w:hAnsi="Bookman Old Style"/>
          <w:b/>
          <w:bCs/>
          <w:sz w:val="24"/>
          <w:szCs w:val="24"/>
        </w:rPr>
        <w:t>Practical Contribution</w:t>
      </w:r>
    </w:p>
    <w:p w14:paraId="6907AEAE" w14:textId="77777777" w:rsidR="005264D4" w:rsidRPr="00420C30" w:rsidRDefault="005264D4" w:rsidP="005264D4">
      <w:pPr>
        <w:jc w:val="both"/>
        <w:rPr>
          <w:rFonts w:ascii="Bookman Old Style" w:hAnsi="Bookman Old Style"/>
          <w:sz w:val="24"/>
          <w:szCs w:val="24"/>
        </w:rPr>
      </w:pPr>
      <w:r w:rsidRPr="00420C30">
        <w:rPr>
          <w:rFonts w:ascii="Bookman Old Style" w:hAnsi="Bookman Old Style"/>
          <w:sz w:val="24"/>
          <w:szCs w:val="24"/>
        </w:rPr>
        <w:t>The framework offers guidance for higher education institutions seeking to integrate generative AI into teaching practices while maintaining ethical governance, instructor autonomy, and pedagogical integrity.</w:t>
      </w:r>
    </w:p>
    <w:p w14:paraId="66C53C39"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Conclusion</w:t>
      </w:r>
    </w:p>
    <w:p w14:paraId="37A44FF1" w14:textId="77777777" w:rsidR="005264D4" w:rsidRPr="00420C30" w:rsidRDefault="005264D4" w:rsidP="005264D4">
      <w:pPr>
        <w:spacing w:after="0" w:line="240" w:lineRule="auto"/>
        <w:jc w:val="both"/>
        <w:rPr>
          <w:rFonts w:ascii="Bookman Old Style" w:hAnsi="Bookman Old Style" w:cs="Times New Roman"/>
          <w:sz w:val="24"/>
          <w:szCs w:val="24"/>
        </w:rPr>
      </w:pPr>
    </w:p>
    <w:p w14:paraId="359BA658" w14:textId="77777777" w:rsidR="005264D4" w:rsidRPr="00420C30" w:rsidRDefault="005264D4" w:rsidP="005264D4">
      <w:pPr>
        <w:spacing w:after="0" w:line="240" w:lineRule="auto"/>
        <w:jc w:val="both"/>
        <w:rPr>
          <w:rFonts w:ascii="Bookman Old Style" w:hAnsi="Bookman Old Style" w:cs="Times New Roman"/>
          <w:sz w:val="24"/>
          <w:szCs w:val="24"/>
        </w:rPr>
      </w:pPr>
      <w:r w:rsidRPr="00420C30">
        <w:rPr>
          <w:rFonts w:ascii="Bookman Old Style" w:hAnsi="Bookman Old Style" w:cs="Times New Roman"/>
          <w:sz w:val="24"/>
          <w:szCs w:val="24"/>
        </w:rPr>
        <w:t xml:space="preserve">This study advances the discourse on transformative technologies in higher education by conceptualizing Generative Artificial Intelligence (GenAI) as a co-instructor rather than merely a productivity tool. By integrating theoretical foundations from technology acceptance, information systems success, student engagement, formative assessment, and responsible AI governance, the study proposes a multidimensional framework that situates GenAI within structured </w:t>
      </w:r>
      <w:r w:rsidRPr="00420C30">
        <w:rPr>
          <w:rFonts w:ascii="Bookman Old Style" w:hAnsi="Bookman Old Style" w:cs="Times New Roman"/>
          <w:sz w:val="24"/>
          <w:szCs w:val="24"/>
        </w:rPr>
        <w:lastRenderedPageBreak/>
        <w:t>pedagogical and ethical boundaries. The framework articulates three core instructional domains—co-planning, co-instruction, and co-assessment—supported by pedagogical implementation effectiveness and moderated by ethical governance readiness, thereby offering a holistic model for sustainable and personalized AI integration.</w:t>
      </w:r>
    </w:p>
    <w:p w14:paraId="2F4956FC" w14:textId="77777777" w:rsidR="005264D4" w:rsidRPr="00420C30" w:rsidRDefault="005264D4" w:rsidP="005264D4">
      <w:pPr>
        <w:spacing w:after="0" w:line="240" w:lineRule="auto"/>
        <w:ind w:firstLine="720"/>
        <w:jc w:val="both"/>
        <w:rPr>
          <w:rFonts w:ascii="Bookman Old Style" w:hAnsi="Bookman Old Style" w:cs="Times New Roman"/>
          <w:sz w:val="24"/>
          <w:szCs w:val="24"/>
        </w:rPr>
      </w:pPr>
      <w:r w:rsidRPr="00420C30">
        <w:rPr>
          <w:rFonts w:ascii="Bookman Old Style" w:hAnsi="Bookman Old Style" w:cs="Times New Roman"/>
          <w:sz w:val="24"/>
          <w:szCs w:val="24"/>
        </w:rPr>
        <w:t>The primary contribution of this research lies in its dual focus on conceptual clarity and measurement formulation. The development of an eight-construct model and a 37-item Likert-scale instrument provides a systematic foundation for future empirical validation using structural equation modeling. By operationalizing GenAI as a collaborative instructional partner, the study shifts the narrative from fragmented adoption toward strategic, accountable, and pedagogically grounded implementation.</w:t>
      </w:r>
    </w:p>
    <w:p w14:paraId="2B9AD34C" w14:textId="77777777" w:rsidR="005264D4" w:rsidRPr="00420C30" w:rsidRDefault="005264D4" w:rsidP="005264D4">
      <w:pPr>
        <w:spacing w:after="0" w:line="240" w:lineRule="auto"/>
        <w:ind w:firstLine="720"/>
        <w:jc w:val="both"/>
        <w:rPr>
          <w:rFonts w:ascii="Bookman Old Style" w:hAnsi="Bookman Old Style" w:cs="Times New Roman"/>
          <w:sz w:val="24"/>
          <w:szCs w:val="24"/>
        </w:rPr>
      </w:pPr>
      <w:r w:rsidRPr="00420C30">
        <w:rPr>
          <w:rFonts w:ascii="Bookman Old Style" w:hAnsi="Bookman Old Style" w:cs="Times New Roman"/>
          <w:sz w:val="24"/>
          <w:szCs w:val="24"/>
        </w:rPr>
        <w:t>Importantly, the findings underscore that the transformative potential of GenAI depends not solely on technological sophistication but on structured human oversight, institutional governance, and alignment with personalization goals. Sustainable academic communities are forged when AI systems enhance, rather than replace, human instructional judgment and when ethical safeguards ensure transparency, equity, and accountability.</w:t>
      </w:r>
    </w:p>
    <w:p w14:paraId="6DA8C49A" w14:textId="77777777" w:rsidR="005264D4" w:rsidRPr="00420C30" w:rsidRDefault="005264D4" w:rsidP="005264D4">
      <w:pPr>
        <w:spacing w:after="0" w:line="240" w:lineRule="auto"/>
        <w:ind w:firstLine="720"/>
        <w:jc w:val="both"/>
        <w:rPr>
          <w:rFonts w:ascii="Bookman Old Style" w:hAnsi="Bookman Old Style" w:cs="Times New Roman"/>
          <w:sz w:val="24"/>
          <w:szCs w:val="24"/>
        </w:rPr>
      </w:pPr>
      <w:r w:rsidRPr="00420C30">
        <w:rPr>
          <w:rFonts w:ascii="Bookman Old Style" w:hAnsi="Bookman Old Style" w:cs="Times New Roman"/>
          <w:sz w:val="24"/>
          <w:szCs w:val="24"/>
        </w:rPr>
        <w:t>So, this conceptual framework offers a robust theoretical and methodological basis for examining human–AI instructional collaboration in higher education. Future empirical studies should validate and refine the proposed model across diverse institutional and cultural contexts to determine its generalizability and long-term impact on personalized learning ecosystems.</w:t>
      </w:r>
    </w:p>
    <w:p w14:paraId="7E8B3869" w14:textId="77777777" w:rsidR="005264D4" w:rsidRPr="00420C30" w:rsidRDefault="005264D4" w:rsidP="005264D4">
      <w:pPr>
        <w:spacing w:after="0" w:line="240" w:lineRule="auto"/>
        <w:jc w:val="both"/>
        <w:rPr>
          <w:rFonts w:ascii="Bookman Old Style" w:hAnsi="Bookman Old Style" w:cs="Times New Roman"/>
          <w:sz w:val="24"/>
          <w:szCs w:val="24"/>
        </w:rPr>
      </w:pPr>
    </w:p>
    <w:p w14:paraId="3E0006B6" w14:textId="77777777" w:rsidR="005264D4" w:rsidRPr="00420C30" w:rsidRDefault="005264D4" w:rsidP="005264D4">
      <w:pPr>
        <w:spacing w:after="0" w:line="240" w:lineRule="auto"/>
        <w:jc w:val="both"/>
        <w:rPr>
          <w:rFonts w:ascii="Bookman Old Style" w:hAnsi="Bookman Old Style" w:cs="Times New Roman"/>
          <w:sz w:val="24"/>
          <w:szCs w:val="24"/>
        </w:rPr>
      </w:pPr>
    </w:p>
    <w:p w14:paraId="220E439E" w14:textId="77777777" w:rsidR="005264D4" w:rsidRPr="00420C30" w:rsidRDefault="005264D4" w:rsidP="005264D4">
      <w:pPr>
        <w:spacing w:after="0" w:line="240" w:lineRule="auto"/>
        <w:jc w:val="both"/>
        <w:rPr>
          <w:rFonts w:ascii="Bookman Old Style" w:hAnsi="Bookman Old Style" w:cs="Times New Roman"/>
          <w:b/>
          <w:bCs/>
          <w:sz w:val="24"/>
          <w:szCs w:val="24"/>
        </w:rPr>
      </w:pPr>
      <w:r w:rsidRPr="00420C30">
        <w:rPr>
          <w:rFonts w:ascii="Bookman Old Style" w:hAnsi="Bookman Old Style" w:cs="Times New Roman"/>
          <w:b/>
          <w:bCs/>
          <w:sz w:val="24"/>
          <w:szCs w:val="24"/>
        </w:rPr>
        <w:t>References</w:t>
      </w:r>
    </w:p>
    <w:p w14:paraId="1844D387" w14:textId="77777777" w:rsidR="005264D4" w:rsidRPr="00420C30" w:rsidRDefault="005264D4" w:rsidP="005264D4">
      <w:pPr>
        <w:spacing w:after="0" w:line="240" w:lineRule="auto"/>
        <w:jc w:val="both"/>
        <w:rPr>
          <w:rFonts w:ascii="Bookman Old Style" w:hAnsi="Bookman Old Style" w:cs="Times New Roman"/>
          <w:sz w:val="24"/>
          <w:szCs w:val="24"/>
        </w:rPr>
      </w:pPr>
    </w:p>
    <w:p w14:paraId="23738E54"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Black, P., &amp; Wiliam, D. (1998). Assessment and classroom learning. </w:t>
      </w:r>
      <w:r w:rsidRPr="00420C30">
        <w:rPr>
          <w:rFonts w:ascii="Bookman Old Style" w:hAnsi="Bookman Old Style" w:cs="Times New Roman"/>
          <w:i/>
          <w:iCs/>
          <w:sz w:val="24"/>
          <w:szCs w:val="24"/>
        </w:rPr>
        <w:t>Assessment in Education: Principles, Policy &amp; Practice, 5</w:t>
      </w:r>
      <w:r w:rsidRPr="00420C30">
        <w:rPr>
          <w:rFonts w:ascii="Bookman Old Style" w:hAnsi="Bookman Old Style" w:cs="Times New Roman"/>
          <w:sz w:val="24"/>
          <w:szCs w:val="24"/>
        </w:rPr>
        <w:t>(1), 7–74. https://doi.org/10.1080/0969595980050102</w:t>
      </w:r>
    </w:p>
    <w:p w14:paraId="2327ED68"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4DCB6DCC"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sz w:val="24"/>
          <w:szCs w:val="24"/>
        </w:rPr>
        <w:t xml:space="preserve">Black, P., &amp; Wiliam, D. (1998). Assessment and classroom learning. </w:t>
      </w:r>
      <w:r w:rsidRPr="00420C30">
        <w:rPr>
          <w:rFonts w:ascii="Bookman Old Style" w:hAnsi="Bookman Old Style"/>
          <w:i/>
          <w:iCs/>
          <w:sz w:val="24"/>
          <w:szCs w:val="24"/>
        </w:rPr>
        <w:t>Assessment in Education: Principles, Policy &amp; Practice, 5</w:t>
      </w:r>
      <w:r w:rsidRPr="00420C30">
        <w:rPr>
          <w:rFonts w:ascii="Bookman Old Style" w:hAnsi="Bookman Old Style"/>
          <w:sz w:val="24"/>
          <w:szCs w:val="24"/>
        </w:rPr>
        <w:t>(1), 7–74.</w:t>
      </w:r>
    </w:p>
    <w:p w14:paraId="103FFBBC"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01A91FDC" w14:textId="77777777" w:rsidR="005264D4" w:rsidRPr="00420C30" w:rsidRDefault="005264D4" w:rsidP="005264D4">
      <w:pPr>
        <w:spacing w:after="0" w:line="240" w:lineRule="auto"/>
        <w:ind w:left="720" w:hanging="720"/>
        <w:jc w:val="both"/>
        <w:rPr>
          <w:rFonts w:ascii="Bookman Old Style" w:hAnsi="Bookman Old Style"/>
          <w:sz w:val="24"/>
          <w:szCs w:val="24"/>
        </w:rPr>
      </w:pPr>
      <w:r w:rsidRPr="00420C30">
        <w:rPr>
          <w:rFonts w:ascii="Bookman Old Style" w:hAnsi="Bookman Old Style"/>
          <w:sz w:val="24"/>
          <w:szCs w:val="24"/>
        </w:rPr>
        <w:t xml:space="preserve">Black, P., &amp; Wiliam, D. (1998). Assessment and classroom learning. </w:t>
      </w:r>
      <w:r w:rsidRPr="00420C30">
        <w:rPr>
          <w:rFonts w:ascii="Bookman Old Style" w:hAnsi="Bookman Old Style"/>
          <w:i/>
          <w:iCs/>
          <w:sz w:val="24"/>
          <w:szCs w:val="24"/>
        </w:rPr>
        <w:t>Assessment in Education: Principles, Policy &amp; Practice, 5</w:t>
      </w:r>
      <w:r w:rsidRPr="00420C30">
        <w:rPr>
          <w:rFonts w:ascii="Bookman Old Style" w:hAnsi="Bookman Old Style"/>
          <w:sz w:val="24"/>
          <w:szCs w:val="24"/>
        </w:rPr>
        <w:t>(1), 7–74.</w:t>
      </w:r>
    </w:p>
    <w:p w14:paraId="5037F61D"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0DE9A369" w14:textId="77777777" w:rsidR="005264D4" w:rsidRPr="00420C30" w:rsidRDefault="005264D4" w:rsidP="005264D4">
      <w:pPr>
        <w:spacing w:after="0" w:line="240" w:lineRule="auto"/>
        <w:ind w:left="720" w:hanging="720"/>
        <w:jc w:val="both"/>
        <w:rPr>
          <w:rFonts w:ascii="Bookman Old Style" w:hAnsi="Bookman Old Style"/>
          <w:sz w:val="24"/>
          <w:szCs w:val="24"/>
        </w:rPr>
      </w:pPr>
      <w:r w:rsidRPr="00420C30">
        <w:rPr>
          <w:rFonts w:ascii="Bookman Old Style" w:hAnsi="Bookman Old Style"/>
          <w:sz w:val="24"/>
          <w:szCs w:val="24"/>
        </w:rPr>
        <w:t xml:space="preserve">Bowen, G. A. (2009). Document analysis as a qualitative research method. </w:t>
      </w:r>
      <w:r w:rsidRPr="00420C30">
        <w:rPr>
          <w:rFonts w:ascii="Bookman Old Style" w:hAnsi="Bookman Old Style"/>
          <w:i/>
          <w:iCs/>
          <w:sz w:val="24"/>
          <w:szCs w:val="24"/>
        </w:rPr>
        <w:t>Qualitative Research Journal, 9</w:t>
      </w:r>
      <w:r w:rsidRPr="00420C30">
        <w:rPr>
          <w:rFonts w:ascii="Bookman Old Style" w:hAnsi="Bookman Old Style"/>
          <w:sz w:val="24"/>
          <w:szCs w:val="24"/>
        </w:rPr>
        <w:t>(2), 27–40.</w:t>
      </w:r>
    </w:p>
    <w:p w14:paraId="572EAF29"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3502A4B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Davis, F. D. (1989). Perceived usefulness, perceived ease of use, and user acceptance of information technology. </w:t>
      </w:r>
      <w:r w:rsidRPr="00420C30">
        <w:rPr>
          <w:rFonts w:ascii="Bookman Old Style" w:hAnsi="Bookman Old Style" w:cs="Times New Roman"/>
          <w:i/>
          <w:iCs/>
          <w:sz w:val="24"/>
          <w:szCs w:val="24"/>
        </w:rPr>
        <w:t>MIS Quarterly, 13</w:t>
      </w:r>
      <w:r w:rsidRPr="00420C30">
        <w:rPr>
          <w:rFonts w:ascii="Bookman Old Style" w:hAnsi="Bookman Old Style" w:cs="Times New Roman"/>
          <w:sz w:val="24"/>
          <w:szCs w:val="24"/>
        </w:rPr>
        <w:t xml:space="preserve">(3), 319–340. </w:t>
      </w:r>
      <w:hyperlink r:id="rId6" w:tgtFrame="_new" w:history="1">
        <w:r w:rsidRPr="00420C30">
          <w:rPr>
            <w:rStyle w:val="Hyperlink"/>
            <w:rFonts w:ascii="Bookman Old Style" w:hAnsi="Bookman Old Style" w:cs="Times New Roman"/>
            <w:color w:val="auto"/>
            <w:sz w:val="24"/>
            <w:szCs w:val="24"/>
          </w:rPr>
          <w:t>https://doi.org/10.2307/249008</w:t>
        </w:r>
      </w:hyperlink>
    </w:p>
    <w:p w14:paraId="4174EA4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3D4B6BD2"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lastRenderedPageBreak/>
        <w:t>DeLone</w:t>
      </w:r>
      <w:proofErr w:type="spellEnd"/>
      <w:r w:rsidRPr="00420C30">
        <w:rPr>
          <w:rFonts w:ascii="Bookman Old Style" w:hAnsi="Bookman Old Style" w:cs="Times New Roman"/>
          <w:sz w:val="24"/>
          <w:szCs w:val="24"/>
        </w:rPr>
        <w:t xml:space="preserve">, W. H., &amp; McLean, E. R. (2003). The </w:t>
      </w:r>
      <w:proofErr w:type="spellStart"/>
      <w:r w:rsidRPr="00420C30">
        <w:rPr>
          <w:rFonts w:ascii="Bookman Old Style" w:hAnsi="Bookman Old Style" w:cs="Times New Roman"/>
          <w:sz w:val="24"/>
          <w:szCs w:val="24"/>
        </w:rPr>
        <w:t>DeLone</w:t>
      </w:r>
      <w:proofErr w:type="spellEnd"/>
      <w:r w:rsidRPr="00420C30">
        <w:rPr>
          <w:rFonts w:ascii="Bookman Old Style" w:hAnsi="Bookman Old Style" w:cs="Times New Roman"/>
          <w:sz w:val="24"/>
          <w:szCs w:val="24"/>
        </w:rPr>
        <w:t xml:space="preserve"> and McLean model of information systems success: A ten-year update. </w:t>
      </w:r>
      <w:r w:rsidRPr="00420C30">
        <w:rPr>
          <w:rFonts w:ascii="Bookman Old Style" w:hAnsi="Bookman Old Style" w:cs="Times New Roman"/>
          <w:i/>
          <w:iCs/>
          <w:sz w:val="24"/>
          <w:szCs w:val="24"/>
        </w:rPr>
        <w:t>Journal of Management Information Systems, 19</w:t>
      </w:r>
      <w:r w:rsidRPr="00420C30">
        <w:rPr>
          <w:rFonts w:ascii="Bookman Old Style" w:hAnsi="Bookman Old Style" w:cs="Times New Roman"/>
          <w:sz w:val="24"/>
          <w:szCs w:val="24"/>
        </w:rPr>
        <w:t>(4), 9–30. https://doi.org/10.1080/07421222.2003.11045748</w:t>
      </w:r>
    </w:p>
    <w:p w14:paraId="11743793"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3284C58A" w14:textId="77777777" w:rsidR="005264D4" w:rsidRPr="00420C30" w:rsidRDefault="005264D4" w:rsidP="005264D4">
      <w:pPr>
        <w:spacing w:after="0" w:line="240" w:lineRule="auto"/>
        <w:ind w:left="720" w:hanging="720"/>
        <w:jc w:val="both"/>
        <w:rPr>
          <w:rFonts w:ascii="Bookman Old Style" w:hAnsi="Bookman Old Style"/>
          <w:sz w:val="24"/>
          <w:szCs w:val="24"/>
        </w:rPr>
      </w:pPr>
      <w:r w:rsidRPr="00420C30">
        <w:rPr>
          <w:rFonts w:ascii="Bookman Old Style" w:hAnsi="Bookman Old Style"/>
          <w:sz w:val="24"/>
          <w:szCs w:val="24"/>
        </w:rPr>
        <w:t xml:space="preserve">Dwivedi, Y. K., Hughes, L., </w:t>
      </w:r>
      <w:proofErr w:type="spellStart"/>
      <w:r w:rsidRPr="00420C30">
        <w:rPr>
          <w:rFonts w:ascii="Bookman Old Style" w:hAnsi="Bookman Old Style"/>
          <w:sz w:val="24"/>
          <w:szCs w:val="24"/>
        </w:rPr>
        <w:t>Baabdullah</w:t>
      </w:r>
      <w:proofErr w:type="spellEnd"/>
      <w:r w:rsidRPr="00420C30">
        <w:rPr>
          <w:rFonts w:ascii="Bookman Old Style" w:hAnsi="Bookman Old Style"/>
          <w:sz w:val="24"/>
          <w:szCs w:val="24"/>
        </w:rPr>
        <w:t>, A. M., Ribeiro-Navarrete, S., Giannakis, M., Al-</w:t>
      </w:r>
      <w:proofErr w:type="spellStart"/>
      <w:r w:rsidRPr="00420C30">
        <w:rPr>
          <w:rFonts w:ascii="Bookman Old Style" w:hAnsi="Bookman Old Style"/>
          <w:sz w:val="24"/>
          <w:szCs w:val="24"/>
        </w:rPr>
        <w:t>Debei</w:t>
      </w:r>
      <w:proofErr w:type="spellEnd"/>
      <w:r w:rsidRPr="00420C30">
        <w:rPr>
          <w:rFonts w:ascii="Bookman Old Style" w:hAnsi="Bookman Old Style"/>
          <w:sz w:val="24"/>
          <w:szCs w:val="24"/>
        </w:rPr>
        <w:t xml:space="preserve">, M. M., ... &amp; Wamba, S. F. (2023). </w:t>
      </w:r>
      <w:proofErr w:type="gramStart"/>
      <w:r w:rsidRPr="00420C30">
        <w:rPr>
          <w:rFonts w:ascii="Bookman Old Style" w:hAnsi="Bookman Old Style"/>
          <w:sz w:val="24"/>
          <w:szCs w:val="24"/>
        </w:rPr>
        <w:t>So</w:t>
      </w:r>
      <w:proofErr w:type="gramEnd"/>
      <w:r w:rsidRPr="00420C30">
        <w:rPr>
          <w:rFonts w:ascii="Bookman Old Style" w:hAnsi="Bookman Old Style"/>
          <w:sz w:val="24"/>
          <w:szCs w:val="24"/>
        </w:rPr>
        <w:t xml:space="preserve"> what if ChatGPT wrote it? Multidisciplinary perspectives on opportunities, challenges and implications of generative conversational AI for research, practice and policy. </w:t>
      </w:r>
      <w:r w:rsidRPr="00420C30">
        <w:rPr>
          <w:rFonts w:ascii="Bookman Old Style" w:hAnsi="Bookman Old Style"/>
          <w:i/>
          <w:iCs/>
          <w:sz w:val="24"/>
          <w:szCs w:val="24"/>
        </w:rPr>
        <w:t>International Journal of Information Management, 71</w:t>
      </w:r>
      <w:r w:rsidRPr="00420C30">
        <w:rPr>
          <w:rFonts w:ascii="Bookman Old Style" w:hAnsi="Bookman Old Style"/>
          <w:sz w:val="24"/>
          <w:szCs w:val="24"/>
        </w:rPr>
        <w:t>, 102642.</w:t>
      </w:r>
    </w:p>
    <w:p w14:paraId="2A9B0F62"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19A9EAAF" w14:textId="77777777" w:rsidR="005264D4" w:rsidRPr="00420C30" w:rsidRDefault="005264D4" w:rsidP="005264D4">
      <w:pPr>
        <w:spacing w:after="0" w:line="240" w:lineRule="auto"/>
        <w:ind w:left="720" w:hanging="720"/>
        <w:jc w:val="both"/>
        <w:rPr>
          <w:rFonts w:ascii="Bookman Old Style" w:hAnsi="Bookman Old Style"/>
          <w:sz w:val="24"/>
          <w:szCs w:val="24"/>
        </w:rPr>
      </w:pPr>
      <w:proofErr w:type="spellStart"/>
      <w:r w:rsidRPr="00420C30">
        <w:rPr>
          <w:rFonts w:ascii="Bookman Old Style" w:hAnsi="Bookman Old Style"/>
          <w:sz w:val="24"/>
          <w:szCs w:val="24"/>
        </w:rPr>
        <w:t>Floridi</w:t>
      </w:r>
      <w:proofErr w:type="spellEnd"/>
      <w:r w:rsidRPr="00420C30">
        <w:rPr>
          <w:rFonts w:ascii="Bookman Old Style" w:hAnsi="Bookman Old Style"/>
          <w:sz w:val="24"/>
          <w:szCs w:val="24"/>
        </w:rPr>
        <w:t xml:space="preserve">, L., Cowls, J., </w:t>
      </w:r>
      <w:proofErr w:type="spellStart"/>
      <w:r w:rsidRPr="00420C30">
        <w:rPr>
          <w:rFonts w:ascii="Bookman Old Style" w:hAnsi="Bookman Old Style"/>
          <w:sz w:val="24"/>
          <w:szCs w:val="24"/>
        </w:rPr>
        <w:t>Beltrametti</w:t>
      </w:r>
      <w:proofErr w:type="spellEnd"/>
      <w:r w:rsidRPr="00420C30">
        <w:rPr>
          <w:rFonts w:ascii="Bookman Old Style" w:hAnsi="Bookman Old Style"/>
          <w:sz w:val="24"/>
          <w:szCs w:val="24"/>
        </w:rPr>
        <w:t xml:space="preserve">, M., Chatila, R., </w:t>
      </w:r>
      <w:proofErr w:type="spellStart"/>
      <w:r w:rsidRPr="00420C30">
        <w:rPr>
          <w:rFonts w:ascii="Bookman Old Style" w:hAnsi="Bookman Old Style"/>
          <w:sz w:val="24"/>
          <w:szCs w:val="24"/>
        </w:rPr>
        <w:t>Chazerand</w:t>
      </w:r>
      <w:proofErr w:type="spellEnd"/>
      <w:r w:rsidRPr="00420C30">
        <w:rPr>
          <w:rFonts w:ascii="Bookman Old Style" w:hAnsi="Bookman Old Style"/>
          <w:sz w:val="24"/>
          <w:szCs w:val="24"/>
        </w:rPr>
        <w:t xml:space="preserve">, P., Dignum, V., ... &amp; Schafer, B. (2018). AI4People—An ethical framework for a good AI society: Opportunities, risks, principles, and recommendations. </w:t>
      </w:r>
      <w:r w:rsidRPr="00420C30">
        <w:rPr>
          <w:rFonts w:ascii="Bookman Old Style" w:hAnsi="Bookman Old Style"/>
          <w:i/>
          <w:iCs/>
          <w:sz w:val="24"/>
          <w:szCs w:val="24"/>
        </w:rPr>
        <w:t>Minds and Machines, 28</w:t>
      </w:r>
      <w:r w:rsidRPr="00420C30">
        <w:rPr>
          <w:rFonts w:ascii="Bookman Old Style" w:hAnsi="Bookman Old Style"/>
          <w:sz w:val="24"/>
          <w:szCs w:val="24"/>
        </w:rPr>
        <w:t>(4), 689–707.</w:t>
      </w:r>
    </w:p>
    <w:p w14:paraId="269D0B6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71CA2682"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Franco, M., Pereira, R., &amp; Silva, J. (2024). Responsible AI governance in higher education: Ethical frameworks and implementation guidelines. </w:t>
      </w:r>
      <w:r w:rsidRPr="00420C30">
        <w:rPr>
          <w:rFonts w:ascii="Bookman Old Style" w:hAnsi="Bookman Old Style" w:cs="Times New Roman"/>
          <w:i/>
          <w:iCs/>
          <w:sz w:val="24"/>
          <w:szCs w:val="24"/>
        </w:rPr>
        <w:t>Computers &amp; Education: Artificial Intelligence, 5</w:t>
      </w:r>
      <w:r w:rsidRPr="00420C30">
        <w:rPr>
          <w:rFonts w:ascii="Bookman Old Style" w:hAnsi="Bookman Old Style" w:cs="Times New Roman"/>
          <w:sz w:val="24"/>
          <w:szCs w:val="24"/>
        </w:rPr>
        <w:t>, 100169.</w:t>
      </w:r>
    </w:p>
    <w:p w14:paraId="733431C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34657B93"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Fredricks, J. A., Blumenfeld, P. C., &amp; Paris, A. H. (2004). School engagement: Potential of the concept, state of the evidence. </w:t>
      </w:r>
      <w:r w:rsidRPr="00420C30">
        <w:rPr>
          <w:rFonts w:ascii="Bookman Old Style" w:hAnsi="Bookman Old Style" w:cs="Times New Roman"/>
          <w:i/>
          <w:iCs/>
          <w:sz w:val="24"/>
          <w:szCs w:val="24"/>
        </w:rPr>
        <w:t>Review of Educational Research, 74</w:t>
      </w:r>
      <w:r w:rsidRPr="00420C30">
        <w:rPr>
          <w:rFonts w:ascii="Bookman Old Style" w:hAnsi="Bookman Old Style" w:cs="Times New Roman"/>
          <w:sz w:val="24"/>
          <w:szCs w:val="24"/>
        </w:rPr>
        <w:t xml:space="preserve">(1), 59–109. </w:t>
      </w:r>
      <w:hyperlink r:id="rId7" w:tgtFrame="_new" w:history="1">
        <w:r w:rsidRPr="00420C30">
          <w:rPr>
            <w:rStyle w:val="Hyperlink"/>
            <w:rFonts w:ascii="Bookman Old Style" w:hAnsi="Bookman Old Style" w:cs="Times New Roman"/>
            <w:color w:val="auto"/>
            <w:sz w:val="24"/>
            <w:szCs w:val="24"/>
          </w:rPr>
          <w:t>https://doi.org/10.3102/00346543074001059</w:t>
        </w:r>
      </w:hyperlink>
    </w:p>
    <w:p w14:paraId="344294BD"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7950E46F"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Hattie, J. (2009). </w:t>
      </w:r>
      <w:r w:rsidRPr="00420C30">
        <w:rPr>
          <w:rFonts w:ascii="Bookman Old Style" w:hAnsi="Bookman Old Style" w:cs="Times New Roman"/>
          <w:i/>
          <w:iCs/>
          <w:sz w:val="24"/>
          <w:szCs w:val="24"/>
        </w:rPr>
        <w:t>Visible learning: A synthesis of over 800 meta-analyses relating to achievement</w:t>
      </w:r>
      <w:r w:rsidRPr="00420C30">
        <w:rPr>
          <w:rFonts w:ascii="Bookman Old Style" w:hAnsi="Bookman Old Style" w:cs="Times New Roman"/>
          <w:sz w:val="24"/>
          <w:szCs w:val="24"/>
        </w:rPr>
        <w:t>. Routledge.</w:t>
      </w:r>
    </w:p>
    <w:p w14:paraId="2F5864FF"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6D27490D"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Holmes, W., Bialik, M., &amp; Fadel, C. (2022). </w:t>
      </w:r>
      <w:r w:rsidRPr="00420C30">
        <w:rPr>
          <w:rFonts w:ascii="Bookman Old Style" w:hAnsi="Bookman Old Style" w:cs="Times New Roman"/>
          <w:i/>
          <w:iCs/>
          <w:sz w:val="24"/>
          <w:szCs w:val="24"/>
        </w:rPr>
        <w:t>Artificial intelligence in education: Promises and implications for teaching and learning</w:t>
      </w:r>
      <w:r w:rsidRPr="00420C30">
        <w:rPr>
          <w:rFonts w:ascii="Bookman Old Style" w:hAnsi="Bookman Old Style" w:cs="Times New Roman"/>
          <w:sz w:val="24"/>
          <w:szCs w:val="24"/>
        </w:rPr>
        <w:t>. Center for Curriculum Redesign.</w:t>
      </w:r>
    </w:p>
    <w:p w14:paraId="172A5D54"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4F4B1EA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Jamie, K., Lee, S., &amp; Park, J. (2024). Hybrid AI-human instructional models in computer science education: Exam performance and engagement outcomes. </w:t>
      </w:r>
      <w:r w:rsidRPr="00420C30">
        <w:rPr>
          <w:rFonts w:ascii="Bookman Old Style" w:hAnsi="Bookman Old Style" w:cs="Times New Roman"/>
          <w:i/>
          <w:iCs/>
          <w:sz w:val="24"/>
          <w:szCs w:val="24"/>
        </w:rPr>
        <w:t>Education and Information Technologies, 29</w:t>
      </w:r>
      <w:r w:rsidRPr="00420C30">
        <w:rPr>
          <w:rFonts w:ascii="Bookman Old Style" w:hAnsi="Bookman Old Style" w:cs="Times New Roman"/>
          <w:sz w:val="24"/>
          <w:szCs w:val="24"/>
        </w:rPr>
        <w:t>, 11245–11268.</w:t>
      </w:r>
    </w:p>
    <w:p w14:paraId="0FE4D7C6"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5936833F"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Joon, H., Kim, T., &amp; Alvarez, L. (2024). Fairness, accountability, and transparency in generative AI for education. </w:t>
      </w:r>
      <w:r w:rsidRPr="00420C30">
        <w:rPr>
          <w:rFonts w:ascii="Bookman Old Style" w:hAnsi="Bookman Old Style" w:cs="Times New Roman"/>
          <w:i/>
          <w:iCs/>
          <w:sz w:val="24"/>
          <w:szCs w:val="24"/>
        </w:rPr>
        <w:t>AI &amp; Society</w:t>
      </w:r>
      <w:r w:rsidRPr="00420C30">
        <w:rPr>
          <w:rFonts w:ascii="Bookman Old Style" w:hAnsi="Bookman Old Style" w:cs="Times New Roman"/>
          <w:sz w:val="24"/>
          <w:szCs w:val="24"/>
        </w:rPr>
        <w:t>. Advance online publication.</w:t>
      </w:r>
    </w:p>
    <w:p w14:paraId="1B55EA32"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4A063FA1" w14:textId="77777777" w:rsidR="005264D4" w:rsidRPr="00420C30" w:rsidRDefault="005264D4" w:rsidP="005264D4">
      <w:pPr>
        <w:spacing w:after="0" w:line="240" w:lineRule="auto"/>
        <w:ind w:left="720" w:hanging="720"/>
        <w:jc w:val="both"/>
        <w:rPr>
          <w:rFonts w:ascii="Bookman Old Style" w:hAnsi="Bookman Old Style"/>
          <w:sz w:val="24"/>
          <w:szCs w:val="24"/>
        </w:rPr>
      </w:pPr>
      <w:proofErr w:type="spellStart"/>
      <w:r w:rsidRPr="00420C30">
        <w:rPr>
          <w:rFonts w:ascii="Bookman Old Style" w:hAnsi="Bookman Old Style"/>
          <w:sz w:val="24"/>
          <w:szCs w:val="24"/>
        </w:rPr>
        <w:t>Kasneci</w:t>
      </w:r>
      <w:proofErr w:type="spellEnd"/>
      <w:r w:rsidRPr="00420C30">
        <w:rPr>
          <w:rFonts w:ascii="Bookman Old Style" w:hAnsi="Bookman Old Style"/>
          <w:sz w:val="24"/>
          <w:szCs w:val="24"/>
        </w:rPr>
        <w:t xml:space="preserve">, E., Sessler, K., </w:t>
      </w:r>
      <w:proofErr w:type="spellStart"/>
      <w:r w:rsidRPr="00420C30">
        <w:rPr>
          <w:rFonts w:ascii="Bookman Old Style" w:hAnsi="Bookman Old Style"/>
          <w:sz w:val="24"/>
          <w:szCs w:val="24"/>
        </w:rPr>
        <w:t>Küchemann</w:t>
      </w:r>
      <w:proofErr w:type="spellEnd"/>
      <w:r w:rsidRPr="00420C30">
        <w:rPr>
          <w:rFonts w:ascii="Bookman Old Style" w:hAnsi="Bookman Old Style"/>
          <w:sz w:val="24"/>
          <w:szCs w:val="24"/>
        </w:rPr>
        <w:t xml:space="preserve">, S., Bannert, M., Dementieva, D., Fischer, F., ... &amp; </w:t>
      </w:r>
      <w:proofErr w:type="spellStart"/>
      <w:r w:rsidRPr="00420C30">
        <w:rPr>
          <w:rFonts w:ascii="Bookman Old Style" w:hAnsi="Bookman Old Style"/>
          <w:sz w:val="24"/>
          <w:szCs w:val="24"/>
        </w:rPr>
        <w:t>Kasneci</w:t>
      </w:r>
      <w:proofErr w:type="spellEnd"/>
      <w:r w:rsidRPr="00420C30">
        <w:rPr>
          <w:rFonts w:ascii="Bookman Old Style" w:hAnsi="Bookman Old Style"/>
          <w:sz w:val="24"/>
          <w:szCs w:val="24"/>
        </w:rPr>
        <w:t xml:space="preserve">, G. (2023). ChatGPT for good? On opportunities and challenges of large language models for education. </w:t>
      </w:r>
      <w:r w:rsidRPr="00420C30">
        <w:rPr>
          <w:rFonts w:ascii="Bookman Old Style" w:hAnsi="Bookman Old Style"/>
          <w:i/>
          <w:iCs/>
          <w:sz w:val="24"/>
          <w:szCs w:val="24"/>
        </w:rPr>
        <w:t>Learning and Individual Differences, 103</w:t>
      </w:r>
      <w:r w:rsidRPr="00420C30">
        <w:rPr>
          <w:rFonts w:ascii="Bookman Old Style" w:hAnsi="Bookman Old Style"/>
          <w:sz w:val="24"/>
          <w:szCs w:val="24"/>
        </w:rPr>
        <w:t>, 102274.</w:t>
      </w:r>
    </w:p>
    <w:p w14:paraId="6CC3D78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30315B26"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lastRenderedPageBreak/>
        <w:t xml:space="preserve">Kotsis, I. (2025). Constructivist alignment in AI-supported higher education environments. </w:t>
      </w:r>
      <w:r w:rsidRPr="00420C30">
        <w:rPr>
          <w:rFonts w:ascii="Bookman Old Style" w:hAnsi="Bookman Old Style" w:cs="Times New Roman"/>
          <w:i/>
          <w:iCs/>
          <w:sz w:val="24"/>
          <w:szCs w:val="24"/>
        </w:rPr>
        <w:t>Educational Technology Research and Development</w:t>
      </w:r>
      <w:r w:rsidRPr="00420C30">
        <w:rPr>
          <w:rFonts w:ascii="Bookman Old Style" w:hAnsi="Bookman Old Style" w:cs="Times New Roman"/>
          <w:sz w:val="24"/>
          <w:szCs w:val="24"/>
        </w:rPr>
        <w:t>.</w:t>
      </w:r>
    </w:p>
    <w:p w14:paraId="70827E5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5934EE7F"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Luckin, R., Holmes, W., Griffiths, M., &amp; Forcier, L. B. (2016). </w:t>
      </w:r>
      <w:r w:rsidRPr="00420C30">
        <w:rPr>
          <w:rFonts w:ascii="Bookman Old Style" w:hAnsi="Bookman Old Style" w:cs="Times New Roman"/>
          <w:i/>
          <w:iCs/>
          <w:sz w:val="24"/>
          <w:szCs w:val="24"/>
        </w:rPr>
        <w:t>Intelligence unleashed: An argument for AI in education</w:t>
      </w:r>
      <w:r w:rsidRPr="00420C30">
        <w:rPr>
          <w:rFonts w:ascii="Bookman Old Style" w:hAnsi="Bookman Old Style" w:cs="Times New Roman"/>
          <w:sz w:val="24"/>
          <w:szCs w:val="24"/>
        </w:rPr>
        <w:t>. Pearson.</w:t>
      </w:r>
    </w:p>
    <w:p w14:paraId="5EAE6EC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64DBBC2D"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Magrill</w:t>
      </w:r>
      <w:proofErr w:type="spellEnd"/>
      <w:r w:rsidRPr="00420C30">
        <w:rPr>
          <w:rFonts w:ascii="Bookman Old Style" w:hAnsi="Bookman Old Style" w:cs="Times New Roman"/>
          <w:sz w:val="24"/>
          <w:szCs w:val="24"/>
        </w:rPr>
        <w:t xml:space="preserve">, D., Santos, R., &amp; Ibrahim, N. (2024). Generative AI applications in curriculum mapping and feedback systems. </w:t>
      </w:r>
      <w:r w:rsidRPr="00420C30">
        <w:rPr>
          <w:rFonts w:ascii="Bookman Old Style" w:hAnsi="Bookman Old Style" w:cs="Times New Roman"/>
          <w:i/>
          <w:iCs/>
          <w:sz w:val="24"/>
          <w:szCs w:val="24"/>
        </w:rPr>
        <w:t>British Journal of Educational Technology</w:t>
      </w:r>
      <w:r w:rsidRPr="00420C30">
        <w:rPr>
          <w:rFonts w:ascii="Bookman Old Style" w:hAnsi="Bookman Old Style" w:cs="Times New Roman"/>
          <w:sz w:val="24"/>
          <w:szCs w:val="24"/>
        </w:rPr>
        <w:t>.</w:t>
      </w:r>
    </w:p>
    <w:p w14:paraId="5CCEF0EC"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09FD812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Neupane, B., Sharma, P., &amp; Gautam, R. (2024). Personalized adaptive learning using large language models. </w:t>
      </w:r>
      <w:r w:rsidRPr="00420C30">
        <w:rPr>
          <w:rFonts w:ascii="Bookman Old Style" w:hAnsi="Bookman Old Style" w:cs="Times New Roman"/>
          <w:i/>
          <w:iCs/>
          <w:sz w:val="24"/>
          <w:szCs w:val="24"/>
        </w:rPr>
        <w:t>Computers &amp; Education: Artificial Intelligence, 4</w:t>
      </w:r>
      <w:r w:rsidRPr="00420C30">
        <w:rPr>
          <w:rFonts w:ascii="Bookman Old Style" w:hAnsi="Bookman Old Style" w:cs="Times New Roman"/>
          <w:sz w:val="24"/>
          <w:szCs w:val="24"/>
        </w:rPr>
        <w:t>, 100130.</w:t>
      </w:r>
    </w:p>
    <w:p w14:paraId="5D4F77F9"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4CBA7302"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OECD. (2019). </w:t>
      </w:r>
      <w:r w:rsidRPr="00420C30">
        <w:rPr>
          <w:rFonts w:ascii="Bookman Old Style" w:hAnsi="Bookman Old Style" w:cs="Times New Roman"/>
          <w:i/>
          <w:iCs/>
          <w:sz w:val="24"/>
          <w:szCs w:val="24"/>
        </w:rPr>
        <w:t>OECD principles on artificial intelligence</w:t>
      </w:r>
      <w:r w:rsidRPr="00420C30">
        <w:rPr>
          <w:rFonts w:ascii="Bookman Old Style" w:hAnsi="Bookman Old Style" w:cs="Times New Roman"/>
          <w:sz w:val="24"/>
          <w:szCs w:val="24"/>
        </w:rPr>
        <w:t xml:space="preserve">. OECD Publishing. </w:t>
      </w:r>
      <w:hyperlink r:id="rId8" w:history="1">
        <w:r w:rsidRPr="00420C30">
          <w:rPr>
            <w:rStyle w:val="Hyperlink"/>
            <w:rFonts w:ascii="Bookman Old Style" w:hAnsi="Bookman Old Style" w:cs="Times New Roman"/>
            <w:color w:val="auto"/>
            <w:sz w:val="24"/>
            <w:szCs w:val="24"/>
          </w:rPr>
          <w:t>https://doi.org/10.1787/974a9f69-en</w:t>
        </w:r>
      </w:hyperlink>
    </w:p>
    <w:p w14:paraId="27DAEE9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1500E38A"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Raisch, S., &amp; Krakowski, S. (2021). Artificial intelligence and management: The automation–augmentation paradox. </w:t>
      </w:r>
      <w:r w:rsidRPr="00420C30">
        <w:rPr>
          <w:rFonts w:ascii="Bookman Old Style" w:hAnsi="Bookman Old Style" w:cs="Times New Roman"/>
          <w:i/>
          <w:iCs/>
          <w:sz w:val="24"/>
          <w:szCs w:val="24"/>
        </w:rPr>
        <w:t>Academy of Management Review, 46</w:t>
      </w:r>
      <w:r w:rsidRPr="00420C30">
        <w:rPr>
          <w:rFonts w:ascii="Bookman Old Style" w:hAnsi="Bookman Old Style" w:cs="Times New Roman"/>
          <w:sz w:val="24"/>
          <w:szCs w:val="24"/>
        </w:rPr>
        <w:t xml:space="preserve">(1), 192–210. </w:t>
      </w:r>
      <w:hyperlink r:id="rId9" w:tgtFrame="_new" w:history="1">
        <w:r w:rsidRPr="00420C30">
          <w:rPr>
            <w:rStyle w:val="Hyperlink"/>
            <w:rFonts w:ascii="Bookman Old Style" w:hAnsi="Bookman Old Style" w:cs="Times New Roman"/>
            <w:color w:val="auto"/>
            <w:sz w:val="24"/>
            <w:szCs w:val="24"/>
          </w:rPr>
          <w:t>https://doi.org/10.5465/amr.2018.0072</w:t>
        </w:r>
      </w:hyperlink>
    </w:p>
    <w:p w14:paraId="5E25EB3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6FBC8A45"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Shubhanshi</w:t>
      </w:r>
      <w:proofErr w:type="spellEnd"/>
      <w:r w:rsidRPr="00420C30">
        <w:rPr>
          <w:rFonts w:ascii="Bookman Old Style" w:hAnsi="Bookman Old Style" w:cs="Times New Roman"/>
          <w:sz w:val="24"/>
          <w:szCs w:val="24"/>
        </w:rPr>
        <w:t xml:space="preserve">, S. (2025). Teacher-in-the-Loop framework for responsible AI integration in higher education. </w:t>
      </w:r>
      <w:r w:rsidRPr="00420C30">
        <w:rPr>
          <w:rFonts w:ascii="Bookman Old Style" w:hAnsi="Bookman Old Style" w:cs="Times New Roman"/>
          <w:i/>
          <w:iCs/>
          <w:sz w:val="24"/>
          <w:szCs w:val="24"/>
        </w:rPr>
        <w:t>Journal of Educational Technology &amp; Society</w:t>
      </w:r>
      <w:r w:rsidRPr="00420C30">
        <w:rPr>
          <w:rFonts w:ascii="Bookman Old Style" w:hAnsi="Bookman Old Style" w:cs="Times New Roman"/>
          <w:sz w:val="24"/>
          <w:szCs w:val="24"/>
        </w:rPr>
        <w:t>.</w:t>
      </w:r>
    </w:p>
    <w:p w14:paraId="2F11603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48A60902"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Shute, V. J. (2008). Focus on formative feedback. </w:t>
      </w:r>
      <w:r w:rsidRPr="00420C30">
        <w:rPr>
          <w:rFonts w:ascii="Bookman Old Style" w:hAnsi="Bookman Old Style" w:cs="Times New Roman"/>
          <w:i/>
          <w:iCs/>
          <w:sz w:val="24"/>
          <w:szCs w:val="24"/>
        </w:rPr>
        <w:t>Review of Educational Research, 78</w:t>
      </w:r>
      <w:r w:rsidRPr="00420C30">
        <w:rPr>
          <w:rFonts w:ascii="Bookman Old Style" w:hAnsi="Bookman Old Style" w:cs="Times New Roman"/>
          <w:sz w:val="24"/>
          <w:szCs w:val="24"/>
        </w:rPr>
        <w:t xml:space="preserve">(1), 153–189. </w:t>
      </w:r>
      <w:hyperlink r:id="rId10" w:tgtFrame="_new" w:history="1">
        <w:r w:rsidRPr="00420C30">
          <w:rPr>
            <w:rStyle w:val="Hyperlink"/>
            <w:rFonts w:ascii="Bookman Old Style" w:hAnsi="Bookman Old Style" w:cs="Times New Roman"/>
            <w:color w:val="auto"/>
            <w:sz w:val="24"/>
            <w:szCs w:val="24"/>
          </w:rPr>
          <w:t>https://doi.org/10.3102/0034654307313795</w:t>
        </w:r>
      </w:hyperlink>
    </w:p>
    <w:p w14:paraId="24B46D7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38D7481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Sweller</w:t>
      </w:r>
      <w:proofErr w:type="spellEnd"/>
      <w:r w:rsidRPr="00420C30">
        <w:rPr>
          <w:rFonts w:ascii="Bookman Old Style" w:hAnsi="Bookman Old Style" w:cs="Times New Roman"/>
          <w:sz w:val="24"/>
          <w:szCs w:val="24"/>
        </w:rPr>
        <w:t xml:space="preserve">, J. (1988). Cognitive load during problem solving: Effects on learning. </w:t>
      </w:r>
      <w:r w:rsidRPr="00420C30">
        <w:rPr>
          <w:rFonts w:ascii="Bookman Old Style" w:hAnsi="Bookman Old Style" w:cs="Times New Roman"/>
          <w:i/>
          <w:iCs/>
          <w:sz w:val="24"/>
          <w:szCs w:val="24"/>
        </w:rPr>
        <w:t>Cognitive Science, 12</w:t>
      </w:r>
      <w:r w:rsidRPr="00420C30">
        <w:rPr>
          <w:rFonts w:ascii="Bookman Old Style" w:hAnsi="Bookman Old Style" w:cs="Times New Roman"/>
          <w:sz w:val="24"/>
          <w:szCs w:val="24"/>
        </w:rPr>
        <w:t xml:space="preserve">(2), 257–285. </w:t>
      </w:r>
      <w:hyperlink r:id="rId11" w:tgtFrame="_new" w:history="1">
        <w:r w:rsidRPr="00420C30">
          <w:rPr>
            <w:rStyle w:val="Hyperlink"/>
            <w:rFonts w:ascii="Bookman Old Style" w:hAnsi="Bookman Old Style" w:cs="Times New Roman"/>
            <w:color w:val="auto"/>
            <w:sz w:val="24"/>
            <w:szCs w:val="24"/>
          </w:rPr>
          <w:t>https://doi.org/10.1207/s15516709cog1202_4</w:t>
        </w:r>
      </w:hyperlink>
    </w:p>
    <w:p w14:paraId="35F665FD" w14:textId="77777777" w:rsidR="005264D4" w:rsidRPr="00420C30" w:rsidRDefault="005264D4" w:rsidP="005264D4">
      <w:pPr>
        <w:spacing w:after="0" w:line="240" w:lineRule="auto"/>
        <w:ind w:left="720" w:hanging="720"/>
        <w:jc w:val="both"/>
        <w:rPr>
          <w:rFonts w:ascii="Bookman Old Style" w:hAnsi="Bookman Old Style"/>
          <w:sz w:val="24"/>
          <w:szCs w:val="24"/>
        </w:rPr>
      </w:pPr>
    </w:p>
    <w:p w14:paraId="48B37280" w14:textId="77777777" w:rsidR="005264D4" w:rsidRPr="00420C30" w:rsidRDefault="005264D4" w:rsidP="005264D4">
      <w:pPr>
        <w:spacing w:after="0" w:line="240" w:lineRule="auto"/>
        <w:ind w:left="720" w:hanging="720"/>
        <w:jc w:val="both"/>
        <w:rPr>
          <w:rFonts w:ascii="Bookman Old Style" w:hAnsi="Bookman Old Style"/>
          <w:sz w:val="24"/>
          <w:szCs w:val="24"/>
        </w:rPr>
      </w:pPr>
      <w:r w:rsidRPr="00420C30">
        <w:rPr>
          <w:rFonts w:ascii="Bookman Old Style" w:hAnsi="Bookman Old Style"/>
          <w:sz w:val="24"/>
          <w:szCs w:val="24"/>
        </w:rPr>
        <w:t xml:space="preserve">Tlili, A., Shehata, B., </w:t>
      </w:r>
      <w:proofErr w:type="spellStart"/>
      <w:r w:rsidRPr="00420C30">
        <w:rPr>
          <w:rFonts w:ascii="Bookman Old Style" w:hAnsi="Bookman Old Style"/>
          <w:sz w:val="24"/>
          <w:szCs w:val="24"/>
        </w:rPr>
        <w:t>Adarkwah</w:t>
      </w:r>
      <w:proofErr w:type="spellEnd"/>
      <w:r w:rsidRPr="00420C30">
        <w:rPr>
          <w:rFonts w:ascii="Bookman Old Style" w:hAnsi="Bookman Old Style"/>
          <w:sz w:val="24"/>
          <w:szCs w:val="24"/>
        </w:rPr>
        <w:t xml:space="preserve">, M. A., Bozkurt, A., Hickey, D. T., Huang, R., &amp; Agyemang, B. (2023). What if the devil is my guardian angel: ChatGPT as a case study of using chatbots in education. </w:t>
      </w:r>
      <w:r w:rsidRPr="00420C30">
        <w:rPr>
          <w:rFonts w:ascii="Bookman Old Style" w:hAnsi="Bookman Old Style"/>
          <w:i/>
          <w:iCs/>
          <w:sz w:val="24"/>
          <w:szCs w:val="24"/>
        </w:rPr>
        <w:t>Smart Learning Environments, 10</w:t>
      </w:r>
      <w:r w:rsidRPr="00420C30">
        <w:rPr>
          <w:rFonts w:ascii="Bookman Old Style" w:hAnsi="Bookman Old Style"/>
          <w:sz w:val="24"/>
          <w:szCs w:val="24"/>
        </w:rPr>
        <w:t>(1), 15.</w:t>
      </w:r>
    </w:p>
    <w:p w14:paraId="273C7F4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56EC8EE7"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UNESCO. (2023). </w:t>
      </w:r>
      <w:r w:rsidRPr="00420C30">
        <w:rPr>
          <w:rFonts w:ascii="Bookman Old Style" w:hAnsi="Bookman Old Style" w:cs="Times New Roman"/>
          <w:i/>
          <w:iCs/>
          <w:sz w:val="24"/>
          <w:szCs w:val="24"/>
        </w:rPr>
        <w:t>Guidance for generative AI in education and research</w:t>
      </w:r>
      <w:r w:rsidRPr="00420C30">
        <w:rPr>
          <w:rFonts w:ascii="Bookman Old Style" w:hAnsi="Bookman Old Style" w:cs="Times New Roman"/>
          <w:sz w:val="24"/>
          <w:szCs w:val="24"/>
        </w:rPr>
        <w:t>. UNESCO Publishing.</w:t>
      </w:r>
    </w:p>
    <w:p w14:paraId="4C331D44"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5FF6A26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roofErr w:type="spellStart"/>
      <w:r w:rsidRPr="00420C30">
        <w:rPr>
          <w:rFonts w:ascii="Bookman Old Style" w:hAnsi="Bookman Old Style" w:cs="Times New Roman"/>
          <w:sz w:val="24"/>
          <w:szCs w:val="24"/>
        </w:rPr>
        <w:t>VanLehn</w:t>
      </w:r>
      <w:proofErr w:type="spellEnd"/>
      <w:r w:rsidRPr="00420C30">
        <w:rPr>
          <w:rFonts w:ascii="Bookman Old Style" w:hAnsi="Bookman Old Style" w:cs="Times New Roman"/>
          <w:sz w:val="24"/>
          <w:szCs w:val="24"/>
        </w:rPr>
        <w:t xml:space="preserve">, K. (2011). The relative effectiveness of human tutoring, intelligent tutoring systems, and other tutoring systems. </w:t>
      </w:r>
      <w:r w:rsidRPr="00420C30">
        <w:rPr>
          <w:rFonts w:ascii="Bookman Old Style" w:hAnsi="Bookman Old Style" w:cs="Times New Roman"/>
          <w:i/>
          <w:iCs/>
          <w:sz w:val="24"/>
          <w:szCs w:val="24"/>
        </w:rPr>
        <w:t>Educational Psychologist, 46</w:t>
      </w:r>
      <w:r w:rsidRPr="00420C30">
        <w:rPr>
          <w:rFonts w:ascii="Bookman Old Style" w:hAnsi="Bookman Old Style" w:cs="Times New Roman"/>
          <w:sz w:val="24"/>
          <w:szCs w:val="24"/>
        </w:rPr>
        <w:t xml:space="preserve">(4), 197–221. </w:t>
      </w:r>
      <w:hyperlink r:id="rId12" w:tgtFrame="_new" w:history="1">
        <w:r w:rsidRPr="00420C30">
          <w:rPr>
            <w:rStyle w:val="Hyperlink"/>
            <w:rFonts w:ascii="Bookman Old Style" w:hAnsi="Bookman Old Style" w:cs="Times New Roman"/>
            <w:color w:val="auto"/>
            <w:sz w:val="24"/>
            <w:szCs w:val="24"/>
          </w:rPr>
          <w:t>https://doi.org/10.1080/00461520.2011.611369</w:t>
        </w:r>
      </w:hyperlink>
    </w:p>
    <w:p w14:paraId="13C0339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4F86EA5C"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lastRenderedPageBreak/>
        <w:t xml:space="preserve">Venkatesh, V., Morris, M. G., Davis, G. B., &amp; Davis, F. D. (2003). User acceptance of information technology: Toward a unified view. </w:t>
      </w:r>
      <w:r w:rsidRPr="00420C30">
        <w:rPr>
          <w:rFonts w:ascii="Bookman Old Style" w:hAnsi="Bookman Old Style" w:cs="Times New Roman"/>
          <w:i/>
          <w:iCs/>
          <w:sz w:val="24"/>
          <w:szCs w:val="24"/>
        </w:rPr>
        <w:t>MIS Quarterly, 27</w:t>
      </w:r>
      <w:r w:rsidRPr="00420C30">
        <w:rPr>
          <w:rFonts w:ascii="Bookman Old Style" w:hAnsi="Bookman Old Style" w:cs="Times New Roman"/>
          <w:sz w:val="24"/>
          <w:szCs w:val="24"/>
        </w:rPr>
        <w:t xml:space="preserve">(3), 425–478. </w:t>
      </w:r>
      <w:hyperlink r:id="rId13" w:tgtFrame="_new" w:history="1">
        <w:r w:rsidRPr="00420C30">
          <w:rPr>
            <w:rStyle w:val="Hyperlink"/>
            <w:rFonts w:ascii="Bookman Old Style" w:hAnsi="Bookman Old Style" w:cs="Times New Roman"/>
            <w:color w:val="auto"/>
            <w:sz w:val="24"/>
            <w:szCs w:val="24"/>
          </w:rPr>
          <w:t>https://doi.org/10.2307/30036540</w:t>
        </w:r>
      </w:hyperlink>
    </w:p>
    <w:p w14:paraId="05D9BD77"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0D46433E"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Xiao, Y., Li, Z., &amp; Chen, M. (2024). Human–AI co-grading and automated essay scoring using large language models. </w:t>
      </w:r>
      <w:r w:rsidRPr="00420C30">
        <w:rPr>
          <w:rFonts w:ascii="Bookman Old Style" w:hAnsi="Bookman Old Style" w:cs="Times New Roman"/>
          <w:i/>
          <w:iCs/>
          <w:sz w:val="24"/>
          <w:szCs w:val="24"/>
        </w:rPr>
        <w:t>Computers &amp; Education, 196</w:t>
      </w:r>
      <w:r w:rsidRPr="00420C30">
        <w:rPr>
          <w:rFonts w:ascii="Bookman Old Style" w:hAnsi="Bookman Old Style" w:cs="Times New Roman"/>
          <w:sz w:val="24"/>
          <w:szCs w:val="24"/>
        </w:rPr>
        <w:t>, 104720.</w:t>
      </w:r>
    </w:p>
    <w:p w14:paraId="5B8E602A"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Zawacki-Richter, O., Marín, V. I., Bond, M., &amp; Gouverneur, F. (2019). Systematic review of research on artificial intelligence applications in higher education. </w:t>
      </w:r>
      <w:r w:rsidRPr="00420C30">
        <w:rPr>
          <w:rFonts w:ascii="Bookman Old Style" w:hAnsi="Bookman Old Style" w:cs="Times New Roman"/>
          <w:i/>
          <w:iCs/>
          <w:sz w:val="24"/>
          <w:szCs w:val="24"/>
        </w:rPr>
        <w:t>International Journal of Educational Technology in Higher Education, 16</w:t>
      </w:r>
      <w:r w:rsidRPr="00420C30">
        <w:rPr>
          <w:rFonts w:ascii="Bookman Old Style" w:hAnsi="Bookman Old Style" w:cs="Times New Roman"/>
          <w:sz w:val="24"/>
          <w:szCs w:val="24"/>
        </w:rPr>
        <w:t xml:space="preserve">(39). </w:t>
      </w:r>
      <w:hyperlink r:id="rId14" w:tgtFrame="_new" w:history="1">
        <w:r w:rsidRPr="00420C30">
          <w:rPr>
            <w:rStyle w:val="Hyperlink"/>
            <w:rFonts w:ascii="Bookman Old Style" w:hAnsi="Bookman Old Style" w:cs="Times New Roman"/>
            <w:color w:val="auto"/>
            <w:sz w:val="24"/>
            <w:szCs w:val="24"/>
          </w:rPr>
          <w:t>https://doi.org/10.1186/s41239-019-0171-0</w:t>
        </w:r>
      </w:hyperlink>
    </w:p>
    <w:p w14:paraId="000BFF68"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6751EB95"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r w:rsidRPr="00420C30">
        <w:rPr>
          <w:rFonts w:ascii="Bookman Old Style" w:hAnsi="Bookman Old Style" w:cs="Times New Roman"/>
          <w:sz w:val="24"/>
          <w:szCs w:val="24"/>
        </w:rPr>
        <w:t xml:space="preserve">Zhang, L. (2025). Retrieval-augmented generative AI for course-specific instructional support: Evidence from DS-ASST implementation. </w:t>
      </w:r>
      <w:r w:rsidRPr="00420C30">
        <w:rPr>
          <w:rFonts w:ascii="Bookman Old Style" w:hAnsi="Bookman Old Style" w:cs="Times New Roman"/>
          <w:i/>
          <w:iCs/>
          <w:sz w:val="24"/>
          <w:szCs w:val="24"/>
        </w:rPr>
        <w:t>IEEE Transactions on Learning Technologies</w:t>
      </w:r>
      <w:r w:rsidRPr="00420C30">
        <w:rPr>
          <w:rFonts w:ascii="Bookman Old Style" w:hAnsi="Bookman Old Style" w:cs="Times New Roman"/>
          <w:sz w:val="24"/>
          <w:szCs w:val="24"/>
        </w:rPr>
        <w:t>.</w:t>
      </w:r>
    </w:p>
    <w:p w14:paraId="4CC792D0"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1F581B51" w14:textId="77777777" w:rsidR="005264D4" w:rsidRPr="00420C30" w:rsidRDefault="005264D4" w:rsidP="005264D4">
      <w:pPr>
        <w:spacing w:after="0" w:line="240" w:lineRule="auto"/>
        <w:ind w:left="720" w:hanging="720"/>
        <w:jc w:val="both"/>
        <w:rPr>
          <w:rFonts w:ascii="Bookman Old Style" w:hAnsi="Bookman Old Style" w:cs="Times New Roman"/>
          <w:sz w:val="24"/>
          <w:szCs w:val="24"/>
        </w:rPr>
      </w:pPr>
    </w:p>
    <w:p w14:paraId="7452E7C2" w14:textId="77777777" w:rsidR="005264D4" w:rsidRDefault="005264D4"/>
    <w:sectPr w:rsidR="005264D4" w:rsidSect="005264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168"/>
    <w:multiLevelType w:val="multilevel"/>
    <w:tmpl w:val="04FCA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38051D"/>
    <w:multiLevelType w:val="multilevel"/>
    <w:tmpl w:val="81727F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DC6E27"/>
    <w:multiLevelType w:val="multilevel"/>
    <w:tmpl w:val="269EE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B1376F"/>
    <w:multiLevelType w:val="multilevel"/>
    <w:tmpl w:val="A6442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5E1C4D"/>
    <w:multiLevelType w:val="multilevel"/>
    <w:tmpl w:val="B37C1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DCD4DBA"/>
    <w:multiLevelType w:val="multilevel"/>
    <w:tmpl w:val="4434E2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78898617">
    <w:abstractNumId w:val="0"/>
  </w:num>
  <w:num w:numId="2" w16cid:durableId="1756052798">
    <w:abstractNumId w:val="5"/>
  </w:num>
  <w:num w:numId="3" w16cid:durableId="1063718239">
    <w:abstractNumId w:val="1"/>
  </w:num>
  <w:num w:numId="4" w16cid:durableId="1555970804">
    <w:abstractNumId w:val="4"/>
  </w:num>
  <w:num w:numId="5" w16cid:durableId="41909777">
    <w:abstractNumId w:val="2"/>
  </w:num>
  <w:num w:numId="6" w16cid:durableId="47553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D4"/>
    <w:rsid w:val="005264D4"/>
    <w:rsid w:val="0065396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DDE6"/>
  <w15:chartTrackingRefBased/>
  <w15:docId w15:val="{F5AFCA2E-F82B-4793-962B-6BF8FCF4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D4"/>
    <w:pPr>
      <w:spacing w:line="259" w:lineRule="auto"/>
    </w:pPr>
    <w:rPr>
      <w:sz w:val="22"/>
      <w:szCs w:val="22"/>
    </w:rPr>
  </w:style>
  <w:style w:type="paragraph" w:styleId="Heading1">
    <w:name w:val="heading 1"/>
    <w:basedOn w:val="Normal"/>
    <w:next w:val="Normal"/>
    <w:link w:val="Heading1Char"/>
    <w:uiPriority w:val="9"/>
    <w:qFormat/>
    <w:rsid w:val="00526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4D4"/>
    <w:rPr>
      <w:rFonts w:eastAsiaTheme="majorEastAsia" w:cstheme="majorBidi"/>
      <w:color w:val="272727" w:themeColor="text1" w:themeTint="D8"/>
    </w:rPr>
  </w:style>
  <w:style w:type="paragraph" w:styleId="Title">
    <w:name w:val="Title"/>
    <w:basedOn w:val="Normal"/>
    <w:next w:val="Normal"/>
    <w:link w:val="TitleChar"/>
    <w:uiPriority w:val="10"/>
    <w:qFormat/>
    <w:rsid w:val="00526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4D4"/>
    <w:pPr>
      <w:spacing w:before="160"/>
      <w:jc w:val="center"/>
    </w:pPr>
    <w:rPr>
      <w:i/>
      <w:iCs/>
      <w:color w:val="404040" w:themeColor="text1" w:themeTint="BF"/>
    </w:rPr>
  </w:style>
  <w:style w:type="character" w:customStyle="1" w:styleId="QuoteChar">
    <w:name w:val="Quote Char"/>
    <w:basedOn w:val="DefaultParagraphFont"/>
    <w:link w:val="Quote"/>
    <w:uiPriority w:val="29"/>
    <w:rsid w:val="005264D4"/>
    <w:rPr>
      <w:i/>
      <w:iCs/>
      <w:color w:val="404040" w:themeColor="text1" w:themeTint="BF"/>
    </w:rPr>
  </w:style>
  <w:style w:type="paragraph" w:styleId="ListParagraph">
    <w:name w:val="List Paragraph"/>
    <w:basedOn w:val="Normal"/>
    <w:uiPriority w:val="34"/>
    <w:qFormat/>
    <w:rsid w:val="005264D4"/>
    <w:pPr>
      <w:ind w:left="720"/>
      <w:contextualSpacing/>
    </w:pPr>
  </w:style>
  <w:style w:type="character" w:styleId="IntenseEmphasis">
    <w:name w:val="Intense Emphasis"/>
    <w:basedOn w:val="DefaultParagraphFont"/>
    <w:uiPriority w:val="21"/>
    <w:qFormat/>
    <w:rsid w:val="005264D4"/>
    <w:rPr>
      <w:i/>
      <w:iCs/>
      <w:color w:val="0F4761" w:themeColor="accent1" w:themeShade="BF"/>
    </w:rPr>
  </w:style>
  <w:style w:type="paragraph" w:styleId="IntenseQuote">
    <w:name w:val="Intense Quote"/>
    <w:basedOn w:val="Normal"/>
    <w:next w:val="Normal"/>
    <w:link w:val="IntenseQuoteChar"/>
    <w:uiPriority w:val="30"/>
    <w:qFormat/>
    <w:rsid w:val="00526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4D4"/>
    <w:rPr>
      <w:i/>
      <w:iCs/>
      <w:color w:val="0F4761" w:themeColor="accent1" w:themeShade="BF"/>
    </w:rPr>
  </w:style>
  <w:style w:type="character" w:styleId="IntenseReference">
    <w:name w:val="Intense Reference"/>
    <w:basedOn w:val="DefaultParagraphFont"/>
    <w:uiPriority w:val="32"/>
    <w:qFormat/>
    <w:rsid w:val="005264D4"/>
    <w:rPr>
      <w:b/>
      <w:bCs/>
      <w:smallCaps/>
      <w:color w:val="0F4761" w:themeColor="accent1" w:themeShade="BF"/>
      <w:spacing w:val="5"/>
    </w:rPr>
  </w:style>
  <w:style w:type="character" w:styleId="Hyperlink">
    <w:name w:val="Hyperlink"/>
    <w:basedOn w:val="DefaultParagraphFont"/>
    <w:uiPriority w:val="99"/>
    <w:unhideWhenUsed/>
    <w:rsid w:val="005264D4"/>
    <w:rPr>
      <w:color w:val="467886" w:themeColor="hyperlink"/>
      <w:u w:val="single"/>
    </w:rPr>
  </w:style>
  <w:style w:type="table" w:styleId="TableGrid">
    <w:name w:val="Table Grid"/>
    <w:basedOn w:val="TableNormal"/>
    <w:uiPriority w:val="39"/>
    <w:rsid w:val="005264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4a9f69-en" TargetMode="External"/><Relationship Id="rId13" Type="http://schemas.openxmlformats.org/officeDocument/2006/relationships/hyperlink" Target="https://doi.org/10.2307/30036540" TargetMode="External"/><Relationship Id="rId3" Type="http://schemas.openxmlformats.org/officeDocument/2006/relationships/settings" Target="settings.xml"/><Relationship Id="rId7" Type="http://schemas.openxmlformats.org/officeDocument/2006/relationships/hyperlink" Target="https://doi.org/10.3102/00346543074001059" TargetMode="External"/><Relationship Id="rId12" Type="http://schemas.openxmlformats.org/officeDocument/2006/relationships/hyperlink" Target="https://doi.org/10.1080/00461520.2011.6113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307/249008" TargetMode="External"/><Relationship Id="rId11" Type="http://schemas.openxmlformats.org/officeDocument/2006/relationships/hyperlink" Target="https://doi.org/10.1207/s15516709cog1202_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3102/0034654307313795" TargetMode="External"/><Relationship Id="rId4" Type="http://schemas.openxmlformats.org/officeDocument/2006/relationships/webSettings" Target="webSettings.xml"/><Relationship Id="rId9" Type="http://schemas.openxmlformats.org/officeDocument/2006/relationships/hyperlink" Target="https://doi.org/10.5465/amr.2018.0072" TargetMode="External"/><Relationship Id="rId14" Type="http://schemas.openxmlformats.org/officeDocument/2006/relationships/hyperlink" Target="https://doi.org/10.1186/s41239-019-01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6670</Words>
  <Characters>38023</Characters>
  <Application>Microsoft Office Word</Application>
  <DocSecurity>0</DocSecurity>
  <Lines>316</Lines>
  <Paragraphs>89</Paragraphs>
  <ScaleCrop>false</ScaleCrop>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Mantikayan</dc:creator>
  <cp:keywords/>
  <dc:description/>
  <cp:lastModifiedBy>Jonathan Mantikayan</cp:lastModifiedBy>
  <cp:revision>1</cp:revision>
  <dcterms:created xsi:type="dcterms:W3CDTF">2026-06-30T08:17:00Z</dcterms:created>
  <dcterms:modified xsi:type="dcterms:W3CDTF">2026-06-30T08:18:00Z</dcterms:modified>
</cp:coreProperties>
</file>