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A03C10" w14:textId="77777777" w:rsidR="00227186" w:rsidRDefault="00227186" w:rsidP="00EA68C4">
      <w:pPr>
        <w:pStyle w:val="NoSpacing"/>
        <w:jc w:val="center"/>
        <w:rPr>
          <w:rFonts w:ascii="Times New Roman" w:hAnsi="Times New Roman" w:cs="Times New Roman"/>
          <w:b/>
          <w:bCs/>
          <w:sz w:val="36"/>
          <w:szCs w:val="36"/>
        </w:rPr>
      </w:pPr>
      <w:r w:rsidRPr="00227186">
        <w:rPr>
          <w:rFonts w:ascii="Times New Roman" w:hAnsi="Times New Roman" w:cs="Times New Roman"/>
          <w:b/>
          <w:bCs/>
          <w:sz w:val="36"/>
          <w:szCs w:val="36"/>
        </w:rPr>
        <w:t xml:space="preserve">Biomathematical Analysis of Machine Learning Models </w:t>
      </w:r>
    </w:p>
    <w:p w14:paraId="0210CE3A" w14:textId="7FA4C82C" w:rsidR="00EA68C4" w:rsidRDefault="00227186" w:rsidP="00EA68C4">
      <w:pPr>
        <w:pStyle w:val="NoSpacing"/>
        <w:jc w:val="center"/>
        <w:rPr>
          <w:rFonts w:ascii="Times New Roman" w:hAnsi="Times New Roman" w:cs="Times New Roman"/>
          <w:b/>
          <w:bCs/>
          <w:sz w:val="36"/>
          <w:szCs w:val="36"/>
        </w:rPr>
      </w:pPr>
      <w:r w:rsidRPr="00227186">
        <w:rPr>
          <w:rFonts w:ascii="Times New Roman" w:hAnsi="Times New Roman" w:cs="Times New Roman"/>
          <w:b/>
          <w:bCs/>
          <w:sz w:val="36"/>
          <w:szCs w:val="36"/>
        </w:rPr>
        <w:t>for Predicting TLD (Tenofovir, Lamivudine, and Dolutegravir) Treatment Response in Digital Health Systems</w:t>
      </w:r>
    </w:p>
    <w:p w14:paraId="6CB9A2A6" w14:textId="77777777" w:rsidR="00227186" w:rsidRDefault="00227186" w:rsidP="00EA68C4">
      <w:pPr>
        <w:pStyle w:val="NoSpacing"/>
        <w:jc w:val="center"/>
        <w:rPr>
          <w:rFonts w:ascii="Times New Roman" w:hAnsi="Times New Roman" w:cs="Times New Roman"/>
          <w:b/>
          <w:bCs/>
          <w:sz w:val="24"/>
          <w:szCs w:val="24"/>
        </w:rPr>
      </w:pPr>
    </w:p>
    <w:p w14:paraId="469BD247" w14:textId="027A3F6A" w:rsidR="00EA68C4" w:rsidRDefault="00EA68C4" w:rsidP="00EA68C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Jeffrey A. Lucero, RN, LPT</w:t>
      </w:r>
    </w:p>
    <w:p w14:paraId="5884FA8D" w14:textId="1B94BADD" w:rsidR="00EA68C4" w:rsidRDefault="00EA68C4" w:rsidP="00EA68C4">
      <w:pPr>
        <w:pStyle w:val="NoSpacing"/>
        <w:jc w:val="center"/>
        <w:rPr>
          <w:rFonts w:ascii="Times New Roman" w:hAnsi="Times New Roman" w:cs="Times New Roman"/>
          <w:sz w:val="24"/>
          <w:szCs w:val="24"/>
        </w:rPr>
      </w:pPr>
      <w:r w:rsidRPr="00EA68C4">
        <w:rPr>
          <w:rFonts w:ascii="Times New Roman" w:hAnsi="Times New Roman" w:cs="Times New Roman"/>
          <w:sz w:val="24"/>
          <w:szCs w:val="24"/>
        </w:rPr>
        <w:t>Saint Paul University Quezon City, Philippines</w:t>
      </w:r>
    </w:p>
    <w:p w14:paraId="7AC377EB" w14:textId="77777777" w:rsidR="00EA68C4" w:rsidRDefault="00EA68C4" w:rsidP="00EA68C4">
      <w:pPr>
        <w:pStyle w:val="NoSpacing"/>
        <w:rPr>
          <w:rFonts w:ascii="Times New Roman" w:hAnsi="Times New Roman" w:cs="Times New Roman"/>
          <w:sz w:val="24"/>
          <w:szCs w:val="24"/>
        </w:rPr>
      </w:pPr>
    </w:p>
    <w:p w14:paraId="1D979500" w14:textId="01282318" w:rsidR="00EA68C4" w:rsidRPr="00EA68C4" w:rsidRDefault="00EA68C4" w:rsidP="00EA68C4">
      <w:pPr>
        <w:pStyle w:val="NoSpacing"/>
        <w:rPr>
          <w:rFonts w:ascii="Times New Roman" w:hAnsi="Times New Roman" w:cs="Times New Roman"/>
          <w:b/>
          <w:bCs/>
          <w:sz w:val="28"/>
          <w:szCs w:val="28"/>
        </w:rPr>
      </w:pPr>
      <w:r>
        <w:rPr>
          <w:rFonts w:ascii="Times New Roman" w:hAnsi="Times New Roman" w:cs="Times New Roman"/>
          <w:b/>
          <w:bCs/>
          <w:sz w:val="28"/>
          <w:szCs w:val="28"/>
        </w:rPr>
        <w:t>ABSTRACT</w:t>
      </w:r>
    </w:p>
    <w:p w14:paraId="7BA81ED1" w14:textId="77777777" w:rsidR="00EA68C4" w:rsidRDefault="00EA68C4" w:rsidP="00EA68C4">
      <w:pPr>
        <w:pStyle w:val="NoSpacing"/>
        <w:rPr>
          <w:rFonts w:ascii="Times New Roman" w:hAnsi="Times New Roman" w:cs="Times New Roman"/>
          <w:b/>
          <w:bCs/>
          <w:sz w:val="24"/>
          <w:szCs w:val="24"/>
        </w:rPr>
      </w:pPr>
    </w:p>
    <w:p w14:paraId="344069DB" w14:textId="77777777" w:rsidR="00EA68C4" w:rsidRPr="00EA68C4" w:rsidRDefault="00EA68C4" w:rsidP="00EA68C4">
      <w:pPr>
        <w:pStyle w:val="NoSpacing"/>
        <w:jc w:val="both"/>
        <w:rPr>
          <w:rFonts w:ascii="Times New Roman" w:hAnsi="Times New Roman" w:cs="Times New Roman"/>
          <w:sz w:val="24"/>
          <w:szCs w:val="24"/>
        </w:rPr>
      </w:pPr>
      <w:r w:rsidRPr="00EA68C4">
        <w:rPr>
          <w:rFonts w:ascii="Times New Roman" w:hAnsi="Times New Roman" w:cs="Times New Roman"/>
          <w:sz w:val="24"/>
          <w:szCs w:val="24"/>
        </w:rPr>
        <w:t>The application of machine learning in digital health systems has created new opportunities for improving treatment monitoring among individuals receiving antiretroviral therapy. This study conducted a biomathematical analysis of machine learning models designed to predict treatment response to the Tenofovir–Lamivudine–Dolutegravir (TLD) regimen among people living with human immunodeficiency virus (HIV) in a selected Philippine province. A retrospective dataset obtained from a provincial digital health information system was analyzed, consisting of anonymized demographic, clinical, and laboratory data from patients undergoing TLD therapy. Predictive models including logistic regression, random forest, and gradient boosting were developed and evaluated using biomathematical modeling techniques. Model performance was assessed using accuracy, sensitivity, specificity, and area under the receiver operating characteristic curve (AUC). Results indicated that machine learning algorithms effectively predicted virologic suppression outcomes. Among the models tested, the gradient boosting algorithm achieved the highest predictive performance. The biomathematical analysis revealed nonlinear interactions among baseline viral load, adherence indicators, immune status, and treatment duration. Integrating predictive analytics into digital health platforms may enable earlier identification of patients at risk for treatment failure and support data-driven clinical decision-making. These findings highlight the potential of computational methods in strengthening HIV treatment monitoring systems in resource-limited healthcare settings.</w:t>
      </w:r>
    </w:p>
    <w:p w14:paraId="2BA4100C" w14:textId="77777777" w:rsidR="00EA68C4" w:rsidRPr="00EA68C4" w:rsidRDefault="00EA68C4" w:rsidP="00EA68C4">
      <w:pPr>
        <w:pStyle w:val="NoSpacing"/>
        <w:rPr>
          <w:rFonts w:ascii="Times New Roman" w:hAnsi="Times New Roman" w:cs="Times New Roman"/>
          <w:sz w:val="24"/>
          <w:szCs w:val="24"/>
        </w:rPr>
      </w:pPr>
    </w:p>
    <w:p w14:paraId="2629D38C" w14:textId="77777777" w:rsidR="00EA68C4" w:rsidRDefault="00EA68C4" w:rsidP="00EA68C4">
      <w:pPr>
        <w:pStyle w:val="NoSpacing"/>
        <w:rPr>
          <w:rFonts w:ascii="Times New Roman" w:hAnsi="Times New Roman" w:cs="Times New Roman"/>
          <w:sz w:val="24"/>
          <w:szCs w:val="24"/>
        </w:rPr>
      </w:pPr>
      <w:r w:rsidRPr="00EA68C4">
        <w:rPr>
          <w:rFonts w:ascii="Times New Roman" w:hAnsi="Times New Roman" w:cs="Times New Roman"/>
          <w:b/>
          <w:bCs/>
          <w:sz w:val="24"/>
          <w:szCs w:val="24"/>
        </w:rPr>
        <w:t>Keywords:</w:t>
      </w:r>
      <w:r w:rsidRPr="00EA68C4">
        <w:rPr>
          <w:rFonts w:ascii="Times New Roman" w:hAnsi="Times New Roman" w:cs="Times New Roman"/>
          <w:sz w:val="24"/>
          <w:szCs w:val="24"/>
        </w:rPr>
        <w:t xml:space="preserve"> machine learning, biomathematical modeling, digital health systems, HIV treatment response, antiretroviral therapy</w:t>
      </w:r>
    </w:p>
    <w:p w14:paraId="4BA29E12" w14:textId="77777777" w:rsidR="004E3DDA" w:rsidRDefault="004E3DDA" w:rsidP="00EA68C4">
      <w:pPr>
        <w:pStyle w:val="NoSpacing"/>
        <w:rPr>
          <w:rFonts w:ascii="Times New Roman" w:hAnsi="Times New Roman" w:cs="Times New Roman"/>
          <w:sz w:val="24"/>
          <w:szCs w:val="24"/>
        </w:rPr>
      </w:pPr>
    </w:p>
    <w:p w14:paraId="6B614599" w14:textId="77777777" w:rsidR="00EA68C4" w:rsidRDefault="00EA68C4" w:rsidP="00EA68C4">
      <w:pPr>
        <w:pStyle w:val="NoSpacing"/>
        <w:rPr>
          <w:rFonts w:ascii="Times New Roman" w:hAnsi="Times New Roman" w:cs="Times New Roman"/>
          <w:sz w:val="24"/>
          <w:szCs w:val="24"/>
        </w:rPr>
      </w:pPr>
    </w:p>
    <w:p w14:paraId="66D8B536" w14:textId="5638FF59" w:rsidR="00EA68C4" w:rsidRPr="00EA68C4" w:rsidRDefault="00EA68C4" w:rsidP="00EA68C4">
      <w:pPr>
        <w:pStyle w:val="NoSpacing"/>
        <w:rPr>
          <w:rFonts w:ascii="Times New Roman" w:hAnsi="Times New Roman" w:cs="Times New Roman"/>
          <w:b/>
          <w:bCs/>
          <w:sz w:val="28"/>
          <w:szCs w:val="28"/>
        </w:rPr>
      </w:pPr>
      <w:r w:rsidRPr="00EA68C4">
        <w:rPr>
          <w:rFonts w:ascii="Times New Roman" w:hAnsi="Times New Roman" w:cs="Times New Roman"/>
          <w:b/>
          <w:bCs/>
          <w:sz w:val="28"/>
          <w:szCs w:val="28"/>
        </w:rPr>
        <w:t>INTRODUCTION</w:t>
      </w:r>
    </w:p>
    <w:p w14:paraId="60831C17" w14:textId="77777777" w:rsidR="00EA68C4" w:rsidRDefault="00EA68C4" w:rsidP="00EA68C4">
      <w:pPr>
        <w:pStyle w:val="NoSpacing"/>
        <w:rPr>
          <w:rFonts w:ascii="Times New Roman" w:hAnsi="Times New Roman" w:cs="Times New Roman"/>
          <w:b/>
          <w:bCs/>
          <w:sz w:val="24"/>
          <w:szCs w:val="24"/>
        </w:rPr>
      </w:pPr>
    </w:p>
    <w:p w14:paraId="51D5E88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Human immunodeficiency virus (HIV) infection remains a major global public health challenge despite significant advances in treatment and prevention strategies over the past three decades. According to UNAIDS, approximately 39 million individuals worldwide were living with HIV in 2023, with the majority receiving antiretroviral therapy (ART) as part of comprehensive HIV care programs. The widespread availability of ART has transformed HIV infection from a fatal disease into a manageable chronic condition for many individuals. Sustained viral suppression achieved through effective treatment significantly reduces HIV-related morbidity and mortality while preventing onward transmission of the virus (UNAIDS, 2024). For this reason, international health agencies continue to emphasize the importance of timely diagnosis, rapid initiation of treatment, and consistent monitoring of treatment outcomes.</w:t>
      </w:r>
    </w:p>
    <w:p w14:paraId="2971EA73" w14:textId="77777777" w:rsidR="002546B5" w:rsidRPr="002546B5" w:rsidRDefault="002546B5" w:rsidP="002546B5">
      <w:pPr>
        <w:pStyle w:val="NoSpacing"/>
        <w:jc w:val="both"/>
        <w:rPr>
          <w:rFonts w:ascii="Times New Roman" w:hAnsi="Times New Roman" w:cs="Times New Roman"/>
          <w:sz w:val="24"/>
          <w:szCs w:val="24"/>
        </w:rPr>
      </w:pPr>
    </w:p>
    <w:p w14:paraId="16454EB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Global HIV treatment guidelines from the World Health Organization recommend the use of highly effective combination antiretroviral regimens to achieve durable viral suppression. In recent years, the fixed-dose combination consisting of Tenofovir, Lamivudine, and Dolutegravir (TLD) has become the preferred first-line treatment in many national HIV programs. This regimen has demonstrated high antiviral efficacy, improved tolerability, and a higher genetic barrier to resistance compared with earlier treatment combinations (World Health Organization, 2023). Clinical trials and programmatic evaluations have consistently reported high rates of virologic suppression among patients receiving TLD therapy, making it a critical component of modern HIV treatment strategies.</w:t>
      </w:r>
    </w:p>
    <w:p w14:paraId="235ABCFE" w14:textId="77777777" w:rsidR="002546B5" w:rsidRPr="002546B5" w:rsidRDefault="002546B5" w:rsidP="002546B5">
      <w:pPr>
        <w:pStyle w:val="NoSpacing"/>
        <w:jc w:val="both"/>
        <w:rPr>
          <w:rFonts w:ascii="Times New Roman" w:hAnsi="Times New Roman" w:cs="Times New Roman"/>
          <w:sz w:val="24"/>
          <w:szCs w:val="24"/>
        </w:rPr>
      </w:pPr>
    </w:p>
    <w:p w14:paraId="7BE8AE1F"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lastRenderedPageBreak/>
        <w:t>Despite the overall effectiveness of TLD-based therapy, variability in treatment response continues to be observed across patient populations. Some individuals experience delayed viral suppression or treatment failure despite receiving appropriate therapy. Multiple factors may contribute to this variability, including baseline viral load, immune status, medication adherence, treatment duration, and the presence of coexisting health conditions. Understanding these factors and their interactions is essential for improving patient outcomes and ensuring the long-term success of HIV treatment programs.</w:t>
      </w:r>
    </w:p>
    <w:p w14:paraId="088A8AF1" w14:textId="77777777" w:rsidR="002546B5" w:rsidRPr="002546B5" w:rsidRDefault="002546B5" w:rsidP="002546B5">
      <w:pPr>
        <w:pStyle w:val="NoSpacing"/>
        <w:jc w:val="both"/>
        <w:rPr>
          <w:rFonts w:ascii="Times New Roman" w:hAnsi="Times New Roman" w:cs="Times New Roman"/>
          <w:sz w:val="24"/>
          <w:szCs w:val="24"/>
        </w:rPr>
      </w:pPr>
    </w:p>
    <w:p w14:paraId="286CC297"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Monitoring treatment response typically relies on laboratory indicators such as viral load and CD4 cell count measurements. While these indicators provide important clinical information, they are often evaluated individually and may not capture the complex relationships among multiple patient variables. Traditional statistical methods used in clinical research, such as logistic regression, typically assume linear relationships among predictors and outcomes. However, biological systems such as HIV infection involve complex nonlinear interactions that may not be adequately represented by conventional statistical approaches.</w:t>
      </w:r>
    </w:p>
    <w:p w14:paraId="6F71E0E9"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Advances in digital health technologies have created new opportunities for analyzing complex healthcare data and improving treatment monitoring. Electronic health records, laboratory databases, and digital surveillance systems are now widely used in many healthcare settings to collect and store patient information. These digital health platforms generate large volumes of structured and unstructured data that can be analyzed using computational techniques to identify patterns and trends in patient outcomes (Shaban-Nejad et al., 2021). The increasing availability of digital health data has therefore facilitated the application of machine learning methods in healthcare research.</w:t>
      </w:r>
    </w:p>
    <w:p w14:paraId="2FE50948" w14:textId="77777777" w:rsidR="002546B5" w:rsidRPr="002546B5" w:rsidRDefault="002546B5" w:rsidP="002546B5">
      <w:pPr>
        <w:pStyle w:val="NoSpacing"/>
        <w:jc w:val="both"/>
        <w:rPr>
          <w:rFonts w:ascii="Times New Roman" w:hAnsi="Times New Roman" w:cs="Times New Roman"/>
          <w:sz w:val="24"/>
          <w:szCs w:val="24"/>
        </w:rPr>
      </w:pPr>
    </w:p>
    <w:p w14:paraId="7ECE4479"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Machine learning refers to a set of computational algorithms that enable systems to learn patterns from data and make predictions without being explicitly programmed. Unlike traditional statistical models, machine learning algorithms can identify complex nonlinear relationships among multiple variables and adapt to high-dimensional datasets. These characteristics make machine learning particularly suitable for analyzing biomedical and clinical data where interactions among variables may be difficult to model using conventional techniques (</w:t>
      </w:r>
      <w:proofErr w:type="spellStart"/>
      <w:r w:rsidRPr="002546B5">
        <w:rPr>
          <w:rFonts w:ascii="Times New Roman" w:hAnsi="Times New Roman" w:cs="Times New Roman"/>
          <w:sz w:val="24"/>
          <w:szCs w:val="24"/>
        </w:rPr>
        <w:t>Rajkomar</w:t>
      </w:r>
      <w:proofErr w:type="spellEnd"/>
      <w:r w:rsidRPr="002546B5">
        <w:rPr>
          <w:rFonts w:ascii="Times New Roman" w:hAnsi="Times New Roman" w:cs="Times New Roman"/>
          <w:sz w:val="24"/>
          <w:szCs w:val="24"/>
        </w:rPr>
        <w:t xml:space="preserve"> et al., 2022).</w:t>
      </w:r>
    </w:p>
    <w:p w14:paraId="5D381E88" w14:textId="77777777" w:rsidR="002546B5" w:rsidRPr="002546B5" w:rsidRDefault="002546B5" w:rsidP="002546B5">
      <w:pPr>
        <w:pStyle w:val="NoSpacing"/>
        <w:jc w:val="both"/>
        <w:rPr>
          <w:rFonts w:ascii="Times New Roman" w:hAnsi="Times New Roman" w:cs="Times New Roman"/>
          <w:sz w:val="24"/>
          <w:szCs w:val="24"/>
        </w:rPr>
      </w:pPr>
    </w:p>
    <w:p w14:paraId="4A25E3A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recent years, machine learning has been applied to various healthcare problems, including disease diagnosis, clinical risk prediction, and treatment response modeling. For example, predictive algorithms have been developed to identify patients at risk of hospital readmission, detect early signs of disease progression, and forecast treatment outcomes based on clinical and demographic characteristics. In the field of HIV research, machine learning has been used to predict patient adherence to antiretroviral therapy, identify individuals at risk of treatment failure, and model viral load dynamics over time (Topol, 2023). These applications demonstrate the potential of machine learning to enhance clinical decision-making and improve patient care.</w:t>
      </w:r>
    </w:p>
    <w:p w14:paraId="6AC095BD" w14:textId="77777777" w:rsidR="002546B5" w:rsidRPr="002546B5" w:rsidRDefault="002546B5" w:rsidP="002546B5">
      <w:pPr>
        <w:pStyle w:val="NoSpacing"/>
        <w:jc w:val="both"/>
        <w:rPr>
          <w:rFonts w:ascii="Times New Roman" w:hAnsi="Times New Roman" w:cs="Times New Roman"/>
          <w:sz w:val="24"/>
          <w:szCs w:val="24"/>
        </w:rPr>
      </w:pPr>
    </w:p>
    <w:p w14:paraId="2A9B1D5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Another analytical approach that complements machine learning is biomathematical modeling. Biomathematical models provide a quantitative framework for representing biological systems and understanding how different variables interact to produce observed outcomes. Through mathematical equations and computational simulations, biomathematical modeling allows researchers to explore complex biological processes such as disease progression, immune response, and treatment effects. When integrated with machine learning algorithms, biomathematical models can provide additional interpretability and theoretical grounding for predictive models (Beam &amp; </w:t>
      </w:r>
      <w:proofErr w:type="spellStart"/>
      <w:r w:rsidRPr="002546B5">
        <w:rPr>
          <w:rFonts w:ascii="Times New Roman" w:hAnsi="Times New Roman" w:cs="Times New Roman"/>
          <w:sz w:val="24"/>
          <w:szCs w:val="24"/>
        </w:rPr>
        <w:t>Kohane</w:t>
      </w:r>
      <w:proofErr w:type="spellEnd"/>
      <w:r w:rsidRPr="002546B5">
        <w:rPr>
          <w:rFonts w:ascii="Times New Roman" w:hAnsi="Times New Roman" w:cs="Times New Roman"/>
          <w:sz w:val="24"/>
          <w:szCs w:val="24"/>
        </w:rPr>
        <w:t>, 2022).</w:t>
      </w:r>
    </w:p>
    <w:p w14:paraId="42D276A4" w14:textId="77777777" w:rsidR="002546B5" w:rsidRPr="002546B5" w:rsidRDefault="002546B5" w:rsidP="002546B5">
      <w:pPr>
        <w:pStyle w:val="NoSpacing"/>
        <w:jc w:val="both"/>
        <w:rPr>
          <w:rFonts w:ascii="Times New Roman" w:hAnsi="Times New Roman" w:cs="Times New Roman"/>
          <w:sz w:val="24"/>
          <w:szCs w:val="24"/>
        </w:rPr>
      </w:pPr>
    </w:p>
    <w:p w14:paraId="1BC24C4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integration of machine learning and biomathematical modeling has shown considerable promise in the field of biomedical informatics. By combining data-driven predictive algorithms with mathematically grounded representations of biological processes, researchers can develop more accurate and interpretable models of disease outcomes. These integrated approaches may be particularly useful for analyzing large clinical datasets generated by digital health systems.</w:t>
      </w:r>
    </w:p>
    <w:p w14:paraId="6A06451B" w14:textId="77777777" w:rsidR="002546B5" w:rsidRPr="002546B5" w:rsidRDefault="002546B5" w:rsidP="002546B5">
      <w:pPr>
        <w:pStyle w:val="NoSpacing"/>
        <w:jc w:val="both"/>
        <w:rPr>
          <w:rFonts w:ascii="Times New Roman" w:hAnsi="Times New Roman" w:cs="Times New Roman"/>
          <w:sz w:val="24"/>
          <w:szCs w:val="24"/>
        </w:rPr>
      </w:pPr>
    </w:p>
    <w:p w14:paraId="52FACCBA" w14:textId="7A8CDA5A"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In the Philippines, the HIV epidemic has been identified as one of the fastest-growing in the Asia-Pacific region. National surveillance data reported by the Department of Health indicate a steady increase in newly diagnosed HIV cases over the past decade. This trend has placed increasing pressure on healthcare systems to expand treatment services and strengthen monitoring of treatment outcomes. The national HIV program has therefore </w:t>
      </w:r>
      <w:r w:rsidRPr="002546B5">
        <w:rPr>
          <w:rFonts w:ascii="Times New Roman" w:hAnsi="Times New Roman" w:cs="Times New Roman"/>
          <w:sz w:val="24"/>
          <w:szCs w:val="24"/>
        </w:rPr>
        <w:lastRenderedPageBreak/>
        <w:t>prioritized the implementation of effective antiretroviral therapy regimens, including the TLD combination, to improve patient outcomes and reduce HIV transmission.</w:t>
      </w:r>
    </w:p>
    <w:p w14:paraId="406663CB"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As digital health systems continue to expand within the Philippine healthcare sector, increasing amounts of patient data are becoming available for analysis. Electronic treatment registries and laboratory reporting systems provide valuable information on patient demographics, clinical indicators, and treatment outcomes. However, these data resources remain underutilized for predictive analytics and advanced computational modeling. Applying machine learning methods to these datasets may help identify patterns associated with treatment success or failure and support more targeted interventions in HIV care.</w:t>
      </w:r>
    </w:p>
    <w:p w14:paraId="3C74EE19" w14:textId="77777777" w:rsidR="002546B5" w:rsidRPr="002546B5" w:rsidRDefault="002546B5" w:rsidP="002546B5">
      <w:pPr>
        <w:pStyle w:val="NoSpacing"/>
        <w:jc w:val="both"/>
        <w:rPr>
          <w:rFonts w:ascii="Times New Roman" w:hAnsi="Times New Roman" w:cs="Times New Roman"/>
          <w:sz w:val="24"/>
          <w:szCs w:val="24"/>
        </w:rPr>
      </w:pPr>
    </w:p>
    <w:p w14:paraId="330F377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Despite the growing interest in artificial intelligence and machine learning in healthcare, relatively few studies have explored their application in predicting antiretroviral treatment outcomes within the Philippine context. Most existing research on machine learning applications in HIV care has been conducted in high-income countries with different healthcare infrastructures and patient populations. As a result, there is limited evidence on how predictive algorithms perform when applied to locally generated clinical data from resource-constrained health systems.</w:t>
      </w:r>
    </w:p>
    <w:p w14:paraId="46434EC6" w14:textId="77777777" w:rsidR="002546B5" w:rsidRPr="002546B5" w:rsidRDefault="002546B5" w:rsidP="002546B5">
      <w:pPr>
        <w:pStyle w:val="NoSpacing"/>
        <w:jc w:val="both"/>
        <w:rPr>
          <w:rFonts w:ascii="Times New Roman" w:hAnsi="Times New Roman" w:cs="Times New Roman"/>
          <w:sz w:val="24"/>
          <w:szCs w:val="24"/>
        </w:rPr>
      </w:pPr>
    </w:p>
    <w:p w14:paraId="69D0A0F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Furthermore, previous studies focusing on HIV treatment prediction have often relied on purely statistical or purely machine learning approaches without integrating biomathematical modeling frameworks. Combining machine learning techniques with biomathematical analysis may provide deeper insights into the interactions among patient characteristics that influence treatment response.</w:t>
      </w:r>
    </w:p>
    <w:p w14:paraId="57E29990" w14:textId="77777777" w:rsidR="002546B5" w:rsidRPr="002546B5" w:rsidRDefault="002546B5" w:rsidP="002546B5">
      <w:pPr>
        <w:pStyle w:val="NoSpacing"/>
        <w:jc w:val="both"/>
        <w:rPr>
          <w:rFonts w:ascii="Times New Roman" w:hAnsi="Times New Roman" w:cs="Times New Roman"/>
          <w:sz w:val="24"/>
          <w:szCs w:val="24"/>
        </w:rPr>
      </w:pPr>
    </w:p>
    <w:p w14:paraId="03BBBC1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Addressing these gaps in the literature is important for improving the use of digital health data in HIV treatment monitoring. Developing predictive models based on locally generated datasets may enable healthcare providers to identify patients who are at risk of treatment failure earlier in the treatment process. Early identification of high-risk patients can facilitate timely clinical interventions, such as adherence counseling, regimen modification, or intensified monitoring.</w:t>
      </w:r>
    </w:p>
    <w:p w14:paraId="086E2253" w14:textId="77777777" w:rsidR="002546B5" w:rsidRPr="002546B5" w:rsidRDefault="002546B5" w:rsidP="002546B5">
      <w:pPr>
        <w:pStyle w:val="NoSpacing"/>
        <w:jc w:val="both"/>
        <w:rPr>
          <w:rFonts w:ascii="Times New Roman" w:hAnsi="Times New Roman" w:cs="Times New Roman"/>
          <w:sz w:val="24"/>
          <w:szCs w:val="24"/>
        </w:rPr>
      </w:pPr>
    </w:p>
    <w:p w14:paraId="542B4CB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Therefore, this study aimed to conduct a biomathematical analysis of machine learning models for predicting treatment response to the Tenofovir–Lamivudine–Dolutegravir regimen using data obtained from a digital health system in a selected Philippine province.</w:t>
      </w:r>
    </w:p>
    <w:p w14:paraId="77F4B336" w14:textId="77777777" w:rsidR="002546B5" w:rsidRPr="002546B5" w:rsidRDefault="002546B5" w:rsidP="002546B5">
      <w:pPr>
        <w:pStyle w:val="NoSpacing"/>
        <w:jc w:val="both"/>
        <w:rPr>
          <w:rFonts w:ascii="Times New Roman" w:hAnsi="Times New Roman" w:cs="Times New Roman"/>
          <w:sz w:val="24"/>
          <w:szCs w:val="24"/>
        </w:rPr>
      </w:pPr>
    </w:p>
    <w:p w14:paraId="1C2BEA12"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Specifically, the study sought to:</w:t>
      </w:r>
    </w:p>
    <w:p w14:paraId="5BBF6E3C"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Describe the demographic and clinical characteristics of patients receiving TLD therapy in the selected province.</w:t>
      </w:r>
    </w:p>
    <w:p w14:paraId="59F4C864"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Develop predictive models using machine learning algorithms to classify treatment response outcomes.</w:t>
      </w:r>
    </w:p>
    <w:p w14:paraId="1EB880F1"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Compare the predictive performance of logistic regression, random forest, and gradient boosting models.</w:t>
      </w:r>
    </w:p>
    <w:p w14:paraId="27376482" w14:textId="77777777" w:rsidR="002546B5" w:rsidRP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Identify key clinical variables associated with treatment response through feature importance analysis.</w:t>
      </w:r>
    </w:p>
    <w:p w14:paraId="1317A998" w14:textId="77777777" w:rsidR="002546B5" w:rsidRDefault="002546B5" w:rsidP="002546B5">
      <w:pPr>
        <w:pStyle w:val="NoSpacing"/>
        <w:numPr>
          <w:ilvl w:val="0"/>
          <w:numId w:val="1"/>
        </w:numPr>
        <w:jc w:val="both"/>
        <w:rPr>
          <w:rFonts w:ascii="Times New Roman" w:hAnsi="Times New Roman" w:cs="Times New Roman"/>
          <w:sz w:val="24"/>
          <w:szCs w:val="24"/>
        </w:rPr>
      </w:pPr>
      <w:r w:rsidRPr="002546B5">
        <w:rPr>
          <w:rFonts w:ascii="Times New Roman" w:hAnsi="Times New Roman" w:cs="Times New Roman"/>
          <w:sz w:val="24"/>
          <w:szCs w:val="24"/>
        </w:rPr>
        <w:t>Examine the implications of integrating machine learning models into digital health systems for improving HIV treatment monitoring.</w:t>
      </w:r>
    </w:p>
    <w:p w14:paraId="7759321A" w14:textId="77777777" w:rsidR="002546B5" w:rsidRPr="002546B5" w:rsidRDefault="002546B5" w:rsidP="002546B5">
      <w:pPr>
        <w:pStyle w:val="NoSpacing"/>
        <w:ind w:left="720"/>
        <w:jc w:val="both"/>
        <w:rPr>
          <w:rFonts w:ascii="Times New Roman" w:hAnsi="Times New Roman" w:cs="Times New Roman"/>
          <w:sz w:val="24"/>
          <w:szCs w:val="24"/>
        </w:rPr>
      </w:pPr>
    </w:p>
    <w:p w14:paraId="0DD1E1F2"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By addressing these objectives, the study aims to contribute to the growing body of research on digital health analytics and provide evidence supporting the use of predictive modeling in HIV care programs.</w:t>
      </w:r>
    </w:p>
    <w:p w14:paraId="3D7096A4" w14:textId="77777777" w:rsidR="004E3DDA" w:rsidRPr="002546B5" w:rsidRDefault="004E3DDA" w:rsidP="002546B5">
      <w:pPr>
        <w:pStyle w:val="NoSpacing"/>
        <w:jc w:val="both"/>
        <w:rPr>
          <w:rFonts w:ascii="Times New Roman" w:hAnsi="Times New Roman" w:cs="Times New Roman"/>
          <w:sz w:val="24"/>
          <w:szCs w:val="24"/>
        </w:rPr>
      </w:pPr>
    </w:p>
    <w:p w14:paraId="04295541" w14:textId="77777777" w:rsidR="00EA68C4" w:rsidRDefault="00EA68C4" w:rsidP="00EA68C4">
      <w:pPr>
        <w:pStyle w:val="NoSpacing"/>
        <w:rPr>
          <w:rFonts w:ascii="Times New Roman" w:hAnsi="Times New Roman" w:cs="Times New Roman"/>
          <w:b/>
          <w:bCs/>
          <w:sz w:val="24"/>
          <w:szCs w:val="24"/>
        </w:rPr>
      </w:pPr>
    </w:p>
    <w:p w14:paraId="08FE7219" w14:textId="14E10637" w:rsidR="002546B5" w:rsidRPr="00370A84" w:rsidRDefault="002546B5" w:rsidP="002546B5">
      <w:pPr>
        <w:pStyle w:val="NoSpacing"/>
        <w:rPr>
          <w:rFonts w:ascii="Times New Roman" w:hAnsi="Times New Roman" w:cs="Times New Roman"/>
          <w:b/>
          <w:bCs/>
          <w:sz w:val="28"/>
          <w:szCs w:val="28"/>
        </w:rPr>
      </w:pPr>
      <w:r w:rsidRPr="00370A84">
        <w:rPr>
          <w:rFonts w:ascii="Times New Roman" w:hAnsi="Times New Roman" w:cs="Times New Roman"/>
          <w:b/>
          <w:bCs/>
          <w:sz w:val="28"/>
          <w:szCs w:val="28"/>
        </w:rPr>
        <w:t>METHODS</w:t>
      </w:r>
    </w:p>
    <w:p w14:paraId="0CF4E4AE" w14:textId="77777777" w:rsidR="002546B5" w:rsidRPr="002546B5" w:rsidRDefault="002546B5" w:rsidP="002546B5">
      <w:pPr>
        <w:pStyle w:val="NoSpacing"/>
        <w:rPr>
          <w:rFonts w:ascii="Times New Roman" w:hAnsi="Times New Roman" w:cs="Times New Roman"/>
          <w:b/>
          <w:bCs/>
          <w:sz w:val="24"/>
          <w:szCs w:val="24"/>
        </w:rPr>
      </w:pPr>
    </w:p>
    <w:p w14:paraId="246BDF55"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Research Design</w:t>
      </w:r>
    </w:p>
    <w:p w14:paraId="4F7E1520" w14:textId="77777777" w:rsidR="002546B5" w:rsidRPr="002546B5" w:rsidRDefault="002546B5" w:rsidP="002546B5">
      <w:pPr>
        <w:pStyle w:val="NoSpacing"/>
        <w:rPr>
          <w:rFonts w:ascii="Times New Roman" w:hAnsi="Times New Roman" w:cs="Times New Roman"/>
          <w:b/>
          <w:bCs/>
          <w:sz w:val="24"/>
          <w:szCs w:val="24"/>
        </w:rPr>
      </w:pPr>
    </w:p>
    <w:p w14:paraId="596386D6"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This study employed a retrospective analytical research design to evaluate predictive models for treatment response among patients receiving the Tenofovir–Lamivudine–Dolutegravir (TLD) regimen. The approach integrated machine learning algorithms with biomathematical modeling to analyze complex interactions among demographic, clinical, and laboratory variables. By combining data-driven predictive modeling with mathematical representation of biological processes, the study aimed to assess how patient characteristics </w:t>
      </w:r>
      <w:r w:rsidRPr="002546B5">
        <w:rPr>
          <w:rFonts w:ascii="Times New Roman" w:hAnsi="Times New Roman" w:cs="Times New Roman"/>
          <w:sz w:val="24"/>
          <w:szCs w:val="24"/>
        </w:rPr>
        <w:lastRenderedPageBreak/>
        <w:t>influence treatment outcomes and to compare the predictive performance of multiple machine learning approaches.</w:t>
      </w:r>
    </w:p>
    <w:p w14:paraId="13B2AF77" w14:textId="77777777" w:rsidR="002546B5" w:rsidRPr="002546B5" w:rsidRDefault="002546B5" w:rsidP="002546B5">
      <w:pPr>
        <w:pStyle w:val="NoSpacing"/>
        <w:jc w:val="both"/>
        <w:rPr>
          <w:rFonts w:ascii="Times New Roman" w:hAnsi="Times New Roman" w:cs="Times New Roman"/>
          <w:sz w:val="24"/>
          <w:szCs w:val="24"/>
        </w:rPr>
      </w:pPr>
    </w:p>
    <w:p w14:paraId="5A389A1B"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Study Setting and Data Source</w:t>
      </w:r>
    </w:p>
    <w:p w14:paraId="089CD1F0" w14:textId="77777777" w:rsidR="002546B5" w:rsidRPr="002546B5" w:rsidRDefault="002546B5" w:rsidP="002546B5">
      <w:pPr>
        <w:pStyle w:val="NoSpacing"/>
        <w:rPr>
          <w:rFonts w:ascii="Times New Roman" w:hAnsi="Times New Roman" w:cs="Times New Roman"/>
          <w:b/>
          <w:bCs/>
          <w:sz w:val="24"/>
          <w:szCs w:val="24"/>
        </w:rPr>
      </w:pPr>
    </w:p>
    <w:p w14:paraId="487CD9E5"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Data were obtained from a provincial digital health information system that monitors HIV treatment outcomes across treatment hubs and affiliated healthcare facilities. This system contains comprehensive records, including patient demographics, laboratory results, treatment adherence indicators, and clinical histories. Data used in this study were fully anonymized to ensure patient confidentiality and were extracted following ethical approval and institutional guidelines.</w:t>
      </w:r>
    </w:p>
    <w:p w14:paraId="2E603C37" w14:textId="77777777" w:rsidR="002546B5" w:rsidRPr="002546B5" w:rsidRDefault="002546B5" w:rsidP="002546B5">
      <w:pPr>
        <w:pStyle w:val="NoSpacing"/>
        <w:jc w:val="both"/>
        <w:rPr>
          <w:rFonts w:ascii="Times New Roman" w:hAnsi="Times New Roman" w:cs="Times New Roman"/>
          <w:sz w:val="24"/>
          <w:szCs w:val="24"/>
        </w:rPr>
      </w:pPr>
    </w:p>
    <w:p w14:paraId="78C00918" w14:textId="04A8CC89"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 xml:space="preserve">Study Population and Sample </w:t>
      </w:r>
    </w:p>
    <w:p w14:paraId="5E31B306" w14:textId="77777777" w:rsidR="002546B5" w:rsidRPr="002546B5" w:rsidRDefault="002546B5" w:rsidP="002546B5">
      <w:pPr>
        <w:pStyle w:val="NoSpacing"/>
        <w:rPr>
          <w:rFonts w:ascii="Times New Roman" w:hAnsi="Times New Roman" w:cs="Times New Roman"/>
          <w:b/>
          <w:bCs/>
          <w:sz w:val="24"/>
          <w:szCs w:val="24"/>
        </w:rPr>
      </w:pPr>
    </w:p>
    <w:p w14:paraId="7A29D4ED"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study population comprised adult patients diagnosed with HIV who initiated TLD therapy between 2020 and 2024. Inclusion criteria required patients to have complete demographic and clinical records, initiation of TLD therapy, and at least one follow-up viral load measurement after treatment initiation. Records with missing laboratory data, incomplete treatment histories, or inconsistent demographic information were excluded.</w:t>
      </w:r>
    </w:p>
    <w:p w14:paraId="3170262C" w14:textId="77777777" w:rsidR="002546B5" w:rsidRPr="002546B5" w:rsidRDefault="002546B5" w:rsidP="002546B5">
      <w:pPr>
        <w:pStyle w:val="NoSpacing"/>
        <w:jc w:val="both"/>
        <w:rPr>
          <w:rFonts w:ascii="Times New Roman" w:hAnsi="Times New Roman" w:cs="Times New Roman"/>
          <w:sz w:val="24"/>
          <w:szCs w:val="24"/>
        </w:rPr>
      </w:pPr>
    </w:p>
    <w:p w14:paraId="31DA8800" w14:textId="0BBE4C6E"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To determine the appropriate sample size for model development, a power analysis was conducted based on the primary outcome of virologic suppression. Assuming a baseline suppression rate of 80</w:t>
      </w:r>
      <w:r>
        <w:rPr>
          <w:rFonts w:ascii="Times New Roman" w:hAnsi="Times New Roman" w:cs="Times New Roman"/>
          <w:sz w:val="24"/>
          <w:szCs w:val="24"/>
        </w:rPr>
        <w:t xml:space="preserve"> percent</w:t>
      </w:r>
      <w:r w:rsidRPr="002546B5">
        <w:rPr>
          <w:rFonts w:ascii="Times New Roman" w:hAnsi="Times New Roman" w:cs="Times New Roman"/>
          <w:sz w:val="24"/>
          <w:szCs w:val="24"/>
        </w:rPr>
        <w:t xml:space="preserve"> among patients receiving TLD therapy (Department of Health, Philippines, 2023), a minimum sample size of 800 was calculated to achieve 8</w:t>
      </w:r>
      <w:r>
        <w:rPr>
          <w:rFonts w:ascii="Times New Roman" w:hAnsi="Times New Roman" w:cs="Times New Roman"/>
          <w:sz w:val="24"/>
          <w:szCs w:val="24"/>
        </w:rPr>
        <w:t>0 percent</w:t>
      </w:r>
      <w:r w:rsidRPr="002546B5">
        <w:rPr>
          <w:rFonts w:ascii="Times New Roman" w:hAnsi="Times New Roman" w:cs="Times New Roman"/>
          <w:sz w:val="24"/>
          <w:szCs w:val="24"/>
        </w:rPr>
        <w:t xml:space="preserve"> power at a </w:t>
      </w:r>
      <w:r>
        <w:rPr>
          <w:rFonts w:ascii="Times New Roman" w:hAnsi="Times New Roman" w:cs="Times New Roman"/>
          <w:sz w:val="24"/>
          <w:szCs w:val="24"/>
        </w:rPr>
        <w:t>five percent</w:t>
      </w:r>
      <w:r w:rsidRPr="002546B5">
        <w:rPr>
          <w:rFonts w:ascii="Times New Roman" w:hAnsi="Times New Roman" w:cs="Times New Roman"/>
          <w:sz w:val="24"/>
          <w:szCs w:val="24"/>
        </w:rPr>
        <w:t xml:space="preserve"> significance level to detect a difference of 10</w:t>
      </w:r>
      <w:r>
        <w:rPr>
          <w:rFonts w:ascii="Times New Roman" w:hAnsi="Times New Roman" w:cs="Times New Roman"/>
          <w:sz w:val="24"/>
          <w:szCs w:val="24"/>
        </w:rPr>
        <w:t xml:space="preserve"> percent</w:t>
      </w:r>
      <w:r w:rsidRPr="002546B5">
        <w:rPr>
          <w:rFonts w:ascii="Times New Roman" w:hAnsi="Times New Roman" w:cs="Times New Roman"/>
          <w:sz w:val="24"/>
          <w:szCs w:val="24"/>
        </w:rPr>
        <w:t xml:space="preserve"> in predictive accuracy between machine learning models. The final analytic dataset consisted of 842 patients, exceeding the minimum required sample size and ensuring sufficient statistical power for model training, validation, and comparison.</w:t>
      </w:r>
    </w:p>
    <w:p w14:paraId="34EF5115" w14:textId="77777777" w:rsidR="002546B5" w:rsidRPr="002546B5" w:rsidRDefault="002546B5" w:rsidP="002546B5">
      <w:pPr>
        <w:pStyle w:val="NoSpacing"/>
        <w:rPr>
          <w:rFonts w:ascii="Times New Roman" w:hAnsi="Times New Roman" w:cs="Times New Roman"/>
          <w:sz w:val="24"/>
          <w:szCs w:val="24"/>
        </w:rPr>
      </w:pPr>
    </w:p>
    <w:p w14:paraId="27A0443D"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Variables and Measures</w:t>
      </w:r>
    </w:p>
    <w:p w14:paraId="7E22C1C3" w14:textId="77777777" w:rsidR="002546B5" w:rsidRPr="002546B5" w:rsidRDefault="002546B5" w:rsidP="002546B5">
      <w:pPr>
        <w:pStyle w:val="NoSpacing"/>
        <w:rPr>
          <w:rFonts w:ascii="Times New Roman" w:hAnsi="Times New Roman" w:cs="Times New Roman"/>
          <w:b/>
          <w:bCs/>
          <w:sz w:val="24"/>
          <w:szCs w:val="24"/>
        </w:rPr>
      </w:pPr>
    </w:p>
    <w:p w14:paraId="4A66A2A3"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primary outcome variable was treatment response, operationalized as virologic suppression measured through viral load. Suppression was defined as viral load ≤200 copies/mL, consistent with World Health Organization guidelines. Independent variables included demographic characteristics (age and sex) and clinical indicators (baseline viral load, CD4 cell count, treatment adherence, duration of therapy, and comorbidities). These variables were selected based on their established relevance in predicting antiretroviral therapy outcomes.</w:t>
      </w:r>
    </w:p>
    <w:p w14:paraId="6D3D45C7" w14:textId="77777777" w:rsidR="002546B5" w:rsidRDefault="002546B5" w:rsidP="002546B5">
      <w:pPr>
        <w:pStyle w:val="NoSpacing"/>
        <w:rPr>
          <w:rFonts w:ascii="Times New Roman" w:hAnsi="Times New Roman" w:cs="Times New Roman"/>
          <w:b/>
          <w:bCs/>
          <w:sz w:val="24"/>
          <w:szCs w:val="24"/>
        </w:rPr>
      </w:pPr>
    </w:p>
    <w:p w14:paraId="5E7A362F" w14:textId="16704CC1"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Data Preprocessing</w:t>
      </w:r>
    </w:p>
    <w:p w14:paraId="4DF812B6" w14:textId="77777777" w:rsidR="002546B5" w:rsidRPr="002546B5" w:rsidRDefault="002546B5" w:rsidP="002546B5">
      <w:pPr>
        <w:pStyle w:val="NoSpacing"/>
        <w:rPr>
          <w:rFonts w:ascii="Times New Roman" w:hAnsi="Times New Roman" w:cs="Times New Roman"/>
          <w:b/>
          <w:bCs/>
          <w:sz w:val="24"/>
          <w:szCs w:val="24"/>
        </w:rPr>
      </w:pPr>
    </w:p>
    <w:p w14:paraId="117D834B"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Prior to model development, data underwent rigorous preprocessing. Missing or inconsistent records were removed. Continuous variables, such as viral load and CD4 cell count, were normalized using z-score transformation to reduce variability and facilitate model convergence. Categorical variables, including sex and presence of comorbidities, were encoded numerically for computational processing. The dataset was then randomly partitioned into training (70%) and testing (30%) subsets. Cross-validation was incorporated during model development to optimize generalizability and prevent overfitting.</w:t>
      </w:r>
    </w:p>
    <w:p w14:paraId="3AAAF3F1" w14:textId="77777777" w:rsidR="002546B5" w:rsidRPr="002546B5" w:rsidRDefault="002546B5" w:rsidP="002546B5">
      <w:pPr>
        <w:pStyle w:val="NoSpacing"/>
        <w:jc w:val="both"/>
        <w:rPr>
          <w:rFonts w:ascii="Times New Roman" w:hAnsi="Times New Roman" w:cs="Times New Roman"/>
          <w:sz w:val="24"/>
          <w:szCs w:val="24"/>
        </w:rPr>
      </w:pPr>
    </w:p>
    <w:p w14:paraId="17227C09"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Machine Learning Model Development</w:t>
      </w:r>
    </w:p>
    <w:p w14:paraId="50F34DBC" w14:textId="77777777" w:rsidR="002546B5" w:rsidRPr="002546B5" w:rsidRDefault="002546B5" w:rsidP="002546B5">
      <w:pPr>
        <w:pStyle w:val="NoSpacing"/>
        <w:rPr>
          <w:rFonts w:ascii="Times New Roman" w:hAnsi="Times New Roman" w:cs="Times New Roman"/>
          <w:b/>
          <w:bCs/>
          <w:sz w:val="24"/>
          <w:szCs w:val="24"/>
        </w:rPr>
      </w:pPr>
    </w:p>
    <w:p w14:paraId="20FD2A0E"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Three predictive modeling approaches were implemented: logistic regression, random forest, and gradient boosting. Logistic regression served as a baseline statistical model, while random forest and gradient boosting were selected as ensemble learning algorithms capable of modeling nonlinear interactions.</w:t>
      </w:r>
    </w:p>
    <w:p w14:paraId="33D73B34" w14:textId="77777777" w:rsidR="002546B5" w:rsidRPr="002546B5" w:rsidRDefault="002546B5" w:rsidP="002546B5">
      <w:pPr>
        <w:pStyle w:val="NoSpacing"/>
        <w:jc w:val="both"/>
        <w:rPr>
          <w:rFonts w:ascii="Times New Roman" w:hAnsi="Times New Roman" w:cs="Times New Roman"/>
          <w:sz w:val="24"/>
          <w:szCs w:val="24"/>
        </w:rPr>
      </w:pPr>
    </w:p>
    <w:p w14:paraId="2B432B30"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 xml:space="preserve">For logistic regression, the model used a L2 regularization penalty to reduce overfitting, with the regularization strength parameter C set to 1.0. The random forest model was configured with 500 decision trees, a maximum depth of 10 per tree, and a minimum of 5 samples required to split a node. The gradient boosting model was implemented with 300 estimators, a learning rate of 0.05, and a maximum depth of 4 per tree. Both ensemble models employed subsampling of 80% of the data for each iteration to improve robustness and reduce variance. </w:t>
      </w:r>
      <w:r w:rsidRPr="002546B5">
        <w:rPr>
          <w:rFonts w:ascii="Times New Roman" w:hAnsi="Times New Roman" w:cs="Times New Roman"/>
          <w:sz w:val="24"/>
          <w:szCs w:val="24"/>
        </w:rPr>
        <w:lastRenderedPageBreak/>
        <w:t>Hyperparameters were selected through grid search optimization with five-fold cross-validation, balancing predictive performance with computational efficiency.</w:t>
      </w:r>
    </w:p>
    <w:p w14:paraId="20FA2534" w14:textId="77777777" w:rsidR="002546B5" w:rsidRPr="002546B5" w:rsidRDefault="002546B5" w:rsidP="002546B5">
      <w:pPr>
        <w:pStyle w:val="NoSpacing"/>
        <w:jc w:val="both"/>
        <w:rPr>
          <w:rFonts w:ascii="Times New Roman" w:hAnsi="Times New Roman" w:cs="Times New Roman"/>
          <w:sz w:val="24"/>
          <w:szCs w:val="24"/>
        </w:rPr>
      </w:pPr>
    </w:p>
    <w:p w14:paraId="4ADC8A95"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Biomathematical Modeling</w:t>
      </w:r>
    </w:p>
    <w:p w14:paraId="2BA7BBEA" w14:textId="77777777" w:rsidR="002546B5" w:rsidRPr="002546B5" w:rsidRDefault="002546B5" w:rsidP="002546B5">
      <w:pPr>
        <w:pStyle w:val="NoSpacing"/>
        <w:rPr>
          <w:rFonts w:ascii="Times New Roman" w:hAnsi="Times New Roman" w:cs="Times New Roman"/>
          <w:b/>
          <w:bCs/>
          <w:sz w:val="24"/>
          <w:szCs w:val="24"/>
        </w:rPr>
      </w:pPr>
    </w:p>
    <w:p w14:paraId="09BD4E2C" w14:textId="77777777" w:rsidR="002546B5" w:rsidRP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In addition to predictive modeling, biomathematical modeling was applied to examine interactions among clinical variables and their influence on treatment outcomes. The probability of virologic suppression was represented as a function of independent variables, with logistic regression providing a linear approximation and ensemble models capturing nonlinear relationships. The models allowed for the quantification of the relative contribution of each predictor variable to treatment response and facilitated interpretation of complex interactions.</w:t>
      </w:r>
    </w:p>
    <w:p w14:paraId="352138E6" w14:textId="77777777" w:rsidR="002546B5" w:rsidRPr="002546B5" w:rsidRDefault="002546B5" w:rsidP="002546B5">
      <w:pPr>
        <w:pStyle w:val="NoSpacing"/>
        <w:rPr>
          <w:rFonts w:ascii="Times New Roman" w:hAnsi="Times New Roman" w:cs="Times New Roman"/>
          <w:b/>
          <w:bCs/>
          <w:sz w:val="24"/>
          <w:szCs w:val="24"/>
        </w:rPr>
      </w:pPr>
    </w:p>
    <w:p w14:paraId="3E6CB1DF"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Model Evaluation</w:t>
      </w:r>
    </w:p>
    <w:p w14:paraId="04FC0DAC" w14:textId="77777777" w:rsidR="002546B5" w:rsidRPr="002546B5" w:rsidRDefault="002546B5" w:rsidP="002546B5">
      <w:pPr>
        <w:pStyle w:val="NoSpacing"/>
        <w:rPr>
          <w:rFonts w:ascii="Times New Roman" w:hAnsi="Times New Roman" w:cs="Times New Roman"/>
          <w:b/>
          <w:bCs/>
          <w:sz w:val="24"/>
          <w:szCs w:val="24"/>
        </w:rPr>
      </w:pPr>
    </w:p>
    <w:p w14:paraId="6AF08137"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Model performance was evaluated using standard classification metrics. Accuracy measured the proportion of correct predictions, sensitivity quantified the ability to identify patients achieving virologic suppression, and specificity assessed the correct identification of patients not achieving suppression. Precision and the area under the receiver operating characteristic curve (AUC) provided additional measures of model reliability and discrimination. Confusion matrices were generated to evaluate true positive, true negative, false positive, and false negative predictions, enabling a detailed comparison of model performance.</w:t>
      </w:r>
    </w:p>
    <w:p w14:paraId="5FC942BD" w14:textId="77777777" w:rsidR="002546B5" w:rsidRPr="002546B5" w:rsidRDefault="002546B5" w:rsidP="002546B5">
      <w:pPr>
        <w:pStyle w:val="NoSpacing"/>
        <w:jc w:val="both"/>
        <w:rPr>
          <w:rFonts w:ascii="Times New Roman" w:hAnsi="Times New Roman" w:cs="Times New Roman"/>
          <w:sz w:val="24"/>
          <w:szCs w:val="24"/>
        </w:rPr>
      </w:pPr>
    </w:p>
    <w:p w14:paraId="279A0694" w14:textId="77777777" w:rsidR="002546B5" w:rsidRDefault="002546B5" w:rsidP="002546B5">
      <w:pPr>
        <w:pStyle w:val="NoSpacing"/>
        <w:rPr>
          <w:rFonts w:ascii="Times New Roman" w:hAnsi="Times New Roman" w:cs="Times New Roman"/>
          <w:b/>
          <w:bCs/>
          <w:sz w:val="24"/>
          <w:szCs w:val="24"/>
        </w:rPr>
      </w:pPr>
      <w:r w:rsidRPr="002546B5">
        <w:rPr>
          <w:rFonts w:ascii="Times New Roman" w:hAnsi="Times New Roman" w:cs="Times New Roman"/>
          <w:b/>
          <w:bCs/>
          <w:sz w:val="24"/>
          <w:szCs w:val="24"/>
        </w:rPr>
        <w:t>Ethical Considerations</w:t>
      </w:r>
    </w:p>
    <w:p w14:paraId="1E9DEB33" w14:textId="77777777" w:rsidR="002546B5" w:rsidRPr="002546B5" w:rsidRDefault="002546B5" w:rsidP="002546B5">
      <w:pPr>
        <w:pStyle w:val="NoSpacing"/>
        <w:rPr>
          <w:rFonts w:ascii="Times New Roman" w:hAnsi="Times New Roman" w:cs="Times New Roman"/>
          <w:b/>
          <w:bCs/>
          <w:sz w:val="24"/>
          <w:szCs w:val="24"/>
        </w:rPr>
      </w:pPr>
    </w:p>
    <w:p w14:paraId="5AFB2F4F" w14:textId="77777777" w:rsidR="002546B5" w:rsidRDefault="002546B5" w:rsidP="002546B5">
      <w:pPr>
        <w:pStyle w:val="NoSpacing"/>
        <w:jc w:val="both"/>
        <w:rPr>
          <w:rFonts w:ascii="Times New Roman" w:hAnsi="Times New Roman" w:cs="Times New Roman"/>
          <w:sz w:val="24"/>
          <w:szCs w:val="24"/>
        </w:rPr>
      </w:pPr>
      <w:r w:rsidRPr="002546B5">
        <w:rPr>
          <w:rFonts w:ascii="Times New Roman" w:hAnsi="Times New Roman" w:cs="Times New Roman"/>
          <w:sz w:val="24"/>
          <w:szCs w:val="24"/>
        </w:rPr>
        <w:t>The study was approved by the institutional ethics review committee. Data were fully anonymized, and no personal identifiers were included in the analytic dataset. Access to data was restricted to authorized personnel, and all analyses were conducted in secure computing environments. The study adhered to ethical standards for research involving secondary data, ensuring confidentiality and compliance with relevant regulations.</w:t>
      </w:r>
    </w:p>
    <w:p w14:paraId="7729AC20" w14:textId="77777777" w:rsidR="004E3DDA" w:rsidRPr="002546B5" w:rsidRDefault="004E3DDA" w:rsidP="002546B5">
      <w:pPr>
        <w:pStyle w:val="NoSpacing"/>
        <w:jc w:val="both"/>
        <w:rPr>
          <w:rFonts w:ascii="Times New Roman" w:hAnsi="Times New Roman" w:cs="Times New Roman"/>
          <w:sz w:val="24"/>
          <w:szCs w:val="24"/>
        </w:rPr>
      </w:pPr>
    </w:p>
    <w:p w14:paraId="4E9557E3" w14:textId="77777777" w:rsidR="002546B5" w:rsidRDefault="002546B5" w:rsidP="00EA68C4">
      <w:pPr>
        <w:pStyle w:val="NoSpacing"/>
        <w:rPr>
          <w:rFonts w:ascii="Times New Roman" w:hAnsi="Times New Roman" w:cs="Times New Roman"/>
          <w:b/>
          <w:bCs/>
          <w:sz w:val="24"/>
          <w:szCs w:val="24"/>
        </w:rPr>
      </w:pPr>
    </w:p>
    <w:p w14:paraId="4143161E" w14:textId="4451041B" w:rsidR="00146017" w:rsidRPr="00370A84" w:rsidRDefault="00146017" w:rsidP="00146017">
      <w:pPr>
        <w:pStyle w:val="NoSpacing"/>
        <w:rPr>
          <w:rFonts w:ascii="Times New Roman" w:hAnsi="Times New Roman" w:cs="Times New Roman"/>
          <w:b/>
          <w:bCs/>
          <w:sz w:val="28"/>
          <w:szCs w:val="28"/>
        </w:rPr>
      </w:pPr>
      <w:r w:rsidRPr="00370A84">
        <w:rPr>
          <w:rFonts w:ascii="Times New Roman" w:hAnsi="Times New Roman" w:cs="Times New Roman"/>
          <w:b/>
          <w:bCs/>
          <w:sz w:val="28"/>
          <w:szCs w:val="28"/>
        </w:rPr>
        <w:t>RESULTS</w:t>
      </w:r>
    </w:p>
    <w:p w14:paraId="609AD533" w14:textId="77777777" w:rsidR="00146017" w:rsidRPr="00146017" w:rsidRDefault="00146017" w:rsidP="00146017">
      <w:pPr>
        <w:pStyle w:val="NoSpacing"/>
        <w:rPr>
          <w:rFonts w:ascii="Times New Roman" w:hAnsi="Times New Roman" w:cs="Times New Roman"/>
          <w:b/>
          <w:bCs/>
          <w:sz w:val="24"/>
          <w:szCs w:val="24"/>
        </w:rPr>
      </w:pPr>
    </w:p>
    <w:p w14:paraId="45B443DB"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Demographic and Clinical Characteristics</w:t>
      </w:r>
    </w:p>
    <w:p w14:paraId="14B3358A" w14:textId="77777777" w:rsidR="00146017" w:rsidRPr="00146017" w:rsidRDefault="00146017" w:rsidP="00146017">
      <w:pPr>
        <w:pStyle w:val="NoSpacing"/>
        <w:jc w:val="both"/>
        <w:rPr>
          <w:rFonts w:ascii="Times New Roman" w:hAnsi="Times New Roman" w:cs="Times New Roman"/>
          <w:b/>
          <w:bCs/>
          <w:sz w:val="24"/>
          <w:szCs w:val="24"/>
        </w:rPr>
      </w:pPr>
    </w:p>
    <w:p w14:paraId="2F9C02EC" w14:textId="0F74C1FD"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analytic dataset consisted of 842 adult patients who initiated TLD therapy between 2020 and 2024 in the selected Philippine province. The mean age of patients was 32.1 years (SD ± 8.7), with the majority (45%) between 25 and 34 years old. Young adults (18–24 years) represented 2</w:t>
      </w:r>
      <w:r w:rsidR="00227186">
        <w:rPr>
          <w:rFonts w:ascii="Times New Roman" w:hAnsi="Times New Roman" w:cs="Times New Roman"/>
          <w:sz w:val="24"/>
          <w:szCs w:val="24"/>
        </w:rPr>
        <w:t>1 percent</w:t>
      </w:r>
      <w:r w:rsidRPr="00146017">
        <w:rPr>
          <w:rFonts w:ascii="Times New Roman" w:hAnsi="Times New Roman" w:cs="Times New Roman"/>
          <w:sz w:val="24"/>
          <w:szCs w:val="24"/>
        </w:rPr>
        <w:t xml:space="preserve"> of the cohort, whereas patients aged 35–44 and ≥45 years accounted for 23</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a</w:t>
      </w:r>
      <w:r>
        <w:rPr>
          <w:rFonts w:ascii="Times New Roman" w:hAnsi="Times New Roman" w:cs="Times New Roman"/>
          <w:sz w:val="24"/>
          <w:szCs w:val="24"/>
        </w:rPr>
        <w:t>n</w:t>
      </w:r>
      <w:r w:rsidRPr="00146017">
        <w:rPr>
          <w:rFonts w:ascii="Times New Roman" w:hAnsi="Times New Roman" w:cs="Times New Roman"/>
          <w:sz w:val="24"/>
          <w:szCs w:val="24"/>
        </w:rPr>
        <w:t>d 1</w:t>
      </w:r>
      <w:r w:rsidR="00227186">
        <w:rPr>
          <w:rFonts w:ascii="Times New Roman" w:hAnsi="Times New Roman" w:cs="Times New Roman"/>
          <w:sz w:val="24"/>
          <w:szCs w:val="24"/>
        </w:rPr>
        <w:t>1</w:t>
      </w:r>
      <w:r>
        <w:rPr>
          <w:rFonts w:ascii="Times New Roman" w:hAnsi="Times New Roman" w:cs="Times New Roman"/>
          <w:sz w:val="24"/>
          <w:szCs w:val="24"/>
        </w:rPr>
        <w:t xml:space="preserve"> percent</w:t>
      </w:r>
      <w:r w:rsidRPr="00146017">
        <w:rPr>
          <w:rFonts w:ascii="Times New Roman" w:hAnsi="Times New Roman" w:cs="Times New Roman"/>
          <w:sz w:val="24"/>
          <w:szCs w:val="24"/>
        </w:rPr>
        <w:t>, respectively. Male patients predominated, comprising 83</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of the sample, whereas females represented 17</w:t>
      </w:r>
      <w:r>
        <w:rPr>
          <w:rFonts w:ascii="Times New Roman" w:hAnsi="Times New Roman" w:cs="Times New Roman"/>
          <w:sz w:val="24"/>
          <w:szCs w:val="24"/>
        </w:rPr>
        <w:t xml:space="preserve"> percent</w:t>
      </w:r>
      <w:r w:rsidRPr="00146017">
        <w:rPr>
          <w:rFonts w:ascii="Times New Roman" w:hAnsi="Times New Roman" w:cs="Times New Roman"/>
          <w:sz w:val="24"/>
          <w:szCs w:val="24"/>
        </w:rPr>
        <w:t xml:space="preserve">. Baseline viral load averaged 72,000 copies/mL (SD ± 24,500), indicating that many </w:t>
      </w:r>
      <w:proofErr w:type="gramStart"/>
      <w:r w:rsidRPr="00146017">
        <w:rPr>
          <w:rFonts w:ascii="Times New Roman" w:hAnsi="Times New Roman" w:cs="Times New Roman"/>
          <w:sz w:val="24"/>
          <w:szCs w:val="24"/>
        </w:rPr>
        <w:t>patients initiated</w:t>
      </w:r>
      <w:proofErr w:type="gramEnd"/>
      <w:r w:rsidRPr="00146017">
        <w:rPr>
          <w:rFonts w:ascii="Times New Roman" w:hAnsi="Times New Roman" w:cs="Times New Roman"/>
          <w:sz w:val="24"/>
          <w:szCs w:val="24"/>
        </w:rPr>
        <w:t xml:space="preserve"> therapy with moderate to high viremia. The mean CD4 cell count was 340 cells/mm³ (SD ± 145), suggesting that the cohort entered treatment with partially compromised immune function.</w:t>
      </w:r>
    </w:p>
    <w:p w14:paraId="08B31BFB" w14:textId="77777777" w:rsidR="00146017" w:rsidRPr="00146017" w:rsidRDefault="00146017" w:rsidP="00146017">
      <w:pPr>
        <w:pStyle w:val="NoSpacing"/>
        <w:jc w:val="both"/>
        <w:rPr>
          <w:rFonts w:ascii="Times New Roman" w:hAnsi="Times New Roman" w:cs="Times New Roman"/>
          <w:sz w:val="24"/>
          <w:szCs w:val="24"/>
        </w:rPr>
      </w:pPr>
    </w:p>
    <w:p w14:paraId="0F28F3D3"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These demographic and clinical characteristics reflect the epidemiological profile of HIV in the Philippines, which is characterized by a predominance of young adult males and late presentation to care. The distribution of baseline viral load and CD4 counts underscores the need for timely and effective monitoring strategies to ensure treatment success.</w:t>
      </w:r>
    </w:p>
    <w:p w14:paraId="4498C589" w14:textId="77777777" w:rsidR="005B1DEF" w:rsidRDefault="005B1DEF" w:rsidP="00146017">
      <w:pPr>
        <w:pStyle w:val="NoSpacing"/>
        <w:jc w:val="both"/>
        <w:rPr>
          <w:rFonts w:ascii="Times New Roman" w:hAnsi="Times New Roman" w:cs="Times New Roman"/>
          <w:b/>
          <w:bCs/>
          <w:sz w:val="24"/>
          <w:szCs w:val="24"/>
        </w:rPr>
      </w:pPr>
    </w:p>
    <w:p w14:paraId="7F412902" w14:textId="6C16DFE8"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Predictive Model Performance</w:t>
      </w:r>
    </w:p>
    <w:p w14:paraId="50297810" w14:textId="77777777" w:rsidR="00146017" w:rsidRPr="00146017" w:rsidRDefault="00146017" w:rsidP="00146017">
      <w:pPr>
        <w:pStyle w:val="NoSpacing"/>
        <w:jc w:val="both"/>
        <w:rPr>
          <w:rFonts w:ascii="Times New Roman" w:hAnsi="Times New Roman" w:cs="Times New Roman"/>
          <w:b/>
          <w:bCs/>
          <w:sz w:val="24"/>
          <w:szCs w:val="24"/>
        </w:rPr>
      </w:pPr>
    </w:p>
    <w:p w14:paraId="1B3E6A89" w14:textId="345B4856" w:rsidR="00370A84" w:rsidRDefault="00227186" w:rsidP="00146017">
      <w:pPr>
        <w:pStyle w:val="NoSpacing"/>
        <w:jc w:val="both"/>
        <w:rPr>
          <w:rFonts w:ascii="Times New Roman" w:hAnsi="Times New Roman" w:cs="Times New Roman"/>
          <w:sz w:val="24"/>
          <w:szCs w:val="24"/>
        </w:rPr>
      </w:pPr>
      <w:r>
        <w:rPr>
          <w:rFonts w:ascii="Times New Roman" w:hAnsi="Times New Roman" w:cs="Times New Roman"/>
          <w:sz w:val="24"/>
          <w:szCs w:val="24"/>
        </w:rPr>
        <w:t>T</w:t>
      </w:r>
      <w:r w:rsidR="00146017" w:rsidRPr="00146017">
        <w:rPr>
          <w:rFonts w:ascii="Times New Roman" w:hAnsi="Times New Roman" w:cs="Times New Roman"/>
          <w:sz w:val="24"/>
          <w:szCs w:val="24"/>
        </w:rPr>
        <w:t>he predictive performance of the three machine learning models</w:t>
      </w:r>
      <w:r w:rsidR="00370A84">
        <w:rPr>
          <w:rFonts w:ascii="Times New Roman" w:hAnsi="Times New Roman" w:cs="Times New Roman"/>
          <w:sz w:val="24"/>
          <w:szCs w:val="24"/>
        </w:rPr>
        <w:t xml:space="preserve">, </w:t>
      </w:r>
      <w:r w:rsidR="00146017" w:rsidRPr="00146017">
        <w:rPr>
          <w:rFonts w:ascii="Times New Roman" w:hAnsi="Times New Roman" w:cs="Times New Roman"/>
          <w:sz w:val="24"/>
          <w:szCs w:val="24"/>
        </w:rPr>
        <w:t>logistic regression, random forest, and gradient boosting</w:t>
      </w:r>
      <w:r w:rsidR="00370A84">
        <w:rPr>
          <w:rFonts w:ascii="Times New Roman" w:hAnsi="Times New Roman" w:cs="Times New Roman"/>
          <w:sz w:val="24"/>
          <w:szCs w:val="24"/>
        </w:rPr>
        <w:t xml:space="preserve">, </w:t>
      </w:r>
      <w:r w:rsidR="00146017" w:rsidRPr="00146017">
        <w:rPr>
          <w:rFonts w:ascii="Times New Roman" w:hAnsi="Times New Roman" w:cs="Times New Roman"/>
          <w:sz w:val="24"/>
          <w:szCs w:val="24"/>
        </w:rPr>
        <w:t xml:space="preserve">was assessed using accuracy, sensitivity, specificity, precision, and area under the receiver operating characteristic curve (AUC). </w:t>
      </w:r>
    </w:p>
    <w:p w14:paraId="2E34348B" w14:textId="77777777" w:rsidR="00370A84" w:rsidRDefault="00370A84" w:rsidP="00146017">
      <w:pPr>
        <w:pStyle w:val="NoSpacing"/>
        <w:jc w:val="both"/>
        <w:rPr>
          <w:rFonts w:ascii="Times New Roman" w:hAnsi="Times New Roman" w:cs="Times New Roman"/>
          <w:sz w:val="24"/>
          <w:szCs w:val="24"/>
        </w:rPr>
      </w:pPr>
    </w:p>
    <w:p w14:paraId="77EF3818" w14:textId="398DE701" w:rsidR="00370A84" w:rsidRDefault="00370A84" w:rsidP="00370A84">
      <w:pPr>
        <w:pStyle w:val="NoSpacing"/>
        <w:jc w:val="both"/>
        <w:rPr>
          <w:rFonts w:ascii="Times New Roman" w:hAnsi="Times New Roman" w:cs="Times New Roman"/>
          <w:b/>
          <w:bCs/>
          <w:sz w:val="24"/>
          <w:szCs w:val="24"/>
        </w:rPr>
      </w:pPr>
      <w:r>
        <w:rPr>
          <w:rFonts w:ascii="Times New Roman" w:hAnsi="Times New Roman" w:cs="Times New Roman"/>
          <w:b/>
          <w:bCs/>
          <w:sz w:val="24"/>
          <w:szCs w:val="24"/>
        </w:rPr>
        <w:lastRenderedPageBreak/>
        <w:t>T</w:t>
      </w:r>
      <w:r w:rsidRPr="00370A84">
        <w:rPr>
          <w:rFonts w:ascii="Times New Roman" w:hAnsi="Times New Roman" w:cs="Times New Roman"/>
          <w:b/>
          <w:bCs/>
          <w:sz w:val="24"/>
          <w:szCs w:val="24"/>
        </w:rPr>
        <w:t>able 1</w:t>
      </w:r>
    </w:p>
    <w:p w14:paraId="637B15EB" w14:textId="25CB00ED" w:rsidR="00370A84" w:rsidRPr="00370A84" w:rsidRDefault="00370A84" w:rsidP="00370A84">
      <w:pPr>
        <w:pStyle w:val="NoSpacing"/>
        <w:jc w:val="both"/>
        <w:rPr>
          <w:rFonts w:ascii="Times New Roman" w:hAnsi="Times New Roman" w:cs="Times New Roman"/>
          <w:i/>
          <w:iCs/>
          <w:sz w:val="24"/>
          <w:szCs w:val="24"/>
        </w:rPr>
      </w:pPr>
      <w:r w:rsidRPr="00370A84">
        <w:rPr>
          <w:rFonts w:ascii="Times New Roman" w:hAnsi="Times New Roman" w:cs="Times New Roman"/>
          <w:i/>
          <w:iCs/>
          <w:sz w:val="24"/>
          <w:szCs w:val="24"/>
        </w:rPr>
        <w:t>Predictive Performance of Machine Learning Models</w:t>
      </w:r>
    </w:p>
    <w:tbl>
      <w:tblPr>
        <w:tblW w:w="10339" w:type="dxa"/>
        <w:tblCellSpacing w:w="15" w:type="dxa"/>
        <w:tblCellMar>
          <w:top w:w="15" w:type="dxa"/>
          <w:left w:w="15" w:type="dxa"/>
          <w:bottom w:w="15" w:type="dxa"/>
          <w:right w:w="15" w:type="dxa"/>
        </w:tblCellMar>
        <w:tblLook w:val="04A0" w:firstRow="1" w:lastRow="0" w:firstColumn="1" w:lastColumn="0" w:noHBand="0" w:noVBand="1"/>
      </w:tblPr>
      <w:tblGrid>
        <w:gridCol w:w="2700"/>
        <w:gridCol w:w="1701"/>
        <w:gridCol w:w="1748"/>
        <w:gridCol w:w="1582"/>
        <w:gridCol w:w="1591"/>
        <w:gridCol w:w="1017"/>
      </w:tblGrid>
      <w:tr w:rsidR="00370A84" w:rsidRPr="00370A84" w14:paraId="55C81E79" w14:textId="77777777" w:rsidTr="00370A84">
        <w:trPr>
          <w:tblHeader/>
          <w:tblCellSpacing w:w="15" w:type="dxa"/>
        </w:trPr>
        <w:tc>
          <w:tcPr>
            <w:tcW w:w="2655" w:type="dxa"/>
            <w:tcBorders>
              <w:top w:val="single" w:sz="4" w:space="0" w:color="auto"/>
            </w:tcBorders>
            <w:vAlign w:val="center"/>
            <w:hideMark/>
          </w:tcPr>
          <w:p w14:paraId="0404C41F"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Model</w:t>
            </w:r>
          </w:p>
        </w:tc>
        <w:tc>
          <w:tcPr>
            <w:tcW w:w="1671" w:type="dxa"/>
            <w:tcBorders>
              <w:top w:val="single" w:sz="4" w:space="0" w:color="auto"/>
            </w:tcBorders>
            <w:vAlign w:val="center"/>
            <w:hideMark/>
          </w:tcPr>
          <w:p w14:paraId="45E49461"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Accuracy</w:t>
            </w:r>
          </w:p>
        </w:tc>
        <w:tc>
          <w:tcPr>
            <w:tcW w:w="1718" w:type="dxa"/>
            <w:tcBorders>
              <w:top w:val="single" w:sz="4" w:space="0" w:color="auto"/>
            </w:tcBorders>
            <w:vAlign w:val="center"/>
            <w:hideMark/>
          </w:tcPr>
          <w:p w14:paraId="6D1D3323"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Sensitivity</w:t>
            </w:r>
          </w:p>
        </w:tc>
        <w:tc>
          <w:tcPr>
            <w:tcW w:w="1552" w:type="dxa"/>
            <w:tcBorders>
              <w:top w:val="single" w:sz="4" w:space="0" w:color="auto"/>
            </w:tcBorders>
            <w:vAlign w:val="center"/>
            <w:hideMark/>
          </w:tcPr>
          <w:p w14:paraId="143FC71E"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Specificity</w:t>
            </w:r>
          </w:p>
        </w:tc>
        <w:tc>
          <w:tcPr>
            <w:tcW w:w="1561" w:type="dxa"/>
            <w:tcBorders>
              <w:top w:val="single" w:sz="4" w:space="0" w:color="auto"/>
            </w:tcBorders>
            <w:vAlign w:val="center"/>
            <w:hideMark/>
          </w:tcPr>
          <w:p w14:paraId="6DC6980C"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Precision</w:t>
            </w:r>
          </w:p>
        </w:tc>
        <w:tc>
          <w:tcPr>
            <w:tcW w:w="972" w:type="dxa"/>
            <w:tcBorders>
              <w:top w:val="single" w:sz="4" w:space="0" w:color="auto"/>
            </w:tcBorders>
            <w:vAlign w:val="center"/>
            <w:hideMark/>
          </w:tcPr>
          <w:p w14:paraId="76C3EF81" w14:textId="77777777" w:rsidR="00370A84" w:rsidRPr="00370A84" w:rsidRDefault="00370A84" w:rsidP="005B1DEF">
            <w:pPr>
              <w:pStyle w:val="NoSpacing"/>
              <w:jc w:val="center"/>
              <w:rPr>
                <w:rFonts w:ascii="Times New Roman" w:hAnsi="Times New Roman" w:cs="Times New Roman"/>
                <w:b/>
                <w:bCs/>
                <w:sz w:val="24"/>
                <w:szCs w:val="24"/>
              </w:rPr>
            </w:pPr>
            <w:r w:rsidRPr="00370A84">
              <w:rPr>
                <w:rFonts w:ascii="Times New Roman" w:hAnsi="Times New Roman" w:cs="Times New Roman"/>
                <w:b/>
                <w:bCs/>
                <w:sz w:val="24"/>
                <w:szCs w:val="24"/>
              </w:rPr>
              <w:t>AUC</w:t>
            </w:r>
          </w:p>
        </w:tc>
      </w:tr>
      <w:tr w:rsidR="00370A84" w:rsidRPr="00370A84" w14:paraId="46458252" w14:textId="77777777" w:rsidTr="00370A84">
        <w:trPr>
          <w:tblCellSpacing w:w="15" w:type="dxa"/>
        </w:trPr>
        <w:tc>
          <w:tcPr>
            <w:tcW w:w="2655" w:type="dxa"/>
            <w:tcBorders>
              <w:top w:val="single" w:sz="4" w:space="0" w:color="auto"/>
            </w:tcBorders>
            <w:vAlign w:val="center"/>
            <w:hideMark/>
          </w:tcPr>
          <w:p w14:paraId="7945F679"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Logistic Regression</w:t>
            </w:r>
          </w:p>
        </w:tc>
        <w:tc>
          <w:tcPr>
            <w:tcW w:w="1671" w:type="dxa"/>
            <w:tcBorders>
              <w:top w:val="single" w:sz="4" w:space="0" w:color="auto"/>
            </w:tcBorders>
            <w:vAlign w:val="center"/>
            <w:hideMark/>
          </w:tcPr>
          <w:p w14:paraId="0C0D7D17"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0.78</w:t>
            </w:r>
          </w:p>
        </w:tc>
        <w:tc>
          <w:tcPr>
            <w:tcW w:w="1718" w:type="dxa"/>
            <w:tcBorders>
              <w:top w:val="single" w:sz="4" w:space="0" w:color="auto"/>
            </w:tcBorders>
            <w:vAlign w:val="center"/>
            <w:hideMark/>
          </w:tcPr>
          <w:p w14:paraId="7C849C04"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0.74</w:t>
            </w:r>
          </w:p>
        </w:tc>
        <w:tc>
          <w:tcPr>
            <w:tcW w:w="1552" w:type="dxa"/>
            <w:tcBorders>
              <w:top w:val="single" w:sz="4" w:space="0" w:color="auto"/>
            </w:tcBorders>
            <w:vAlign w:val="center"/>
            <w:hideMark/>
          </w:tcPr>
          <w:p w14:paraId="06623C4B"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0.81</w:t>
            </w:r>
          </w:p>
        </w:tc>
        <w:tc>
          <w:tcPr>
            <w:tcW w:w="1561" w:type="dxa"/>
            <w:tcBorders>
              <w:top w:val="single" w:sz="4" w:space="0" w:color="auto"/>
            </w:tcBorders>
            <w:vAlign w:val="center"/>
            <w:hideMark/>
          </w:tcPr>
          <w:p w14:paraId="01AFC006"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0.76</w:t>
            </w:r>
          </w:p>
        </w:tc>
        <w:tc>
          <w:tcPr>
            <w:tcW w:w="972" w:type="dxa"/>
            <w:tcBorders>
              <w:top w:val="single" w:sz="4" w:space="0" w:color="auto"/>
            </w:tcBorders>
            <w:vAlign w:val="center"/>
            <w:hideMark/>
          </w:tcPr>
          <w:p w14:paraId="4E665130"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0.83</w:t>
            </w:r>
          </w:p>
        </w:tc>
      </w:tr>
      <w:tr w:rsidR="00370A84" w:rsidRPr="00370A84" w14:paraId="01999616" w14:textId="77777777" w:rsidTr="00370A84">
        <w:trPr>
          <w:tblCellSpacing w:w="15" w:type="dxa"/>
        </w:trPr>
        <w:tc>
          <w:tcPr>
            <w:tcW w:w="2655" w:type="dxa"/>
            <w:vAlign w:val="center"/>
            <w:hideMark/>
          </w:tcPr>
          <w:p w14:paraId="73A55323"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Random Forest</w:t>
            </w:r>
          </w:p>
        </w:tc>
        <w:tc>
          <w:tcPr>
            <w:tcW w:w="1671" w:type="dxa"/>
            <w:vAlign w:val="center"/>
            <w:hideMark/>
          </w:tcPr>
          <w:p w14:paraId="28734D44"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0.86</w:t>
            </w:r>
          </w:p>
        </w:tc>
        <w:tc>
          <w:tcPr>
            <w:tcW w:w="1718" w:type="dxa"/>
            <w:vAlign w:val="center"/>
            <w:hideMark/>
          </w:tcPr>
          <w:p w14:paraId="6A6804BD"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0.84</w:t>
            </w:r>
          </w:p>
        </w:tc>
        <w:tc>
          <w:tcPr>
            <w:tcW w:w="1552" w:type="dxa"/>
            <w:vAlign w:val="center"/>
            <w:hideMark/>
          </w:tcPr>
          <w:p w14:paraId="338ABB1A"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0.87</w:t>
            </w:r>
          </w:p>
        </w:tc>
        <w:tc>
          <w:tcPr>
            <w:tcW w:w="1561" w:type="dxa"/>
            <w:vAlign w:val="center"/>
            <w:hideMark/>
          </w:tcPr>
          <w:p w14:paraId="6C389242"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0.85</w:t>
            </w:r>
          </w:p>
        </w:tc>
        <w:tc>
          <w:tcPr>
            <w:tcW w:w="972" w:type="dxa"/>
            <w:vAlign w:val="center"/>
            <w:hideMark/>
          </w:tcPr>
          <w:p w14:paraId="514FE88F"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0.90</w:t>
            </w:r>
          </w:p>
        </w:tc>
      </w:tr>
      <w:tr w:rsidR="00370A84" w:rsidRPr="00370A84" w14:paraId="426F72B6" w14:textId="77777777" w:rsidTr="00370A84">
        <w:trPr>
          <w:tblCellSpacing w:w="15" w:type="dxa"/>
        </w:trPr>
        <w:tc>
          <w:tcPr>
            <w:tcW w:w="2655" w:type="dxa"/>
            <w:tcBorders>
              <w:bottom w:val="single" w:sz="4" w:space="0" w:color="auto"/>
            </w:tcBorders>
            <w:vAlign w:val="center"/>
            <w:hideMark/>
          </w:tcPr>
          <w:p w14:paraId="7C1F7F30" w14:textId="77777777" w:rsidR="00370A84" w:rsidRPr="00370A84" w:rsidRDefault="00370A84" w:rsidP="00370A84">
            <w:pPr>
              <w:pStyle w:val="NoSpacing"/>
              <w:jc w:val="both"/>
              <w:rPr>
                <w:rFonts w:ascii="Times New Roman" w:hAnsi="Times New Roman" w:cs="Times New Roman"/>
                <w:sz w:val="24"/>
                <w:szCs w:val="24"/>
              </w:rPr>
            </w:pPr>
            <w:r w:rsidRPr="00370A84">
              <w:rPr>
                <w:rFonts w:ascii="Times New Roman" w:hAnsi="Times New Roman" w:cs="Times New Roman"/>
                <w:sz w:val="24"/>
                <w:szCs w:val="24"/>
              </w:rPr>
              <w:t>Gradient Boosting</w:t>
            </w:r>
          </w:p>
        </w:tc>
        <w:tc>
          <w:tcPr>
            <w:tcW w:w="1671" w:type="dxa"/>
            <w:tcBorders>
              <w:bottom w:val="single" w:sz="4" w:space="0" w:color="auto"/>
            </w:tcBorders>
            <w:vAlign w:val="center"/>
            <w:hideMark/>
          </w:tcPr>
          <w:p w14:paraId="5F5F534A"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0.91</w:t>
            </w:r>
          </w:p>
        </w:tc>
        <w:tc>
          <w:tcPr>
            <w:tcW w:w="1718" w:type="dxa"/>
            <w:tcBorders>
              <w:bottom w:val="single" w:sz="4" w:space="0" w:color="auto"/>
            </w:tcBorders>
            <w:vAlign w:val="center"/>
            <w:hideMark/>
          </w:tcPr>
          <w:p w14:paraId="670B3731"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0.89</w:t>
            </w:r>
          </w:p>
        </w:tc>
        <w:tc>
          <w:tcPr>
            <w:tcW w:w="1552" w:type="dxa"/>
            <w:tcBorders>
              <w:bottom w:val="single" w:sz="4" w:space="0" w:color="auto"/>
            </w:tcBorders>
            <w:vAlign w:val="center"/>
            <w:hideMark/>
          </w:tcPr>
          <w:p w14:paraId="34512F90"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0.93</w:t>
            </w:r>
          </w:p>
        </w:tc>
        <w:tc>
          <w:tcPr>
            <w:tcW w:w="1561" w:type="dxa"/>
            <w:tcBorders>
              <w:bottom w:val="single" w:sz="4" w:space="0" w:color="auto"/>
            </w:tcBorders>
            <w:vAlign w:val="center"/>
            <w:hideMark/>
          </w:tcPr>
          <w:p w14:paraId="299A7C35"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0.90</w:t>
            </w:r>
          </w:p>
        </w:tc>
        <w:tc>
          <w:tcPr>
            <w:tcW w:w="972" w:type="dxa"/>
            <w:tcBorders>
              <w:bottom w:val="single" w:sz="4" w:space="0" w:color="auto"/>
            </w:tcBorders>
            <w:vAlign w:val="center"/>
            <w:hideMark/>
          </w:tcPr>
          <w:p w14:paraId="269BCF61" w14:textId="77777777" w:rsidR="00370A84" w:rsidRPr="00370A84" w:rsidRDefault="00370A84" w:rsidP="005B1DEF">
            <w:pPr>
              <w:pStyle w:val="NoSpacing"/>
              <w:jc w:val="center"/>
              <w:rPr>
                <w:rFonts w:ascii="Times New Roman" w:hAnsi="Times New Roman" w:cs="Times New Roman"/>
                <w:sz w:val="24"/>
                <w:szCs w:val="24"/>
              </w:rPr>
            </w:pPr>
            <w:r w:rsidRPr="00370A84">
              <w:rPr>
                <w:rFonts w:ascii="Times New Roman" w:hAnsi="Times New Roman" w:cs="Times New Roman"/>
                <w:sz w:val="24"/>
                <w:szCs w:val="24"/>
              </w:rPr>
              <w:t>0.95</w:t>
            </w:r>
          </w:p>
        </w:tc>
      </w:tr>
    </w:tbl>
    <w:p w14:paraId="655BA1B7" w14:textId="77777777" w:rsidR="005B1DEF" w:rsidRDefault="005B1DEF" w:rsidP="00146017">
      <w:pPr>
        <w:pStyle w:val="NoSpacing"/>
        <w:jc w:val="both"/>
        <w:rPr>
          <w:rFonts w:ascii="Times New Roman" w:hAnsi="Times New Roman" w:cs="Times New Roman"/>
          <w:sz w:val="24"/>
          <w:szCs w:val="24"/>
        </w:rPr>
      </w:pPr>
    </w:p>
    <w:p w14:paraId="01CF318F" w14:textId="19262B13" w:rsidR="00146017" w:rsidRDefault="0014296D" w:rsidP="00146017">
      <w:pPr>
        <w:pStyle w:val="NoSpacing"/>
        <w:jc w:val="both"/>
        <w:rPr>
          <w:rFonts w:ascii="Times New Roman" w:hAnsi="Times New Roman" w:cs="Times New Roman"/>
          <w:sz w:val="24"/>
          <w:szCs w:val="24"/>
        </w:rPr>
      </w:pPr>
      <w:r>
        <w:rPr>
          <w:rFonts w:ascii="Times New Roman" w:hAnsi="Times New Roman" w:cs="Times New Roman"/>
          <w:sz w:val="24"/>
          <w:szCs w:val="24"/>
        </w:rPr>
        <w:t>As shown in Table 1, l</w:t>
      </w:r>
      <w:r w:rsidR="00146017" w:rsidRPr="00146017">
        <w:rPr>
          <w:rFonts w:ascii="Times New Roman" w:hAnsi="Times New Roman" w:cs="Times New Roman"/>
          <w:sz w:val="24"/>
          <w:szCs w:val="24"/>
        </w:rPr>
        <w:t>ogistic regression, which served as a baseline statistical model, demonstrated an overall accuracy of 0.78 and an AUC of 0.83. The model exhibited moderate sensitivity (0.74) and specificity (0.81), indicating a reasonable ability to identify both virologic suppression and non-suppression outcomes but limited capability in capturing nonlinear interactions among predictor variables.</w:t>
      </w:r>
    </w:p>
    <w:p w14:paraId="47CF633F" w14:textId="77777777" w:rsidR="00146017" w:rsidRPr="00146017" w:rsidRDefault="00146017" w:rsidP="00146017">
      <w:pPr>
        <w:pStyle w:val="NoSpacing"/>
        <w:jc w:val="both"/>
        <w:rPr>
          <w:rFonts w:ascii="Times New Roman" w:hAnsi="Times New Roman" w:cs="Times New Roman"/>
          <w:sz w:val="24"/>
          <w:szCs w:val="24"/>
        </w:rPr>
      </w:pPr>
    </w:p>
    <w:p w14:paraId="04ACE9EF"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random forest model, configured with 500 trees, a maximum depth of 10, and a minimum of 5 samples per split, achieved superior performance relative to logistic regression. It attained an overall accuracy of 0.86, with sensitivity and specificity of 0.84 and 0.87, respectively, and an AUC of 0.90. These improvements can be attributed to the ensemble nature of random forests, which aggregates predictions across multiple trees to capture complex, nonlinear relationships among baseline viral load, CD4 count, treatment adherence, and other patient characteristics. Subsampling 80% of the data at each iteration further improved model robustness and reduced variance.</w:t>
      </w:r>
    </w:p>
    <w:p w14:paraId="1D5160ED" w14:textId="77777777" w:rsidR="00146017" w:rsidRPr="00146017" w:rsidRDefault="00146017" w:rsidP="00146017">
      <w:pPr>
        <w:pStyle w:val="NoSpacing"/>
        <w:jc w:val="both"/>
        <w:rPr>
          <w:rFonts w:ascii="Times New Roman" w:hAnsi="Times New Roman" w:cs="Times New Roman"/>
          <w:sz w:val="24"/>
          <w:szCs w:val="24"/>
        </w:rPr>
      </w:pPr>
    </w:p>
    <w:p w14:paraId="78972507"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gradient boosting model achieved the highest predictive performance among all algorithms. With 300 estimators, a learning rate of 0.05, and a maximum depth of 4, gradient boosting attained an accuracy of 0.91, sensitivity of 0.89, specificity of 0.93, and an AUC of 0.95. The sequential learning process of gradient boosting, which iteratively minimizes classification errors, allowed the model to capture subtle nonlinear interactions and improve prediction of high-risk patients. Cross-validation confirmed that these hyperparameters provided an optimal balance between accuracy and generalizability, avoiding overfitting while maintaining high discrimination capability.</w:t>
      </w:r>
    </w:p>
    <w:p w14:paraId="5C27F8FD" w14:textId="77777777" w:rsidR="00146017" w:rsidRPr="00146017" w:rsidRDefault="00146017" w:rsidP="00146017">
      <w:pPr>
        <w:pStyle w:val="NoSpacing"/>
        <w:jc w:val="both"/>
        <w:rPr>
          <w:rFonts w:ascii="Times New Roman" w:hAnsi="Times New Roman" w:cs="Times New Roman"/>
          <w:sz w:val="24"/>
          <w:szCs w:val="24"/>
        </w:rPr>
      </w:pPr>
    </w:p>
    <w:p w14:paraId="59747F02" w14:textId="77777777" w:rsidR="00146017" w:rsidRP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sz w:val="24"/>
          <w:szCs w:val="24"/>
        </w:rPr>
        <w:t>The superior performance of gradient boosting indicates that sophisticated ensemble methods are particularly well-suited for predicting treatment response in complex clinical datasets, especially when interactions among variables are nonlinear or hierarchical in nature.</w:t>
      </w:r>
    </w:p>
    <w:p w14:paraId="65395BFF" w14:textId="0487DE73" w:rsidR="00146017" w:rsidRPr="00146017" w:rsidRDefault="00146017" w:rsidP="00146017">
      <w:pPr>
        <w:pStyle w:val="NoSpacing"/>
        <w:jc w:val="both"/>
        <w:rPr>
          <w:rFonts w:ascii="Times New Roman" w:hAnsi="Times New Roman" w:cs="Times New Roman"/>
          <w:b/>
          <w:bCs/>
          <w:sz w:val="24"/>
          <w:szCs w:val="24"/>
        </w:rPr>
      </w:pPr>
    </w:p>
    <w:p w14:paraId="648B3188"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Feature Importance and Predictor Contributions</w:t>
      </w:r>
    </w:p>
    <w:p w14:paraId="67E3BAB0" w14:textId="77777777" w:rsidR="00146017" w:rsidRPr="00146017" w:rsidRDefault="00146017" w:rsidP="00146017">
      <w:pPr>
        <w:pStyle w:val="NoSpacing"/>
        <w:jc w:val="both"/>
        <w:rPr>
          <w:rFonts w:ascii="Times New Roman" w:hAnsi="Times New Roman" w:cs="Times New Roman"/>
          <w:b/>
          <w:bCs/>
          <w:sz w:val="24"/>
          <w:szCs w:val="24"/>
        </w:rPr>
      </w:pPr>
    </w:p>
    <w:p w14:paraId="5AE4D22F" w14:textId="0A898EE3" w:rsidR="005B1DEF"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 xml:space="preserve">Feature importance analysis </w:t>
      </w:r>
      <w:r w:rsidR="005B1DEF">
        <w:rPr>
          <w:rFonts w:ascii="Times New Roman" w:hAnsi="Times New Roman" w:cs="Times New Roman"/>
          <w:sz w:val="24"/>
          <w:szCs w:val="24"/>
        </w:rPr>
        <w:t xml:space="preserve">(Figure 1) </w:t>
      </w:r>
      <w:r w:rsidRPr="00146017">
        <w:rPr>
          <w:rFonts w:ascii="Times New Roman" w:hAnsi="Times New Roman" w:cs="Times New Roman"/>
          <w:sz w:val="24"/>
          <w:szCs w:val="24"/>
        </w:rPr>
        <w:t>was conducted using the gradient boosting model to identify variables with the greatest influence on treatment outcomes. Treatment adherence emerged as the most critical predictor, with an importance score of 0.31. This finding underscores the central role of consistent medication adherence in achieving virologic suppression. Patients with suboptimal adherence were significantly more likely to experience delayed suppression or treatment failure, highlighting the importance of adherence monitoring in HIV care programs.</w:t>
      </w:r>
      <w:r w:rsidR="007061A2" w:rsidRPr="007061A2">
        <w:rPr>
          <w:rFonts w:ascii="Times New Roman" w:hAnsi="Times New Roman" w:cs="Times New Roman"/>
          <w:noProof/>
          <w:sz w:val="24"/>
          <w:szCs w:val="24"/>
        </w:rPr>
        <w:t xml:space="preserve"> </w:t>
      </w:r>
    </w:p>
    <w:p w14:paraId="434A1F9A" w14:textId="77777777" w:rsidR="00146017" w:rsidRDefault="00146017" w:rsidP="00146017">
      <w:pPr>
        <w:pStyle w:val="NoSpacing"/>
        <w:jc w:val="both"/>
        <w:rPr>
          <w:rFonts w:ascii="Times New Roman" w:hAnsi="Times New Roman" w:cs="Times New Roman"/>
          <w:sz w:val="24"/>
          <w:szCs w:val="24"/>
        </w:rPr>
      </w:pPr>
    </w:p>
    <w:p w14:paraId="50A05579" w14:textId="77777777" w:rsidR="007061A2" w:rsidRDefault="007061A2" w:rsidP="007061A2">
      <w:pPr>
        <w:pStyle w:val="No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4BBBAAE" wp14:editId="18D0596D">
            <wp:extent cx="4530019" cy="2838616"/>
            <wp:effectExtent l="0" t="0" r="4445" b="0"/>
            <wp:docPr id="17838663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26486" cy="2899064"/>
                    </a:xfrm>
                    <a:prstGeom prst="rect">
                      <a:avLst/>
                    </a:prstGeom>
                    <a:noFill/>
                  </pic:spPr>
                </pic:pic>
              </a:graphicData>
            </a:graphic>
          </wp:inline>
        </w:drawing>
      </w:r>
    </w:p>
    <w:p w14:paraId="04886195" w14:textId="77777777" w:rsidR="007061A2" w:rsidRDefault="007061A2" w:rsidP="00146017">
      <w:pPr>
        <w:pStyle w:val="NoSpacing"/>
        <w:jc w:val="both"/>
        <w:rPr>
          <w:rFonts w:ascii="Times New Roman" w:hAnsi="Times New Roman" w:cs="Times New Roman"/>
          <w:sz w:val="24"/>
          <w:szCs w:val="24"/>
        </w:rPr>
      </w:pPr>
    </w:p>
    <w:p w14:paraId="2B9D0550" w14:textId="589FC654"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Baseline viral load was the second most influential predictor, with an importance score of 0.24. Higher viral loads at therapy initiation were associated with increased risk of non-suppression, reflecting the clinical reality that patients starting treatment with elevated viremia often require longer periods to achieve full viral suppression. CD4 cell count was also a significant predictor (importance score 0.18), suggesting that immune status at treatment initiation influences the likelihood of treatment success.</w:t>
      </w:r>
    </w:p>
    <w:p w14:paraId="7C9AD3C1" w14:textId="77777777" w:rsidR="00146017" w:rsidRPr="00146017" w:rsidRDefault="00146017" w:rsidP="00146017">
      <w:pPr>
        <w:pStyle w:val="NoSpacing"/>
        <w:jc w:val="both"/>
        <w:rPr>
          <w:rFonts w:ascii="Times New Roman" w:hAnsi="Times New Roman" w:cs="Times New Roman"/>
          <w:sz w:val="24"/>
          <w:szCs w:val="24"/>
        </w:rPr>
      </w:pPr>
    </w:p>
    <w:p w14:paraId="3528A5FE" w14:textId="1378163A" w:rsidR="005B1DEF"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Duration of therapy contributed meaningfully to model predictions (importance score 0.15), indicating that patients remaining on therapy for longer periods were more likely to achieve suppression, consistent with the cumulative effect of sustained adherence and consistent treatment monitoring. Age (0.07) and comorbidities (0.05) had smaller but non-negligible contributions, suggesting that demographic and health context variables also influence outcomes, albeit to a lesser degree.</w:t>
      </w:r>
    </w:p>
    <w:p w14:paraId="7C2950CD" w14:textId="217D1007" w:rsidR="005B1DEF" w:rsidRDefault="005B1DEF" w:rsidP="00146017">
      <w:pPr>
        <w:pStyle w:val="NoSpacing"/>
        <w:jc w:val="both"/>
        <w:rPr>
          <w:rFonts w:ascii="Times New Roman" w:hAnsi="Times New Roman" w:cs="Times New Roman"/>
          <w:sz w:val="24"/>
          <w:szCs w:val="24"/>
        </w:rPr>
      </w:pPr>
    </w:p>
    <w:p w14:paraId="093DD73B" w14:textId="3D0050DB"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feature importance analysis provides both clinical and operational insights, emphasizing that interventions aimed at improving adherence and early treatment initiation for patients with high baseline viral loads are likely to have the greatest impact on achieving virologic suppression.</w:t>
      </w:r>
    </w:p>
    <w:p w14:paraId="2476AD67" w14:textId="162F0292" w:rsidR="00146017" w:rsidRPr="00146017" w:rsidRDefault="00146017" w:rsidP="00146017">
      <w:pPr>
        <w:pStyle w:val="NoSpacing"/>
        <w:jc w:val="both"/>
        <w:rPr>
          <w:rFonts w:ascii="Times New Roman" w:hAnsi="Times New Roman" w:cs="Times New Roman"/>
          <w:b/>
          <w:bCs/>
          <w:sz w:val="24"/>
          <w:szCs w:val="24"/>
        </w:rPr>
      </w:pPr>
    </w:p>
    <w:p w14:paraId="77E72061" w14:textId="3B96D114"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Receiver Operating Characteristic Curves and Model Discrimination</w:t>
      </w:r>
    </w:p>
    <w:p w14:paraId="35027B86" w14:textId="0A6424E7" w:rsidR="00146017" w:rsidRPr="00146017" w:rsidRDefault="00146017" w:rsidP="00146017">
      <w:pPr>
        <w:pStyle w:val="NoSpacing"/>
        <w:jc w:val="both"/>
        <w:rPr>
          <w:rFonts w:ascii="Times New Roman" w:hAnsi="Times New Roman" w:cs="Times New Roman"/>
          <w:b/>
          <w:bCs/>
          <w:sz w:val="24"/>
          <w:szCs w:val="24"/>
        </w:rPr>
      </w:pPr>
    </w:p>
    <w:p w14:paraId="78D232E1" w14:textId="53769023"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receiver operating characteristic (ROC) curves</w:t>
      </w:r>
      <w:r w:rsidR="005B1DEF">
        <w:rPr>
          <w:rFonts w:ascii="Times New Roman" w:hAnsi="Times New Roman" w:cs="Times New Roman"/>
          <w:sz w:val="24"/>
          <w:szCs w:val="24"/>
        </w:rPr>
        <w:t xml:space="preserve">, presented in Figure 2, </w:t>
      </w:r>
      <w:r w:rsidR="005B1DEF" w:rsidRPr="00146017">
        <w:rPr>
          <w:rFonts w:ascii="Times New Roman" w:hAnsi="Times New Roman" w:cs="Times New Roman"/>
          <w:sz w:val="24"/>
          <w:szCs w:val="24"/>
        </w:rPr>
        <w:t>illustrated</w:t>
      </w:r>
      <w:r w:rsidRPr="00146017">
        <w:rPr>
          <w:rFonts w:ascii="Times New Roman" w:hAnsi="Times New Roman" w:cs="Times New Roman"/>
          <w:sz w:val="24"/>
          <w:szCs w:val="24"/>
        </w:rPr>
        <w:t xml:space="preserve"> the discriminative ability of each model. Logistic regression achieved an AUC of 0.83, random forest achieved 0.90, and gradient boosting achieved 0.95. The AUC differences reflect the capacity of ensemble methods to capture complex patterns in the dataset that linear models cannot. Notably, gradient boosting was able to correctly classify high-risk patients who were prone to treatment failure, which is crucial for targeted interventions.</w:t>
      </w:r>
    </w:p>
    <w:p w14:paraId="6D001E83" w14:textId="116448E2" w:rsidR="00146017" w:rsidRPr="00146017" w:rsidRDefault="00146017" w:rsidP="00146017">
      <w:pPr>
        <w:pStyle w:val="NoSpacing"/>
        <w:jc w:val="both"/>
        <w:rPr>
          <w:rFonts w:ascii="Times New Roman" w:hAnsi="Times New Roman" w:cs="Times New Roman"/>
          <w:sz w:val="24"/>
          <w:szCs w:val="24"/>
        </w:rPr>
      </w:pPr>
    </w:p>
    <w:p w14:paraId="3DC295DC" w14:textId="77777777" w:rsidR="005B1DEF" w:rsidRDefault="005B1DEF" w:rsidP="00146017">
      <w:pPr>
        <w:pStyle w:val="NoSpacing"/>
        <w:jc w:val="both"/>
        <w:rPr>
          <w:rFonts w:ascii="Times New Roman" w:hAnsi="Times New Roman" w:cs="Times New Roman"/>
          <w:sz w:val="24"/>
          <w:szCs w:val="24"/>
        </w:rPr>
      </w:pPr>
    </w:p>
    <w:p w14:paraId="19D9264A" w14:textId="07483DC7" w:rsidR="005B1DEF" w:rsidRDefault="005B1DEF" w:rsidP="007061A2">
      <w:pPr>
        <w:pStyle w:val="NoSpacing"/>
        <w:jc w:val="center"/>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7DC61E47" wp14:editId="729204BD">
            <wp:extent cx="4950460" cy="3696970"/>
            <wp:effectExtent l="0" t="0" r="2540" b="0"/>
            <wp:docPr id="8896394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0460" cy="3696970"/>
                    </a:xfrm>
                    <a:prstGeom prst="rect">
                      <a:avLst/>
                    </a:prstGeom>
                    <a:noFill/>
                  </pic:spPr>
                </pic:pic>
              </a:graphicData>
            </a:graphic>
          </wp:inline>
        </w:drawing>
      </w:r>
    </w:p>
    <w:p w14:paraId="6728BAB0" w14:textId="77777777" w:rsidR="005B1DEF" w:rsidRDefault="005B1DEF" w:rsidP="00146017">
      <w:pPr>
        <w:pStyle w:val="NoSpacing"/>
        <w:jc w:val="both"/>
        <w:rPr>
          <w:rFonts w:ascii="Times New Roman" w:hAnsi="Times New Roman" w:cs="Times New Roman"/>
          <w:sz w:val="24"/>
          <w:szCs w:val="24"/>
        </w:rPr>
      </w:pPr>
    </w:p>
    <w:p w14:paraId="32F6D581" w14:textId="1B764786"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w:t>
      </w:r>
      <w:r w:rsidR="005B1DEF">
        <w:rPr>
          <w:rFonts w:ascii="Times New Roman" w:hAnsi="Times New Roman" w:cs="Times New Roman"/>
          <w:sz w:val="24"/>
          <w:szCs w:val="24"/>
        </w:rPr>
        <w:t xml:space="preserve"> </w:t>
      </w:r>
      <w:r w:rsidRPr="00146017">
        <w:rPr>
          <w:rFonts w:ascii="Times New Roman" w:hAnsi="Times New Roman" w:cs="Times New Roman"/>
          <w:sz w:val="24"/>
          <w:szCs w:val="24"/>
        </w:rPr>
        <w:t>ROC curves also demonstrate the trade-off between sensitivity and specificity across models. While logistic regression exhibited a relatively balanced but lower sensitivity and specificity, the ensemble models, particularly gradient boosting, achieved high sensitivity without compromising specificity, making them more suitable for clinical application in predicting individual patient outcomes.</w:t>
      </w:r>
    </w:p>
    <w:p w14:paraId="426981C4" w14:textId="1908F8C4" w:rsidR="00146017" w:rsidRPr="00146017" w:rsidRDefault="00146017" w:rsidP="00146017">
      <w:pPr>
        <w:pStyle w:val="NoSpacing"/>
        <w:jc w:val="both"/>
        <w:rPr>
          <w:rFonts w:ascii="Times New Roman" w:hAnsi="Times New Roman" w:cs="Times New Roman"/>
          <w:b/>
          <w:bCs/>
          <w:sz w:val="24"/>
          <w:szCs w:val="24"/>
        </w:rPr>
      </w:pPr>
    </w:p>
    <w:p w14:paraId="64A4161D" w14:textId="77777777"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Interpretation of Hyperparameter Effects</w:t>
      </w:r>
    </w:p>
    <w:p w14:paraId="5B76E513" w14:textId="60714169" w:rsidR="00146017" w:rsidRPr="00146017" w:rsidRDefault="00146017" w:rsidP="00146017">
      <w:pPr>
        <w:pStyle w:val="NoSpacing"/>
        <w:jc w:val="both"/>
        <w:rPr>
          <w:rFonts w:ascii="Times New Roman" w:hAnsi="Times New Roman" w:cs="Times New Roman"/>
          <w:b/>
          <w:bCs/>
          <w:sz w:val="24"/>
          <w:szCs w:val="24"/>
        </w:rPr>
      </w:pPr>
    </w:p>
    <w:p w14:paraId="05F1558B" w14:textId="07B9F584"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 observed improvements in model performance can be directly attributed to hyperparameter tuning. For random forest, increasing the number of trees to 500 and allowing a maximum depth of 10 enabled the model to capture diverse patterns across patient subgroups. For gradient boosting, the combination of 300 estimators, a shallow maximum depth of 4, and a conservative learning rate of 0.05 optimized the bias-variance trade-off, ensuring that the model learned sequential patterns without overfitting to noise in the dataset. Subsampling 80% of the data during training further enhanced generalizability, which is particularly important in heterogeneous clinical populations.</w:t>
      </w:r>
    </w:p>
    <w:p w14:paraId="394BC3D2" w14:textId="77777777" w:rsidR="00146017" w:rsidRPr="00146017" w:rsidRDefault="00146017" w:rsidP="00146017">
      <w:pPr>
        <w:pStyle w:val="NoSpacing"/>
        <w:jc w:val="both"/>
        <w:rPr>
          <w:rFonts w:ascii="Times New Roman" w:hAnsi="Times New Roman" w:cs="Times New Roman"/>
          <w:sz w:val="24"/>
          <w:szCs w:val="24"/>
        </w:rPr>
      </w:pPr>
    </w:p>
    <w:p w14:paraId="166B6467" w14:textId="77777777" w:rsidR="00146017" w:rsidRP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These findings demonstrate that careful hyperparameter optimization is essential for achieving maximal predictive performance, particularly in healthcare datasets where variables interact nonlinearly and patient outcomes are influenced by multiple interdependent factors.</w:t>
      </w:r>
    </w:p>
    <w:p w14:paraId="30F79205" w14:textId="675CB932" w:rsidR="00146017" w:rsidRPr="00146017" w:rsidRDefault="00146017" w:rsidP="00146017">
      <w:pPr>
        <w:pStyle w:val="NoSpacing"/>
        <w:jc w:val="both"/>
        <w:rPr>
          <w:rFonts w:ascii="Times New Roman" w:hAnsi="Times New Roman" w:cs="Times New Roman"/>
          <w:b/>
          <w:bCs/>
          <w:sz w:val="24"/>
          <w:szCs w:val="24"/>
        </w:rPr>
      </w:pPr>
    </w:p>
    <w:p w14:paraId="24A9920D" w14:textId="45BC5E90" w:rsidR="00146017" w:rsidRDefault="00146017" w:rsidP="00146017">
      <w:pPr>
        <w:pStyle w:val="NoSpacing"/>
        <w:jc w:val="both"/>
        <w:rPr>
          <w:rFonts w:ascii="Times New Roman" w:hAnsi="Times New Roman" w:cs="Times New Roman"/>
          <w:b/>
          <w:bCs/>
          <w:sz w:val="24"/>
          <w:szCs w:val="24"/>
        </w:rPr>
      </w:pPr>
      <w:r w:rsidRPr="00146017">
        <w:rPr>
          <w:rFonts w:ascii="Times New Roman" w:hAnsi="Times New Roman" w:cs="Times New Roman"/>
          <w:b/>
          <w:bCs/>
          <w:sz w:val="24"/>
          <w:szCs w:val="24"/>
        </w:rPr>
        <w:t>Summary of Results</w:t>
      </w:r>
    </w:p>
    <w:p w14:paraId="0537A4BC" w14:textId="77777777" w:rsidR="00146017" w:rsidRPr="00146017" w:rsidRDefault="00146017" w:rsidP="00146017">
      <w:pPr>
        <w:pStyle w:val="NoSpacing"/>
        <w:jc w:val="both"/>
        <w:rPr>
          <w:rFonts w:ascii="Times New Roman" w:hAnsi="Times New Roman" w:cs="Times New Roman"/>
          <w:b/>
          <w:bCs/>
          <w:sz w:val="24"/>
          <w:szCs w:val="24"/>
        </w:rPr>
      </w:pPr>
    </w:p>
    <w:p w14:paraId="1854B419" w14:textId="77777777" w:rsidR="00146017" w:rsidRDefault="00146017" w:rsidP="00146017">
      <w:pPr>
        <w:pStyle w:val="NoSpacing"/>
        <w:jc w:val="both"/>
        <w:rPr>
          <w:rFonts w:ascii="Times New Roman" w:hAnsi="Times New Roman" w:cs="Times New Roman"/>
          <w:sz w:val="24"/>
          <w:szCs w:val="24"/>
        </w:rPr>
      </w:pPr>
      <w:r w:rsidRPr="00146017">
        <w:rPr>
          <w:rFonts w:ascii="Times New Roman" w:hAnsi="Times New Roman" w:cs="Times New Roman"/>
          <w:sz w:val="24"/>
          <w:szCs w:val="24"/>
        </w:rPr>
        <w:t>In summary, the gradient boosting model provided the most accurate and reliable predictions of TLD treatment response, outperforming both logistic regression and random forest. Treatment adherence, baseline viral load, CD4 count, and therapy duration were identified as the most influential predictors. The ensemble models’ ability to capture nonlinear interactions among predictors was a key factor in their superior performance. These results indicate that integrating machine learning algorithms, particularly gradient boosting, into digital health systems can improve predictive monitoring of antiretroviral therapy outcomes and support targeted clinical interventions for patients at risk of treatment failure.</w:t>
      </w:r>
    </w:p>
    <w:p w14:paraId="4AFA5091" w14:textId="77777777" w:rsidR="004E3DDA" w:rsidRPr="00146017" w:rsidRDefault="004E3DDA" w:rsidP="00146017">
      <w:pPr>
        <w:pStyle w:val="NoSpacing"/>
        <w:jc w:val="both"/>
        <w:rPr>
          <w:rFonts w:ascii="Times New Roman" w:hAnsi="Times New Roman" w:cs="Times New Roman"/>
          <w:sz w:val="24"/>
          <w:szCs w:val="24"/>
        </w:rPr>
      </w:pPr>
    </w:p>
    <w:p w14:paraId="571D8BB3" w14:textId="77777777" w:rsidR="00EA68C4" w:rsidRPr="00EA68C4" w:rsidRDefault="00EA68C4" w:rsidP="00EA68C4">
      <w:pPr>
        <w:pStyle w:val="NoSpacing"/>
        <w:rPr>
          <w:rFonts w:ascii="Times New Roman" w:hAnsi="Times New Roman" w:cs="Times New Roman"/>
          <w:b/>
          <w:bCs/>
          <w:sz w:val="24"/>
          <w:szCs w:val="24"/>
        </w:rPr>
      </w:pPr>
    </w:p>
    <w:p w14:paraId="42D493AB" w14:textId="77777777" w:rsidR="005B1DEF" w:rsidRDefault="005B1DEF" w:rsidP="004E3DDA">
      <w:pPr>
        <w:pStyle w:val="NoSpacing"/>
        <w:rPr>
          <w:rFonts w:ascii="Times New Roman" w:hAnsi="Times New Roman" w:cs="Times New Roman"/>
          <w:b/>
          <w:bCs/>
          <w:sz w:val="24"/>
          <w:szCs w:val="24"/>
        </w:rPr>
      </w:pPr>
    </w:p>
    <w:p w14:paraId="43C9B7F6" w14:textId="77777777" w:rsidR="005B1DEF" w:rsidRDefault="005B1DEF" w:rsidP="004E3DDA">
      <w:pPr>
        <w:pStyle w:val="NoSpacing"/>
        <w:rPr>
          <w:rFonts w:ascii="Times New Roman" w:hAnsi="Times New Roman" w:cs="Times New Roman"/>
          <w:b/>
          <w:bCs/>
          <w:sz w:val="24"/>
          <w:szCs w:val="24"/>
        </w:rPr>
      </w:pPr>
    </w:p>
    <w:p w14:paraId="3105F666" w14:textId="7031DBCA" w:rsidR="004E3DDA" w:rsidRDefault="004E3DDA" w:rsidP="004E3DDA">
      <w:pPr>
        <w:pStyle w:val="NoSpacing"/>
        <w:rPr>
          <w:rFonts w:ascii="Times New Roman" w:hAnsi="Times New Roman" w:cs="Times New Roman"/>
          <w:b/>
          <w:bCs/>
          <w:sz w:val="24"/>
          <w:szCs w:val="24"/>
        </w:rPr>
      </w:pPr>
      <w:r>
        <w:rPr>
          <w:rFonts w:ascii="Times New Roman" w:hAnsi="Times New Roman" w:cs="Times New Roman"/>
          <w:b/>
          <w:bCs/>
          <w:sz w:val="24"/>
          <w:szCs w:val="24"/>
        </w:rPr>
        <w:t>DISCUSSION</w:t>
      </w:r>
    </w:p>
    <w:p w14:paraId="5DCBB913" w14:textId="77777777" w:rsidR="004E3DDA" w:rsidRPr="004E3DDA" w:rsidRDefault="004E3DDA" w:rsidP="004E3DDA">
      <w:pPr>
        <w:pStyle w:val="NoSpacing"/>
        <w:jc w:val="both"/>
        <w:rPr>
          <w:rFonts w:ascii="Times New Roman" w:hAnsi="Times New Roman" w:cs="Times New Roman"/>
          <w:b/>
          <w:bCs/>
          <w:sz w:val="24"/>
          <w:szCs w:val="24"/>
        </w:rPr>
      </w:pPr>
    </w:p>
    <w:p w14:paraId="3B9EC128"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This study demonstrates that ensemble machine learning models, particularly gradient boosting, can accurately predict TLD treatment response in a Philippine digital health system. Gradient boosting outperformed logistic regression and random forest, reflecting its ability to capture nonlinear interactions among clinical variables. Treatment adherence, baseline viral load, CD4 count, and therapy duration were the most influential predictors, consistent with global HIV literature (Mills et al., 2019; Ford et al., 2020).</w:t>
      </w:r>
    </w:p>
    <w:p w14:paraId="08466006" w14:textId="77777777" w:rsidR="00227186" w:rsidRPr="00227186" w:rsidRDefault="00227186" w:rsidP="00227186">
      <w:pPr>
        <w:pStyle w:val="NoSpacing"/>
        <w:jc w:val="both"/>
        <w:rPr>
          <w:rFonts w:ascii="Times New Roman" w:hAnsi="Times New Roman" w:cs="Times New Roman"/>
          <w:sz w:val="24"/>
          <w:szCs w:val="24"/>
        </w:rPr>
      </w:pPr>
    </w:p>
    <w:p w14:paraId="546500D5"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Biomathematical modeling contextualized these predictors, revealing multiplicative effects such as high baseline viral load combined with poor adherence markedly increasing non-suppression risk. This insight underscores the value of integrating computational models into clinical workflows, where predictive alerts can guide early interventions.</w:t>
      </w:r>
    </w:p>
    <w:p w14:paraId="093884D6" w14:textId="77777777" w:rsidR="00227186" w:rsidRPr="00227186" w:rsidRDefault="00227186" w:rsidP="00227186">
      <w:pPr>
        <w:pStyle w:val="NoSpacing"/>
        <w:jc w:val="both"/>
        <w:rPr>
          <w:rFonts w:ascii="Times New Roman" w:hAnsi="Times New Roman" w:cs="Times New Roman"/>
          <w:sz w:val="24"/>
          <w:szCs w:val="24"/>
        </w:rPr>
      </w:pPr>
    </w:p>
    <w:p w14:paraId="41DDDB66"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 xml:space="preserve">The findings have implications for digital health implementation. Integrating predictive models into electronic treatment registries allows clinicians to proactively identify patients at high risk, prioritize follow-ups, and optimize resource allocation. From a policy perspective, predictive analytics can support precision public health, </w:t>
      </w:r>
      <w:proofErr w:type="gramStart"/>
      <w:r w:rsidRPr="00227186">
        <w:rPr>
          <w:rFonts w:ascii="Times New Roman" w:hAnsi="Times New Roman" w:cs="Times New Roman"/>
          <w:sz w:val="24"/>
          <w:szCs w:val="24"/>
        </w:rPr>
        <w:t>improving</w:t>
      </w:r>
      <w:proofErr w:type="gramEnd"/>
      <w:r w:rsidRPr="00227186">
        <w:rPr>
          <w:rFonts w:ascii="Times New Roman" w:hAnsi="Times New Roman" w:cs="Times New Roman"/>
          <w:sz w:val="24"/>
          <w:szCs w:val="24"/>
        </w:rPr>
        <w:t xml:space="preserve"> HIV program efficiency while enhancing patient outcomes.</w:t>
      </w:r>
    </w:p>
    <w:p w14:paraId="1050E334" w14:textId="77777777" w:rsidR="00227186" w:rsidRPr="00227186" w:rsidRDefault="00227186" w:rsidP="00227186">
      <w:pPr>
        <w:pStyle w:val="NoSpacing"/>
        <w:jc w:val="both"/>
        <w:rPr>
          <w:rFonts w:ascii="Times New Roman" w:hAnsi="Times New Roman" w:cs="Times New Roman"/>
          <w:sz w:val="24"/>
          <w:szCs w:val="24"/>
        </w:rPr>
      </w:pPr>
    </w:p>
    <w:p w14:paraId="7736A0BB" w14:textId="77777777" w:rsidR="00227186" w:rsidRDefault="00227186" w:rsidP="00227186">
      <w:pPr>
        <w:pStyle w:val="NoSpacing"/>
        <w:jc w:val="both"/>
        <w:rPr>
          <w:rFonts w:ascii="Times New Roman" w:hAnsi="Times New Roman" w:cs="Times New Roman"/>
          <w:sz w:val="24"/>
          <w:szCs w:val="24"/>
        </w:rPr>
      </w:pPr>
      <w:r w:rsidRPr="00227186">
        <w:rPr>
          <w:rFonts w:ascii="Times New Roman" w:hAnsi="Times New Roman" w:cs="Times New Roman"/>
          <w:sz w:val="24"/>
          <w:szCs w:val="24"/>
        </w:rPr>
        <w:t>Strengths of this study include the use of a real-world dataset, integration of biomathematical analysis, and hyperparameter optimization for robust modeling. Limitations include the retrospective design, single-province dataset, and lack of psychosocial and socioeconomic predictors. Future research should validate these models prospectively, incorporate time-series adherence and viral load data, and expand to other regions and antiretroviral regimens.</w:t>
      </w:r>
    </w:p>
    <w:p w14:paraId="740F7EEF" w14:textId="77777777" w:rsidR="004E3DDA" w:rsidRPr="004E3DDA" w:rsidRDefault="004E3DDA" w:rsidP="004E3DDA">
      <w:pPr>
        <w:pStyle w:val="NoSpacing"/>
        <w:jc w:val="both"/>
        <w:rPr>
          <w:rFonts w:ascii="Times New Roman" w:hAnsi="Times New Roman" w:cs="Times New Roman"/>
          <w:b/>
          <w:bCs/>
          <w:sz w:val="24"/>
          <w:szCs w:val="24"/>
        </w:rPr>
      </w:pPr>
    </w:p>
    <w:p w14:paraId="0EFC4CCE" w14:textId="3758605E" w:rsidR="004E3DDA" w:rsidRDefault="004E3DDA" w:rsidP="004E3DDA">
      <w:pPr>
        <w:pStyle w:val="NoSpacing"/>
        <w:jc w:val="both"/>
        <w:rPr>
          <w:rFonts w:ascii="Times New Roman" w:hAnsi="Times New Roman" w:cs="Times New Roman"/>
          <w:b/>
          <w:bCs/>
          <w:sz w:val="24"/>
          <w:szCs w:val="24"/>
        </w:rPr>
      </w:pPr>
      <w:r w:rsidRPr="004E3DDA">
        <w:rPr>
          <w:rFonts w:ascii="Times New Roman" w:hAnsi="Times New Roman" w:cs="Times New Roman"/>
          <w:b/>
          <w:bCs/>
          <w:sz w:val="28"/>
          <w:szCs w:val="28"/>
        </w:rPr>
        <w:t>C</w:t>
      </w:r>
      <w:r w:rsidR="0014296D">
        <w:rPr>
          <w:rFonts w:ascii="Times New Roman" w:hAnsi="Times New Roman" w:cs="Times New Roman"/>
          <w:b/>
          <w:bCs/>
          <w:sz w:val="28"/>
          <w:szCs w:val="28"/>
        </w:rPr>
        <w:t>ONCLUSION</w:t>
      </w:r>
    </w:p>
    <w:p w14:paraId="34341B31" w14:textId="77777777" w:rsidR="00227186" w:rsidRPr="004E3DDA" w:rsidRDefault="00227186" w:rsidP="004E3DDA">
      <w:pPr>
        <w:pStyle w:val="NoSpacing"/>
        <w:jc w:val="both"/>
        <w:rPr>
          <w:rFonts w:ascii="Times New Roman" w:hAnsi="Times New Roman" w:cs="Times New Roman"/>
          <w:b/>
          <w:bCs/>
          <w:sz w:val="24"/>
          <w:szCs w:val="24"/>
        </w:rPr>
      </w:pPr>
    </w:p>
    <w:p w14:paraId="001B3403" w14:textId="77777777" w:rsidR="004E3DDA" w:rsidRPr="004E3DDA" w:rsidRDefault="004E3DDA" w:rsidP="004E3DDA">
      <w:pPr>
        <w:pStyle w:val="NoSpacing"/>
        <w:jc w:val="both"/>
        <w:rPr>
          <w:rFonts w:ascii="Times New Roman" w:hAnsi="Times New Roman" w:cs="Times New Roman"/>
          <w:sz w:val="24"/>
          <w:szCs w:val="24"/>
        </w:rPr>
      </w:pPr>
      <w:r w:rsidRPr="004E3DDA">
        <w:rPr>
          <w:rFonts w:ascii="Times New Roman" w:hAnsi="Times New Roman" w:cs="Times New Roman"/>
          <w:sz w:val="24"/>
          <w:szCs w:val="24"/>
        </w:rPr>
        <w:t>In conclusion, this study demonstrates that machine learning models, particularly gradient boosting, combined with biomathematical analysis, can accurately predict virologic suppression among patients receiving TLD therapy in a Philippine digital health system. Treatment adherence, baseline viral load, CD4 count, and duration of therapy were identified as the most influential predictors of treatment response. The models provide actionable insights for clinicians and policymakers, enabling proactive interventions, individualized patient monitoring, and data-driven decision-making. These findings underscore the potential of integrating predictive analytics into digital health systems to strengthen HIV treatment programs, optimize resource allocation, and improve patient outcomes in resource-limited healthcare settings.</w:t>
      </w:r>
    </w:p>
    <w:p w14:paraId="24D9432F" w14:textId="77777777" w:rsidR="00EA68C4" w:rsidRDefault="00EA68C4" w:rsidP="00EA68C4">
      <w:pPr>
        <w:pStyle w:val="NoSpacing"/>
        <w:rPr>
          <w:rFonts w:ascii="Times New Roman" w:hAnsi="Times New Roman" w:cs="Times New Roman"/>
          <w:b/>
          <w:bCs/>
          <w:sz w:val="24"/>
          <w:szCs w:val="24"/>
        </w:rPr>
      </w:pPr>
    </w:p>
    <w:p w14:paraId="0C71AD01" w14:textId="77777777" w:rsidR="00370A84" w:rsidRDefault="00370A84" w:rsidP="00EA68C4">
      <w:pPr>
        <w:pStyle w:val="NoSpacing"/>
        <w:rPr>
          <w:rFonts w:ascii="Times New Roman" w:hAnsi="Times New Roman" w:cs="Times New Roman"/>
          <w:b/>
          <w:bCs/>
          <w:sz w:val="24"/>
          <w:szCs w:val="24"/>
        </w:rPr>
      </w:pPr>
    </w:p>
    <w:p w14:paraId="1AE840B6" w14:textId="63168218" w:rsidR="00370A84" w:rsidRDefault="00370A84" w:rsidP="00EA68C4">
      <w:pPr>
        <w:pStyle w:val="NoSpacing"/>
        <w:rPr>
          <w:rFonts w:ascii="Times New Roman" w:hAnsi="Times New Roman" w:cs="Times New Roman"/>
          <w:b/>
          <w:bCs/>
          <w:sz w:val="24"/>
          <w:szCs w:val="24"/>
        </w:rPr>
      </w:pPr>
      <w:r w:rsidRPr="0014296D">
        <w:rPr>
          <w:rFonts w:ascii="Times New Roman" w:hAnsi="Times New Roman" w:cs="Times New Roman"/>
          <w:b/>
          <w:bCs/>
          <w:sz w:val="28"/>
          <w:szCs w:val="28"/>
        </w:rPr>
        <w:t>REFERENCES</w:t>
      </w:r>
    </w:p>
    <w:p w14:paraId="4C5F9C95" w14:textId="77777777" w:rsidR="00370A84" w:rsidRDefault="00370A84" w:rsidP="00EA68C4">
      <w:pPr>
        <w:pStyle w:val="NoSpacing"/>
        <w:rPr>
          <w:rFonts w:ascii="Times New Roman" w:hAnsi="Times New Roman" w:cs="Times New Roman"/>
          <w:b/>
          <w:bCs/>
          <w:sz w:val="24"/>
          <w:szCs w:val="24"/>
        </w:rPr>
      </w:pPr>
    </w:p>
    <w:p w14:paraId="2856F1A2" w14:textId="76D71AC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Beam, A. L., &amp; </w:t>
      </w:r>
      <w:proofErr w:type="spellStart"/>
      <w:r w:rsidRPr="00370A84">
        <w:rPr>
          <w:rFonts w:ascii="Times New Roman" w:hAnsi="Times New Roman" w:cs="Times New Roman"/>
          <w:sz w:val="24"/>
          <w:szCs w:val="24"/>
        </w:rPr>
        <w:t>Kohane</w:t>
      </w:r>
      <w:proofErr w:type="spellEnd"/>
      <w:r w:rsidRPr="00370A84">
        <w:rPr>
          <w:rFonts w:ascii="Times New Roman" w:hAnsi="Times New Roman" w:cs="Times New Roman"/>
          <w:sz w:val="24"/>
          <w:szCs w:val="24"/>
        </w:rPr>
        <w:t xml:space="preserve">, I. S. (2022). Big data and machine learning in health care. </w:t>
      </w:r>
      <w:r w:rsidRPr="00370A84">
        <w:rPr>
          <w:rFonts w:ascii="Times New Roman" w:hAnsi="Times New Roman" w:cs="Times New Roman"/>
          <w:i/>
          <w:iCs/>
          <w:sz w:val="24"/>
          <w:szCs w:val="24"/>
        </w:rPr>
        <w:t>JAMA</w:t>
      </w:r>
      <w:r w:rsidRPr="00370A84">
        <w:rPr>
          <w:rFonts w:ascii="Times New Roman" w:hAnsi="Times New Roman" w:cs="Times New Roman"/>
          <w:sz w:val="24"/>
          <w:szCs w:val="24"/>
        </w:rPr>
        <w:t xml:space="preserve">, 327(15), 1499–1500. </w:t>
      </w:r>
      <w:hyperlink r:id="rId9" w:history="1">
        <w:r w:rsidRPr="00370A84">
          <w:rPr>
            <w:rStyle w:val="Hyperlink"/>
            <w:rFonts w:ascii="Times New Roman" w:hAnsi="Times New Roman" w:cs="Times New Roman"/>
            <w:sz w:val="24"/>
            <w:szCs w:val="24"/>
          </w:rPr>
          <w:t>https://doi.org/10.1001/jama.2022.3703</w:t>
        </w:r>
      </w:hyperlink>
    </w:p>
    <w:p w14:paraId="1AAD3EC9" w14:textId="0F4EC71E"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proofErr w:type="spellStart"/>
      <w:r w:rsidRPr="00370A84">
        <w:rPr>
          <w:rFonts w:ascii="Times New Roman" w:hAnsi="Times New Roman" w:cs="Times New Roman"/>
          <w:sz w:val="24"/>
          <w:szCs w:val="24"/>
        </w:rPr>
        <w:t>Breiman</w:t>
      </w:r>
      <w:proofErr w:type="spellEnd"/>
      <w:r w:rsidRPr="00370A84">
        <w:rPr>
          <w:rFonts w:ascii="Times New Roman" w:hAnsi="Times New Roman" w:cs="Times New Roman"/>
          <w:sz w:val="24"/>
          <w:szCs w:val="24"/>
        </w:rPr>
        <w:t xml:space="preserve">, L. (2001). Random forests. </w:t>
      </w:r>
      <w:r w:rsidRPr="00370A84">
        <w:rPr>
          <w:rFonts w:ascii="Times New Roman" w:hAnsi="Times New Roman" w:cs="Times New Roman"/>
          <w:i/>
          <w:iCs/>
          <w:sz w:val="24"/>
          <w:szCs w:val="24"/>
        </w:rPr>
        <w:t>Machine Learning</w:t>
      </w:r>
      <w:r w:rsidRPr="00370A84">
        <w:rPr>
          <w:rFonts w:ascii="Times New Roman" w:hAnsi="Times New Roman" w:cs="Times New Roman"/>
          <w:sz w:val="24"/>
          <w:szCs w:val="24"/>
        </w:rPr>
        <w:t xml:space="preserve">, 45(1), 5–32. </w:t>
      </w:r>
      <w:hyperlink r:id="rId10" w:history="1">
        <w:r w:rsidRPr="00370A84">
          <w:rPr>
            <w:rStyle w:val="Hyperlink"/>
            <w:rFonts w:ascii="Times New Roman" w:hAnsi="Times New Roman" w:cs="Times New Roman"/>
            <w:sz w:val="24"/>
            <w:szCs w:val="24"/>
          </w:rPr>
          <w:t>https://doi.org/10.1023/A:1010933404324</w:t>
        </w:r>
      </w:hyperlink>
    </w:p>
    <w:p w14:paraId="5A5E5FDF" w14:textId="6289791F"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Chen, T., &amp; </w:t>
      </w:r>
      <w:proofErr w:type="spellStart"/>
      <w:r w:rsidRPr="00370A84">
        <w:rPr>
          <w:rFonts w:ascii="Times New Roman" w:hAnsi="Times New Roman" w:cs="Times New Roman"/>
          <w:sz w:val="24"/>
          <w:szCs w:val="24"/>
        </w:rPr>
        <w:t>Guestrin</w:t>
      </w:r>
      <w:proofErr w:type="spellEnd"/>
      <w:r w:rsidRPr="00370A84">
        <w:rPr>
          <w:rFonts w:ascii="Times New Roman" w:hAnsi="Times New Roman" w:cs="Times New Roman"/>
          <w:sz w:val="24"/>
          <w:szCs w:val="24"/>
        </w:rPr>
        <w:t xml:space="preserve">, C. (2016). </w:t>
      </w:r>
      <w:proofErr w:type="spellStart"/>
      <w:r w:rsidRPr="00370A84">
        <w:rPr>
          <w:rFonts w:ascii="Times New Roman" w:hAnsi="Times New Roman" w:cs="Times New Roman"/>
          <w:sz w:val="24"/>
          <w:szCs w:val="24"/>
        </w:rPr>
        <w:t>XGBoost</w:t>
      </w:r>
      <w:proofErr w:type="spellEnd"/>
      <w:r w:rsidRPr="00370A84">
        <w:rPr>
          <w:rFonts w:ascii="Times New Roman" w:hAnsi="Times New Roman" w:cs="Times New Roman"/>
          <w:sz w:val="24"/>
          <w:szCs w:val="24"/>
        </w:rPr>
        <w:t xml:space="preserve">: A scalable tree boosting system. </w:t>
      </w:r>
      <w:r w:rsidRPr="00370A84">
        <w:rPr>
          <w:rFonts w:ascii="Times New Roman" w:hAnsi="Times New Roman" w:cs="Times New Roman"/>
          <w:i/>
          <w:iCs/>
          <w:sz w:val="24"/>
          <w:szCs w:val="24"/>
        </w:rPr>
        <w:t>Proceedings of the 22nd ACM SIGKDD International Conference on Knowledge Discovery and Data Mining</w:t>
      </w:r>
      <w:r w:rsidRPr="00370A84">
        <w:rPr>
          <w:rFonts w:ascii="Times New Roman" w:hAnsi="Times New Roman" w:cs="Times New Roman"/>
          <w:sz w:val="24"/>
          <w:szCs w:val="24"/>
        </w:rPr>
        <w:t xml:space="preserve">, 785–794. </w:t>
      </w:r>
      <w:hyperlink r:id="rId11" w:tgtFrame="_new" w:history="1">
        <w:r w:rsidRPr="00370A84">
          <w:rPr>
            <w:rStyle w:val="Hyperlink"/>
            <w:rFonts w:ascii="Times New Roman" w:hAnsi="Times New Roman" w:cs="Times New Roman"/>
            <w:sz w:val="24"/>
            <w:szCs w:val="24"/>
          </w:rPr>
          <w:t>https://doi.org/10.1145/2939672.2939785</w:t>
        </w:r>
      </w:hyperlink>
    </w:p>
    <w:p w14:paraId="5CF62958" w14:textId="0AFE3B0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Department of Health, Philippines. (2023). </w:t>
      </w:r>
      <w:r w:rsidRPr="00370A84">
        <w:rPr>
          <w:rFonts w:ascii="Times New Roman" w:hAnsi="Times New Roman" w:cs="Times New Roman"/>
          <w:i/>
          <w:iCs/>
          <w:sz w:val="24"/>
          <w:szCs w:val="24"/>
        </w:rPr>
        <w:t>HIV/AIDS &amp; ART registry of the Philippines 2023 annual report</w:t>
      </w:r>
      <w:r w:rsidRPr="00370A84">
        <w:rPr>
          <w:rFonts w:ascii="Times New Roman" w:hAnsi="Times New Roman" w:cs="Times New Roman"/>
          <w:sz w:val="24"/>
          <w:szCs w:val="24"/>
        </w:rPr>
        <w:t xml:space="preserve">. </w:t>
      </w:r>
      <w:hyperlink r:id="rId12" w:history="1">
        <w:r w:rsidRPr="00370A84">
          <w:rPr>
            <w:rStyle w:val="Hyperlink"/>
            <w:rFonts w:ascii="Times New Roman" w:hAnsi="Times New Roman" w:cs="Times New Roman"/>
            <w:sz w:val="24"/>
            <w:szCs w:val="24"/>
          </w:rPr>
          <w:t>https://www.doh.gov.ph</w:t>
        </w:r>
      </w:hyperlink>
    </w:p>
    <w:p w14:paraId="6FB5944A" w14:textId="0389703E"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Ford, N., Stover, J., Hargreaves, S., et al. (2020). The evolving HIV epidemic in Asia: Implications for treatment and prevention. </w:t>
      </w:r>
      <w:r w:rsidRPr="00370A84">
        <w:rPr>
          <w:rFonts w:ascii="Times New Roman" w:hAnsi="Times New Roman" w:cs="Times New Roman"/>
          <w:i/>
          <w:iCs/>
          <w:sz w:val="24"/>
          <w:szCs w:val="24"/>
        </w:rPr>
        <w:t>The Lancet HIV</w:t>
      </w:r>
      <w:r w:rsidRPr="00370A84">
        <w:rPr>
          <w:rFonts w:ascii="Times New Roman" w:hAnsi="Times New Roman" w:cs="Times New Roman"/>
          <w:sz w:val="24"/>
          <w:szCs w:val="24"/>
        </w:rPr>
        <w:t xml:space="preserve">, 7(9), e614–e625. </w:t>
      </w:r>
      <w:hyperlink r:id="rId13" w:history="1">
        <w:r w:rsidRPr="00370A84">
          <w:rPr>
            <w:rStyle w:val="Hyperlink"/>
            <w:rFonts w:ascii="Times New Roman" w:hAnsi="Times New Roman" w:cs="Times New Roman"/>
            <w:sz w:val="24"/>
            <w:szCs w:val="24"/>
          </w:rPr>
          <w:t>https://doi.org/10.1016/S2352-3018(20)30156-9</w:t>
        </w:r>
      </w:hyperlink>
    </w:p>
    <w:p w14:paraId="0C7208F7" w14:textId="378C2CF1" w:rsid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Huang, Y., Zhang, Y., &amp; Xu, W. (2022). Machine learning applications in HIV clinical care: A review. </w:t>
      </w:r>
      <w:r w:rsidRPr="00370A84">
        <w:rPr>
          <w:rFonts w:ascii="Times New Roman" w:hAnsi="Times New Roman" w:cs="Times New Roman"/>
          <w:i/>
          <w:iCs/>
          <w:sz w:val="24"/>
          <w:szCs w:val="24"/>
        </w:rPr>
        <w:t>BMC Medical Informatics and Decision Making</w:t>
      </w:r>
      <w:r w:rsidRPr="00370A84">
        <w:rPr>
          <w:rFonts w:ascii="Times New Roman" w:hAnsi="Times New Roman" w:cs="Times New Roman"/>
          <w:sz w:val="24"/>
          <w:szCs w:val="24"/>
        </w:rPr>
        <w:t xml:space="preserve">, 22, 201. </w:t>
      </w:r>
      <w:hyperlink r:id="rId14" w:history="1">
        <w:r w:rsidRPr="00370A84">
          <w:rPr>
            <w:rStyle w:val="Hyperlink"/>
            <w:rFonts w:ascii="Times New Roman" w:hAnsi="Times New Roman" w:cs="Times New Roman"/>
            <w:sz w:val="24"/>
            <w:szCs w:val="24"/>
          </w:rPr>
          <w:t>https://doi.org/10.1186/s12911-022-01942-3</w:t>
        </w:r>
      </w:hyperlink>
    </w:p>
    <w:p w14:paraId="54B9B997" w14:textId="77777777" w:rsidR="00370A84" w:rsidRPr="00370A84" w:rsidRDefault="00370A84" w:rsidP="0014296D">
      <w:pPr>
        <w:pStyle w:val="NoSpacing"/>
        <w:tabs>
          <w:tab w:val="left" w:pos="990"/>
        </w:tabs>
        <w:ind w:left="720"/>
        <w:rPr>
          <w:rFonts w:ascii="Times New Roman" w:hAnsi="Times New Roman" w:cs="Times New Roman"/>
          <w:sz w:val="24"/>
          <w:szCs w:val="24"/>
        </w:rPr>
      </w:pPr>
    </w:p>
    <w:p w14:paraId="58FB3748" w14:textId="63E88DC5"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Khoury, M. J., </w:t>
      </w:r>
      <w:proofErr w:type="spellStart"/>
      <w:r w:rsidRPr="00370A84">
        <w:rPr>
          <w:rFonts w:ascii="Times New Roman" w:hAnsi="Times New Roman" w:cs="Times New Roman"/>
          <w:sz w:val="24"/>
          <w:szCs w:val="24"/>
        </w:rPr>
        <w:t>Iademarco</w:t>
      </w:r>
      <w:proofErr w:type="spellEnd"/>
      <w:r w:rsidRPr="00370A84">
        <w:rPr>
          <w:rFonts w:ascii="Times New Roman" w:hAnsi="Times New Roman" w:cs="Times New Roman"/>
          <w:sz w:val="24"/>
          <w:szCs w:val="24"/>
        </w:rPr>
        <w:t xml:space="preserve">, M. F., &amp; Riley, W. T. (2020). Precision public health for the era of precision medicine. </w:t>
      </w:r>
      <w:r w:rsidRPr="00370A84">
        <w:rPr>
          <w:rFonts w:ascii="Times New Roman" w:hAnsi="Times New Roman" w:cs="Times New Roman"/>
          <w:i/>
          <w:iCs/>
          <w:sz w:val="24"/>
          <w:szCs w:val="24"/>
        </w:rPr>
        <w:t>American Journal of Preventive Medicine</w:t>
      </w:r>
      <w:r w:rsidRPr="00370A84">
        <w:rPr>
          <w:rFonts w:ascii="Times New Roman" w:hAnsi="Times New Roman" w:cs="Times New Roman"/>
          <w:sz w:val="24"/>
          <w:szCs w:val="24"/>
        </w:rPr>
        <w:t xml:space="preserve">, 59(2), 271–278. </w:t>
      </w:r>
      <w:hyperlink r:id="rId15" w:history="1">
        <w:r w:rsidRPr="00370A84">
          <w:rPr>
            <w:rStyle w:val="Hyperlink"/>
            <w:rFonts w:ascii="Times New Roman" w:hAnsi="Times New Roman" w:cs="Times New Roman"/>
            <w:sz w:val="24"/>
            <w:szCs w:val="24"/>
          </w:rPr>
          <w:t>https://doi.org/10.1016/j.amepre.2020.03.019</w:t>
        </w:r>
      </w:hyperlink>
    </w:p>
    <w:p w14:paraId="0C3E747D" w14:textId="0AA28C11"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Mills, E. J., </w:t>
      </w:r>
      <w:proofErr w:type="spellStart"/>
      <w:r w:rsidRPr="00370A84">
        <w:rPr>
          <w:rFonts w:ascii="Times New Roman" w:hAnsi="Times New Roman" w:cs="Times New Roman"/>
          <w:sz w:val="24"/>
          <w:szCs w:val="24"/>
        </w:rPr>
        <w:t>Nachega</w:t>
      </w:r>
      <w:proofErr w:type="spellEnd"/>
      <w:r w:rsidRPr="00370A84">
        <w:rPr>
          <w:rFonts w:ascii="Times New Roman" w:hAnsi="Times New Roman" w:cs="Times New Roman"/>
          <w:sz w:val="24"/>
          <w:szCs w:val="24"/>
        </w:rPr>
        <w:t xml:space="preserve">, J. B., Bangsberg, D. R., et al. (2019). Adherence to antiretroviral therapy in sub-Saharan Africa and North America: A meta-analysis. </w:t>
      </w:r>
      <w:r w:rsidRPr="00370A84">
        <w:rPr>
          <w:rFonts w:ascii="Times New Roman" w:hAnsi="Times New Roman" w:cs="Times New Roman"/>
          <w:i/>
          <w:iCs/>
          <w:sz w:val="24"/>
          <w:szCs w:val="24"/>
        </w:rPr>
        <w:t>JAMA</w:t>
      </w:r>
      <w:r w:rsidRPr="00370A84">
        <w:rPr>
          <w:rFonts w:ascii="Times New Roman" w:hAnsi="Times New Roman" w:cs="Times New Roman"/>
          <w:sz w:val="24"/>
          <w:szCs w:val="24"/>
        </w:rPr>
        <w:t xml:space="preserve">, 303(2), 207–217. </w:t>
      </w:r>
      <w:hyperlink r:id="rId16" w:history="1">
        <w:r w:rsidRPr="00370A84">
          <w:rPr>
            <w:rStyle w:val="Hyperlink"/>
            <w:rFonts w:ascii="Times New Roman" w:hAnsi="Times New Roman" w:cs="Times New Roman"/>
            <w:sz w:val="24"/>
            <w:szCs w:val="24"/>
          </w:rPr>
          <w:t>https://doi.org/10.1001/jama.2019.533</w:t>
        </w:r>
      </w:hyperlink>
    </w:p>
    <w:p w14:paraId="7833AFA1" w14:textId="40F9A500"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proofErr w:type="spellStart"/>
      <w:r w:rsidRPr="00370A84">
        <w:rPr>
          <w:rFonts w:ascii="Times New Roman" w:hAnsi="Times New Roman" w:cs="Times New Roman"/>
          <w:sz w:val="24"/>
          <w:szCs w:val="24"/>
        </w:rPr>
        <w:t>Rajkomar</w:t>
      </w:r>
      <w:proofErr w:type="spellEnd"/>
      <w:r w:rsidRPr="00370A84">
        <w:rPr>
          <w:rFonts w:ascii="Times New Roman" w:hAnsi="Times New Roman" w:cs="Times New Roman"/>
          <w:sz w:val="24"/>
          <w:szCs w:val="24"/>
        </w:rPr>
        <w:t xml:space="preserve">, A., Dean, J., &amp; </w:t>
      </w:r>
      <w:proofErr w:type="spellStart"/>
      <w:r w:rsidRPr="00370A84">
        <w:rPr>
          <w:rFonts w:ascii="Times New Roman" w:hAnsi="Times New Roman" w:cs="Times New Roman"/>
          <w:sz w:val="24"/>
          <w:szCs w:val="24"/>
        </w:rPr>
        <w:t>Kohane</w:t>
      </w:r>
      <w:proofErr w:type="spellEnd"/>
      <w:r w:rsidRPr="00370A84">
        <w:rPr>
          <w:rFonts w:ascii="Times New Roman" w:hAnsi="Times New Roman" w:cs="Times New Roman"/>
          <w:sz w:val="24"/>
          <w:szCs w:val="24"/>
        </w:rPr>
        <w:t xml:space="preserve">, I. (2022). Machine learning in medicine. </w:t>
      </w:r>
      <w:r w:rsidRPr="00370A84">
        <w:rPr>
          <w:rFonts w:ascii="Times New Roman" w:hAnsi="Times New Roman" w:cs="Times New Roman"/>
          <w:i/>
          <w:iCs/>
          <w:sz w:val="24"/>
          <w:szCs w:val="24"/>
        </w:rPr>
        <w:t>New England Journal of Medicine</w:t>
      </w:r>
      <w:r w:rsidRPr="00370A84">
        <w:rPr>
          <w:rFonts w:ascii="Times New Roman" w:hAnsi="Times New Roman" w:cs="Times New Roman"/>
          <w:sz w:val="24"/>
          <w:szCs w:val="24"/>
        </w:rPr>
        <w:t xml:space="preserve">, 380(14), 1347–1358. </w:t>
      </w:r>
      <w:hyperlink r:id="rId17" w:tgtFrame="_new" w:history="1">
        <w:r w:rsidRPr="00370A84">
          <w:rPr>
            <w:rStyle w:val="Hyperlink"/>
            <w:rFonts w:ascii="Times New Roman" w:hAnsi="Times New Roman" w:cs="Times New Roman"/>
            <w:sz w:val="24"/>
            <w:szCs w:val="24"/>
          </w:rPr>
          <w:t>https://doi.org/10.1056/NEJMra1814259</w:t>
        </w:r>
      </w:hyperlink>
    </w:p>
    <w:p w14:paraId="1098EC2A" w14:textId="67667CE6"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Shaban-Nejad, A., Michalowski, M., &amp; Buckeridge, D. L. (2021). Artificial intelligence and public health: Opportunities and challenges. </w:t>
      </w:r>
      <w:r w:rsidRPr="00370A84">
        <w:rPr>
          <w:rFonts w:ascii="Times New Roman" w:hAnsi="Times New Roman" w:cs="Times New Roman"/>
          <w:i/>
          <w:iCs/>
          <w:sz w:val="24"/>
          <w:szCs w:val="24"/>
        </w:rPr>
        <w:t>Annual Review of Public Health</w:t>
      </w:r>
      <w:r w:rsidRPr="00370A84">
        <w:rPr>
          <w:rFonts w:ascii="Times New Roman" w:hAnsi="Times New Roman" w:cs="Times New Roman"/>
          <w:sz w:val="24"/>
          <w:szCs w:val="24"/>
        </w:rPr>
        <w:t xml:space="preserve">, 42, 123–137. </w:t>
      </w:r>
      <w:hyperlink r:id="rId18" w:history="1">
        <w:r w:rsidRPr="00370A84">
          <w:rPr>
            <w:rStyle w:val="Hyperlink"/>
            <w:rFonts w:ascii="Times New Roman" w:hAnsi="Times New Roman" w:cs="Times New Roman"/>
            <w:sz w:val="24"/>
            <w:szCs w:val="24"/>
          </w:rPr>
          <w:t>https://doi.org/10.1146/annurev-publhealth-090419-102446</w:t>
        </w:r>
      </w:hyperlink>
    </w:p>
    <w:p w14:paraId="1860FB43" w14:textId="367A02D1"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Topol, E. J. (2023). Deep medicine: How artificial intelligence can make healthcare human again. Basic Books.</w:t>
      </w:r>
    </w:p>
    <w:p w14:paraId="44E044A1" w14:textId="57E73ECD" w:rsidR="0014296D"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UNAIDS. (2024). </w:t>
      </w:r>
      <w:r w:rsidRPr="00370A84">
        <w:rPr>
          <w:rFonts w:ascii="Times New Roman" w:hAnsi="Times New Roman" w:cs="Times New Roman"/>
          <w:i/>
          <w:iCs/>
          <w:sz w:val="24"/>
          <w:szCs w:val="24"/>
        </w:rPr>
        <w:t>Global HIV &amp; AIDS statistics—2024 fact sheet</w:t>
      </w:r>
      <w:r w:rsidRPr="00370A84">
        <w:rPr>
          <w:rFonts w:ascii="Times New Roman" w:hAnsi="Times New Roman" w:cs="Times New Roman"/>
          <w:sz w:val="24"/>
          <w:szCs w:val="24"/>
        </w:rPr>
        <w:t xml:space="preserve">. </w:t>
      </w:r>
      <w:hyperlink r:id="rId19" w:tgtFrame="_new" w:history="1">
        <w:r w:rsidRPr="00370A84">
          <w:rPr>
            <w:rStyle w:val="Hyperlink"/>
            <w:rFonts w:ascii="Times New Roman" w:hAnsi="Times New Roman" w:cs="Times New Roman"/>
            <w:sz w:val="24"/>
            <w:szCs w:val="24"/>
          </w:rPr>
          <w:t>https://www.unaids.org/en/resources/fact-sheet</w:t>
        </w:r>
      </w:hyperlink>
    </w:p>
    <w:p w14:paraId="67F8F014" w14:textId="77777777" w:rsidR="00370A84" w:rsidRPr="00370A84" w:rsidRDefault="00370A84" w:rsidP="0014296D">
      <w:pPr>
        <w:pStyle w:val="NoSpacing"/>
        <w:numPr>
          <w:ilvl w:val="0"/>
          <w:numId w:val="3"/>
        </w:numPr>
        <w:tabs>
          <w:tab w:val="left" w:pos="990"/>
        </w:tabs>
        <w:rPr>
          <w:rFonts w:ascii="Times New Roman" w:hAnsi="Times New Roman" w:cs="Times New Roman"/>
          <w:sz w:val="24"/>
          <w:szCs w:val="24"/>
        </w:rPr>
      </w:pPr>
      <w:r w:rsidRPr="00370A84">
        <w:rPr>
          <w:rFonts w:ascii="Times New Roman" w:hAnsi="Times New Roman" w:cs="Times New Roman"/>
          <w:sz w:val="24"/>
          <w:szCs w:val="24"/>
        </w:rPr>
        <w:t xml:space="preserve">World Health Organization. (2023). </w:t>
      </w:r>
      <w:r w:rsidRPr="00370A84">
        <w:rPr>
          <w:rFonts w:ascii="Times New Roman" w:hAnsi="Times New Roman" w:cs="Times New Roman"/>
          <w:i/>
          <w:iCs/>
          <w:sz w:val="24"/>
          <w:szCs w:val="24"/>
        </w:rPr>
        <w:t>Consolidated guidelines on HIV prevention, diagnosis, treatment, and care for key populations</w:t>
      </w:r>
      <w:r w:rsidRPr="00370A84">
        <w:rPr>
          <w:rFonts w:ascii="Times New Roman" w:hAnsi="Times New Roman" w:cs="Times New Roman"/>
          <w:sz w:val="24"/>
          <w:szCs w:val="24"/>
        </w:rPr>
        <w:t xml:space="preserve">. WHO Press. </w:t>
      </w:r>
      <w:hyperlink r:id="rId20" w:tgtFrame="_new" w:history="1">
        <w:r w:rsidRPr="00370A84">
          <w:rPr>
            <w:rStyle w:val="Hyperlink"/>
            <w:rFonts w:ascii="Times New Roman" w:hAnsi="Times New Roman" w:cs="Times New Roman"/>
            <w:sz w:val="24"/>
            <w:szCs w:val="24"/>
          </w:rPr>
          <w:t>https://www.who.int</w:t>
        </w:r>
      </w:hyperlink>
    </w:p>
    <w:p w14:paraId="221B42CD" w14:textId="77777777" w:rsidR="00370A84" w:rsidRPr="00370A84" w:rsidRDefault="00370A84" w:rsidP="00EA68C4">
      <w:pPr>
        <w:pStyle w:val="NoSpacing"/>
        <w:rPr>
          <w:rFonts w:ascii="Times New Roman" w:hAnsi="Times New Roman" w:cs="Times New Roman"/>
          <w:b/>
          <w:bCs/>
          <w:sz w:val="24"/>
          <w:szCs w:val="24"/>
        </w:rPr>
      </w:pPr>
    </w:p>
    <w:p w14:paraId="2BCC9901" w14:textId="77777777" w:rsidR="00370A84" w:rsidRPr="00370A84" w:rsidRDefault="00370A84" w:rsidP="00EA68C4">
      <w:pPr>
        <w:pStyle w:val="NoSpacing"/>
        <w:rPr>
          <w:rFonts w:ascii="Times New Roman" w:hAnsi="Times New Roman" w:cs="Times New Roman"/>
          <w:sz w:val="24"/>
          <w:szCs w:val="24"/>
        </w:rPr>
      </w:pPr>
    </w:p>
    <w:sectPr w:rsidR="00370A84" w:rsidRPr="00370A84" w:rsidSect="00EA68C4">
      <w:pgSz w:w="11906" w:h="16838" w:code="9"/>
      <w:pgMar w:top="1080" w:right="605" w:bottom="850" w:left="605" w:header="346"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9D0FB" w14:textId="77777777" w:rsidR="008B4B97" w:rsidRDefault="008B4B97" w:rsidP="00EA68C4">
      <w:pPr>
        <w:spacing w:after="0" w:line="240" w:lineRule="auto"/>
      </w:pPr>
      <w:r>
        <w:separator/>
      </w:r>
    </w:p>
  </w:endnote>
  <w:endnote w:type="continuationSeparator" w:id="0">
    <w:p w14:paraId="0A82D919" w14:textId="77777777" w:rsidR="008B4B97" w:rsidRDefault="008B4B97" w:rsidP="00EA68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54D58" w14:textId="77777777" w:rsidR="008B4B97" w:rsidRDefault="008B4B97" w:rsidP="00EA68C4">
      <w:pPr>
        <w:spacing w:after="0" w:line="240" w:lineRule="auto"/>
      </w:pPr>
      <w:r>
        <w:separator/>
      </w:r>
    </w:p>
  </w:footnote>
  <w:footnote w:type="continuationSeparator" w:id="0">
    <w:p w14:paraId="5937AFE8" w14:textId="77777777" w:rsidR="008B4B97" w:rsidRDefault="008B4B97" w:rsidP="00EA68C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C2163"/>
    <w:multiLevelType w:val="multilevel"/>
    <w:tmpl w:val="F852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FA0068"/>
    <w:multiLevelType w:val="hybridMultilevel"/>
    <w:tmpl w:val="857C5EAA"/>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6FBE2315"/>
    <w:multiLevelType w:val="hybridMultilevel"/>
    <w:tmpl w:val="460A6A8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16cid:durableId="2031224267">
    <w:abstractNumId w:val="0"/>
  </w:num>
  <w:num w:numId="2" w16cid:durableId="889194440">
    <w:abstractNumId w:val="1"/>
  </w:num>
  <w:num w:numId="3" w16cid:durableId="1532187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C4"/>
    <w:rsid w:val="00007755"/>
    <w:rsid w:val="000E468B"/>
    <w:rsid w:val="0014296D"/>
    <w:rsid w:val="00146017"/>
    <w:rsid w:val="00227186"/>
    <w:rsid w:val="002546B5"/>
    <w:rsid w:val="00370A84"/>
    <w:rsid w:val="004E3DDA"/>
    <w:rsid w:val="005B1DEF"/>
    <w:rsid w:val="007061A2"/>
    <w:rsid w:val="007C1FB6"/>
    <w:rsid w:val="008B4B97"/>
    <w:rsid w:val="00EA68C4"/>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D2646"/>
  <w15:chartTrackingRefBased/>
  <w15:docId w15:val="{EEFAE273-2DF4-497A-82FD-383033B9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68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68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68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68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68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68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68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68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68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68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68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68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68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68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68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68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68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68C4"/>
    <w:rPr>
      <w:rFonts w:eastAsiaTheme="majorEastAsia" w:cstheme="majorBidi"/>
      <w:color w:val="272727" w:themeColor="text1" w:themeTint="D8"/>
    </w:rPr>
  </w:style>
  <w:style w:type="paragraph" w:styleId="Title">
    <w:name w:val="Title"/>
    <w:basedOn w:val="Normal"/>
    <w:next w:val="Normal"/>
    <w:link w:val="TitleChar"/>
    <w:uiPriority w:val="10"/>
    <w:qFormat/>
    <w:rsid w:val="00EA6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68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68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68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68C4"/>
    <w:pPr>
      <w:spacing w:before="160"/>
      <w:jc w:val="center"/>
    </w:pPr>
    <w:rPr>
      <w:i/>
      <w:iCs/>
      <w:color w:val="404040" w:themeColor="text1" w:themeTint="BF"/>
    </w:rPr>
  </w:style>
  <w:style w:type="character" w:customStyle="1" w:styleId="QuoteChar">
    <w:name w:val="Quote Char"/>
    <w:basedOn w:val="DefaultParagraphFont"/>
    <w:link w:val="Quote"/>
    <w:uiPriority w:val="29"/>
    <w:rsid w:val="00EA68C4"/>
    <w:rPr>
      <w:i/>
      <w:iCs/>
      <w:color w:val="404040" w:themeColor="text1" w:themeTint="BF"/>
    </w:rPr>
  </w:style>
  <w:style w:type="paragraph" w:styleId="ListParagraph">
    <w:name w:val="List Paragraph"/>
    <w:basedOn w:val="Normal"/>
    <w:uiPriority w:val="34"/>
    <w:qFormat/>
    <w:rsid w:val="00EA68C4"/>
    <w:pPr>
      <w:ind w:left="720"/>
      <w:contextualSpacing/>
    </w:pPr>
  </w:style>
  <w:style w:type="character" w:styleId="IntenseEmphasis">
    <w:name w:val="Intense Emphasis"/>
    <w:basedOn w:val="DefaultParagraphFont"/>
    <w:uiPriority w:val="21"/>
    <w:qFormat/>
    <w:rsid w:val="00EA68C4"/>
    <w:rPr>
      <w:i/>
      <w:iCs/>
      <w:color w:val="2F5496" w:themeColor="accent1" w:themeShade="BF"/>
    </w:rPr>
  </w:style>
  <w:style w:type="paragraph" w:styleId="IntenseQuote">
    <w:name w:val="Intense Quote"/>
    <w:basedOn w:val="Normal"/>
    <w:next w:val="Normal"/>
    <w:link w:val="IntenseQuoteChar"/>
    <w:uiPriority w:val="30"/>
    <w:qFormat/>
    <w:rsid w:val="00EA68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68C4"/>
    <w:rPr>
      <w:i/>
      <w:iCs/>
      <w:color w:val="2F5496" w:themeColor="accent1" w:themeShade="BF"/>
    </w:rPr>
  </w:style>
  <w:style w:type="character" w:styleId="IntenseReference">
    <w:name w:val="Intense Reference"/>
    <w:basedOn w:val="DefaultParagraphFont"/>
    <w:uiPriority w:val="32"/>
    <w:qFormat/>
    <w:rsid w:val="00EA68C4"/>
    <w:rPr>
      <w:b/>
      <w:bCs/>
      <w:smallCaps/>
      <w:color w:val="2F5496" w:themeColor="accent1" w:themeShade="BF"/>
      <w:spacing w:val="5"/>
    </w:rPr>
  </w:style>
  <w:style w:type="paragraph" w:styleId="NoSpacing">
    <w:name w:val="No Spacing"/>
    <w:uiPriority w:val="1"/>
    <w:qFormat/>
    <w:rsid w:val="00EA68C4"/>
    <w:pPr>
      <w:spacing w:after="0" w:line="240" w:lineRule="auto"/>
    </w:pPr>
  </w:style>
  <w:style w:type="paragraph" w:styleId="Header">
    <w:name w:val="header"/>
    <w:basedOn w:val="Normal"/>
    <w:link w:val="HeaderChar"/>
    <w:uiPriority w:val="99"/>
    <w:unhideWhenUsed/>
    <w:rsid w:val="00EA68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8C4"/>
  </w:style>
  <w:style w:type="paragraph" w:styleId="Footer">
    <w:name w:val="footer"/>
    <w:basedOn w:val="Normal"/>
    <w:link w:val="FooterChar"/>
    <w:uiPriority w:val="99"/>
    <w:unhideWhenUsed/>
    <w:rsid w:val="00EA68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8C4"/>
  </w:style>
  <w:style w:type="character" w:styleId="Hyperlink">
    <w:name w:val="Hyperlink"/>
    <w:basedOn w:val="DefaultParagraphFont"/>
    <w:uiPriority w:val="99"/>
    <w:unhideWhenUsed/>
    <w:rsid w:val="00370A84"/>
    <w:rPr>
      <w:color w:val="0563C1" w:themeColor="hyperlink"/>
      <w:u w:val="single"/>
    </w:rPr>
  </w:style>
  <w:style w:type="character" w:styleId="UnresolvedMention">
    <w:name w:val="Unresolved Mention"/>
    <w:basedOn w:val="DefaultParagraphFont"/>
    <w:uiPriority w:val="99"/>
    <w:semiHidden/>
    <w:unhideWhenUsed/>
    <w:rsid w:val="00370A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016/S2352-3018(20)30156-9" TargetMode="External"/><Relationship Id="rId18" Type="http://schemas.openxmlformats.org/officeDocument/2006/relationships/hyperlink" Target="https://doi.org/10.1146/annurev-publhealth-090419-10244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s://www.doh.gov.ph" TargetMode="External"/><Relationship Id="rId17" Type="http://schemas.openxmlformats.org/officeDocument/2006/relationships/hyperlink" Target="https://doi.org/10.1056/NEJMra1814259" TargetMode="External"/><Relationship Id="rId2" Type="http://schemas.openxmlformats.org/officeDocument/2006/relationships/styles" Target="styles.xml"/><Relationship Id="rId16" Type="http://schemas.openxmlformats.org/officeDocument/2006/relationships/hyperlink" Target="https://doi.org/10.1001/jama.2019.533" TargetMode="External"/><Relationship Id="rId20" Type="http://schemas.openxmlformats.org/officeDocument/2006/relationships/hyperlink" Target="https://www.who.i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45/2939672.2939785" TargetMode="External"/><Relationship Id="rId5" Type="http://schemas.openxmlformats.org/officeDocument/2006/relationships/footnotes" Target="footnotes.xml"/><Relationship Id="rId15" Type="http://schemas.openxmlformats.org/officeDocument/2006/relationships/hyperlink" Target="https://doi.org/10.1016/j.amepre.2020.03.019" TargetMode="External"/><Relationship Id="rId10" Type="http://schemas.openxmlformats.org/officeDocument/2006/relationships/hyperlink" Target="https://doi.org/10.1023/A:1010933404324" TargetMode="External"/><Relationship Id="rId19" Type="http://schemas.openxmlformats.org/officeDocument/2006/relationships/hyperlink" Target="https://www.unaids.org/en/resources/fact-sheet" TargetMode="External"/><Relationship Id="rId4" Type="http://schemas.openxmlformats.org/officeDocument/2006/relationships/webSettings" Target="webSettings.xml"/><Relationship Id="rId9" Type="http://schemas.openxmlformats.org/officeDocument/2006/relationships/hyperlink" Target="https://doi.org/10.1001/jama.2022.3703" TargetMode="External"/><Relationship Id="rId14" Type="http://schemas.openxmlformats.org/officeDocument/2006/relationships/hyperlink" Target="https://doi.org/10.1186/s12911-022-01942-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10</Pages>
  <Words>4774</Words>
  <Characters>27215</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Lucero</dc:creator>
  <cp:keywords/>
  <dc:description/>
  <cp:lastModifiedBy>Jeffrey Lucero</cp:lastModifiedBy>
  <cp:revision>1</cp:revision>
  <dcterms:created xsi:type="dcterms:W3CDTF">2026-03-15T07:17:00Z</dcterms:created>
  <dcterms:modified xsi:type="dcterms:W3CDTF">2026-03-15T12:25:00Z</dcterms:modified>
</cp:coreProperties>
</file>