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C84F5" w14:textId="32C588B8" w:rsidR="00342AF5" w:rsidRDefault="00342AF5" w:rsidP="00342AF5">
      <w:pPr>
        <w:spacing w:after="0" w:line="240" w:lineRule="auto"/>
        <w:jc w:val="center"/>
        <w:outlineLvl w:val="0"/>
        <w:rPr>
          <w:rFonts w:ascii="Times New Roman" w:eastAsia="Times New Roman" w:hAnsi="Times New Roman" w:cs="Times New Roman"/>
          <w:b/>
          <w:bCs/>
          <w:kern w:val="36"/>
          <w:sz w:val="36"/>
          <w:szCs w:val="36"/>
        </w:rPr>
      </w:pPr>
      <w:r w:rsidRPr="00342AF5">
        <w:rPr>
          <w:rFonts w:ascii="Times New Roman" w:eastAsia="Times New Roman" w:hAnsi="Times New Roman" w:cs="Times New Roman"/>
          <w:b/>
          <w:bCs/>
          <w:kern w:val="36"/>
          <w:sz w:val="36"/>
          <w:szCs w:val="36"/>
        </w:rPr>
        <w:t>Evolving Landscape of Good Clinical Practice in Clinical Trials: Challenges and Future Perspectives</w:t>
      </w:r>
    </w:p>
    <w:p w14:paraId="5F1ACA44" w14:textId="77777777" w:rsidR="00342AF5" w:rsidRDefault="00342AF5" w:rsidP="00342AF5">
      <w:pPr>
        <w:spacing w:after="0" w:line="240" w:lineRule="auto"/>
        <w:jc w:val="center"/>
        <w:outlineLvl w:val="0"/>
        <w:rPr>
          <w:rFonts w:ascii="Times New Roman" w:eastAsia="Times New Roman" w:hAnsi="Times New Roman" w:cs="Times New Roman"/>
          <w:b/>
          <w:bCs/>
          <w:kern w:val="36"/>
          <w:sz w:val="36"/>
          <w:szCs w:val="36"/>
        </w:rPr>
      </w:pPr>
    </w:p>
    <w:p w14:paraId="3F6556FD" w14:textId="6A766E9E" w:rsidR="00342AF5" w:rsidRDefault="00342AF5" w:rsidP="00342AF5">
      <w:pPr>
        <w:spacing w:after="0" w:line="240" w:lineRule="auto"/>
        <w:jc w:val="center"/>
        <w:outlineLvl w:val="0"/>
        <w:rPr>
          <w:rFonts w:ascii="Times New Roman" w:eastAsia="Times New Roman" w:hAnsi="Times New Roman" w:cs="Times New Roman"/>
          <w:b/>
          <w:bCs/>
          <w:kern w:val="36"/>
          <w:sz w:val="24"/>
          <w:szCs w:val="24"/>
          <w:vertAlign w:val="superscript"/>
        </w:rPr>
      </w:pPr>
      <w:r w:rsidRPr="00342AF5">
        <w:rPr>
          <w:rFonts w:ascii="Times New Roman" w:eastAsia="Times New Roman" w:hAnsi="Times New Roman" w:cs="Times New Roman"/>
          <w:b/>
          <w:bCs/>
          <w:kern w:val="36"/>
          <w:sz w:val="24"/>
          <w:szCs w:val="24"/>
        </w:rPr>
        <w:t>Nitesh Prasad Sah</w:t>
      </w:r>
      <w:r w:rsidRPr="00342AF5">
        <w:rPr>
          <w:rFonts w:ascii="Times New Roman" w:eastAsia="Times New Roman" w:hAnsi="Times New Roman" w:cs="Times New Roman"/>
          <w:b/>
          <w:bCs/>
          <w:kern w:val="36"/>
          <w:sz w:val="24"/>
          <w:szCs w:val="24"/>
          <w:vertAlign w:val="superscript"/>
        </w:rPr>
        <w:t>1</w:t>
      </w:r>
      <w:r w:rsidRPr="00342AF5">
        <w:rPr>
          <w:rFonts w:ascii="Times New Roman" w:eastAsia="Times New Roman" w:hAnsi="Times New Roman" w:cs="Times New Roman"/>
          <w:b/>
          <w:bCs/>
          <w:kern w:val="36"/>
          <w:sz w:val="24"/>
          <w:szCs w:val="24"/>
        </w:rPr>
        <w:t>, Shivani</w:t>
      </w:r>
      <w:r w:rsidRPr="00342AF5">
        <w:rPr>
          <w:rFonts w:ascii="Times New Roman" w:eastAsia="Times New Roman" w:hAnsi="Times New Roman" w:cs="Times New Roman"/>
          <w:b/>
          <w:bCs/>
          <w:kern w:val="36"/>
          <w:sz w:val="24"/>
          <w:szCs w:val="24"/>
          <w:vertAlign w:val="superscript"/>
        </w:rPr>
        <w:t>2</w:t>
      </w:r>
      <w:r w:rsidRPr="00342AF5">
        <w:rPr>
          <w:rFonts w:ascii="Times New Roman" w:eastAsia="Times New Roman" w:hAnsi="Times New Roman" w:cs="Times New Roman"/>
          <w:b/>
          <w:bCs/>
          <w:kern w:val="36"/>
          <w:sz w:val="24"/>
          <w:szCs w:val="24"/>
        </w:rPr>
        <w:t>, Himanshu Yadav</w:t>
      </w:r>
      <w:r w:rsidRPr="00342AF5">
        <w:rPr>
          <w:rFonts w:ascii="Times New Roman" w:eastAsia="Times New Roman" w:hAnsi="Times New Roman" w:cs="Times New Roman"/>
          <w:b/>
          <w:bCs/>
          <w:kern w:val="36"/>
          <w:sz w:val="24"/>
          <w:szCs w:val="24"/>
          <w:vertAlign w:val="superscript"/>
        </w:rPr>
        <w:t>3</w:t>
      </w:r>
    </w:p>
    <w:p w14:paraId="5C7E99B5" w14:textId="77777777" w:rsidR="00342AF5" w:rsidRDefault="00342AF5" w:rsidP="00342AF5">
      <w:pPr>
        <w:spacing w:after="0" w:line="240" w:lineRule="auto"/>
        <w:jc w:val="center"/>
        <w:outlineLvl w:val="0"/>
        <w:rPr>
          <w:rFonts w:ascii="Times New Roman" w:eastAsia="Times New Roman" w:hAnsi="Times New Roman" w:cs="Times New Roman"/>
          <w:b/>
          <w:bCs/>
          <w:kern w:val="36"/>
          <w:sz w:val="24"/>
          <w:szCs w:val="24"/>
          <w:vertAlign w:val="superscript"/>
        </w:rPr>
      </w:pPr>
    </w:p>
    <w:p w14:paraId="52801E6B" w14:textId="417881E1" w:rsidR="00342AF5" w:rsidRDefault="00342AF5" w:rsidP="00770097">
      <w:pPr>
        <w:spacing w:after="240" w:line="240" w:lineRule="auto"/>
        <w:jc w:val="center"/>
        <w:rPr>
          <w:rFonts w:ascii="Times New Roman" w:hAnsi="Times New Roman" w:cs="Times New Roman"/>
          <w:b/>
          <w:sz w:val="24"/>
          <w:szCs w:val="24"/>
        </w:rPr>
      </w:pPr>
      <w:r>
        <w:rPr>
          <w:rFonts w:ascii="Times New Roman" w:eastAsia="Times New Roman" w:hAnsi="Times New Roman" w:cs="Times New Roman"/>
          <w:b/>
          <w:bCs/>
          <w:kern w:val="36"/>
          <w:sz w:val="24"/>
          <w:szCs w:val="24"/>
          <w:vertAlign w:val="superscript"/>
        </w:rPr>
        <w:t xml:space="preserve">1 </w:t>
      </w:r>
      <w:r>
        <w:rPr>
          <w:rFonts w:ascii="Times New Roman" w:hAnsi="Times New Roman" w:cs="Times New Roman"/>
          <w:b/>
          <w:sz w:val="24"/>
          <w:szCs w:val="24"/>
        </w:rPr>
        <w:t xml:space="preserve">Fortis Healthcare Research Foundation, Gurugram, Haryana, </w:t>
      </w:r>
      <w:r w:rsidR="00770097">
        <w:rPr>
          <w:rFonts w:ascii="Times New Roman" w:hAnsi="Times New Roman" w:cs="Times New Roman"/>
          <w:b/>
          <w:sz w:val="24"/>
          <w:szCs w:val="24"/>
        </w:rPr>
        <w:t>India Department</w:t>
      </w:r>
      <w:r>
        <w:rPr>
          <w:rFonts w:ascii="Times New Roman" w:hAnsi="Times New Roman" w:cs="Times New Roman"/>
          <w:b/>
          <w:sz w:val="24"/>
          <w:szCs w:val="24"/>
        </w:rPr>
        <w:t xml:space="preserve"> of Clinical </w:t>
      </w:r>
      <w:r>
        <w:rPr>
          <w:rFonts w:ascii="Times New Roman" w:hAnsi="Times New Roman" w:cs="Times New Roman"/>
          <w:b/>
          <w:sz w:val="24"/>
          <w:szCs w:val="24"/>
        </w:rPr>
        <w:t>Research, Fortis</w:t>
      </w:r>
      <w:r>
        <w:rPr>
          <w:rFonts w:ascii="Times New Roman" w:hAnsi="Times New Roman" w:cs="Times New Roman"/>
          <w:b/>
          <w:sz w:val="24"/>
          <w:szCs w:val="24"/>
        </w:rPr>
        <w:t xml:space="preserve"> Flt. Lt. Rajan Dhall Hospital, New Delhi 110070</w:t>
      </w:r>
    </w:p>
    <w:p w14:paraId="29A31939" w14:textId="489EE4C9" w:rsidR="00342AF5" w:rsidRDefault="00342AF5" w:rsidP="00342AF5">
      <w:pPr>
        <w:spacing w:after="24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 xml:space="preserve">Department of </w:t>
      </w:r>
      <w:r w:rsidR="002815CD">
        <w:rPr>
          <w:rFonts w:ascii="Times New Roman" w:hAnsi="Times New Roman" w:cs="Times New Roman"/>
          <w:b/>
          <w:sz w:val="24"/>
          <w:szCs w:val="24"/>
        </w:rPr>
        <w:t>Rheumatology, All</w:t>
      </w:r>
      <w:r w:rsidR="00770097">
        <w:rPr>
          <w:rFonts w:ascii="Times New Roman" w:hAnsi="Times New Roman" w:cs="Times New Roman"/>
          <w:b/>
          <w:sz w:val="24"/>
          <w:szCs w:val="24"/>
        </w:rPr>
        <w:t xml:space="preserve"> India Institute of Medical Science New Delhi 1100</w:t>
      </w:r>
      <w:r w:rsidR="00B518B6">
        <w:rPr>
          <w:rFonts w:ascii="Times New Roman" w:hAnsi="Times New Roman" w:cs="Times New Roman"/>
          <w:b/>
          <w:sz w:val="24"/>
          <w:szCs w:val="24"/>
        </w:rPr>
        <w:t>29</w:t>
      </w:r>
    </w:p>
    <w:p w14:paraId="48C46896" w14:textId="49963174" w:rsidR="00342AF5" w:rsidRPr="00342AF5" w:rsidRDefault="00770097" w:rsidP="00770097">
      <w:pPr>
        <w:spacing w:after="240" w:line="240" w:lineRule="auto"/>
        <w:jc w:val="center"/>
        <w:rPr>
          <w:rFonts w:ascii="Times New Roman" w:eastAsia="Times New Roman" w:hAnsi="Times New Roman" w:cs="Times New Roman"/>
          <w:b/>
          <w:bCs/>
          <w:kern w:val="36"/>
          <w:sz w:val="24"/>
          <w:szCs w:val="24"/>
          <w:vertAlign w:val="superscript"/>
        </w:rPr>
      </w:pPr>
      <w:r>
        <w:rPr>
          <w:rFonts w:ascii="Times New Roman" w:hAnsi="Times New Roman" w:cs="Times New Roman"/>
          <w:b/>
          <w:sz w:val="24"/>
          <w:szCs w:val="24"/>
          <w:vertAlign w:val="superscript"/>
        </w:rPr>
        <w:t xml:space="preserve">3 </w:t>
      </w:r>
      <w:r>
        <w:rPr>
          <w:rFonts w:ascii="Times New Roman" w:hAnsi="Times New Roman" w:cs="Times New Roman"/>
          <w:b/>
          <w:sz w:val="24"/>
          <w:szCs w:val="24"/>
        </w:rPr>
        <w:t xml:space="preserve">Department of </w:t>
      </w:r>
      <w:r w:rsidR="006F5497">
        <w:rPr>
          <w:rFonts w:ascii="Times New Roman" w:hAnsi="Times New Roman" w:cs="Times New Roman"/>
          <w:b/>
          <w:sz w:val="24"/>
          <w:szCs w:val="24"/>
        </w:rPr>
        <w:t>Q</w:t>
      </w:r>
      <w:r>
        <w:rPr>
          <w:rFonts w:ascii="Times New Roman" w:hAnsi="Times New Roman" w:cs="Times New Roman"/>
          <w:b/>
          <w:sz w:val="24"/>
          <w:szCs w:val="24"/>
        </w:rPr>
        <w:t>uality assurance</w:t>
      </w:r>
      <w:r w:rsidR="002815CD">
        <w:rPr>
          <w:rFonts w:ascii="Times New Roman" w:hAnsi="Times New Roman" w:cs="Times New Roman"/>
          <w:b/>
          <w:sz w:val="24"/>
          <w:szCs w:val="24"/>
        </w:rPr>
        <w:t>,</w:t>
      </w:r>
      <w:r>
        <w:rPr>
          <w:rFonts w:ascii="Times New Roman" w:hAnsi="Times New Roman" w:cs="Times New Roman"/>
          <w:b/>
          <w:sz w:val="24"/>
          <w:szCs w:val="24"/>
        </w:rPr>
        <w:t xml:space="preserve"> Biosite Research </w:t>
      </w:r>
      <w:r w:rsidR="006F5497">
        <w:rPr>
          <w:rFonts w:ascii="Times New Roman" w:hAnsi="Times New Roman" w:cs="Times New Roman"/>
          <w:b/>
          <w:sz w:val="24"/>
          <w:szCs w:val="24"/>
        </w:rPr>
        <w:t>Bangalore 560078</w:t>
      </w:r>
    </w:p>
    <w:p w14:paraId="46A953C6" w14:textId="77777777" w:rsidR="00342AF5" w:rsidRPr="00342AF5" w:rsidRDefault="00342AF5" w:rsidP="00342AF5">
      <w:pPr>
        <w:spacing w:after="0" w:line="240" w:lineRule="auto"/>
        <w:jc w:val="center"/>
        <w:outlineLvl w:val="0"/>
        <w:rPr>
          <w:rFonts w:ascii="Times New Roman" w:eastAsia="Times New Roman" w:hAnsi="Times New Roman" w:cs="Times New Roman"/>
          <w:b/>
          <w:bCs/>
          <w:kern w:val="36"/>
          <w:sz w:val="36"/>
          <w:szCs w:val="36"/>
        </w:rPr>
      </w:pPr>
    </w:p>
    <w:p w14:paraId="7C356A64"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Abstract</w:t>
      </w:r>
    </w:p>
    <w:p w14:paraId="283F71CB"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Good Clinical Practice (GCP) serves as the ethical and scientific foundation for conducting clinical trials involving human participants. Over the last decade, clinical research has undergone remarkable transformation due to globalization, technological advancement, decentralized trial models, and evolving regulatory expectations. Modern clinical trials increasingly rely on digital technologies, electronic data systems, artificial intelligence, and remote patient monitoring, creating both opportunities and challenges for researchers and regulatory authorities. Key concerns include increasing protocol complexity, participant safety, informed consent in digital environments, data integrity, cybersecurity, and harmonisation of international regulations. Recent updates in International Council for Harmonisation (ICH) guidelines, particularly ICH E6(R3), emphasize risk-based quality management and patient-centered approaches to clinical research. This review discusses the current challenges in implementing GCP, recent regulatory developments, and future perspectives shaping contemporary clinical trials. Understanding these evolving trends is essential for ensuring ethical conduct, regulatory compliance, and high-quality clinical research.</w:t>
      </w:r>
    </w:p>
    <w:p w14:paraId="24FD4F24" w14:textId="2298A8A3" w:rsidR="00342AF5" w:rsidRPr="00342AF5" w:rsidRDefault="00342AF5" w:rsidP="00342AF5">
      <w:pPr>
        <w:spacing w:after="0" w:line="240" w:lineRule="auto"/>
        <w:rPr>
          <w:rFonts w:ascii="Times New Roman" w:eastAsia="Times New Roman" w:hAnsi="Times New Roman" w:cs="Times New Roman"/>
          <w:sz w:val="24"/>
          <w:szCs w:val="24"/>
        </w:rPr>
      </w:pPr>
    </w:p>
    <w:p w14:paraId="24D1DC1D"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Keywords</w:t>
      </w:r>
    </w:p>
    <w:p w14:paraId="21F61BAE"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Good Clinical Practice; Clinical Trials; Research Ethics; Regulatory Affairs; ICH-GCP; Patient Safety; Informed Consent; Clinical Research; Regulatory Compliance; Digital Clinical Trials</w:t>
      </w:r>
    </w:p>
    <w:p w14:paraId="79909F33" w14:textId="738298D8" w:rsidR="00342AF5" w:rsidRPr="00342AF5" w:rsidRDefault="00342AF5" w:rsidP="00342AF5">
      <w:pPr>
        <w:spacing w:after="0" w:line="240" w:lineRule="auto"/>
        <w:rPr>
          <w:rFonts w:ascii="Times New Roman" w:eastAsia="Times New Roman" w:hAnsi="Times New Roman" w:cs="Times New Roman"/>
          <w:sz w:val="24"/>
          <w:szCs w:val="24"/>
        </w:rPr>
      </w:pPr>
    </w:p>
    <w:p w14:paraId="3C38622F"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Introduction</w:t>
      </w:r>
    </w:p>
    <w:p w14:paraId="5A1B8C40"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Good Clinical Practice (GCP) is an internationally recognized ethical and scientific standard for the design, conduct, documentation, recording, and reporting of clinical trials involving human participants. The primary purpose of GCP is to ensure the protection of participant rights, safety, dignity, and well-being while maintaining the credibility and integrity of clinical trial data (1).</w:t>
      </w:r>
    </w:p>
    <w:p w14:paraId="6DE051A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concept of ethical clinical research originated from historical ethical frameworks such as the Nuremberg Code, the Declaration of Helsinki, and the Belmont Report. These principles later formed the basis for the International Council for Harmonisation (ICH) guideline for Good Clinical Practice, introduced in 1996 as a unified international standard for clinical research conduct (2).</w:t>
      </w:r>
    </w:p>
    <w:p w14:paraId="51A99523"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Over the past decade, the landscape of clinical research has evolved considerably. Clinical trials have become increasingly multinational, technologically advanced, and data-driven. Digital </w:t>
      </w:r>
      <w:r w:rsidRPr="00342AF5">
        <w:rPr>
          <w:rFonts w:ascii="Times New Roman" w:eastAsia="Times New Roman" w:hAnsi="Times New Roman" w:cs="Times New Roman"/>
          <w:sz w:val="24"/>
          <w:szCs w:val="24"/>
        </w:rPr>
        <w:lastRenderedPageBreak/>
        <w:t>health technologies, electronic health records, wearable devices, decentralized clinical trial models, and artificial intelligence are now widely integrated into research activities. While these innovations have improved efficiency and accessibility in clinical research, they have also introduced significant ethical, operational, and regulatory challenges (3).</w:t>
      </w:r>
    </w:p>
    <w:p w14:paraId="71CB4A56"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In recent years, regulatory authorities and research organizations have placed increasing emphasis on patient-centered approaches, risk-based monitoring, data transparency, and flexible trial management systems. The modernization of ICH E6(R3) reflects the growing need to adapt GCP principles to the changing clinical research environment (4).</w:t>
      </w:r>
    </w:p>
    <w:p w14:paraId="1EEFB14B"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This review aims to discuss the evolving landscape of Good Clinical Practice in modern clinical trials, with particular focus on current challenges, ethical considerations, regulatory developments, and future perspectives.</w:t>
      </w:r>
    </w:p>
    <w:p w14:paraId="6C713B06" w14:textId="742E825D" w:rsidR="00342AF5" w:rsidRPr="00342AF5" w:rsidRDefault="00342AF5" w:rsidP="00342AF5">
      <w:pPr>
        <w:spacing w:after="0" w:line="240" w:lineRule="auto"/>
        <w:rPr>
          <w:rFonts w:ascii="Times New Roman" w:eastAsia="Times New Roman" w:hAnsi="Times New Roman" w:cs="Times New Roman"/>
          <w:sz w:val="24"/>
          <w:szCs w:val="24"/>
        </w:rPr>
      </w:pPr>
    </w:p>
    <w:p w14:paraId="4EF23889"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Evolution of Good Clinical Practice</w:t>
      </w:r>
    </w:p>
    <w:p w14:paraId="3D6FB437"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development of Good Clinical Practice has been closely linked to the evolution of research ethics and international regulatory standards. Following unethical human experimentation during the twentieth century, several ethical frameworks were introduced to protect research participants. The Declaration of Helsinki established ethical principles for medical research involving human subjects and remains one of the most influential documents in clinical research ethics (5).</w:t>
      </w:r>
    </w:p>
    <w:p w14:paraId="016170A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International Council for Harmonisation introduced the ICH-GCP guideline to standardize clinical trial conduct across different countries and regulatory systems. The guideline provided a unified framework for investigators, sponsors, ethics committees, and regulatory authorities to ensure participant protection and data reliability (1).</w:t>
      </w:r>
    </w:p>
    <w:p w14:paraId="122BAC3C"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Modern clinical trials differ substantially from traditional research models. Contemporary studies frequently involve multinational collaboration, adaptive trial designs, biomarker-driven therapies, and personalized medicine approaches. Clinical trials also increasingly utilize electronic data capture systems, remote monitoring technologies, and digital communication platforms. These developments have improved research efficiency but have simultaneously increased operational complexity and regulatory demands (6).</w:t>
      </w:r>
    </w:p>
    <w:p w14:paraId="307B2D0D"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To address these emerging challenges, regulatory agencies such as the United States Food and Drug Administration (FDA), European Medicines Agency (EMA), and Central Drugs Standard Control Organization (CDSCO) have updated guidance documents focusing on risk-based quality management, participant safety, and digital compliance (7).</w:t>
      </w:r>
    </w:p>
    <w:p w14:paraId="007C13FF"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recent draft version of ICH E6(R3) represents a significant modernization of GCP by emphasizing flexibility, proportional oversight, critical-to-quality factors, and technology-enabled trial conduct (4).</w:t>
      </w:r>
    </w:p>
    <w:p w14:paraId="3317C550" w14:textId="374C1934" w:rsidR="00342AF5" w:rsidRPr="00342AF5" w:rsidRDefault="00342AF5" w:rsidP="00342AF5">
      <w:pPr>
        <w:spacing w:after="0" w:line="240" w:lineRule="auto"/>
        <w:rPr>
          <w:rFonts w:ascii="Times New Roman" w:eastAsia="Times New Roman" w:hAnsi="Times New Roman" w:cs="Times New Roman"/>
          <w:sz w:val="24"/>
          <w:szCs w:val="24"/>
        </w:rPr>
      </w:pPr>
    </w:p>
    <w:p w14:paraId="31F95B94"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Current Challenges in Good Clinical Practice</w:t>
      </w:r>
    </w:p>
    <w:p w14:paraId="463B0B5E"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Increasing Complexity of Clinical Trials</w:t>
      </w:r>
    </w:p>
    <w:p w14:paraId="622FDD61"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Clinical trials have become increasingly complex over the past decade due to advancements in biomedical science and precision medicine. Modern studies often involve large multinational collaborations, adaptive protocols, genomic biomarkers, and highly specialized therapeutic interventions.</w:t>
      </w:r>
    </w:p>
    <w:p w14:paraId="614CAFF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Although these innovations improve scientific precision, they also increase the complexity of protocol implementation and regulatory oversight. Complex study procedures may lead to higher </w:t>
      </w:r>
      <w:r w:rsidRPr="00342AF5">
        <w:rPr>
          <w:rFonts w:ascii="Times New Roman" w:eastAsia="Times New Roman" w:hAnsi="Times New Roman" w:cs="Times New Roman"/>
          <w:sz w:val="24"/>
          <w:szCs w:val="24"/>
        </w:rPr>
        <w:lastRenderedPageBreak/>
        <w:t>rates of protocol deviations, increased operational burden, and difficulties in maintaining compliance with GCP requirements (8).</w:t>
      </w:r>
    </w:p>
    <w:p w14:paraId="5607C636" w14:textId="75BBDA69" w:rsid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Furthermore, extensive data collection requirements and complicated eligibility criteria can negatively affect participant recruitment and retention.</w:t>
      </w:r>
    </w:p>
    <w:p w14:paraId="42B6EAAD" w14:textId="7E55C47D" w:rsidR="00770097" w:rsidRDefault="00770097" w:rsidP="00342AF5">
      <w:pPr>
        <w:spacing w:after="0" w:line="240" w:lineRule="auto"/>
        <w:rPr>
          <w:rFonts w:ascii="Times New Roman" w:eastAsia="Times New Roman" w:hAnsi="Times New Roman" w:cs="Times New Roman"/>
          <w:sz w:val="24"/>
          <w:szCs w:val="24"/>
        </w:rPr>
      </w:pPr>
    </w:p>
    <w:p w14:paraId="3B5FE0DA" w14:textId="314FFE47" w:rsidR="00770097" w:rsidRPr="00770097" w:rsidRDefault="00770097" w:rsidP="00342AF5">
      <w:pPr>
        <w:spacing w:after="0" w:line="240" w:lineRule="auto"/>
        <w:rPr>
          <w:rFonts w:ascii="Times New Roman" w:hAnsi="Times New Roman" w:cs="Times New Roman"/>
          <w:sz w:val="24"/>
          <w:szCs w:val="24"/>
        </w:rPr>
      </w:pPr>
      <w:r w:rsidRPr="00770097">
        <w:rPr>
          <w:rFonts w:ascii="Times New Roman" w:hAnsi="Times New Roman" w:cs="Times New Roman"/>
          <w:sz w:val="24"/>
          <w:szCs w:val="24"/>
        </w:rPr>
        <w:t>Table 1: Major Challenges in Good Clinical Practice (GCP)</w:t>
      </w:r>
    </w:p>
    <w:tbl>
      <w:tblPr>
        <w:tblStyle w:val="TableGrid"/>
        <w:tblW w:w="0" w:type="auto"/>
        <w:tblLook w:val="04A0" w:firstRow="1" w:lastRow="0" w:firstColumn="1" w:lastColumn="0" w:noHBand="0" w:noVBand="1"/>
      </w:tblPr>
      <w:tblGrid>
        <w:gridCol w:w="3116"/>
        <w:gridCol w:w="3117"/>
        <w:gridCol w:w="3117"/>
      </w:tblGrid>
      <w:tr w:rsidR="00770097" w14:paraId="070422E3" w14:textId="77777777" w:rsidTr="00770097">
        <w:tc>
          <w:tcPr>
            <w:tcW w:w="3116" w:type="dxa"/>
            <w:shd w:val="clear" w:color="auto" w:fill="FFE599" w:themeFill="accent4" w:themeFillTint="66"/>
            <w:vAlign w:val="center"/>
          </w:tcPr>
          <w:p w14:paraId="68997D68" w14:textId="2345A1C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Domain</w:t>
            </w:r>
          </w:p>
        </w:tc>
        <w:tc>
          <w:tcPr>
            <w:tcW w:w="3117" w:type="dxa"/>
            <w:shd w:val="clear" w:color="auto" w:fill="FFE599" w:themeFill="accent4" w:themeFillTint="66"/>
            <w:vAlign w:val="center"/>
          </w:tcPr>
          <w:p w14:paraId="636CF28B" w14:textId="415BCF38"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Key Challenges</w:t>
            </w:r>
          </w:p>
        </w:tc>
        <w:tc>
          <w:tcPr>
            <w:tcW w:w="3117" w:type="dxa"/>
            <w:shd w:val="clear" w:color="auto" w:fill="FFE599" w:themeFill="accent4" w:themeFillTint="66"/>
            <w:vAlign w:val="center"/>
          </w:tcPr>
          <w:p w14:paraId="65A1B0AF" w14:textId="7A296A36"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Impact on Clinical Trials</w:t>
            </w:r>
          </w:p>
        </w:tc>
      </w:tr>
      <w:tr w:rsidR="00770097" w14:paraId="6A1C1536" w14:textId="77777777" w:rsidTr="00770097">
        <w:tc>
          <w:tcPr>
            <w:tcW w:w="3116" w:type="dxa"/>
            <w:shd w:val="clear" w:color="auto" w:fill="FFE599" w:themeFill="accent4" w:themeFillTint="66"/>
            <w:vAlign w:val="center"/>
          </w:tcPr>
          <w:p w14:paraId="44BB14DD" w14:textId="21DC95C7"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Protocol Complexity</w:t>
            </w:r>
          </w:p>
        </w:tc>
        <w:tc>
          <w:tcPr>
            <w:tcW w:w="3117" w:type="dxa"/>
            <w:shd w:val="clear" w:color="auto" w:fill="FFE599" w:themeFill="accent4" w:themeFillTint="66"/>
            <w:vAlign w:val="center"/>
          </w:tcPr>
          <w:p w14:paraId="581C372E" w14:textId="266AA60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Increasing multicenter, adaptive, and precision-based trial designs</w:t>
            </w:r>
          </w:p>
        </w:tc>
        <w:tc>
          <w:tcPr>
            <w:tcW w:w="3117" w:type="dxa"/>
            <w:shd w:val="clear" w:color="auto" w:fill="FFE599" w:themeFill="accent4" w:themeFillTint="66"/>
            <w:vAlign w:val="center"/>
          </w:tcPr>
          <w:p w14:paraId="4D7DB1D5" w14:textId="646FE688"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Higher protocol deviations, operational burden, delayed completion</w:t>
            </w:r>
          </w:p>
        </w:tc>
      </w:tr>
      <w:tr w:rsidR="00770097" w14:paraId="38B55D2D" w14:textId="77777777" w:rsidTr="00770097">
        <w:tc>
          <w:tcPr>
            <w:tcW w:w="3116" w:type="dxa"/>
            <w:shd w:val="clear" w:color="auto" w:fill="FFE599" w:themeFill="accent4" w:themeFillTint="66"/>
            <w:vAlign w:val="center"/>
          </w:tcPr>
          <w:p w14:paraId="5266BAD7" w14:textId="33EBCBA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Ethical Issues</w:t>
            </w:r>
          </w:p>
        </w:tc>
        <w:tc>
          <w:tcPr>
            <w:tcW w:w="3117" w:type="dxa"/>
            <w:shd w:val="clear" w:color="auto" w:fill="FFE599" w:themeFill="accent4" w:themeFillTint="66"/>
            <w:vAlign w:val="center"/>
          </w:tcPr>
          <w:p w14:paraId="4A1ABE78" w14:textId="77F0436B"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Vulnerable populations, fairness in recruitment, risk–benefit imbalance</w:t>
            </w:r>
          </w:p>
        </w:tc>
        <w:tc>
          <w:tcPr>
            <w:tcW w:w="3117" w:type="dxa"/>
            <w:shd w:val="clear" w:color="auto" w:fill="FFE599" w:themeFill="accent4" w:themeFillTint="66"/>
            <w:vAlign w:val="center"/>
          </w:tcPr>
          <w:p w14:paraId="7F09DECD" w14:textId="57574ED7"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Ethical review difficulties, variability across regions</w:t>
            </w:r>
          </w:p>
        </w:tc>
      </w:tr>
      <w:tr w:rsidR="00770097" w14:paraId="4859B1C2" w14:textId="77777777" w:rsidTr="00770097">
        <w:tc>
          <w:tcPr>
            <w:tcW w:w="3116" w:type="dxa"/>
            <w:shd w:val="clear" w:color="auto" w:fill="FFE599" w:themeFill="accent4" w:themeFillTint="66"/>
            <w:vAlign w:val="center"/>
          </w:tcPr>
          <w:p w14:paraId="20C4672F" w14:textId="4B78686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Informed Consent</w:t>
            </w:r>
          </w:p>
        </w:tc>
        <w:tc>
          <w:tcPr>
            <w:tcW w:w="3117" w:type="dxa"/>
            <w:shd w:val="clear" w:color="auto" w:fill="FFE599" w:themeFill="accent4" w:themeFillTint="66"/>
            <w:vAlign w:val="center"/>
          </w:tcPr>
          <w:p w14:paraId="29B735C4" w14:textId="6549BFCF"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Use of electronic consent and complex medical information</w:t>
            </w:r>
          </w:p>
        </w:tc>
        <w:tc>
          <w:tcPr>
            <w:tcW w:w="3117" w:type="dxa"/>
            <w:shd w:val="clear" w:color="auto" w:fill="FFE599" w:themeFill="accent4" w:themeFillTint="66"/>
            <w:vAlign w:val="center"/>
          </w:tcPr>
          <w:p w14:paraId="749662D0" w14:textId="59504F39"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Reduced understanding, digital literacy barriers</w:t>
            </w:r>
          </w:p>
        </w:tc>
      </w:tr>
      <w:tr w:rsidR="00770097" w14:paraId="60F00031" w14:textId="77777777" w:rsidTr="00770097">
        <w:tc>
          <w:tcPr>
            <w:tcW w:w="3116" w:type="dxa"/>
            <w:shd w:val="clear" w:color="auto" w:fill="FFE599" w:themeFill="accent4" w:themeFillTint="66"/>
            <w:vAlign w:val="center"/>
          </w:tcPr>
          <w:p w14:paraId="34054468" w14:textId="78FC348A"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Data Integrity</w:t>
            </w:r>
          </w:p>
        </w:tc>
        <w:tc>
          <w:tcPr>
            <w:tcW w:w="3117" w:type="dxa"/>
            <w:shd w:val="clear" w:color="auto" w:fill="FFE599" w:themeFill="accent4" w:themeFillTint="66"/>
            <w:vAlign w:val="center"/>
          </w:tcPr>
          <w:p w14:paraId="491E16F5" w14:textId="7E78957B"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Electronic data systems, cloud storage, wearable devices</w:t>
            </w:r>
          </w:p>
        </w:tc>
        <w:tc>
          <w:tcPr>
            <w:tcW w:w="3117" w:type="dxa"/>
            <w:shd w:val="clear" w:color="auto" w:fill="FFE599" w:themeFill="accent4" w:themeFillTint="66"/>
            <w:vAlign w:val="center"/>
          </w:tcPr>
          <w:p w14:paraId="2263924B" w14:textId="730B798E"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Risk of data breaches and manipulation</w:t>
            </w:r>
          </w:p>
        </w:tc>
      </w:tr>
      <w:tr w:rsidR="00770097" w14:paraId="41A39869" w14:textId="77777777" w:rsidTr="00770097">
        <w:tc>
          <w:tcPr>
            <w:tcW w:w="3116" w:type="dxa"/>
            <w:shd w:val="clear" w:color="auto" w:fill="FFE599" w:themeFill="accent4" w:themeFillTint="66"/>
            <w:vAlign w:val="center"/>
          </w:tcPr>
          <w:p w14:paraId="7244336F" w14:textId="1A432FC1"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Regulatory Variability</w:t>
            </w:r>
          </w:p>
        </w:tc>
        <w:tc>
          <w:tcPr>
            <w:tcW w:w="3117" w:type="dxa"/>
            <w:shd w:val="clear" w:color="auto" w:fill="FFE599" w:themeFill="accent4" w:themeFillTint="66"/>
            <w:vAlign w:val="center"/>
          </w:tcPr>
          <w:p w14:paraId="3D762F26" w14:textId="1E8BB9A2"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Differences in global regulatory requirements</w:t>
            </w:r>
          </w:p>
        </w:tc>
        <w:tc>
          <w:tcPr>
            <w:tcW w:w="3117" w:type="dxa"/>
            <w:shd w:val="clear" w:color="auto" w:fill="FFE599" w:themeFill="accent4" w:themeFillTint="66"/>
            <w:vAlign w:val="center"/>
          </w:tcPr>
          <w:p w14:paraId="79FB8829" w14:textId="715D505E"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Delays in approvals, increased compliance burden</w:t>
            </w:r>
          </w:p>
        </w:tc>
      </w:tr>
      <w:tr w:rsidR="00770097" w14:paraId="7BB7384E" w14:textId="77777777" w:rsidTr="00770097">
        <w:tc>
          <w:tcPr>
            <w:tcW w:w="3116" w:type="dxa"/>
            <w:shd w:val="clear" w:color="auto" w:fill="FFE599" w:themeFill="accent4" w:themeFillTint="66"/>
            <w:vAlign w:val="center"/>
          </w:tcPr>
          <w:p w14:paraId="3C1AD660" w14:textId="23E12228"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Decentralized Trials</w:t>
            </w:r>
          </w:p>
        </w:tc>
        <w:tc>
          <w:tcPr>
            <w:tcW w:w="3117" w:type="dxa"/>
            <w:shd w:val="clear" w:color="auto" w:fill="FFE599" w:themeFill="accent4" w:themeFillTint="66"/>
            <w:vAlign w:val="center"/>
          </w:tcPr>
          <w:p w14:paraId="6C9EFFBB" w14:textId="0EE823B0"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Remote monitoring and home-based assessments</w:t>
            </w:r>
          </w:p>
        </w:tc>
        <w:tc>
          <w:tcPr>
            <w:tcW w:w="3117" w:type="dxa"/>
            <w:shd w:val="clear" w:color="auto" w:fill="FFE599" w:themeFill="accent4" w:themeFillTint="66"/>
            <w:vAlign w:val="center"/>
          </w:tcPr>
          <w:p w14:paraId="2AC5A77D" w14:textId="7AADD187"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Limited investigator oversight and validation challenges</w:t>
            </w:r>
          </w:p>
        </w:tc>
      </w:tr>
    </w:tbl>
    <w:p w14:paraId="034BEEE5" w14:textId="7D6FBD9F" w:rsidR="00342AF5" w:rsidRPr="00342AF5" w:rsidRDefault="00342AF5" w:rsidP="00342AF5">
      <w:pPr>
        <w:spacing w:after="0" w:line="240" w:lineRule="auto"/>
        <w:rPr>
          <w:rFonts w:ascii="Times New Roman" w:eastAsia="Times New Roman" w:hAnsi="Times New Roman" w:cs="Times New Roman"/>
          <w:sz w:val="24"/>
          <w:szCs w:val="24"/>
        </w:rPr>
      </w:pPr>
    </w:p>
    <w:p w14:paraId="1318828A"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Ethical Challenges in Clinical Research</w:t>
      </w:r>
    </w:p>
    <w:p w14:paraId="2E54963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Ethical considerations remain central to the implementation of Good Clinical Practice. Ensuring participant safety and maintaining ethical integrity have become more challenging in increasingly complex and technology-driven research environments.</w:t>
      </w:r>
    </w:p>
    <w:p w14:paraId="7E13A1A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Important ethical concerns include protection of vulnerable populations, equitable participant selection, fair risk–benefit assessment, privacy protection, and transparency in data handling. Researchers must ensure that participants fully understand study procedures, potential risks, and expected benefits before enrollment (9).</w:t>
      </w:r>
    </w:p>
    <w:p w14:paraId="522D9687"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globalization of clinical trials has also introduced ethical variability across countries with different healthcare systems, cultural values, and regulatory structures. Maintaining consistent ethical standards across multinational studies continues to be a significant challenge.</w:t>
      </w:r>
    </w:p>
    <w:p w14:paraId="39F4937B" w14:textId="42CA85E1" w:rsidR="00342AF5" w:rsidRPr="00342AF5" w:rsidRDefault="00342AF5" w:rsidP="00342AF5">
      <w:pPr>
        <w:spacing w:after="0" w:line="240" w:lineRule="auto"/>
        <w:rPr>
          <w:rFonts w:ascii="Times New Roman" w:eastAsia="Times New Roman" w:hAnsi="Times New Roman" w:cs="Times New Roman"/>
          <w:sz w:val="24"/>
          <w:szCs w:val="24"/>
        </w:rPr>
      </w:pPr>
    </w:p>
    <w:p w14:paraId="76CAB8BC"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Challenges in Informed Consent</w:t>
      </w:r>
    </w:p>
    <w:p w14:paraId="5A1E0971"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Informed consent is a fundamental principle of ethical clinical research. Traditionally, informed consent involved face-to-face discussion and written documentation. However, digital technologies have transformed the consent process through electronic informed consent (eConsent) systems.</w:t>
      </w:r>
    </w:p>
    <w:p w14:paraId="4D5D2BB6"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Electronic consent platforms may improve accessibility, participant engagement, and documentation efficiency. Despite these advantages, concerns remain regarding participant comprehension, digital literacy, data confidentiality, and regulatory acceptance (10).</w:t>
      </w:r>
    </w:p>
    <w:p w14:paraId="0A62C20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lastRenderedPageBreak/>
        <w:t>In highly technical clinical trials, participants may struggle to fully understand complex scientific information. Ensuring voluntary participation and meaningful understanding remains essential for ethical compliance.</w:t>
      </w:r>
    </w:p>
    <w:p w14:paraId="09BA6961" w14:textId="6E7EF229" w:rsidR="00342AF5" w:rsidRPr="00342AF5" w:rsidRDefault="00342AF5" w:rsidP="00342AF5">
      <w:pPr>
        <w:spacing w:after="0" w:line="240" w:lineRule="auto"/>
        <w:rPr>
          <w:rFonts w:ascii="Times New Roman" w:eastAsia="Times New Roman" w:hAnsi="Times New Roman" w:cs="Times New Roman"/>
          <w:sz w:val="24"/>
          <w:szCs w:val="24"/>
        </w:rPr>
      </w:pPr>
    </w:p>
    <w:p w14:paraId="4F6951C1"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Data Integrity and Cybersecurity</w:t>
      </w:r>
    </w:p>
    <w:p w14:paraId="167236B4"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Modern clinical trials increasingly depend on electronic systems, cloud-based platforms, wearable devices, and remote monitoring technologies for data collection and management. While these tools improve efficiency and real-time monitoring, they also create new risks related to cybersecurity and data integrity.</w:t>
      </w:r>
    </w:p>
    <w:p w14:paraId="36A945D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Potential concerns include data breaches, unauthorized access, electronic record manipulation, and inadequate system validation. Regulatory authorities now place substantial emphasis on audit readiness, electronic system validation, and secure data governance practices (11).</w:t>
      </w:r>
    </w:p>
    <w:p w14:paraId="16E960FD"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Maintaining accurate, reliable, and traceable research data has become a critical component of GCP compliance.</w:t>
      </w:r>
    </w:p>
    <w:p w14:paraId="123A8482" w14:textId="171CFE8A" w:rsidR="00342AF5" w:rsidRPr="00342AF5" w:rsidRDefault="00342AF5" w:rsidP="00342AF5">
      <w:pPr>
        <w:spacing w:after="0" w:line="240" w:lineRule="auto"/>
        <w:rPr>
          <w:rFonts w:ascii="Times New Roman" w:eastAsia="Times New Roman" w:hAnsi="Times New Roman" w:cs="Times New Roman"/>
          <w:sz w:val="24"/>
          <w:szCs w:val="24"/>
        </w:rPr>
      </w:pPr>
    </w:p>
    <w:p w14:paraId="69FA2459"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Regulatory Variability Across Countries</w:t>
      </w:r>
    </w:p>
    <w:p w14:paraId="3C51623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globalization of clinical trials has increased the need for international regulatory harmonisation. However, differences still exist in ethics review procedures, approval timelines, documentation requirements, and safety reporting systems among various countries.</w:t>
      </w:r>
    </w:p>
    <w:p w14:paraId="1931C9CD"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Lack of regulatory harmonisation may delay study initiation, increase administrative burden, and complicate multinational trial management (12). Researchers and sponsors conducting global trials must comply with multiple regulatory frameworks simultaneously, which often increases operational costs and complexity.</w:t>
      </w:r>
    </w:p>
    <w:p w14:paraId="26176D94" w14:textId="4E5DC07C" w:rsidR="00342AF5" w:rsidRPr="00342AF5" w:rsidRDefault="00342AF5" w:rsidP="00342AF5">
      <w:pPr>
        <w:spacing w:after="0" w:line="240" w:lineRule="auto"/>
        <w:rPr>
          <w:rFonts w:ascii="Times New Roman" w:eastAsia="Times New Roman" w:hAnsi="Times New Roman" w:cs="Times New Roman"/>
          <w:sz w:val="24"/>
          <w:szCs w:val="24"/>
        </w:rPr>
      </w:pPr>
    </w:p>
    <w:p w14:paraId="6BD391C4"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Impact of Decentralized Clinical Trials</w:t>
      </w:r>
    </w:p>
    <w:p w14:paraId="2E8C0597"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Decentralized clinical trials (DCTs) gained significant attention during the COVID-19 pandemic. These trials utilize telemedicine, remote patient monitoring, wearable devices, and home-based assessments to reduce participant burden and improve accessibility (13).</w:t>
      </w:r>
    </w:p>
    <w:p w14:paraId="4CBF2F3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Decentralized models may improve participant recruitment, retention, and geographic diversity. However, they also present challenges related to investigator oversight, source data verification, technology reliability, and regulatory compliance.</w:t>
      </w:r>
    </w:p>
    <w:p w14:paraId="5D836E7A"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Ensuring participant safety and maintaining consistent trial quality in remote settings remain important concerns for regulators and investigators.</w:t>
      </w:r>
    </w:p>
    <w:p w14:paraId="1632372F" w14:textId="7DAE3267" w:rsidR="00342AF5" w:rsidRPr="00342AF5" w:rsidRDefault="00342AF5" w:rsidP="00342AF5">
      <w:pPr>
        <w:spacing w:after="0" w:line="240" w:lineRule="auto"/>
        <w:rPr>
          <w:rFonts w:ascii="Times New Roman" w:eastAsia="Times New Roman" w:hAnsi="Times New Roman" w:cs="Times New Roman"/>
          <w:sz w:val="24"/>
          <w:szCs w:val="24"/>
        </w:rPr>
      </w:pPr>
    </w:p>
    <w:p w14:paraId="1F7BB907"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Regulatory Developments in Good Clinical Practice</w:t>
      </w:r>
    </w:p>
    <w:p w14:paraId="687608CC"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ICH E6(R3) Modernization</w:t>
      </w:r>
    </w:p>
    <w:p w14:paraId="133C705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updated ICH E6(R3) guideline represents one of the most important recent developments in Good Clinical Practice. The revised framework focuses on risk-based quality management, proportional oversight, and flexibility in trial conduct.</w:t>
      </w:r>
    </w:p>
    <w:p w14:paraId="10AED1F0"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guideline encourages sponsors and investigators to identify critical-to-quality factors and implement targeted risk management strategies throughout the clinical trial lifecycle (4).</w:t>
      </w:r>
    </w:p>
    <w:p w14:paraId="1DB8A23B" w14:textId="206ACE07" w:rsid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ICH E6(R3) also supports the integration of innovative technologies while maintaining participant safety and data reliability.</w:t>
      </w:r>
    </w:p>
    <w:p w14:paraId="3C6EB1D1" w14:textId="77777777" w:rsidR="00770097" w:rsidRDefault="00770097" w:rsidP="00342AF5">
      <w:pPr>
        <w:spacing w:after="0" w:line="240" w:lineRule="auto"/>
        <w:rPr>
          <w:rFonts w:ascii="Times New Roman" w:eastAsia="Times New Roman" w:hAnsi="Times New Roman" w:cs="Times New Roman"/>
          <w:sz w:val="24"/>
          <w:szCs w:val="24"/>
        </w:rPr>
      </w:pPr>
    </w:p>
    <w:p w14:paraId="21C5236C" w14:textId="77777777" w:rsidR="00770097" w:rsidRPr="00342AF5" w:rsidRDefault="00770097" w:rsidP="00342AF5">
      <w:pPr>
        <w:spacing w:after="0" w:line="240" w:lineRule="auto"/>
        <w:rPr>
          <w:rFonts w:ascii="Times New Roman" w:eastAsia="Times New Roman" w:hAnsi="Times New Roman" w:cs="Times New Roman"/>
          <w:sz w:val="24"/>
          <w:szCs w:val="24"/>
        </w:rPr>
      </w:pPr>
    </w:p>
    <w:p w14:paraId="4F347432" w14:textId="1ED0A610" w:rsidR="00342AF5" w:rsidRPr="00342AF5" w:rsidRDefault="00342AF5" w:rsidP="00342AF5">
      <w:pPr>
        <w:spacing w:after="0" w:line="240" w:lineRule="auto"/>
        <w:rPr>
          <w:rFonts w:ascii="Times New Roman" w:eastAsia="Times New Roman" w:hAnsi="Times New Roman" w:cs="Times New Roman"/>
          <w:sz w:val="24"/>
          <w:szCs w:val="24"/>
        </w:rPr>
      </w:pPr>
    </w:p>
    <w:p w14:paraId="2A5A75EF"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lastRenderedPageBreak/>
        <w:t>Risk-Based Monitoring</w:t>
      </w:r>
    </w:p>
    <w:p w14:paraId="6B6B2E82"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Traditional monitoring approaches relied heavily on routine on-site visits and source data verification. However, modern clinical research increasingly uses risk-based monitoring (RBM) strategies.</w:t>
      </w:r>
    </w:p>
    <w:p w14:paraId="09E42585"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Risk-based monitoring focuses on identifying critical study risks and utilizing centralized monitoring systems to improve efficiency and resource allocation (14). This approach reduces unnecessary workload while maintaining data quality and participant protection.</w:t>
      </w:r>
    </w:p>
    <w:p w14:paraId="10800F33"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Regulatory authorities now widely support RBM as part of modern GCP implementation.</w:t>
      </w:r>
    </w:p>
    <w:p w14:paraId="1BD3CDA1" w14:textId="457F650A" w:rsidR="00342AF5" w:rsidRPr="00342AF5" w:rsidRDefault="00342AF5" w:rsidP="00342AF5">
      <w:pPr>
        <w:spacing w:after="0" w:line="240" w:lineRule="auto"/>
        <w:rPr>
          <w:rFonts w:ascii="Times New Roman" w:eastAsia="Times New Roman" w:hAnsi="Times New Roman" w:cs="Times New Roman"/>
          <w:sz w:val="24"/>
          <w:szCs w:val="24"/>
        </w:rPr>
      </w:pPr>
    </w:p>
    <w:p w14:paraId="27845283" w14:textId="77777777" w:rsidR="00342AF5" w:rsidRPr="00342AF5" w:rsidRDefault="00342AF5" w:rsidP="00342AF5">
      <w:pPr>
        <w:spacing w:after="0" w:line="240" w:lineRule="auto"/>
        <w:outlineLvl w:val="1"/>
        <w:rPr>
          <w:rFonts w:ascii="Times New Roman" w:eastAsia="Times New Roman" w:hAnsi="Times New Roman" w:cs="Times New Roman"/>
          <w:b/>
          <w:bCs/>
          <w:sz w:val="24"/>
          <w:szCs w:val="24"/>
        </w:rPr>
      </w:pPr>
      <w:r w:rsidRPr="00342AF5">
        <w:rPr>
          <w:rFonts w:ascii="Times New Roman" w:eastAsia="Times New Roman" w:hAnsi="Times New Roman" w:cs="Times New Roman"/>
          <w:b/>
          <w:bCs/>
          <w:sz w:val="24"/>
          <w:szCs w:val="24"/>
        </w:rPr>
        <w:t>Patient-Centered Clinical Trials</w:t>
      </w:r>
    </w:p>
    <w:p w14:paraId="1A5E27D6"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Patient-centered research has become an important component of contemporary clinical trial design. Increasingly, patients are involved in protocol development, endpoint selection, and study planning processes.</w:t>
      </w:r>
    </w:p>
    <w:p w14:paraId="292AF1B8"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Patient engagement may improve recruitment, participant retention, treatment adherence, and overall trial relevance (15). Regulatory agencies now encourage greater incorporation of patient perspectives into clinical research activities.</w:t>
      </w:r>
    </w:p>
    <w:p w14:paraId="6F87E36D" w14:textId="4354176F" w:rsidR="00342AF5" w:rsidRPr="00342AF5" w:rsidRDefault="00342AF5" w:rsidP="00342AF5">
      <w:pPr>
        <w:spacing w:after="0" w:line="240" w:lineRule="auto"/>
        <w:rPr>
          <w:rFonts w:ascii="Times New Roman" w:eastAsia="Times New Roman" w:hAnsi="Times New Roman" w:cs="Times New Roman"/>
          <w:sz w:val="24"/>
          <w:szCs w:val="24"/>
        </w:rPr>
      </w:pPr>
    </w:p>
    <w:p w14:paraId="4B2CC6A8"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Role of Artificial Intelligence and Digital Technologies</w:t>
      </w:r>
    </w:p>
    <w:p w14:paraId="0FCDF0D4"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Artificial intelligence (AI) and digital technologies are transforming modern clinical research. AI applications in clinical trials include participant recruitment, predictive analytics, pharmacovigilance, image interpretation, and automated data analysis.</w:t>
      </w:r>
    </w:p>
    <w:p w14:paraId="6A9CA7AA"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Artificial intelligence has the potential to improve trial efficiency, accelerate decision-making, and optimize operational workflows. However, concerns remain regarding algorithm transparency, bias, accountability, and ethical oversight (16).</w:t>
      </w:r>
    </w:p>
    <w:p w14:paraId="16D91CDF"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Digital health technologies, wearable devices, and electronic patient-reported outcomes have also expanded opportunities for remote monitoring and real-world evidence generation.</w:t>
      </w:r>
    </w:p>
    <w:p w14:paraId="22355102"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Despite these advantages, regulatory frameworks governing AI integration in clinical trials are still evolving.</w:t>
      </w:r>
    </w:p>
    <w:p w14:paraId="727183D4" w14:textId="0C13DF42" w:rsidR="00342AF5" w:rsidRPr="00342AF5" w:rsidRDefault="00342AF5" w:rsidP="00342AF5">
      <w:pPr>
        <w:spacing w:after="0" w:line="240" w:lineRule="auto"/>
        <w:rPr>
          <w:rFonts w:ascii="Times New Roman" w:eastAsia="Times New Roman" w:hAnsi="Times New Roman" w:cs="Times New Roman"/>
          <w:sz w:val="24"/>
          <w:szCs w:val="24"/>
        </w:rPr>
      </w:pPr>
    </w:p>
    <w:p w14:paraId="07DB4E83"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Future Perspectives</w:t>
      </w:r>
    </w:p>
    <w:p w14:paraId="035F99B0"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The future of Good Clinical Practice is expected to focus on greater flexibility, digital integration, and global regulatory collaboration. Hybrid and decentralized clinical trial models are likely to become increasingly common in future research.</w:t>
      </w:r>
    </w:p>
    <w:p w14:paraId="05979ADB"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Emerging priorities in GCP include:</w:t>
      </w:r>
    </w:p>
    <w:p w14:paraId="241C7397"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Greater international regulatory harmonisation </w:t>
      </w:r>
    </w:p>
    <w:p w14:paraId="728B2BE3"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Integration of AI governance frameworks </w:t>
      </w:r>
    </w:p>
    <w:p w14:paraId="601FA0F8"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Advanced cybersecurity and data protection systems </w:t>
      </w:r>
    </w:p>
    <w:p w14:paraId="386F2D86"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Expansion of real-world evidence generation </w:t>
      </w:r>
    </w:p>
    <w:p w14:paraId="1C3248F2"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Improved patient engagement strategies </w:t>
      </w:r>
    </w:p>
    <w:p w14:paraId="50252888" w14:textId="77777777" w:rsidR="00342AF5" w:rsidRPr="00342AF5" w:rsidRDefault="00342AF5" w:rsidP="00342AF5">
      <w:pPr>
        <w:numPr>
          <w:ilvl w:val="0"/>
          <w:numId w:val="12"/>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Enhanced transparency in clinical research </w:t>
      </w:r>
    </w:p>
    <w:p w14:paraId="3C90C139"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Training investigators and research staff in digital competencies, ethical decision-making, and regulatory compliance will become increasingly important.</w:t>
      </w:r>
    </w:p>
    <w:p w14:paraId="18517D0E" w14:textId="22ECBAAE" w:rsid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Future GCP frameworks must balance innovation with participant safety, ethical responsibility, and scientific integrity.</w:t>
      </w:r>
    </w:p>
    <w:p w14:paraId="6EC273E2" w14:textId="34E49AAA" w:rsidR="00770097" w:rsidRDefault="00770097" w:rsidP="00342AF5">
      <w:pPr>
        <w:spacing w:after="0" w:line="240" w:lineRule="auto"/>
        <w:rPr>
          <w:rFonts w:ascii="Times New Roman" w:eastAsia="Times New Roman" w:hAnsi="Times New Roman" w:cs="Times New Roman"/>
          <w:sz w:val="24"/>
          <w:szCs w:val="24"/>
        </w:rPr>
      </w:pPr>
    </w:p>
    <w:p w14:paraId="410E4572" w14:textId="605C4930" w:rsidR="00770097" w:rsidRDefault="00770097" w:rsidP="00342AF5">
      <w:pPr>
        <w:spacing w:after="0" w:line="240" w:lineRule="auto"/>
        <w:rPr>
          <w:rFonts w:ascii="Times New Roman" w:eastAsia="Times New Roman" w:hAnsi="Times New Roman" w:cs="Times New Roman"/>
          <w:sz w:val="24"/>
          <w:szCs w:val="24"/>
        </w:rPr>
      </w:pPr>
    </w:p>
    <w:p w14:paraId="4F709C0A" w14:textId="77777777" w:rsidR="00770097" w:rsidRDefault="00770097" w:rsidP="00342AF5">
      <w:pPr>
        <w:spacing w:after="0" w:line="240" w:lineRule="auto"/>
        <w:rPr>
          <w:rFonts w:ascii="Times New Roman" w:eastAsia="Times New Roman" w:hAnsi="Times New Roman" w:cs="Times New Roman"/>
          <w:sz w:val="24"/>
          <w:szCs w:val="24"/>
        </w:rPr>
      </w:pPr>
    </w:p>
    <w:p w14:paraId="0105533A" w14:textId="097C7BE7" w:rsidR="00770097" w:rsidRDefault="00770097" w:rsidP="00342AF5">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770097">
        <w:rPr>
          <w:rFonts w:ascii="Times New Roman" w:hAnsi="Times New Roman" w:cs="Times New Roman"/>
          <w:sz w:val="24"/>
          <w:szCs w:val="24"/>
        </w:rPr>
        <w:t>able 2: Future Perspectives in Good Clinical Practice</w:t>
      </w:r>
      <w:r>
        <w:rPr>
          <w:rFonts w:ascii="Times New Roman" w:hAnsi="Times New Roman" w:cs="Times New Roman"/>
          <w:sz w:val="24"/>
          <w:szCs w:val="24"/>
        </w:rPr>
        <w:t>:</w:t>
      </w:r>
    </w:p>
    <w:p w14:paraId="07AA0412" w14:textId="77777777" w:rsidR="00770097" w:rsidRPr="00770097" w:rsidRDefault="00770097" w:rsidP="00342AF5">
      <w:pPr>
        <w:spacing w:after="0" w:line="240" w:lineRule="auto"/>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3116"/>
        <w:gridCol w:w="3117"/>
        <w:gridCol w:w="3117"/>
      </w:tblGrid>
      <w:tr w:rsidR="00770097" w14:paraId="7EE294F0" w14:textId="77777777" w:rsidTr="00770097">
        <w:tc>
          <w:tcPr>
            <w:tcW w:w="3116" w:type="dxa"/>
            <w:shd w:val="clear" w:color="auto" w:fill="FFE599" w:themeFill="accent4" w:themeFillTint="66"/>
            <w:vAlign w:val="center"/>
          </w:tcPr>
          <w:p w14:paraId="42481025" w14:textId="2D7E0EB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Area</w:t>
            </w:r>
          </w:p>
        </w:tc>
        <w:tc>
          <w:tcPr>
            <w:tcW w:w="3117" w:type="dxa"/>
            <w:shd w:val="clear" w:color="auto" w:fill="FFE599" w:themeFill="accent4" w:themeFillTint="66"/>
            <w:vAlign w:val="center"/>
          </w:tcPr>
          <w:p w14:paraId="61A021B9" w14:textId="5806F1C5"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Future Development</w:t>
            </w:r>
          </w:p>
        </w:tc>
        <w:tc>
          <w:tcPr>
            <w:tcW w:w="3117" w:type="dxa"/>
            <w:shd w:val="clear" w:color="auto" w:fill="FFE599" w:themeFill="accent4" w:themeFillTint="66"/>
            <w:vAlign w:val="center"/>
          </w:tcPr>
          <w:p w14:paraId="573A9E95" w14:textId="1D75FF5D"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b/>
                <w:bCs/>
                <w:sz w:val="24"/>
                <w:szCs w:val="24"/>
              </w:rPr>
              <w:t>Expected Benefit</w:t>
            </w:r>
          </w:p>
        </w:tc>
      </w:tr>
      <w:tr w:rsidR="00770097" w14:paraId="60493DDA" w14:textId="77777777" w:rsidTr="00770097">
        <w:tc>
          <w:tcPr>
            <w:tcW w:w="3116" w:type="dxa"/>
            <w:shd w:val="clear" w:color="auto" w:fill="FFE599" w:themeFill="accent4" w:themeFillTint="66"/>
            <w:vAlign w:val="center"/>
          </w:tcPr>
          <w:p w14:paraId="5578C115" w14:textId="6C2298DE"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Regulatory Harmonisation</w:t>
            </w:r>
          </w:p>
        </w:tc>
        <w:tc>
          <w:tcPr>
            <w:tcW w:w="3117" w:type="dxa"/>
            <w:shd w:val="clear" w:color="auto" w:fill="FFE599" w:themeFill="accent4" w:themeFillTint="66"/>
            <w:vAlign w:val="center"/>
          </w:tcPr>
          <w:p w14:paraId="14943340" w14:textId="2DAD0009"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Alignment of global GCP standards (ICH E6 R3)</w:t>
            </w:r>
          </w:p>
        </w:tc>
        <w:tc>
          <w:tcPr>
            <w:tcW w:w="3117" w:type="dxa"/>
            <w:shd w:val="clear" w:color="auto" w:fill="FFE599" w:themeFill="accent4" w:themeFillTint="66"/>
            <w:vAlign w:val="center"/>
          </w:tcPr>
          <w:p w14:paraId="147ED1F4" w14:textId="203BEF5F"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Simplified multinational trials</w:t>
            </w:r>
          </w:p>
        </w:tc>
      </w:tr>
      <w:tr w:rsidR="00770097" w14:paraId="186A5EDE" w14:textId="77777777" w:rsidTr="00770097">
        <w:tc>
          <w:tcPr>
            <w:tcW w:w="3116" w:type="dxa"/>
            <w:shd w:val="clear" w:color="auto" w:fill="FFE599" w:themeFill="accent4" w:themeFillTint="66"/>
            <w:vAlign w:val="center"/>
          </w:tcPr>
          <w:p w14:paraId="74D6C795" w14:textId="365ADFB0"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Artificial Intelligence</w:t>
            </w:r>
          </w:p>
        </w:tc>
        <w:tc>
          <w:tcPr>
            <w:tcW w:w="3117" w:type="dxa"/>
            <w:shd w:val="clear" w:color="auto" w:fill="FFE599" w:themeFill="accent4" w:themeFillTint="66"/>
            <w:vAlign w:val="center"/>
          </w:tcPr>
          <w:p w14:paraId="6EB394D7" w14:textId="5744240D"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AI-driven recruitment, monitoring, and analysis</w:t>
            </w:r>
          </w:p>
        </w:tc>
        <w:tc>
          <w:tcPr>
            <w:tcW w:w="3117" w:type="dxa"/>
            <w:shd w:val="clear" w:color="auto" w:fill="FFE599" w:themeFill="accent4" w:themeFillTint="66"/>
            <w:vAlign w:val="center"/>
          </w:tcPr>
          <w:p w14:paraId="7A61E3BA" w14:textId="6C27DAA4"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Faster and more efficient trials</w:t>
            </w:r>
          </w:p>
        </w:tc>
      </w:tr>
      <w:tr w:rsidR="00770097" w14:paraId="72F5FC66" w14:textId="77777777" w:rsidTr="00770097">
        <w:tc>
          <w:tcPr>
            <w:tcW w:w="3116" w:type="dxa"/>
            <w:shd w:val="clear" w:color="auto" w:fill="FFE599" w:themeFill="accent4" w:themeFillTint="66"/>
            <w:vAlign w:val="center"/>
          </w:tcPr>
          <w:p w14:paraId="43C62DB6" w14:textId="4FFBB033"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Risk-Based Monitoring</w:t>
            </w:r>
          </w:p>
        </w:tc>
        <w:tc>
          <w:tcPr>
            <w:tcW w:w="3117" w:type="dxa"/>
            <w:shd w:val="clear" w:color="auto" w:fill="FFE599" w:themeFill="accent4" w:themeFillTint="66"/>
            <w:vAlign w:val="center"/>
          </w:tcPr>
          <w:p w14:paraId="24D46866" w14:textId="05A380A7"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Shift from full monitoring to targeted risk approaches</w:t>
            </w:r>
          </w:p>
        </w:tc>
        <w:tc>
          <w:tcPr>
            <w:tcW w:w="3117" w:type="dxa"/>
            <w:shd w:val="clear" w:color="auto" w:fill="FFE599" w:themeFill="accent4" w:themeFillTint="66"/>
            <w:vAlign w:val="center"/>
          </w:tcPr>
          <w:p w14:paraId="03B5DD43" w14:textId="6C8B3E43"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Cost reduction and better efficiency</w:t>
            </w:r>
          </w:p>
        </w:tc>
      </w:tr>
      <w:tr w:rsidR="00770097" w14:paraId="277F6FEE" w14:textId="77777777" w:rsidTr="00770097">
        <w:tc>
          <w:tcPr>
            <w:tcW w:w="3116" w:type="dxa"/>
            <w:shd w:val="clear" w:color="auto" w:fill="FFE599" w:themeFill="accent4" w:themeFillTint="66"/>
            <w:vAlign w:val="center"/>
          </w:tcPr>
          <w:p w14:paraId="61E0C392" w14:textId="34E08800"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Decentralized Clinical Trials</w:t>
            </w:r>
          </w:p>
        </w:tc>
        <w:tc>
          <w:tcPr>
            <w:tcW w:w="3117" w:type="dxa"/>
            <w:shd w:val="clear" w:color="auto" w:fill="FFE599" w:themeFill="accent4" w:themeFillTint="66"/>
            <w:vAlign w:val="center"/>
          </w:tcPr>
          <w:p w14:paraId="06BBB540" w14:textId="24CE44FD"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Hybrid and fully remote trial models</w:t>
            </w:r>
          </w:p>
        </w:tc>
        <w:tc>
          <w:tcPr>
            <w:tcW w:w="3117" w:type="dxa"/>
            <w:shd w:val="clear" w:color="auto" w:fill="FFE599" w:themeFill="accent4" w:themeFillTint="66"/>
            <w:vAlign w:val="center"/>
          </w:tcPr>
          <w:p w14:paraId="6A24F95E" w14:textId="18396159"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Improved patient access and retention</w:t>
            </w:r>
          </w:p>
        </w:tc>
      </w:tr>
      <w:tr w:rsidR="00770097" w14:paraId="3ED2601F" w14:textId="77777777" w:rsidTr="00770097">
        <w:tc>
          <w:tcPr>
            <w:tcW w:w="3116" w:type="dxa"/>
            <w:shd w:val="clear" w:color="auto" w:fill="FFE599" w:themeFill="accent4" w:themeFillTint="66"/>
            <w:vAlign w:val="center"/>
          </w:tcPr>
          <w:p w14:paraId="5EF5BCB3" w14:textId="6C585917"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Patient-Centered Trials</w:t>
            </w:r>
          </w:p>
        </w:tc>
        <w:tc>
          <w:tcPr>
            <w:tcW w:w="3117" w:type="dxa"/>
            <w:shd w:val="clear" w:color="auto" w:fill="FFE599" w:themeFill="accent4" w:themeFillTint="66"/>
            <w:vAlign w:val="center"/>
          </w:tcPr>
          <w:p w14:paraId="1455048F" w14:textId="145EA552"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Increased patient involvement in design</w:t>
            </w:r>
          </w:p>
        </w:tc>
        <w:tc>
          <w:tcPr>
            <w:tcW w:w="3117" w:type="dxa"/>
            <w:shd w:val="clear" w:color="auto" w:fill="FFE599" w:themeFill="accent4" w:themeFillTint="66"/>
            <w:vAlign w:val="center"/>
          </w:tcPr>
          <w:p w14:paraId="1C9C9A26" w14:textId="0DF8E5E0" w:rsidR="00770097" w:rsidRDefault="00770097" w:rsidP="00770097">
            <w:pPr>
              <w:rPr>
                <w:rFonts w:ascii="Times New Roman" w:eastAsia="Times New Roman" w:hAnsi="Times New Roman" w:cs="Times New Roman"/>
                <w:sz w:val="24"/>
                <w:szCs w:val="24"/>
              </w:rPr>
            </w:pPr>
            <w:r w:rsidRPr="00770097">
              <w:rPr>
                <w:rFonts w:ascii="Times New Roman" w:eastAsia="Times New Roman" w:hAnsi="Times New Roman" w:cs="Times New Roman"/>
                <w:sz w:val="24"/>
                <w:szCs w:val="24"/>
              </w:rPr>
              <w:t>Better recruitment and real-world relevance</w:t>
            </w:r>
          </w:p>
        </w:tc>
      </w:tr>
    </w:tbl>
    <w:p w14:paraId="0937314B" w14:textId="7168A9F6" w:rsidR="00342AF5" w:rsidRPr="00342AF5" w:rsidRDefault="00342AF5" w:rsidP="00342AF5">
      <w:pPr>
        <w:spacing w:after="0" w:line="240" w:lineRule="auto"/>
        <w:rPr>
          <w:rFonts w:ascii="Times New Roman" w:eastAsia="Times New Roman" w:hAnsi="Times New Roman" w:cs="Times New Roman"/>
          <w:sz w:val="24"/>
          <w:szCs w:val="24"/>
        </w:rPr>
      </w:pPr>
    </w:p>
    <w:p w14:paraId="256ACE5C"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Conclusion</w:t>
      </w:r>
    </w:p>
    <w:p w14:paraId="0D7B572C"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Good Clinical Practice continues to evolve in response to rapid scientific advancement, technological innovation, and changing healthcare needs. Contemporary clinical trials offer new opportunities for improving patient care and accelerating medical innovation; however, they also introduce substantial ethical, operational, and regulatory challenges.</w:t>
      </w:r>
    </w:p>
    <w:p w14:paraId="4FCBEBDB"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Maintaining participant safety, ensuring data integrity, strengthening cybersecurity, and adapting regulatory systems to emerging technologies remain critical priorities in modern clinical research. Recent developments such as ICH E6(R3), risk-based monitoring, decentralized clinical trials, and patient-centered research approaches are reshaping the future of clinical trial conduct.</w:t>
      </w:r>
    </w:p>
    <w:p w14:paraId="5D24053A" w14:textId="77777777" w:rsidR="00342AF5" w:rsidRPr="00342AF5" w:rsidRDefault="00342AF5" w:rsidP="00342AF5">
      <w:p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A balanced integration of innovation, ethical responsibility, and regulatory compliance will be essential for ensuring reliable, transparent, and patient-centered clinical research in the future.</w:t>
      </w:r>
    </w:p>
    <w:p w14:paraId="49E965A6" w14:textId="574D2B0A" w:rsidR="00342AF5" w:rsidRPr="00342AF5" w:rsidRDefault="00342AF5" w:rsidP="00342AF5">
      <w:pPr>
        <w:spacing w:after="0" w:line="240" w:lineRule="auto"/>
        <w:rPr>
          <w:rFonts w:ascii="Times New Roman" w:eastAsia="Times New Roman" w:hAnsi="Times New Roman" w:cs="Times New Roman"/>
          <w:sz w:val="24"/>
          <w:szCs w:val="24"/>
        </w:rPr>
      </w:pPr>
    </w:p>
    <w:p w14:paraId="19ED7A82" w14:textId="77777777" w:rsidR="00342AF5" w:rsidRPr="00342AF5" w:rsidRDefault="00342AF5" w:rsidP="00342AF5">
      <w:pPr>
        <w:spacing w:after="0" w:line="240" w:lineRule="auto"/>
        <w:outlineLvl w:val="0"/>
        <w:rPr>
          <w:rFonts w:ascii="Times New Roman" w:eastAsia="Times New Roman" w:hAnsi="Times New Roman" w:cs="Times New Roman"/>
          <w:b/>
          <w:bCs/>
          <w:kern w:val="36"/>
          <w:sz w:val="24"/>
          <w:szCs w:val="24"/>
        </w:rPr>
      </w:pPr>
      <w:r w:rsidRPr="00342AF5">
        <w:rPr>
          <w:rFonts w:ascii="Times New Roman" w:eastAsia="Times New Roman" w:hAnsi="Times New Roman" w:cs="Times New Roman"/>
          <w:b/>
          <w:bCs/>
          <w:kern w:val="36"/>
          <w:sz w:val="24"/>
          <w:szCs w:val="24"/>
        </w:rPr>
        <w:t>References</w:t>
      </w:r>
    </w:p>
    <w:p w14:paraId="4681819A"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International Council for Harmonisation. ICH Harmonised Guideline for Good Clinical Practice E6(R2). 2016. </w:t>
      </w:r>
    </w:p>
    <w:p w14:paraId="7155C982" w14:textId="4501EBB2"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Vijayananthan A, Nawawi O.</w:t>
      </w:r>
      <w:r w:rsidRPr="00342AF5">
        <w:rPr>
          <w:rFonts w:ascii="Times New Roman" w:eastAsia="Times New Roman" w:hAnsi="Times New Roman" w:cs="Times New Roman"/>
          <w:sz w:val="24"/>
          <w:szCs w:val="24"/>
        </w:rPr>
        <w:t xml:space="preserve"> The importance of Good Clinical Practice guidelines and its role in clinical trials. </w:t>
      </w:r>
      <w:r w:rsidRPr="00342AF5">
        <w:rPr>
          <w:rFonts w:ascii="Times New Roman" w:eastAsia="Times New Roman" w:hAnsi="Times New Roman" w:cs="Times New Roman"/>
          <w:i/>
          <w:iCs/>
          <w:sz w:val="24"/>
          <w:szCs w:val="24"/>
        </w:rPr>
        <w:t>Biomed Imaging Interv J.</w:t>
      </w:r>
      <w:r w:rsidRPr="00342AF5">
        <w:rPr>
          <w:rFonts w:ascii="Times New Roman" w:eastAsia="Times New Roman" w:hAnsi="Times New Roman" w:cs="Times New Roman"/>
          <w:sz w:val="24"/>
          <w:szCs w:val="24"/>
        </w:rPr>
        <w:t xml:space="preserve"> 2008;4(1</w:t>
      </w:r>
      <w:r w:rsidR="00770097" w:rsidRPr="00342AF5">
        <w:rPr>
          <w:rFonts w:ascii="Times New Roman" w:eastAsia="Times New Roman" w:hAnsi="Times New Roman" w:cs="Times New Roman"/>
          <w:sz w:val="24"/>
          <w:szCs w:val="24"/>
        </w:rPr>
        <w:t>): e</w:t>
      </w:r>
      <w:r w:rsidRPr="00342AF5">
        <w:rPr>
          <w:rFonts w:ascii="Times New Roman" w:eastAsia="Times New Roman" w:hAnsi="Times New Roman" w:cs="Times New Roman"/>
          <w:sz w:val="24"/>
          <w:szCs w:val="24"/>
        </w:rPr>
        <w:t xml:space="preserve">5. </w:t>
      </w:r>
    </w:p>
    <w:p w14:paraId="032074E5"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Umscheid CA, Margolis DJ, Grossman CE</w:t>
      </w:r>
      <w:r w:rsidRPr="00342AF5">
        <w:rPr>
          <w:rFonts w:ascii="Times New Roman" w:eastAsia="Times New Roman" w:hAnsi="Times New Roman" w:cs="Times New Roman"/>
          <w:sz w:val="24"/>
          <w:szCs w:val="24"/>
        </w:rPr>
        <w:t xml:space="preserve">. Key concepts of clinical trials. </w:t>
      </w:r>
      <w:r w:rsidRPr="00342AF5">
        <w:rPr>
          <w:rFonts w:ascii="Times New Roman" w:eastAsia="Times New Roman" w:hAnsi="Times New Roman" w:cs="Times New Roman"/>
          <w:i/>
          <w:iCs/>
          <w:sz w:val="24"/>
          <w:szCs w:val="24"/>
        </w:rPr>
        <w:t>Clin Transl Sci.</w:t>
      </w:r>
      <w:r w:rsidRPr="00342AF5">
        <w:rPr>
          <w:rFonts w:ascii="Times New Roman" w:eastAsia="Times New Roman" w:hAnsi="Times New Roman" w:cs="Times New Roman"/>
          <w:sz w:val="24"/>
          <w:szCs w:val="24"/>
        </w:rPr>
        <w:t xml:space="preserve"> 2011;4(5):367–371. </w:t>
      </w:r>
    </w:p>
    <w:p w14:paraId="0F3121A1"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International Council for Harmonisation. ICH E6(R3) Draft Guideline for Good Clinical Practice. 2023. </w:t>
      </w:r>
    </w:p>
    <w:p w14:paraId="6AE3C5F3"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World Medical Association. Declaration of Helsinki: Ethical Principles for Medical Research Involving Human Subjects. 2013. </w:t>
      </w:r>
    </w:p>
    <w:p w14:paraId="3F2DEF6B" w14:textId="1A708698"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Getz KA, Campo RA.</w:t>
      </w:r>
      <w:r w:rsidRPr="00342AF5">
        <w:rPr>
          <w:rFonts w:ascii="Times New Roman" w:eastAsia="Times New Roman" w:hAnsi="Times New Roman" w:cs="Times New Roman"/>
          <w:sz w:val="24"/>
          <w:szCs w:val="24"/>
        </w:rPr>
        <w:t xml:space="preserve"> Trial complexity and clinical research performance. </w:t>
      </w:r>
      <w:r w:rsidRPr="00342AF5">
        <w:rPr>
          <w:rFonts w:ascii="Times New Roman" w:eastAsia="Times New Roman" w:hAnsi="Times New Roman" w:cs="Times New Roman"/>
          <w:i/>
          <w:iCs/>
          <w:sz w:val="24"/>
          <w:szCs w:val="24"/>
        </w:rPr>
        <w:t>Am J Ther.</w:t>
      </w:r>
      <w:r w:rsidRPr="00342AF5">
        <w:rPr>
          <w:rFonts w:ascii="Times New Roman" w:eastAsia="Times New Roman" w:hAnsi="Times New Roman" w:cs="Times New Roman"/>
          <w:sz w:val="24"/>
          <w:szCs w:val="24"/>
        </w:rPr>
        <w:t xml:space="preserve"> 2017;24(6</w:t>
      </w:r>
      <w:r w:rsidR="00770097" w:rsidRPr="00342AF5">
        <w:rPr>
          <w:rFonts w:ascii="Times New Roman" w:eastAsia="Times New Roman" w:hAnsi="Times New Roman" w:cs="Times New Roman"/>
          <w:sz w:val="24"/>
          <w:szCs w:val="24"/>
        </w:rPr>
        <w:t>): e</w:t>
      </w:r>
      <w:r w:rsidRPr="00342AF5">
        <w:rPr>
          <w:rFonts w:ascii="Times New Roman" w:eastAsia="Times New Roman" w:hAnsi="Times New Roman" w:cs="Times New Roman"/>
          <w:sz w:val="24"/>
          <w:szCs w:val="24"/>
        </w:rPr>
        <w:t xml:space="preserve">679–e685. </w:t>
      </w:r>
    </w:p>
    <w:p w14:paraId="6046A453"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U.S. Food and Drug Administration</w:t>
      </w:r>
      <w:r w:rsidRPr="00342AF5">
        <w:rPr>
          <w:rFonts w:ascii="Times New Roman" w:eastAsia="Times New Roman" w:hAnsi="Times New Roman" w:cs="Times New Roman"/>
          <w:sz w:val="24"/>
          <w:szCs w:val="24"/>
        </w:rPr>
        <w:t xml:space="preserve">. Risk-Based Monitoring Guidance for Industry. 2019. </w:t>
      </w:r>
    </w:p>
    <w:p w14:paraId="111AF6CC"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Getz KA.</w:t>
      </w:r>
      <w:r w:rsidRPr="00342AF5">
        <w:rPr>
          <w:rFonts w:ascii="Times New Roman" w:eastAsia="Times New Roman" w:hAnsi="Times New Roman" w:cs="Times New Roman"/>
          <w:sz w:val="24"/>
          <w:szCs w:val="24"/>
        </w:rPr>
        <w:t xml:space="preserve"> Protocol complexity and clinical trial execution challenges. </w:t>
      </w:r>
      <w:r w:rsidRPr="00342AF5">
        <w:rPr>
          <w:rFonts w:ascii="Times New Roman" w:eastAsia="Times New Roman" w:hAnsi="Times New Roman" w:cs="Times New Roman"/>
          <w:i/>
          <w:iCs/>
          <w:sz w:val="24"/>
          <w:szCs w:val="24"/>
        </w:rPr>
        <w:t>Drug Inf J.</w:t>
      </w:r>
      <w:r w:rsidRPr="00342AF5">
        <w:rPr>
          <w:rFonts w:ascii="Times New Roman" w:eastAsia="Times New Roman" w:hAnsi="Times New Roman" w:cs="Times New Roman"/>
          <w:sz w:val="24"/>
          <w:szCs w:val="24"/>
        </w:rPr>
        <w:t xml:space="preserve"> 2015;49(4):451–457. </w:t>
      </w:r>
    </w:p>
    <w:p w14:paraId="527AA023"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lastRenderedPageBreak/>
        <w:t>Kadam RA</w:t>
      </w:r>
      <w:r w:rsidRPr="00342AF5">
        <w:rPr>
          <w:rFonts w:ascii="Times New Roman" w:eastAsia="Times New Roman" w:hAnsi="Times New Roman" w:cs="Times New Roman"/>
          <w:sz w:val="24"/>
          <w:szCs w:val="24"/>
        </w:rPr>
        <w:t xml:space="preserve">. Informed consent process: A step further towards making it meaningful. </w:t>
      </w:r>
      <w:r w:rsidRPr="00342AF5">
        <w:rPr>
          <w:rFonts w:ascii="Times New Roman" w:eastAsia="Times New Roman" w:hAnsi="Times New Roman" w:cs="Times New Roman"/>
          <w:i/>
          <w:iCs/>
          <w:sz w:val="24"/>
          <w:szCs w:val="24"/>
        </w:rPr>
        <w:t>Perspect Clin Res.</w:t>
      </w:r>
      <w:r w:rsidRPr="00342AF5">
        <w:rPr>
          <w:rFonts w:ascii="Times New Roman" w:eastAsia="Times New Roman" w:hAnsi="Times New Roman" w:cs="Times New Roman"/>
          <w:sz w:val="24"/>
          <w:szCs w:val="24"/>
        </w:rPr>
        <w:t xml:space="preserve"> 2017;8(3):107–112. </w:t>
      </w:r>
    </w:p>
    <w:p w14:paraId="455E491D" w14:textId="6FBCDBBC"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Grady C, et al</w:t>
      </w:r>
      <w:r w:rsidRPr="00342AF5">
        <w:rPr>
          <w:rFonts w:ascii="Times New Roman" w:eastAsia="Times New Roman" w:hAnsi="Times New Roman" w:cs="Times New Roman"/>
          <w:sz w:val="24"/>
          <w:szCs w:val="24"/>
        </w:rPr>
        <w:t xml:space="preserve">. Broad consent for research with biological samples. </w:t>
      </w:r>
      <w:r w:rsidRPr="00342AF5">
        <w:rPr>
          <w:rFonts w:ascii="Times New Roman" w:eastAsia="Times New Roman" w:hAnsi="Times New Roman" w:cs="Times New Roman"/>
          <w:i/>
          <w:iCs/>
          <w:sz w:val="24"/>
          <w:szCs w:val="24"/>
        </w:rPr>
        <w:t>N Engl J Med.</w:t>
      </w:r>
      <w:r w:rsidRPr="00342AF5">
        <w:rPr>
          <w:rFonts w:ascii="Times New Roman" w:eastAsia="Times New Roman" w:hAnsi="Times New Roman" w:cs="Times New Roman"/>
          <w:sz w:val="24"/>
          <w:szCs w:val="24"/>
        </w:rPr>
        <w:t xml:space="preserve"> </w:t>
      </w:r>
      <w:r w:rsidR="00770097" w:rsidRPr="00342AF5">
        <w:rPr>
          <w:rFonts w:ascii="Times New Roman" w:eastAsia="Times New Roman" w:hAnsi="Times New Roman" w:cs="Times New Roman"/>
          <w:sz w:val="24"/>
          <w:szCs w:val="24"/>
        </w:rPr>
        <w:t>2015; 372:195</w:t>
      </w:r>
      <w:r w:rsidRPr="00342AF5">
        <w:rPr>
          <w:rFonts w:ascii="Times New Roman" w:eastAsia="Times New Roman" w:hAnsi="Times New Roman" w:cs="Times New Roman"/>
          <w:sz w:val="24"/>
          <w:szCs w:val="24"/>
        </w:rPr>
        <w:t xml:space="preserve">–197. </w:t>
      </w:r>
    </w:p>
    <w:p w14:paraId="4D27B4AD"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sz w:val="24"/>
          <w:szCs w:val="24"/>
        </w:rPr>
        <w:t xml:space="preserve">U.S. Food and Drug Administration. Data Integrity and Compliance with CGMP Guidance for Industry. 2018. </w:t>
      </w:r>
    </w:p>
    <w:p w14:paraId="074B3435"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Singh JA, et al</w:t>
      </w:r>
      <w:r w:rsidRPr="00342AF5">
        <w:rPr>
          <w:rFonts w:ascii="Times New Roman" w:eastAsia="Times New Roman" w:hAnsi="Times New Roman" w:cs="Times New Roman"/>
          <w:sz w:val="24"/>
          <w:szCs w:val="24"/>
        </w:rPr>
        <w:t xml:space="preserve">. Ethics review of multicenter clinical trials: Challenges and opportunities. </w:t>
      </w:r>
      <w:r w:rsidRPr="00342AF5">
        <w:rPr>
          <w:rFonts w:ascii="Times New Roman" w:eastAsia="Times New Roman" w:hAnsi="Times New Roman" w:cs="Times New Roman"/>
          <w:i/>
          <w:iCs/>
          <w:sz w:val="24"/>
          <w:szCs w:val="24"/>
        </w:rPr>
        <w:t>Clin Investig.</w:t>
      </w:r>
      <w:r w:rsidRPr="00342AF5">
        <w:rPr>
          <w:rFonts w:ascii="Times New Roman" w:eastAsia="Times New Roman" w:hAnsi="Times New Roman" w:cs="Times New Roman"/>
          <w:sz w:val="24"/>
          <w:szCs w:val="24"/>
        </w:rPr>
        <w:t xml:space="preserve"> 2019;9(2):45–52. </w:t>
      </w:r>
    </w:p>
    <w:p w14:paraId="6B1E832F"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Izmailova ES, Ellis R, Benko C</w:t>
      </w:r>
      <w:r w:rsidRPr="00342AF5">
        <w:rPr>
          <w:rFonts w:ascii="Times New Roman" w:eastAsia="Times New Roman" w:hAnsi="Times New Roman" w:cs="Times New Roman"/>
          <w:sz w:val="24"/>
          <w:szCs w:val="24"/>
        </w:rPr>
        <w:t xml:space="preserve">. Remote monitoring in clinical trials during the COVID-19 pandemic. </w:t>
      </w:r>
      <w:r w:rsidRPr="00342AF5">
        <w:rPr>
          <w:rFonts w:ascii="Times New Roman" w:eastAsia="Times New Roman" w:hAnsi="Times New Roman" w:cs="Times New Roman"/>
          <w:i/>
          <w:iCs/>
          <w:sz w:val="24"/>
          <w:szCs w:val="24"/>
        </w:rPr>
        <w:t>Clin Transl Sci.</w:t>
      </w:r>
      <w:r w:rsidRPr="00342AF5">
        <w:rPr>
          <w:rFonts w:ascii="Times New Roman" w:eastAsia="Times New Roman" w:hAnsi="Times New Roman" w:cs="Times New Roman"/>
          <w:sz w:val="24"/>
          <w:szCs w:val="24"/>
        </w:rPr>
        <w:t xml:space="preserve"> 2020;13(5):838–841. </w:t>
      </w:r>
    </w:p>
    <w:p w14:paraId="0C9B892E" w14:textId="77777777"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TransCelerate BioPharma Inc.</w:t>
      </w:r>
      <w:r w:rsidRPr="00342AF5">
        <w:rPr>
          <w:rFonts w:ascii="Times New Roman" w:eastAsia="Times New Roman" w:hAnsi="Times New Roman" w:cs="Times New Roman"/>
          <w:sz w:val="24"/>
          <w:szCs w:val="24"/>
        </w:rPr>
        <w:t xml:space="preserve"> Risk-Based Monitoring Methodology. 2017. </w:t>
      </w:r>
    </w:p>
    <w:p w14:paraId="45EA5ACA" w14:textId="1D8C3A00"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Crocker JC, et al</w:t>
      </w:r>
      <w:r w:rsidRPr="00342AF5">
        <w:rPr>
          <w:rFonts w:ascii="Times New Roman" w:eastAsia="Times New Roman" w:hAnsi="Times New Roman" w:cs="Times New Roman"/>
          <w:sz w:val="24"/>
          <w:szCs w:val="24"/>
        </w:rPr>
        <w:t xml:space="preserve">. Patient and public involvement in clinical trial design and conduct. </w:t>
      </w:r>
      <w:r w:rsidRPr="00342AF5">
        <w:rPr>
          <w:rFonts w:ascii="Times New Roman" w:eastAsia="Times New Roman" w:hAnsi="Times New Roman" w:cs="Times New Roman"/>
          <w:i/>
          <w:iCs/>
          <w:sz w:val="24"/>
          <w:szCs w:val="24"/>
        </w:rPr>
        <w:t>BMJ.</w:t>
      </w:r>
      <w:r w:rsidRPr="00342AF5">
        <w:rPr>
          <w:rFonts w:ascii="Times New Roman" w:eastAsia="Times New Roman" w:hAnsi="Times New Roman" w:cs="Times New Roman"/>
          <w:sz w:val="24"/>
          <w:szCs w:val="24"/>
        </w:rPr>
        <w:t xml:space="preserve"> 2018;</w:t>
      </w:r>
      <w:r w:rsidR="00770097" w:rsidRPr="00342AF5">
        <w:rPr>
          <w:rFonts w:ascii="Times New Roman" w:eastAsia="Times New Roman" w:hAnsi="Times New Roman" w:cs="Times New Roman"/>
          <w:sz w:val="24"/>
          <w:szCs w:val="24"/>
        </w:rPr>
        <w:t>363: k</w:t>
      </w:r>
      <w:r w:rsidRPr="00342AF5">
        <w:rPr>
          <w:rFonts w:ascii="Times New Roman" w:eastAsia="Times New Roman" w:hAnsi="Times New Roman" w:cs="Times New Roman"/>
          <w:sz w:val="24"/>
          <w:szCs w:val="24"/>
        </w:rPr>
        <w:t xml:space="preserve">4738. </w:t>
      </w:r>
    </w:p>
    <w:p w14:paraId="4AA9D03F" w14:textId="492742D6" w:rsidR="00342AF5" w:rsidRPr="00342AF5" w:rsidRDefault="00342AF5" w:rsidP="00342AF5">
      <w:pPr>
        <w:numPr>
          <w:ilvl w:val="0"/>
          <w:numId w:val="13"/>
        </w:numPr>
        <w:spacing w:after="0" w:line="240" w:lineRule="auto"/>
        <w:rPr>
          <w:rFonts w:ascii="Times New Roman" w:eastAsia="Times New Roman" w:hAnsi="Times New Roman" w:cs="Times New Roman"/>
          <w:sz w:val="24"/>
          <w:szCs w:val="24"/>
        </w:rPr>
      </w:pPr>
      <w:r w:rsidRPr="00342AF5">
        <w:rPr>
          <w:rFonts w:ascii="Times New Roman" w:eastAsia="Times New Roman" w:hAnsi="Times New Roman" w:cs="Times New Roman"/>
          <w:b/>
          <w:bCs/>
          <w:sz w:val="24"/>
          <w:szCs w:val="24"/>
        </w:rPr>
        <w:t>Yu KH, Beam AL, Kohane IS</w:t>
      </w:r>
      <w:r w:rsidRPr="00342AF5">
        <w:rPr>
          <w:rFonts w:ascii="Times New Roman" w:eastAsia="Times New Roman" w:hAnsi="Times New Roman" w:cs="Times New Roman"/>
          <w:sz w:val="24"/>
          <w:szCs w:val="24"/>
        </w:rPr>
        <w:t xml:space="preserve">. Artificial intelligence in healthcare. </w:t>
      </w:r>
      <w:r w:rsidRPr="00342AF5">
        <w:rPr>
          <w:rFonts w:ascii="Times New Roman" w:eastAsia="Times New Roman" w:hAnsi="Times New Roman" w:cs="Times New Roman"/>
          <w:i/>
          <w:iCs/>
          <w:sz w:val="24"/>
          <w:szCs w:val="24"/>
        </w:rPr>
        <w:t>Nat Biomed Eng.</w:t>
      </w:r>
      <w:r w:rsidRPr="00342AF5">
        <w:rPr>
          <w:rFonts w:ascii="Times New Roman" w:eastAsia="Times New Roman" w:hAnsi="Times New Roman" w:cs="Times New Roman"/>
          <w:sz w:val="24"/>
          <w:szCs w:val="24"/>
        </w:rPr>
        <w:t xml:space="preserve"> </w:t>
      </w:r>
      <w:r w:rsidR="00770097" w:rsidRPr="00342AF5">
        <w:rPr>
          <w:rFonts w:ascii="Times New Roman" w:eastAsia="Times New Roman" w:hAnsi="Times New Roman" w:cs="Times New Roman"/>
          <w:sz w:val="24"/>
          <w:szCs w:val="24"/>
        </w:rPr>
        <w:t>2018; 2:719</w:t>
      </w:r>
      <w:r w:rsidRPr="00342AF5">
        <w:rPr>
          <w:rFonts w:ascii="Times New Roman" w:eastAsia="Times New Roman" w:hAnsi="Times New Roman" w:cs="Times New Roman"/>
          <w:sz w:val="24"/>
          <w:szCs w:val="24"/>
        </w:rPr>
        <w:t>–731.</w:t>
      </w:r>
    </w:p>
    <w:p w14:paraId="4C980105" w14:textId="77777777" w:rsidR="00494931" w:rsidRPr="00342AF5" w:rsidRDefault="00494931" w:rsidP="00342AF5">
      <w:pPr>
        <w:spacing w:after="0"/>
        <w:rPr>
          <w:rFonts w:ascii="Times New Roman" w:hAnsi="Times New Roman" w:cs="Times New Roman"/>
          <w:sz w:val="24"/>
          <w:szCs w:val="24"/>
        </w:rPr>
      </w:pPr>
    </w:p>
    <w:sectPr w:rsidR="00494931" w:rsidRPr="00342AF5" w:rsidSect="00886E5E">
      <w:footerReference w:type="default" r:id="rId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500A7" w14:textId="77777777" w:rsidR="00B83259" w:rsidRDefault="00B83259" w:rsidP="00886E5E">
      <w:pPr>
        <w:spacing w:after="0" w:line="240" w:lineRule="auto"/>
      </w:pPr>
      <w:r>
        <w:separator/>
      </w:r>
    </w:p>
  </w:endnote>
  <w:endnote w:type="continuationSeparator" w:id="0">
    <w:p w14:paraId="7F3555EE" w14:textId="77777777" w:rsidR="00B83259" w:rsidRDefault="00B83259" w:rsidP="00886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542512"/>
      <w:docPartObj>
        <w:docPartGallery w:val="Page Numbers (Bottom of Page)"/>
        <w:docPartUnique/>
      </w:docPartObj>
    </w:sdtPr>
    <w:sdtEndPr>
      <w:rPr>
        <w:color w:val="7F7F7F" w:themeColor="background1" w:themeShade="7F"/>
        <w:spacing w:val="60"/>
      </w:rPr>
    </w:sdtEndPr>
    <w:sdtContent>
      <w:p w14:paraId="7BE5D690" w14:textId="39719FD2" w:rsidR="00886E5E" w:rsidRDefault="00886E5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9C25B3" w14:textId="77777777" w:rsidR="00886E5E" w:rsidRDefault="0088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3168D" w14:textId="77777777" w:rsidR="00B83259" w:rsidRDefault="00B83259" w:rsidP="00886E5E">
      <w:pPr>
        <w:spacing w:after="0" w:line="240" w:lineRule="auto"/>
      </w:pPr>
      <w:r>
        <w:separator/>
      </w:r>
    </w:p>
  </w:footnote>
  <w:footnote w:type="continuationSeparator" w:id="0">
    <w:p w14:paraId="6D9ABC00" w14:textId="77777777" w:rsidR="00B83259" w:rsidRDefault="00B83259" w:rsidP="00886E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233A"/>
    <w:multiLevelType w:val="multilevel"/>
    <w:tmpl w:val="544E8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2205D"/>
    <w:multiLevelType w:val="multilevel"/>
    <w:tmpl w:val="B1F4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272C8E"/>
    <w:multiLevelType w:val="multilevel"/>
    <w:tmpl w:val="208C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CB6156"/>
    <w:multiLevelType w:val="multilevel"/>
    <w:tmpl w:val="E17C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D62CB"/>
    <w:multiLevelType w:val="multilevel"/>
    <w:tmpl w:val="B2B2D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24372"/>
    <w:multiLevelType w:val="multilevel"/>
    <w:tmpl w:val="38F8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DD4BEB"/>
    <w:multiLevelType w:val="multilevel"/>
    <w:tmpl w:val="9B24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F7A88"/>
    <w:multiLevelType w:val="multilevel"/>
    <w:tmpl w:val="0AEC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AC55AA"/>
    <w:multiLevelType w:val="multilevel"/>
    <w:tmpl w:val="252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117E35"/>
    <w:multiLevelType w:val="multilevel"/>
    <w:tmpl w:val="004A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DD5CCA"/>
    <w:multiLevelType w:val="multilevel"/>
    <w:tmpl w:val="E95AD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F61B6E"/>
    <w:multiLevelType w:val="multilevel"/>
    <w:tmpl w:val="DF56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3319BD"/>
    <w:multiLevelType w:val="multilevel"/>
    <w:tmpl w:val="265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2"/>
  </w:num>
  <w:num w:numId="3">
    <w:abstractNumId w:val="5"/>
  </w:num>
  <w:num w:numId="4">
    <w:abstractNumId w:val="2"/>
  </w:num>
  <w:num w:numId="5">
    <w:abstractNumId w:val="0"/>
  </w:num>
  <w:num w:numId="6">
    <w:abstractNumId w:val="7"/>
  </w:num>
  <w:num w:numId="7">
    <w:abstractNumId w:val="11"/>
  </w:num>
  <w:num w:numId="8">
    <w:abstractNumId w:val="9"/>
  </w:num>
  <w:num w:numId="9">
    <w:abstractNumId w:val="1"/>
  </w:num>
  <w:num w:numId="10">
    <w:abstractNumId w:val="6"/>
  </w:num>
  <w:num w:numId="11">
    <w:abstractNumId w:val="4"/>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E5E"/>
    <w:rsid w:val="002815CD"/>
    <w:rsid w:val="00342AF5"/>
    <w:rsid w:val="00494931"/>
    <w:rsid w:val="006F5497"/>
    <w:rsid w:val="00770097"/>
    <w:rsid w:val="00886E5E"/>
    <w:rsid w:val="00B518B6"/>
    <w:rsid w:val="00B83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908D"/>
  <w15:chartTrackingRefBased/>
  <w15:docId w15:val="{03CCB341-A552-4111-AB81-0D6674AA0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6E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6E5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E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6E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6E5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86E5E"/>
    <w:rPr>
      <w:i/>
      <w:iCs/>
    </w:rPr>
  </w:style>
  <w:style w:type="paragraph" w:styleId="Header">
    <w:name w:val="header"/>
    <w:basedOn w:val="Normal"/>
    <w:link w:val="HeaderChar"/>
    <w:uiPriority w:val="99"/>
    <w:unhideWhenUsed/>
    <w:rsid w:val="00886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6E5E"/>
  </w:style>
  <w:style w:type="paragraph" w:styleId="Footer">
    <w:name w:val="footer"/>
    <w:basedOn w:val="Normal"/>
    <w:link w:val="FooterChar"/>
    <w:uiPriority w:val="99"/>
    <w:unhideWhenUsed/>
    <w:rsid w:val="00886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6E5E"/>
  </w:style>
  <w:style w:type="table" w:styleId="TableGrid">
    <w:name w:val="Table Grid"/>
    <w:basedOn w:val="TableNormal"/>
    <w:uiPriority w:val="39"/>
    <w:rsid w:val="00770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00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238065">
      <w:bodyDiv w:val="1"/>
      <w:marLeft w:val="0"/>
      <w:marRight w:val="0"/>
      <w:marTop w:val="0"/>
      <w:marBottom w:val="0"/>
      <w:divBdr>
        <w:top w:val="none" w:sz="0" w:space="0" w:color="auto"/>
        <w:left w:val="none" w:sz="0" w:space="0" w:color="auto"/>
        <w:bottom w:val="none" w:sz="0" w:space="0" w:color="auto"/>
        <w:right w:val="none" w:sz="0" w:space="0" w:color="auto"/>
      </w:divBdr>
      <w:divsChild>
        <w:div w:id="1921131320">
          <w:marLeft w:val="0"/>
          <w:marRight w:val="0"/>
          <w:marTop w:val="0"/>
          <w:marBottom w:val="0"/>
          <w:divBdr>
            <w:top w:val="none" w:sz="0" w:space="0" w:color="auto"/>
            <w:left w:val="none" w:sz="0" w:space="0" w:color="auto"/>
            <w:bottom w:val="none" w:sz="0" w:space="0" w:color="auto"/>
            <w:right w:val="none" w:sz="0" w:space="0" w:color="auto"/>
          </w:divBdr>
          <w:divsChild>
            <w:div w:id="1910115865">
              <w:marLeft w:val="0"/>
              <w:marRight w:val="0"/>
              <w:marTop w:val="0"/>
              <w:marBottom w:val="0"/>
              <w:divBdr>
                <w:top w:val="none" w:sz="0" w:space="0" w:color="auto"/>
                <w:left w:val="none" w:sz="0" w:space="0" w:color="auto"/>
                <w:bottom w:val="none" w:sz="0" w:space="0" w:color="auto"/>
                <w:right w:val="none" w:sz="0" w:space="0" w:color="auto"/>
              </w:divBdr>
              <w:divsChild>
                <w:div w:id="853812176">
                  <w:marLeft w:val="0"/>
                  <w:marRight w:val="0"/>
                  <w:marTop w:val="0"/>
                  <w:marBottom w:val="0"/>
                  <w:divBdr>
                    <w:top w:val="none" w:sz="0" w:space="0" w:color="auto"/>
                    <w:left w:val="none" w:sz="0" w:space="0" w:color="auto"/>
                    <w:bottom w:val="none" w:sz="0" w:space="0" w:color="auto"/>
                    <w:right w:val="none" w:sz="0" w:space="0" w:color="auto"/>
                  </w:divBdr>
                  <w:divsChild>
                    <w:div w:id="1012297420">
                      <w:marLeft w:val="0"/>
                      <w:marRight w:val="0"/>
                      <w:marTop w:val="0"/>
                      <w:marBottom w:val="0"/>
                      <w:divBdr>
                        <w:top w:val="none" w:sz="0" w:space="0" w:color="auto"/>
                        <w:left w:val="none" w:sz="0" w:space="0" w:color="auto"/>
                        <w:bottom w:val="none" w:sz="0" w:space="0" w:color="auto"/>
                        <w:right w:val="none" w:sz="0" w:space="0" w:color="auto"/>
                      </w:divBdr>
                      <w:divsChild>
                        <w:div w:id="1519150999">
                          <w:marLeft w:val="0"/>
                          <w:marRight w:val="0"/>
                          <w:marTop w:val="0"/>
                          <w:marBottom w:val="0"/>
                          <w:divBdr>
                            <w:top w:val="none" w:sz="0" w:space="0" w:color="auto"/>
                            <w:left w:val="none" w:sz="0" w:space="0" w:color="auto"/>
                            <w:bottom w:val="none" w:sz="0" w:space="0" w:color="auto"/>
                            <w:right w:val="none" w:sz="0" w:space="0" w:color="auto"/>
                          </w:divBdr>
                          <w:divsChild>
                            <w:div w:id="1528909952">
                              <w:marLeft w:val="0"/>
                              <w:marRight w:val="0"/>
                              <w:marTop w:val="0"/>
                              <w:marBottom w:val="0"/>
                              <w:divBdr>
                                <w:top w:val="none" w:sz="0" w:space="0" w:color="auto"/>
                                <w:left w:val="none" w:sz="0" w:space="0" w:color="auto"/>
                                <w:bottom w:val="none" w:sz="0" w:space="0" w:color="auto"/>
                                <w:right w:val="none" w:sz="0" w:space="0" w:color="auto"/>
                              </w:divBdr>
                              <w:divsChild>
                                <w:div w:id="12997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154971">
      <w:bodyDiv w:val="1"/>
      <w:marLeft w:val="0"/>
      <w:marRight w:val="0"/>
      <w:marTop w:val="0"/>
      <w:marBottom w:val="0"/>
      <w:divBdr>
        <w:top w:val="none" w:sz="0" w:space="0" w:color="auto"/>
        <w:left w:val="none" w:sz="0" w:space="0" w:color="auto"/>
        <w:bottom w:val="none" w:sz="0" w:space="0" w:color="auto"/>
        <w:right w:val="none" w:sz="0" w:space="0" w:color="auto"/>
      </w:divBdr>
    </w:div>
    <w:div w:id="1056777045">
      <w:bodyDiv w:val="1"/>
      <w:marLeft w:val="0"/>
      <w:marRight w:val="0"/>
      <w:marTop w:val="0"/>
      <w:marBottom w:val="0"/>
      <w:divBdr>
        <w:top w:val="none" w:sz="0" w:space="0" w:color="auto"/>
        <w:left w:val="none" w:sz="0" w:space="0" w:color="auto"/>
        <w:bottom w:val="none" w:sz="0" w:space="0" w:color="auto"/>
        <w:right w:val="none" w:sz="0" w:space="0" w:color="auto"/>
      </w:divBdr>
    </w:div>
    <w:div w:id="1750619999">
      <w:bodyDiv w:val="1"/>
      <w:marLeft w:val="0"/>
      <w:marRight w:val="0"/>
      <w:marTop w:val="0"/>
      <w:marBottom w:val="0"/>
      <w:divBdr>
        <w:top w:val="none" w:sz="0" w:space="0" w:color="auto"/>
        <w:left w:val="none" w:sz="0" w:space="0" w:color="auto"/>
        <w:bottom w:val="none" w:sz="0" w:space="0" w:color="auto"/>
        <w:right w:val="none" w:sz="0" w:space="0" w:color="auto"/>
      </w:divBdr>
      <w:divsChild>
        <w:div w:id="1997108895">
          <w:marLeft w:val="0"/>
          <w:marRight w:val="0"/>
          <w:marTop w:val="0"/>
          <w:marBottom w:val="0"/>
          <w:divBdr>
            <w:top w:val="none" w:sz="0" w:space="0" w:color="auto"/>
            <w:left w:val="none" w:sz="0" w:space="0" w:color="auto"/>
            <w:bottom w:val="none" w:sz="0" w:space="0" w:color="auto"/>
            <w:right w:val="none" w:sz="0" w:space="0" w:color="auto"/>
          </w:divBdr>
          <w:divsChild>
            <w:div w:id="1341354922">
              <w:marLeft w:val="0"/>
              <w:marRight w:val="0"/>
              <w:marTop w:val="0"/>
              <w:marBottom w:val="0"/>
              <w:divBdr>
                <w:top w:val="none" w:sz="0" w:space="0" w:color="auto"/>
                <w:left w:val="none" w:sz="0" w:space="0" w:color="auto"/>
                <w:bottom w:val="none" w:sz="0" w:space="0" w:color="auto"/>
                <w:right w:val="none" w:sz="0" w:space="0" w:color="auto"/>
              </w:divBdr>
              <w:divsChild>
                <w:div w:id="614990453">
                  <w:marLeft w:val="0"/>
                  <w:marRight w:val="0"/>
                  <w:marTop w:val="0"/>
                  <w:marBottom w:val="0"/>
                  <w:divBdr>
                    <w:top w:val="none" w:sz="0" w:space="0" w:color="auto"/>
                    <w:left w:val="none" w:sz="0" w:space="0" w:color="auto"/>
                    <w:bottom w:val="none" w:sz="0" w:space="0" w:color="auto"/>
                    <w:right w:val="none" w:sz="0" w:space="0" w:color="auto"/>
                  </w:divBdr>
                  <w:divsChild>
                    <w:div w:id="319966604">
                      <w:marLeft w:val="0"/>
                      <w:marRight w:val="0"/>
                      <w:marTop w:val="0"/>
                      <w:marBottom w:val="0"/>
                      <w:divBdr>
                        <w:top w:val="none" w:sz="0" w:space="0" w:color="auto"/>
                        <w:left w:val="none" w:sz="0" w:space="0" w:color="auto"/>
                        <w:bottom w:val="none" w:sz="0" w:space="0" w:color="auto"/>
                        <w:right w:val="none" w:sz="0" w:space="0" w:color="auto"/>
                      </w:divBdr>
                      <w:divsChild>
                        <w:div w:id="855075251">
                          <w:marLeft w:val="0"/>
                          <w:marRight w:val="0"/>
                          <w:marTop w:val="0"/>
                          <w:marBottom w:val="0"/>
                          <w:divBdr>
                            <w:top w:val="none" w:sz="0" w:space="0" w:color="auto"/>
                            <w:left w:val="none" w:sz="0" w:space="0" w:color="auto"/>
                            <w:bottom w:val="none" w:sz="0" w:space="0" w:color="auto"/>
                            <w:right w:val="none" w:sz="0" w:space="0" w:color="auto"/>
                          </w:divBdr>
                          <w:divsChild>
                            <w:div w:id="2046784985">
                              <w:marLeft w:val="0"/>
                              <w:marRight w:val="0"/>
                              <w:marTop w:val="0"/>
                              <w:marBottom w:val="0"/>
                              <w:divBdr>
                                <w:top w:val="none" w:sz="0" w:space="0" w:color="auto"/>
                                <w:left w:val="none" w:sz="0" w:space="0" w:color="auto"/>
                                <w:bottom w:val="none" w:sz="0" w:space="0" w:color="auto"/>
                                <w:right w:val="none" w:sz="0" w:space="0" w:color="auto"/>
                              </w:divBdr>
                              <w:divsChild>
                                <w:div w:id="30212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8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A738D-3906-4D8D-B82A-D142A695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2685</Words>
  <Characters>15309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Research Fhvk</cp:lastModifiedBy>
  <cp:revision>3</cp:revision>
  <dcterms:created xsi:type="dcterms:W3CDTF">2026-05-08T10:34:00Z</dcterms:created>
  <dcterms:modified xsi:type="dcterms:W3CDTF">2026-05-08T11:16:00Z</dcterms:modified>
</cp:coreProperties>
</file>